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75DF0">
      <w:pPr>
        <w:jc w:val="center"/>
        <w:rPr>
          <w:rFonts w:hint="eastAsia" w:asciiTheme="minorEastAsia" w:hAnsiTheme="minorEastAsia" w:eastAsiaTheme="minorEastAsia" w:cstheme="minorEastAsia"/>
          <w:b/>
          <w:bCs/>
          <w:sz w:val="72"/>
          <w:szCs w:val="72"/>
        </w:rPr>
      </w:pPr>
    </w:p>
    <w:p w14:paraId="510345F7">
      <w:pPr>
        <w:jc w:val="center"/>
        <w:rPr>
          <w:rFonts w:hint="eastAsia" w:asciiTheme="minorEastAsia" w:hAnsiTheme="minorEastAsia" w:eastAsiaTheme="minorEastAsia" w:cstheme="minorEastAsia"/>
          <w:bCs/>
          <w:kern w:val="0"/>
          <w:sz w:val="30"/>
          <w:szCs w:val="30"/>
        </w:rPr>
      </w:pPr>
      <w:r>
        <w:rPr>
          <w:rFonts w:hint="eastAsia" w:asciiTheme="minorEastAsia" w:hAnsiTheme="minorEastAsia" w:eastAsiaTheme="minorEastAsia" w:cstheme="minorEastAsia"/>
          <w:b/>
          <w:bCs/>
          <w:sz w:val="72"/>
          <w:szCs w:val="72"/>
        </w:rPr>
        <w:t>竞争性磋商文件</w:t>
      </w:r>
    </w:p>
    <w:p w14:paraId="0760E2C3">
      <w:pPr>
        <w:spacing w:after="240" w:line="360" w:lineRule="auto"/>
        <w:jc w:val="center"/>
        <w:rPr>
          <w:rFonts w:hint="eastAsia" w:asciiTheme="minorEastAsia" w:hAnsiTheme="minorEastAsia" w:eastAsiaTheme="minorEastAsia" w:cstheme="minorEastAsia"/>
          <w:bCs/>
          <w:kern w:val="0"/>
          <w:sz w:val="30"/>
          <w:szCs w:val="30"/>
        </w:rPr>
      </w:pPr>
    </w:p>
    <w:p w14:paraId="04E37B87">
      <w:pPr>
        <w:spacing w:after="240" w:line="360" w:lineRule="auto"/>
        <w:jc w:val="center"/>
        <w:rPr>
          <w:rFonts w:hint="eastAsia" w:asciiTheme="minorEastAsia" w:hAnsiTheme="minorEastAsia" w:eastAsiaTheme="minorEastAsia" w:cstheme="minorEastAsia"/>
          <w:bCs/>
          <w:kern w:val="0"/>
          <w:sz w:val="30"/>
          <w:szCs w:val="30"/>
        </w:rPr>
      </w:pPr>
    </w:p>
    <w:p w14:paraId="42887FC6">
      <w:pPr>
        <w:pStyle w:val="17"/>
        <w:widowControl/>
        <w:spacing w:line="460" w:lineRule="exact"/>
        <w:jc w:val="center"/>
        <w:rPr>
          <w:rFonts w:hint="default" w:asciiTheme="minorEastAsia" w:hAnsiTheme="minorEastAsia" w:eastAsiaTheme="minorEastAsia" w:cstheme="minorEastAsia"/>
          <w:bCs/>
          <w:color w:val="auto"/>
          <w:sz w:val="30"/>
          <w:szCs w:val="30"/>
          <w:highlight w:val="yellow"/>
          <w:lang w:val="en-US" w:eastAsia="zh-CN"/>
        </w:rPr>
      </w:pPr>
      <w:r>
        <w:rPr>
          <w:rFonts w:hint="eastAsia" w:asciiTheme="minorEastAsia" w:hAnsiTheme="minorEastAsia" w:eastAsiaTheme="minorEastAsia" w:cstheme="minorEastAsia"/>
          <w:bCs/>
          <w:color w:val="auto"/>
          <w:sz w:val="30"/>
          <w:szCs w:val="30"/>
        </w:rPr>
        <w:t>项目编</w:t>
      </w:r>
      <w:r>
        <w:rPr>
          <w:rFonts w:hint="eastAsia" w:asciiTheme="minorEastAsia" w:hAnsiTheme="minorEastAsia" w:eastAsiaTheme="minorEastAsia" w:cstheme="minorEastAsia"/>
          <w:bCs/>
          <w:color w:val="auto"/>
          <w:sz w:val="30"/>
          <w:szCs w:val="30"/>
          <w:highlight w:val="none"/>
        </w:rPr>
        <w:t>号：</w:t>
      </w:r>
      <w:r>
        <w:rPr>
          <w:rFonts w:hint="eastAsia" w:asciiTheme="minorEastAsia" w:hAnsiTheme="minorEastAsia" w:eastAsiaTheme="minorEastAsia" w:cstheme="minorEastAsia"/>
          <w:bCs/>
          <w:color w:val="auto"/>
          <w:sz w:val="30"/>
          <w:szCs w:val="30"/>
          <w:highlight w:val="none"/>
          <w:lang w:val="en-US" w:eastAsia="zh-CN"/>
        </w:rPr>
        <w:t>HYTH（CS）2026-32</w:t>
      </w:r>
    </w:p>
    <w:p w14:paraId="0ED9D151">
      <w:pPr>
        <w:spacing w:after="240" w:line="360" w:lineRule="auto"/>
        <w:jc w:val="center"/>
        <w:rPr>
          <w:rFonts w:hint="eastAsia" w:asciiTheme="minorEastAsia" w:hAnsiTheme="minorEastAsia" w:eastAsiaTheme="minorEastAsia" w:cstheme="minorEastAsia"/>
          <w:bCs/>
          <w:kern w:val="0"/>
          <w:sz w:val="30"/>
          <w:szCs w:val="30"/>
        </w:rPr>
      </w:pPr>
    </w:p>
    <w:p w14:paraId="1FC5326B">
      <w:pPr>
        <w:pStyle w:val="5"/>
        <w:spacing w:line="460" w:lineRule="exact"/>
        <w:rPr>
          <w:rFonts w:hint="eastAsia" w:asciiTheme="minorEastAsia" w:hAnsiTheme="minorEastAsia" w:eastAsiaTheme="minorEastAsia" w:cstheme="minorEastAsia"/>
        </w:rPr>
      </w:pPr>
    </w:p>
    <w:p w14:paraId="25311835">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2104" w:leftChars="272" w:right="0" w:hanging="1506" w:hangingChars="500"/>
        <w:jc w:val="both"/>
        <w:textAlignment w:val="auto"/>
        <w:rPr>
          <w:rFonts w:hint="eastAsia" w:asciiTheme="minorEastAsia" w:hAnsiTheme="minorEastAsia" w:eastAsiaTheme="minorEastAsia" w:cstheme="minorEastAsia"/>
          <w:b w:val="0"/>
          <w:bCs w:val="0"/>
          <w:kern w:val="0"/>
          <w:sz w:val="30"/>
          <w:szCs w:val="30"/>
          <w:lang w:val="en-US" w:eastAsia="zh-CN" w:bidi="zh-CN"/>
        </w:rPr>
      </w:pPr>
      <w:r>
        <w:rPr>
          <w:rFonts w:hint="eastAsia" w:asciiTheme="minorEastAsia" w:hAnsiTheme="minorEastAsia" w:eastAsiaTheme="minorEastAsia" w:cstheme="minorEastAsia"/>
          <w:b/>
          <w:bCs/>
          <w:kern w:val="0"/>
          <w:sz w:val="30"/>
          <w:szCs w:val="30"/>
        </w:rPr>
        <w:t>项目名称：</w:t>
      </w:r>
      <w:r>
        <w:rPr>
          <w:rFonts w:hint="eastAsia" w:asciiTheme="minorEastAsia" w:hAnsiTheme="minorEastAsia" w:eastAsiaTheme="minorEastAsia" w:cstheme="minorEastAsia"/>
          <w:b w:val="0"/>
          <w:bCs w:val="0"/>
          <w:kern w:val="0"/>
          <w:sz w:val="30"/>
          <w:szCs w:val="30"/>
        </w:rPr>
        <w:t>火焰山镇古城村农用塑料残膜回收资源化利用及配套设施建设项目</w:t>
      </w:r>
    </w:p>
    <w:p w14:paraId="3FC39733">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560" w:firstLineChars="200"/>
        <w:jc w:val="both"/>
        <w:textAlignment w:val="auto"/>
        <w:rPr>
          <w:rFonts w:hint="default"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t xml:space="preserve"> </w:t>
      </w:r>
    </w:p>
    <w:p w14:paraId="7C315D70">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eastAsia" w:asciiTheme="minorEastAsia" w:hAnsiTheme="minorEastAsia" w:eastAsiaTheme="minorEastAsia" w:cstheme="minorEastAsia"/>
          <w:b w:val="0"/>
          <w:bCs w:val="0"/>
          <w:color w:val="000000" w:themeColor="text1"/>
          <w:kern w:val="0"/>
          <w:sz w:val="30"/>
          <w:szCs w:val="30"/>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30"/>
          <w:szCs w:val="30"/>
          <w14:textFill>
            <w14:solidFill>
              <w14:schemeClr w14:val="tx1"/>
            </w14:solidFill>
          </w14:textFill>
        </w:rPr>
        <w:t>采 购人</w:t>
      </w:r>
      <w:r>
        <w:rPr>
          <w:rFonts w:hint="eastAsia" w:asciiTheme="minorEastAsia" w:hAnsiTheme="minorEastAsia" w:eastAsiaTheme="minorEastAsia" w:cstheme="minorEastAsia"/>
          <w:color w:val="000000" w:themeColor="text1"/>
          <w:kern w:val="0"/>
          <w:sz w:val="30"/>
          <w:szCs w:val="30"/>
          <w14:textFill>
            <w14:solidFill>
              <w14:schemeClr w14:val="tx1"/>
            </w14:solidFill>
          </w14:textFill>
        </w:rPr>
        <w:t>（盖章</w:t>
      </w:r>
      <w:r>
        <w:rPr>
          <w:rFonts w:hint="eastAsia" w:asciiTheme="minorEastAsia" w:hAnsiTheme="minorEastAsia" w:eastAsiaTheme="minorEastAsia" w:cstheme="minorEastAsia"/>
          <w:b w:val="0"/>
          <w:bCs w:val="0"/>
          <w:color w:val="000000" w:themeColor="text1"/>
          <w:kern w:val="0"/>
          <w:sz w:val="30"/>
          <w:szCs w:val="30"/>
          <w:lang w:val="en-US" w:eastAsia="zh-CN" w:bidi="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0"/>
          <w:szCs w:val="30"/>
          <w:lang w:val="en-US" w:eastAsia="zh-CN"/>
          <w14:textFill>
            <w14:solidFill>
              <w14:schemeClr w14:val="tx1"/>
            </w14:solidFill>
          </w14:textFill>
        </w:rPr>
        <w:t>：吐鲁番市高昌区火焰山镇人民政府</w:t>
      </w:r>
    </w:p>
    <w:p w14:paraId="61B6B8E1">
      <w:pPr>
        <w:pStyle w:val="49"/>
        <w:keepNext w:val="0"/>
        <w:keepLines w:val="0"/>
        <w:pageBreakBefore w:val="0"/>
        <w:widowControl w:val="0"/>
        <w:kinsoku/>
        <w:wordWrap/>
        <w:overflowPunct/>
        <w:topLinePunct w:val="0"/>
        <w:autoSpaceDE w:val="0"/>
        <w:autoSpaceDN w:val="0"/>
        <w:bidi w:val="0"/>
        <w:adjustRightInd/>
        <w:snapToGrid/>
        <w:spacing w:before="120" w:after="120" w:line="400" w:lineRule="exact"/>
        <w:ind w:firstLine="0" w:firstLineChars="0"/>
        <w:textAlignment w:val="auto"/>
        <w:rPr>
          <w:rFonts w:hint="eastAsia" w:asciiTheme="minorEastAsia" w:hAnsiTheme="minorEastAsia" w:eastAsiaTheme="minorEastAsia" w:cstheme="minorEastAsia"/>
          <w:color w:val="000000" w:themeColor="text1"/>
          <w14:textFill>
            <w14:solidFill>
              <w14:schemeClr w14:val="tx1"/>
            </w14:solidFill>
          </w14:textFill>
        </w:rPr>
      </w:pPr>
    </w:p>
    <w:p w14:paraId="5D2A9630">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default" w:asciiTheme="minorEastAsia" w:hAnsiTheme="minorEastAsia" w:eastAsiaTheme="minorEastAsia" w:cstheme="minorEastAsia"/>
          <w:b w:val="0"/>
          <w:bCs w:val="0"/>
          <w:color w:val="000000" w:themeColor="text1"/>
          <w:kern w:val="0"/>
          <w:sz w:val="30"/>
          <w:szCs w:val="30"/>
          <w:highlight w:val="none"/>
          <w:lang w:val="en-US" w:eastAsia="zh-CN" w:bidi="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30"/>
          <w:szCs w:val="30"/>
          <w14:textFill>
            <w14:solidFill>
              <w14:schemeClr w14:val="tx1"/>
            </w14:solidFill>
          </w14:textFill>
        </w:rPr>
        <w:t>联系人</w:t>
      </w:r>
      <w:r>
        <w:rPr>
          <w:rFonts w:hint="eastAsia" w:asciiTheme="minorEastAsia" w:hAnsiTheme="minorEastAsia" w:eastAsiaTheme="minorEastAsia" w:cstheme="minorEastAsia"/>
          <w:b/>
          <w:bCs/>
          <w:color w:val="000000" w:themeColor="text1"/>
          <w:kern w:val="0"/>
          <w:sz w:val="30"/>
          <w:szCs w:val="30"/>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0"/>
          <w:szCs w:val="30"/>
          <w:highlight w:val="none"/>
          <w:lang w:val="en-US" w:eastAsia="zh-CN"/>
          <w14:textFill>
            <w14:solidFill>
              <w14:schemeClr w14:val="tx1"/>
            </w14:solidFill>
          </w14:textFill>
        </w:rPr>
        <w:t>柴永宁</w:t>
      </w:r>
    </w:p>
    <w:p w14:paraId="3BC1366C">
      <w:pPr>
        <w:pStyle w:val="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532A6201">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default" w:asciiTheme="minorEastAsia" w:hAnsiTheme="minorEastAsia" w:eastAsiaTheme="minorEastAsia" w:cstheme="minorEastAsia"/>
          <w:b w:val="0"/>
          <w:bCs w:val="0"/>
          <w:color w:val="000000" w:themeColor="text1"/>
          <w:kern w:val="0"/>
          <w:sz w:val="30"/>
          <w:szCs w:val="30"/>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30"/>
          <w:szCs w:val="30"/>
          <w:highlight w:val="none"/>
          <w14:textFill>
            <w14:solidFill>
              <w14:schemeClr w14:val="tx1"/>
            </w14:solidFill>
          </w14:textFill>
        </w:rPr>
        <w:t>电  话：</w:t>
      </w:r>
      <w:r>
        <w:rPr>
          <w:rFonts w:hint="eastAsia" w:asciiTheme="minorEastAsia" w:hAnsiTheme="minorEastAsia" w:eastAsiaTheme="minorEastAsia" w:cstheme="minorEastAsia"/>
          <w:b w:val="0"/>
          <w:bCs w:val="0"/>
          <w:color w:val="000000" w:themeColor="text1"/>
          <w:kern w:val="0"/>
          <w:sz w:val="30"/>
          <w:szCs w:val="30"/>
          <w:highlight w:val="none"/>
          <w:lang w:val="en-US" w:eastAsia="zh-CN"/>
          <w14:textFill>
            <w14:solidFill>
              <w14:schemeClr w14:val="tx1"/>
            </w14:solidFill>
          </w14:textFill>
        </w:rPr>
        <w:t>13779001613</w:t>
      </w:r>
    </w:p>
    <w:p w14:paraId="74C979D8">
      <w:pPr>
        <w:keepNext w:val="0"/>
        <w:keepLines w:val="0"/>
        <w:pageBreakBefore w:val="0"/>
        <w:widowControl w:val="0"/>
        <w:kinsoku/>
        <w:wordWrap/>
        <w:overflowPunct/>
        <w:topLinePunct w:val="0"/>
        <w:autoSpaceDE w:val="0"/>
        <w:autoSpaceDN w:val="0"/>
        <w:bidi w:val="0"/>
        <w:adjustRightInd/>
        <w:snapToGrid/>
        <w:spacing w:line="400" w:lineRule="exact"/>
        <w:ind w:firstLine="44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p>
    <w:p w14:paraId="109F9172">
      <w:pPr>
        <w:pStyle w:val="6"/>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themeColor="text1"/>
          <w:kern w:val="0"/>
          <w:sz w:val="30"/>
          <w:szCs w:val="30"/>
          <w14:textFill>
            <w14:solidFill>
              <w14:schemeClr w14:val="tx1"/>
            </w14:solidFill>
          </w14:textFill>
        </w:rPr>
        <w:t>地  址：</w:t>
      </w:r>
      <w:r>
        <w:rPr>
          <w:rFonts w:hint="eastAsia" w:asciiTheme="minorEastAsia" w:hAnsiTheme="minorEastAsia" w:eastAsiaTheme="minorEastAsia" w:cstheme="minorEastAsia"/>
          <w:b w:val="0"/>
          <w:bCs w:val="0"/>
          <w:color w:val="000000" w:themeColor="text1"/>
          <w:kern w:val="0"/>
          <w:sz w:val="30"/>
          <w:szCs w:val="30"/>
          <w:lang w:val="en-US" w:eastAsia="zh-CN"/>
          <w14:textFill>
            <w14:solidFill>
              <w14:schemeClr w14:val="tx1"/>
            </w14:solidFill>
          </w14:textFill>
        </w:rPr>
        <w:t>吐鲁番市高昌区火焰山镇</w:t>
      </w:r>
    </w:p>
    <w:p w14:paraId="17BF3521">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eastAsia" w:asciiTheme="minorEastAsia" w:hAnsiTheme="minorEastAsia" w:eastAsiaTheme="minorEastAsia" w:cstheme="minorEastAsia"/>
          <w:b/>
          <w:bCs/>
          <w:kern w:val="0"/>
          <w:sz w:val="30"/>
          <w:szCs w:val="30"/>
        </w:rPr>
      </w:pPr>
    </w:p>
    <w:p w14:paraId="43F55050">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eastAsia" w:asciiTheme="minorEastAsia" w:hAnsiTheme="minorEastAsia" w:eastAsiaTheme="minorEastAsia" w:cstheme="minorEastAsia"/>
          <w:bCs/>
          <w:w w:val="96"/>
          <w:kern w:val="0"/>
          <w:sz w:val="30"/>
          <w:szCs w:val="30"/>
        </w:rPr>
      </w:pPr>
      <w:r>
        <w:rPr>
          <w:rFonts w:hint="eastAsia" w:asciiTheme="minorEastAsia" w:hAnsiTheme="minorEastAsia" w:eastAsiaTheme="minorEastAsia" w:cstheme="minorEastAsia"/>
          <w:b/>
          <w:bCs/>
          <w:kern w:val="0"/>
          <w:sz w:val="30"/>
          <w:szCs w:val="30"/>
        </w:rPr>
        <w:t>采购代理机构</w:t>
      </w:r>
      <w:r>
        <w:rPr>
          <w:rFonts w:hint="eastAsia" w:asciiTheme="minorEastAsia" w:hAnsiTheme="minorEastAsia" w:eastAsiaTheme="minorEastAsia" w:cstheme="minorEastAsia"/>
          <w:kern w:val="0"/>
          <w:sz w:val="30"/>
          <w:szCs w:val="30"/>
        </w:rPr>
        <w:t>（盖章）</w:t>
      </w:r>
      <w:r>
        <w:rPr>
          <w:rFonts w:hint="eastAsia" w:asciiTheme="minorEastAsia" w:hAnsiTheme="minorEastAsia" w:eastAsiaTheme="minorEastAsia" w:cstheme="minorEastAsia"/>
          <w:b/>
          <w:bCs/>
          <w:kern w:val="0"/>
          <w:sz w:val="30"/>
          <w:szCs w:val="30"/>
        </w:rPr>
        <w:t>：</w:t>
      </w:r>
      <w:r>
        <w:rPr>
          <w:rFonts w:hint="eastAsia" w:asciiTheme="minorEastAsia" w:hAnsiTheme="minorEastAsia" w:eastAsiaTheme="minorEastAsia" w:cstheme="minorEastAsia"/>
          <w:b w:val="0"/>
          <w:bCs w:val="0"/>
          <w:kern w:val="0"/>
          <w:sz w:val="30"/>
          <w:szCs w:val="30"/>
          <w:lang w:val="en-US" w:eastAsia="zh-CN"/>
        </w:rPr>
        <w:t>新疆华域天恒工程管理有限公司</w:t>
      </w:r>
    </w:p>
    <w:p w14:paraId="38225E52">
      <w:pPr>
        <w:pStyle w:val="49"/>
        <w:keepNext w:val="0"/>
        <w:keepLines w:val="0"/>
        <w:pageBreakBefore w:val="0"/>
        <w:widowControl w:val="0"/>
        <w:kinsoku/>
        <w:wordWrap/>
        <w:overflowPunct/>
        <w:topLinePunct w:val="0"/>
        <w:autoSpaceDE w:val="0"/>
        <w:autoSpaceDN w:val="0"/>
        <w:bidi w:val="0"/>
        <w:adjustRightInd/>
        <w:snapToGrid/>
        <w:spacing w:before="120" w:after="120" w:line="400" w:lineRule="exact"/>
        <w:ind w:firstLine="480"/>
        <w:textAlignment w:val="auto"/>
        <w:rPr>
          <w:rFonts w:hint="eastAsia" w:asciiTheme="minorEastAsia" w:hAnsiTheme="minorEastAsia" w:eastAsiaTheme="minorEastAsia" w:cstheme="minorEastAsia"/>
        </w:rPr>
      </w:pPr>
    </w:p>
    <w:p w14:paraId="1F6A1C7F">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eastAsia" w:asciiTheme="minorEastAsia" w:hAnsiTheme="minorEastAsia" w:eastAsiaTheme="minorEastAsia" w:cstheme="minorEastAsia"/>
          <w:bCs/>
          <w:sz w:val="30"/>
          <w:szCs w:val="30"/>
          <w:lang w:val="en-US" w:eastAsia="zh-CN"/>
        </w:rPr>
      </w:pPr>
      <w:r>
        <w:rPr>
          <w:rFonts w:hint="eastAsia" w:asciiTheme="minorEastAsia" w:hAnsiTheme="minorEastAsia" w:eastAsiaTheme="minorEastAsia" w:cstheme="minorEastAsia"/>
          <w:b/>
          <w:bCs/>
          <w:kern w:val="0"/>
          <w:sz w:val="30"/>
          <w:szCs w:val="30"/>
        </w:rPr>
        <w:t>联系人</w:t>
      </w:r>
      <w:r>
        <w:rPr>
          <w:rFonts w:hint="eastAsia" w:asciiTheme="minorEastAsia" w:hAnsiTheme="minorEastAsia" w:eastAsiaTheme="minorEastAsia" w:cstheme="minorEastAsia"/>
          <w:b/>
          <w:bCs/>
          <w:sz w:val="30"/>
          <w:szCs w:val="30"/>
        </w:rPr>
        <w:t>：</w:t>
      </w:r>
      <w:r>
        <w:rPr>
          <w:rFonts w:hint="eastAsia" w:asciiTheme="minorEastAsia" w:hAnsiTheme="minorEastAsia" w:eastAsiaTheme="minorEastAsia" w:cstheme="minorEastAsia"/>
          <w:b w:val="0"/>
          <w:bCs w:val="0"/>
          <w:kern w:val="0"/>
          <w:sz w:val="30"/>
          <w:szCs w:val="30"/>
          <w:lang w:val="en-US" w:eastAsia="zh-CN"/>
        </w:rPr>
        <w:t>周淼</w:t>
      </w:r>
    </w:p>
    <w:p w14:paraId="07E464D5">
      <w:pPr>
        <w:pStyle w:val="49"/>
        <w:keepNext w:val="0"/>
        <w:keepLines w:val="0"/>
        <w:pageBreakBefore w:val="0"/>
        <w:widowControl w:val="0"/>
        <w:kinsoku/>
        <w:wordWrap/>
        <w:overflowPunct/>
        <w:topLinePunct w:val="0"/>
        <w:autoSpaceDE w:val="0"/>
        <w:autoSpaceDN w:val="0"/>
        <w:bidi w:val="0"/>
        <w:adjustRightInd/>
        <w:snapToGrid/>
        <w:spacing w:before="120" w:after="120" w:line="400" w:lineRule="exact"/>
        <w:ind w:firstLine="480"/>
        <w:textAlignment w:val="auto"/>
        <w:rPr>
          <w:rFonts w:hint="eastAsia" w:asciiTheme="minorEastAsia" w:hAnsiTheme="minorEastAsia" w:eastAsiaTheme="minorEastAsia" w:cstheme="minorEastAsia"/>
        </w:rPr>
      </w:pPr>
    </w:p>
    <w:p w14:paraId="73A5EFEF">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default" w:asciiTheme="minorEastAsia" w:hAnsiTheme="minorEastAsia" w:eastAsiaTheme="minorEastAsia" w:cstheme="minorEastAsia"/>
          <w:bCs/>
          <w:kern w:val="0"/>
          <w:sz w:val="30"/>
          <w:szCs w:val="30"/>
          <w:lang w:val="en-US" w:eastAsia="zh-CN"/>
        </w:rPr>
      </w:pPr>
      <w:r>
        <w:rPr>
          <w:rFonts w:hint="eastAsia" w:asciiTheme="minorEastAsia" w:hAnsiTheme="minorEastAsia" w:eastAsiaTheme="minorEastAsia" w:cstheme="minorEastAsia"/>
          <w:b/>
          <w:bCs/>
          <w:kern w:val="0"/>
          <w:sz w:val="30"/>
          <w:szCs w:val="30"/>
        </w:rPr>
        <w:t>电  话</w:t>
      </w:r>
      <w:r>
        <w:rPr>
          <w:rFonts w:hint="eastAsia" w:asciiTheme="minorEastAsia" w:hAnsiTheme="minorEastAsia" w:eastAsiaTheme="minorEastAsia" w:cstheme="minorEastAsia"/>
          <w:b/>
          <w:bCs/>
          <w:sz w:val="30"/>
          <w:szCs w:val="30"/>
        </w:rPr>
        <w:t>：</w:t>
      </w:r>
      <w:r>
        <w:rPr>
          <w:rFonts w:hint="eastAsia" w:asciiTheme="minorEastAsia" w:hAnsiTheme="minorEastAsia" w:eastAsiaTheme="minorEastAsia" w:cstheme="minorEastAsia"/>
          <w:color w:val="151515"/>
          <w:kern w:val="2"/>
          <w:sz w:val="32"/>
          <w:szCs w:val="32"/>
          <w:shd w:val="clear" w:color="auto" w:fill="FFFFFF"/>
          <w:lang w:val="en-US" w:eastAsia="zh-CN" w:bidi="ar-SA"/>
        </w:rPr>
        <w:t>17860251733</w:t>
      </w:r>
    </w:p>
    <w:p w14:paraId="0E604C81">
      <w:pPr>
        <w:pStyle w:val="49"/>
        <w:keepNext w:val="0"/>
        <w:keepLines w:val="0"/>
        <w:pageBreakBefore w:val="0"/>
        <w:widowControl w:val="0"/>
        <w:kinsoku/>
        <w:wordWrap/>
        <w:overflowPunct/>
        <w:topLinePunct w:val="0"/>
        <w:autoSpaceDE w:val="0"/>
        <w:autoSpaceDN w:val="0"/>
        <w:bidi w:val="0"/>
        <w:adjustRightInd/>
        <w:snapToGrid/>
        <w:spacing w:before="120" w:after="120" w:line="400" w:lineRule="exact"/>
        <w:ind w:firstLine="480"/>
        <w:textAlignment w:val="auto"/>
        <w:rPr>
          <w:rFonts w:hint="eastAsia" w:asciiTheme="minorEastAsia" w:hAnsiTheme="minorEastAsia" w:eastAsiaTheme="minorEastAsia" w:cstheme="minorEastAsia"/>
        </w:rPr>
      </w:pPr>
    </w:p>
    <w:p w14:paraId="675EF13E">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eastAsia" w:asciiTheme="minorEastAsia" w:hAnsiTheme="minorEastAsia" w:eastAsiaTheme="minorEastAsia" w:cstheme="minorEastAsia"/>
          <w:b w:val="0"/>
          <w:bCs w:val="0"/>
          <w:kern w:val="0"/>
          <w:sz w:val="30"/>
          <w:szCs w:val="30"/>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134" w:right="1474" w:bottom="1134" w:left="1474" w:header="851" w:footer="794" w:gutter="0"/>
          <w:pgNumType w:fmt="decimal" w:start="1"/>
          <w:cols w:space="0" w:num="1"/>
          <w:titlePg/>
          <w:rtlGutter w:val="0"/>
          <w:docGrid w:linePitch="312" w:charSpace="0"/>
        </w:sectPr>
      </w:pPr>
      <w:r>
        <w:rPr>
          <w:rFonts w:hint="eastAsia" w:asciiTheme="minorEastAsia" w:hAnsiTheme="minorEastAsia" w:eastAsiaTheme="minorEastAsia" w:cstheme="minorEastAsia"/>
          <w:b/>
          <w:bCs/>
          <w:kern w:val="0"/>
          <w:sz w:val="30"/>
          <w:szCs w:val="30"/>
        </w:rPr>
        <w:t>地  址：</w:t>
      </w:r>
      <w:r>
        <w:rPr>
          <w:rFonts w:hint="eastAsia" w:asciiTheme="minorEastAsia" w:hAnsiTheme="minorEastAsia" w:eastAsiaTheme="minorEastAsia" w:cstheme="minorEastAsia"/>
          <w:b w:val="0"/>
          <w:bCs w:val="0"/>
          <w:kern w:val="0"/>
          <w:sz w:val="30"/>
          <w:szCs w:val="30"/>
          <w:lang w:val="en-US" w:eastAsia="zh-CN"/>
        </w:rPr>
        <w:t>吐鲁番市高昌区示范区和平街11幢2层201号</w:t>
      </w:r>
    </w:p>
    <w:p w14:paraId="4AB8B26A">
      <w:pPr>
        <w:keepNext w:val="0"/>
        <w:keepLines w:val="0"/>
        <w:pageBreakBefore w:val="0"/>
        <w:widowControl w:val="0"/>
        <w:kinsoku/>
        <w:wordWrap/>
        <w:overflowPunct/>
        <w:topLinePunct w:val="0"/>
        <w:autoSpaceDE w:val="0"/>
        <w:autoSpaceDN w:val="0"/>
        <w:bidi w:val="0"/>
        <w:adjustRightInd/>
        <w:snapToGrid/>
        <w:spacing w:line="440" w:lineRule="exact"/>
        <w:ind w:firstLine="643" w:firstLineChars="200"/>
        <w:jc w:val="center"/>
        <w:textAlignment w:val="auto"/>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 xml:space="preserve"> </w:t>
      </w:r>
      <w:bookmarkStart w:id="0" w:name="_Toc27580_WPSOffice_Level1"/>
    </w:p>
    <w:p w14:paraId="0AE93170">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color w:val="auto"/>
          <w:highlight w:val="none"/>
        </w:rPr>
      </w:pPr>
      <w:bookmarkStart w:id="1" w:name="_Toc13968_WPSOffice_Type1"/>
      <w:r>
        <w:rPr>
          <w:rFonts w:hint="eastAsia" w:asciiTheme="minorEastAsia" w:hAnsiTheme="minorEastAsia" w:eastAsiaTheme="minorEastAsia" w:cstheme="minorEastAsia"/>
          <w:b/>
          <w:bCs/>
          <w:color w:val="auto"/>
          <w:sz w:val="40"/>
          <w:szCs w:val="44"/>
          <w:highlight w:val="none"/>
        </w:rPr>
        <w:t>目录</w:t>
      </w:r>
    </w:p>
    <w:p w14:paraId="225CB40A">
      <w:pPr>
        <w:pStyle w:val="48"/>
        <w:tabs>
          <w:tab w:val="right" w:leader="dot" w:pos="8848"/>
        </w:tabs>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_Toc3822_WPSOffice_Level1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第一部分 磋商</w:t>
      </w:r>
      <w:r>
        <w:rPr>
          <w:rFonts w:hint="eastAsia" w:asciiTheme="minorEastAsia" w:hAnsiTheme="minorEastAsia" w:eastAsiaTheme="minorEastAsia" w:cstheme="minorEastAsia"/>
          <w:color w:val="auto"/>
          <w:sz w:val="24"/>
          <w:szCs w:val="24"/>
          <w:highlight w:val="none"/>
          <w:lang w:val="en-US" w:eastAsia="zh-CN"/>
        </w:rPr>
        <w:t>公告</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fldChar w:fldCharType="end"/>
      </w:r>
    </w:p>
    <w:p w14:paraId="42835902">
      <w:pPr>
        <w:pStyle w:val="48"/>
        <w:tabs>
          <w:tab w:val="right" w:leader="dot" w:pos="8848"/>
        </w:tabs>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_Toc27580_WPSOffice_Level1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第二部分 磋商须知</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fldChar w:fldCharType="end"/>
      </w:r>
    </w:p>
    <w:p w14:paraId="5959EC9D">
      <w:pPr>
        <w:pStyle w:val="48"/>
        <w:tabs>
          <w:tab w:val="right" w:leader="dot" w:pos="8848"/>
        </w:tabs>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_Toc26743_WPSOffice_Level1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第三部分 采购项目需求</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32</w:t>
      </w:r>
      <w:r>
        <w:rPr>
          <w:rFonts w:hint="eastAsia" w:asciiTheme="minorEastAsia" w:hAnsiTheme="minorEastAsia" w:eastAsiaTheme="minorEastAsia" w:cstheme="minorEastAsia"/>
          <w:color w:val="auto"/>
          <w:sz w:val="24"/>
          <w:szCs w:val="24"/>
          <w:highlight w:val="none"/>
        </w:rPr>
        <w:fldChar w:fldCharType="end"/>
      </w:r>
    </w:p>
    <w:p w14:paraId="04A2504E">
      <w:pPr>
        <w:pStyle w:val="48"/>
        <w:tabs>
          <w:tab w:val="right" w:leader="dot" w:pos="8848"/>
        </w:tabs>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_Toc2627_WPSOffice_Level1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第四部分 合同格式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val="en-US" w:eastAsia="zh-CN"/>
        </w:rPr>
        <w:t>35</w:t>
      </w:r>
    </w:p>
    <w:p w14:paraId="529D7CBC">
      <w:pPr>
        <w:pStyle w:val="48"/>
        <w:tabs>
          <w:tab w:val="right" w:leader="dot" w:pos="8848"/>
        </w:tabs>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_Toc10386_WPSOffice_Level1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第五部分 响应文件格式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val="en-US" w:eastAsia="zh-CN"/>
        </w:rPr>
        <w:t>8</w:t>
      </w:r>
      <w:bookmarkStart w:id="526" w:name="_GoBack"/>
      <w:bookmarkEnd w:id="526"/>
    </w:p>
    <w:bookmarkEnd w:id="1"/>
    <w:p w14:paraId="19E32BD4">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p>
    <w:p w14:paraId="15C4659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sectPr>
          <w:headerReference r:id="rId11" w:type="default"/>
          <w:footerReference r:id="rId12" w:type="default"/>
          <w:pgSz w:w="11910" w:h="16840"/>
          <w:pgMar w:top="1134" w:right="1531" w:bottom="1134" w:left="1531" w:header="670" w:footer="1041" w:gutter="0"/>
          <w:pgNumType w:fmt="decimal"/>
          <w:cols w:space="0" w:num="1"/>
          <w:rtlGutter w:val="0"/>
          <w:docGrid w:linePitch="1" w:charSpace="0"/>
        </w:sectPr>
      </w:pPr>
    </w:p>
    <w:p w14:paraId="68215562">
      <w:pPr>
        <w:pStyle w:val="17"/>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jc w:val="center"/>
        <w:textAlignment w:val="auto"/>
        <w:rPr>
          <w:rFonts w:hint="eastAsia" w:ascii="仿宋" w:hAnsi="仿宋" w:eastAsia="仿宋"/>
          <w:b/>
          <w:color w:val="000000"/>
          <w:sz w:val="32"/>
          <w:szCs w:val="32"/>
          <w:highlight w:val="none"/>
        </w:rPr>
      </w:pPr>
      <w:r>
        <w:rPr>
          <w:rFonts w:hint="eastAsia" w:ascii="仿宋" w:hAnsi="仿宋" w:eastAsia="仿宋"/>
          <w:b/>
          <w:color w:val="000000"/>
          <w:sz w:val="32"/>
          <w:szCs w:val="32"/>
          <w:highlight w:val="none"/>
          <w:lang w:val="en-US" w:eastAsia="zh-CN"/>
        </w:rPr>
        <w:t>磋商</w:t>
      </w:r>
      <w:r>
        <w:rPr>
          <w:rFonts w:hint="eastAsia" w:ascii="仿宋" w:hAnsi="仿宋" w:eastAsia="仿宋"/>
          <w:b/>
          <w:color w:val="000000"/>
          <w:sz w:val="32"/>
          <w:szCs w:val="32"/>
          <w:highlight w:val="none"/>
        </w:rPr>
        <w:t>公告</w:t>
      </w:r>
    </w:p>
    <w:p w14:paraId="0769305B">
      <w:pPr>
        <w:keepNext w:val="0"/>
        <w:keepLines w:val="0"/>
        <w:widowControl/>
        <w:suppressLineNumbers w:val="0"/>
        <w:pBdr>
          <w:bottom w:val="none" w:color="auto" w:sz="0" w:space="0"/>
        </w:pBdr>
        <w:spacing w:line="450" w:lineRule="atLeast"/>
        <w:jc w:val="center"/>
        <w:rPr>
          <w:rFonts w:hint="eastAsia" w:ascii="宋体" w:hAnsi="宋体" w:eastAsia="宋体" w:cs="宋体"/>
          <w:b/>
          <w:bCs/>
          <w:kern w:val="0"/>
          <w:sz w:val="36"/>
          <w:szCs w:val="36"/>
          <w:lang w:val="en-US" w:eastAsia="zh-CN" w:bidi="ar"/>
        </w:rPr>
      </w:pPr>
      <w:r>
        <w:rPr>
          <w:rFonts w:hint="eastAsia" w:ascii="宋体" w:hAnsi="宋体" w:eastAsia="宋体" w:cs="宋体"/>
          <w:b/>
          <w:bCs/>
          <w:kern w:val="0"/>
          <w:sz w:val="36"/>
          <w:szCs w:val="36"/>
          <w:lang w:val="en-US" w:eastAsia="zh-CN" w:bidi="ar"/>
        </w:rPr>
        <w:t>火焰山镇古城村农用塑料残膜回收资源化利用及配套设施建设项目竞争性磋商公告</w:t>
      </w:r>
    </w:p>
    <w:p w14:paraId="6BEAFA97">
      <w:pPr>
        <w:pStyle w:val="17"/>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7"/>
          <w:szCs w:val="27"/>
        </w:rPr>
        <w:t xml:space="preserve">  </w:t>
      </w:r>
      <w:r>
        <w:rPr>
          <w:rFonts w:hint="eastAsia" w:ascii="宋体" w:hAnsi="宋体" w:eastAsia="宋体" w:cs="宋体"/>
          <w:i w:val="0"/>
          <w:iCs w:val="0"/>
          <w:caps w:val="0"/>
          <w:color w:val="000000"/>
          <w:spacing w:val="0"/>
          <w:sz w:val="24"/>
          <w:szCs w:val="24"/>
        </w:rPr>
        <w:t>项目概况</w:t>
      </w:r>
    </w:p>
    <w:p w14:paraId="5B0EDC87">
      <w:pPr>
        <w:keepNext w:val="0"/>
        <w:keepLines w:val="0"/>
        <w:pageBreakBefore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000000"/>
          <w:spacing w:val="0"/>
          <w:sz w:val="24"/>
          <w:szCs w:val="24"/>
          <w:lang w:val="en-US" w:eastAsia="zh-CN"/>
        </w:rPr>
        <w:t>火焰山镇古城村农用塑料残膜回收资源化利用及配套设施建设项目的潜在投标人应在政采云平台线上获取</w:t>
      </w:r>
      <w:r>
        <w:rPr>
          <w:rFonts w:hint="eastAsia" w:cs="宋体"/>
          <w:i w:val="0"/>
          <w:iCs w:val="0"/>
          <w:caps w:val="0"/>
          <w:color w:val="000000"/>
          <w:spacing w:val="0"/>
          <w:sz w:val="24"/>
          <w:szCs w:val="24"/>
          <w:lang w:val="en-US" w:eastAsia="zh-CN"/>
        </w:rPr>
        <w:t>磋商文件</w:t>
      </w:r>
      <w:r>
        <w:rPr>
          <w:rFonts w:hint="eastAsia" w:ascii="宋体" w:hAnsi="宋体" w:eastAsia="宋体" w:cs="宋体"/>
          <w:i w:val="0"/>
          <w:iCs w:val="0"/>
          <w:caps w:val="0"/>
          <w:color w:val="auto"/>
          <w:spacing w:val="0"/>
          <w:sz w:val="24"/>
          <w:szCs w:val="24"/>
          <w:highlight w:val="none"/>
          <w:lang w:val="en-US" w:eastAsia="zh-CN"/>
        </w:rPr>
        <w:t>，并于</w:t>
      </w:r>
      <w:r>
        <w:rPr>
          <w:rFonts w:hint="eastAsia" w:ascii="宋体" w:hAnsi="宋体" w:eastAsia="宋体" w:cs="宋体"/>
          <w:i w:val="0"/>
          <w:iCs w:val="0"/>
          <w:caps w:val="0"/>
          <w:color w:val="auto"/>
          <w:spacing w:val="0"/>
          <w:kern w:val="0"/>
          <w:sz w:val="24"/>
          <w:szCs w:val="24"/>
          <w:highlight w:val="none"/>
          <w:lang w:val="en-US" w:eastAsia="zh-CN" w:bidi="ar"/>
        </w:rPr>
        <w:t>202</w:t>
      </w:r>
      <w:r>
        <w:rPr>
          <w:rFonts w:hint="eastAsia" w:cs="宋体"/>
          <w:i w:val="0"/>
          <w:iCs w:val="0"/>
          <w:caps w:val="0"/>
          <w:color w:val="auto"/>
          <w:spacing w:val="0"/>
          <w:kern w:val="0"/>
          <w:sz w:val="24"/>
          <w:szCs w:val="24"/>
          <w:highlight w:val="none"/>
          <w:lang w:val="en-US" w:eastAsia="zh-CN" w:bidi="ar"/>
        </w:rPr>
        <w:t>6</w:t>
      </w:r>
      <w:r>
        <w:rPr>
          <w:rFonts w:hint="eastAsia" w:ascii="宋体" w:hAnsi="宋体" w:eastAsia="宋体" w:cs="宋体"/>
          <w:i w:val="0"/>
          <w:iCs w:val="0"/>
          <w:caps w:val="0"/>
          <w:color w:val="auto"/>
          <w:spacing w:val="0"/>
          <w:kern w:val="0"/>
          <w:sz w:val="24"/>
          <w:szCs w:val="24"/>
          <w:highlight w:val="none"/>
          <w:lang w:val="en-US" w:eastAsia="zh-CN" w:bidi="ar"/>
        </w:rPr>
        <w:t>年</w:t>
      </w:r>
      <w:r>
        <w:rPr>
          <w:rFonts w:hint="eastAsia" w:cs="宋体"/>
          <w:i w:val="0"/>
          <w:iCs w:val="0"/>
          <w:caps w:val="0"/>
          <w:color w:val="auto"/>
          <w:spacing w:val="0"/>
          <w:kern w:val="0"/>
          <w:sz w:val="24"/>
          <w:szCs w:val="24"/>
          <w:highlight w:val="none"/>
          <w:lang w:val="en-US" w:eastAsia="zh-CN" w:bidi="ar"/>
        </w:rPr>
        <w:t>06</w:t>
      </w:r>
      <w:r>
        <w:rPr>
          <w:rFonts w:hint="eastAsia" w:ascii="宋体" w:hAnsi="宋体" w:eastAsia="宋体" w:cs="宋体"/>
          <w:i w:val="0"/>
          <w:iCs w:val="0"/>
          <w:caps w:val="0"/>
          <w:color w:val="auto"/>
          <w:spacing w:val="0"/>
          <w:kern w:val="0"/>
          <w:sz w:val="24"/>
          <w:szCs w:val="24"/>
          <w:highlight w:val="none"/>
          <w:lang w:val="en-US" w:eastAsia="zh-CN" w:bidi="ar"/>
        </w:rPr>
        <w:t>月</w:t>
      </w:r>
      <w:r>
        <w:rPr>
          <w:rFonts w:hint="eastAsia" w:cs="宋体"/>
          <w:i w:val="0"/>
          <w:iCs w:val="0"/>
          <w:caps w:val="0"/>
          <w:color w:val="auto"/>
          <w:spacing w:val="0"/>
          <w:kern w:val="0"/>
          <w:sz w:val="24"/>
          <w:szCs w:val="24"/>
          <w:highlight w:val="none"/>
          <w:lang w:val="en-US" w:eastAsia="zh-CN" w:bidi="ar"/>
        </w:rPr>
        <w:t>23</w:t>
      </w:r>
      <w:r>
        <w:rPr>
          <w:rFonts w:hint="eastAsia" w:ascii="宋体" w:hAnsi="宋体" w:eastAsia="宋体" w:cs="宋体"/>
          <w:i w:val="0"/>
          <w:iCs w:val="0"/>
          <w:caps w:val="0"/>
          <w:color w:val="auto"/>
          <w:spacing w:val="0"/>
          <w:kern w:val="0"/>
          <w:sz w:val="24"/>
          <w:szCs w:val="24"/>
          <w:highlight w:val="none"/>
          <w:lang w:val="en-US" w:eastAsia="zh-CN" w:bidi="ar"/>
        </w:rPr>
        <w:t>日</w:t>
      </w:r>
      <w:r>
        <w:rPr>
          <w:rFonts w:hint="eastAsia" w:cs="宋体"/>
          <w:i w:val="0"/>
          <w:iCs w:val="0"/>
          <w:caps w:val="0"/>
          <w:color w:val="auto"/>
          <w:spacing w:val="0"/>
          <w:kern w:val="0"/>
          <w:sz w:val="24"/>
          <w:szCs w:val="24"/>
          <w:highlight w:val="none"/>
          <w:lang w:val="en-US" w:eastAsia="zh-CN" w:bidi="ar"/>
        </w:rPr>
        <w:t>17</w:t>
      </w:r>
      <w:r>
        <w:rPr>
          <w:rFonts w:hint="eastAsia" w:ascii="宋体" w:hAnsi="宋体" w:eastAsia="宋体" w:cs="宋体"/>
          <w:i w:val="0"/>
          <w:iCs w:val="0"/>
          <w:caps w:val="0"/>
          <w:color w:val="auto"/>
          <w:spacing w:val="0"/>
          <w:kern w:val="0"/>
          <w:sz w:val="24"/>
          <w:szCs w:val="24"/>
          <w:highlight w:val="none"/>
          <w:lang w:val="en-US" w:eastAsia="zh-CN" w:bidi="ar"/>
        </w:rPr>
        <w:t>:</w:t>
      </w:r>
      <w:r>
        <w:rPr>
          <w:rFonts w:hint="eastAsia" w:cs="宋体"/>
          <w:i w:val="0"/>
          <w:iCs w:val="0"/>
          <w:caps w:val="0"/>
          <w:color w:val="auto"/>
          <w:spacing w:val="0"/>
          <w:kern w:val="0"/>
          <w:sz w:val="24"/>
          <w:szCs w:val="24"/>
          <w:highlight w:val="none"/>
          <w:lang w:val="en-US" w:eastAsia="zh-CN" w:bidi="ar"/>
        </w:rPr>
        <w:t>0</w:t>
      </w:r>
      <w:r>
        <w:rPr>
          <w:rFonts w:hint="eastAsia" w:ascii="宋体" w:hAnsi="宋体" w:eastAsia="宋体" w:cs="宋体"/>
          <w:i w:val="0"/>
          <w:iCs w:val="0"/>
          <w:caps w:val="0"/>
          <w:color w:val="auto"/>
          <w:spacing w:val="0"/>
          <w:kern w:val="0"/>
          <w:sz w:val="24"/>
          <w:szCs w:val="24"/>
          <w:highlight w:val="none"/>
          <w:lang w:val="en-US" w:eastAsia="zh-CN" w:bidi="ar"/>
        </w:rPr>
        <w:t>0</w:t>
      </w:r>
      <w:r>
        <w:rPr>
          <w:rFonts w:hint="eastAsia" w:ascii="宋体" w:hAnsi="宋体" w:eastAsia="宋体" w:cs="宋体"/>
          <w:i w:val="0"/>
          <w:iCs w:val="0"/>
          <w:caps w:val="0"/>
          <w:color w:val="auto"/>
          <w:spacing w:val="0"/>
          <w:sz w:val="24"/>
          <w:szCs w:val="24"/>
          <w:highlight w:val="none"/>
          <w:lang w:val="en-US" w:eastAsia="zh-CN"/>
        </w:rPr>
        <w:t>（北京时间）前递交</w:t>
      </w:r>
      <w:r>
        <w:rPr>
          <w:rFonts w:hint="eastAsia" w:cs="宋体"/>
          <w:i w:val="0"/>
          <w:iCs w:val="0"/>
          <w:caps w:val="0"/>
          <w:color w:val="auto"/>
          <w:spacing w:val="0"/>
          <w:sz w:val="24"/>
          <w:szCs w:val="24"/>
          <w:highlight w:val="none"/>
          <w:lang w:val="en-US" w:eastAsia="zh-CN"/>
        </w:rPr>
        <w:t>响应文件</w:t>
      </w:r>
      <w:r>
        <w:rPr>
          <w:rFonts w:hint="eastAsia" w:ascii="宋体" w:hAnsi="宋体" w:eastAsia="宋体" w:cs="宋体"/>
          <w:i w:val="0"/>
          <w:iCs w:val="0"/>
          <w:caps w:val="0"/>
          <w:color w:val="auto"/>
          <w:spacing w:val="0"/>
          <w:sz w:val="24"/>
          <w:szCs w:val="24"/>
          <w:highlight w:val="none"/>
          <w:lang w:val="en-US" w:eastAsia="zh-CN"/>
        </w:rPr>
        <w:t>。</w:t>
      </w:r>
    </w:p>
    <w:p w14:paraId="3DDCE1E1">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ascii="宋体" w:hAnsi="宋体" w:eastAsia="宋体" w:cs="宋体"/>
          <w:i w:val="0"/>
          <w:iCs w:val="0"/>
          <w:caps w:val="0"/>
          <w:color w:val="auto"/>
          <w:spacing w:val="0"/>
          <w:sz w:val="24"/>
          <w:szCs w:val="24"/>
          <w:highlight w:val="none"/>
        </w:rPr>
      </w:pPr>
      <w:r>
        <w:rPr>
          <w:rStyle w:val="23"/>
          <w:rFonts w:hint="eastAsia" w:ascii="宋体" w:hAnsi="宋体" w:eastAsia="宋体" w:cs="宋体"/>
          <w:i w:val="0"/>
          <w:iCs w:val="0"/>
          <w:caps w:val="0"/>
          <w:color w:val="auto"/>
          <w:spacing w:val="0"/>
          <w:sz w:val="24"/>
          <w:szCs w:val="24"/>
          <w:highlight w:val="none"/>
        </w:rPr>
        <w:t>一、项目基本情况</w:t>
      </w:r>
    </w:p>
    <w:p w14:paraId="059BD46E">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default"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rPr>
        <w:t>项目编号</w:t>
      </w:r>
      <w:r>
        <w:rPr>
          <w:rFonts w:hint="eastAsia" w:ascii="宋体" w:hAnsi="宋体" w:eastAsia="宋体" w:cs="宋体"/>
          <w:i w:val="0"/>
          <w:iCs w:val="0"/>
          <w:caps w:val="0"/>
          <w:color w:val="auto"/>
          <w:spacing w:val="0"/>
          <w:kern w:val="2"/>
          <w:sz w:val="24"/>
          <w:szCs w:val="24"/>
          <w:highlight w:val="none"/>
          <w:lang w:val="en-US" w:eastAsia="zh-CN" w:bidi="ar-SA"/>
        </w:rPr>
        <w:t>：HYTH（CS）2026-32</w:t>
      </w:r>
    </w:p>
    <w:p w14:paraId="276B6470">
      <w:pPr>
        <w:keepNext w:val="0"/>
        <w:keepLines w:val="0"/>
        <w:pageBreakBefore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rPr>
        <w:t>项目</w:t>
      </w:r>
      <w:r>
        <w:rPr>
          <w:rFonts w:hint="eastAsia" w:ascii="宋体" w:hAnsi="宋体" w:eastAsia="宋体" w:cs="宋体"/>
          <w:i w:val="0"/>
          <w:iCs w:val="0"/>
          <w:caps w:val="0"/>
          <w:color w:val="auto"/>
          <w:spacing w:val="0"/>
          <w:kern w:val="0"/>
          <w:sz w:val="24"/>
          <w:szCs w:val="24"/>
          <w:highlight w:val="none"/>
          <w:lang w:val="en-US" w:eastAsia="zh-CN" w:bidi="ar"/>
        </w:rPr>
        <w:t>名称</w:t>
      </w:r>
      <w:r>
        <w:rPr>
          <w:rFonts w:hint="eastAsia" w:ascii="宋体" w:hAnsi="宋体" w:eastAsia="宋体" w:cs="宋体"/>
          <w:i w:val="0"/>
          <w:iCs w:val="0"/>
          <w:caps w:val="0"/>
          <w:color w:val="auto"/>
          <w:spacing w:val="0"/>
          <w:kern w:val="2"/>
          <w:sz w:val="24"/>
          <w:szCs w:val="24"/>
          <w:highlight w:val="none"/>
          <w:lang w:val="en-US" w:eastAsia="zh-CN" w:bidi="ar-SA"/>
        </w:rPr>
        <w:t>：</w:t>
      </w:r>
      <w:r>
        <w:rPr>
          <w:rFonts w:hint="eastAsia" w:ascii="宋体" w:hAnsi="宋体" w:eastAsia="宋体" w:cs="宋体"/>
          <w:i w:val="0"/>
          <w:iCs w:val="0"/>
          <w:caps w:val="0"/>
          <w:color w:val="000000"/>
          <w:spacing w:val="0"/>
          <w:sz w:val="24"/>
          <w:szCs w:val="24"/>
          <w:lang w:val="en-US" w:eastAsia="zh-CN"/>
        </w:rPr>
        <w:t>火焰山镇古城村农用塑料残膜回收资源化利用及配套设施建设项目</w:t>
      </w:r>
    </w:p>
    <w:p w14:paraId="508798EF">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lang w:val="en-US" w:eastAsia="zh-CN" w:bidi="ar-SA"/>
        </w:rPr>
        <w:t>采购方式：竞争性磋商</w:t>
      </w:r>
    </w:p>
    <w:p w14:paraId="40137AEA">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left"/>
        <w:textAlignment w:val="auto"/>
        <w:rPr>
          <w:rFonts w:hint="default"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lang w:val="en-US" w:eastAsia="zh-CN" w:bidi="ar-SA"/>
        </w:rPr>
        <w:t>预算金额（元）：</w:t>
      </w:r>
      <w:r>
        <w:rPr>
          <w:rFonts w:hint="eastAsia" w:cs="宋体"/>
          <w:i w:val="0"/>
          <w:iCs w:val="0"/>
          <w:caps w:val="0"/>
          <w:color w:val="auto"/>
          <w:spacing w:val="0"/>
          <w:kern w:val="2"/>
          <w:sz w:val="24"/>
          <w:szCs w:val="24"/>
          <w:highlight w:val="none"/>
          <w:lang w:val="en-US" w:eastAsia="zh-CN" w:bidi="ar-SA"/>
        </w:rPr>
        <w:t>3181400.00</w:t>
      </w:r>
    </w:p>
    <w:p w14:paraId="15EB59EB">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default"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lang w:val="en-US" w:eastAsia="zh-CN" w:bidi="ar-SA"/>
        </w:rPr>
        <w:t>最高限价（元）：</w:t>
      </w:r>
      <w:r>
        <w:rPr>
          <w:rFonts w:hint="eastAsia" w:cs="宋体"/>
          <w:i w:val="0"/>
          <w:iCs w:val="0"/>
          <w:caps w:val="0"/>
          <w:color w:val="auto"/>
          <w:spacing w:val="0"/>
          <w:kern w:val="2"/>
          <w:sz w:val="24"/>
          <w:szCs w:val="24"/>
          <w:highlight w:val="none"/>
          <w:lang w:val="en-US" w:eastAsia="zh-CN" w:bidi="ar-SA"/>
        </w:rPr>
        <w:t>3181174.81</w:t>
      </w:r>
    </w:p>
    <w:p w14:paraId="1AE7B845">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lang w:val="en-US" w:eastAsia="zh-CN" w:bidi="ar-SA"/>
        </w:rPr>
        <w:t>采购需求：</w:t>
      </w:r>
    </w:p>
    <w:p w14:paraId="3DDB6CF6">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lang w:val="en-US" w:eastAsia="zh-CN" w:bidi="ar-SA"/>
        </w:rPr>
        <w:t>   标项名称</w:t>
      </w:r>
      <w:r>
        <w:rPr>
          <w:rFonts w:hint="eastAsia" w:cs="宋体"/>
          <w:i w:val="0"/>
          <w:iCs w:val="0"/>
          <w:caps w:val="0"/>
          <w:color w:val="auto"/>
          <w:spacing w:val="0"/>
          <w:kern w:val="2"/>
          <w:sz w:val="24"/>
          <w:szCs w:val="24"/>
          <w:highlight w:val="none"/>
          <w:lang w:val="en-US" w:eastAsia="zh-CN" w:bidi="ar-SA"/>
        </w:rPr>
        <w:t>：</w:t>
      </w:r>
      <w:r>
        <w:rPr>
          <w:rFonts w:hint="eastAsia" w:ascii="宋体" w:hAnsi="宋体" w:eastAsia="宋体" w:cs="宋体"/>
          <w:i w:val="0"/>
          <w:iCs w:val="0"/>
          <w:caps w:val="0"/>
          <w:color w:val="000000"/>
          <w:spacing w:val="0"/>
          <w:sz w:val="24"/>
          <w:szCs w:val="24"/>
          <w:lang w:val="en-US" w:eastAsia="zh-CN"/>
        </w:rPr>
        <w:t>火焰山镇古城村农用塑料残膜回收资源化利用及配套设施建设项目</w:t>
      </w:r>
    </w:p>
    <w:p w14:paraId="03851566">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lang w:val="en-US" w:eastAsia="zh-CN" w:bidi="ar-SA"/>
        </w:rPr>
        <w:t>   数量</w:t>
      </w:r>
      <w:r>
        <w:rPr>
          <w:rFonts w:hint="eastAsia" w:cs="宋体"/>
          <w:i w:val="0"/>
          <w:iCs w:val="0"/>
          <w:caps w:val="0"/>
          <w:color w:val="auto"/>
          <w:spacing w:val="0"/>
          <w:kern w:val="2"/>
          <w:sz w:val="24"/>
          <w:szCs w:val="24"/>
          <w:highlight w:val="none"/>
          <w:lang w:val="en-US" w:eastAsia="zh-CN" w:bidi="ar-SA"/>
        </w:rPr>
        <w:t>：</w:t>
      </w:r>
      <w:r>
        <w:rPr>
          <w:rFonts w:hint="eastAsia" w:ascii="宋体" w:hAnsi="宋体" w:eastAsia="宋体" w:cs="宋体"/>
          <w:i w:val="0"/>
          <w:iCs w:val="0"/>
          <w:caps w:val="0"/>
          <w:color w:val="auto"/>
          <w:spacing w:val="0"/>
          <w:kern w:val="2"/>
          <w:sz w:val="24"/>
          <w:szCs w:val="24"/>
          <w:highlight w:val="none"/>
          <w:lang w:val="en-US" w:eastAsia="zh-CN" w:bidi="ar-SA"/>
        </w:rPr>
        <w:t>1</w:t>
      </w:r>
    </w:p>
    <w:p w14:paraId="4FC0B401">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default"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lang w:val="en-US" w:eastAsia="zh-CN" w:bidi="ar-SA"/>
        </w:rPr>
        <w:t>   预算金额（元）</w:t>
      </w:r>
      <w:r>
        <w:rPr>
          <w:rFonts w:hint="eastAsia" w:cs="宋体"/>
          <w:i w:val="0"/>
          <w:iCs w:val="0"/>
          <w:caps w:val="0"/>
          <w:color w:val="auto"/>
          <w:spacing w:val="0"/>
          <w:kern w:val="2"/>
          <w:sz w:val="24"/>
          <w:szCs w:val="24"/>
          <w:highlight w:val="none"/>
          <w:lang w:val="en-US" w:eastAsia="zh-CN" w:bidi="ar-SA"/>
        </w:rPr>
        <w:t>：3181400.00</w:t>
      </w:r>
    </w:p>
    <w:p w14:paraId="1D03A0B8">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auto"/>
          <w:spacing w:val="0"/>
          <w:sz w:val="24"/>
          <w:szCs w:val="24"/>
          <w:highlight w:val="none"/>
          <w:lang w:val="en-US" w:eastAsia="zh-CN"/>
        </w:rPr>
        <w:t>单位：</w:t>
      </w: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项</w:t>
      </w:r>
    </w:p>
    <w:p w14:paraId="1F8AC7F0">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简要规格描述或项目基本概况介绍、用途：</w:t>
      </w:r>
      <w:r>
        <w:rPr>
          <w:rFonts w:hint="eastAsia" w:cs="宋体"/>
          <w:i w:val="0"/>
          <w:iCs w:val="0"/>
          <w:caps w:val="0"/>
          <w:color w:val="000000" w:themeColor="text1"/>
          <w:spacing w:val="0"/>
          <w:sz w:val="24"/>
          <w:szCs w:val="24"/>
          <w:highlight w:val="none"/>
          <w:lang w:val="en-US" w:eastAsia="zh-CN"/>
          <w14:textFill>
            <w14:solidFill>
              <w14:schemeClr w14:val="tx1"/>
            </w14:solidFill>
          </w14:textFill>
        </w:rPr>
        <w:t>主要新建残膜回收生产车间1000平方米，残膜回收室外堆场2000平方米，及消防水池、围墙等附属工程建设</w:t>
      </w: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w:t>
      </w:r>
    </w:p>
    <w:p w14:paraId="10810505">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备注：</w:t>
      </w:r>
    </w:p>
    <w:p w14:paraId="591E1CBB">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highlight w:val="none"/>
          <w:lang w:val="en-US"/>
        </w:rPr>
      </w:pPr>
      <w:r>
        <w:rPr>
          <w:rFonts w:hint="eastAsia" w:ascii="宋体" w:hAnsi="宋体" w:eastAsia="宋体" w:cs="宋体"/>
          <w:i w:val="0"/>
          <w:iCs w:val="0"/>
          <w:caps w:val="0"/>
          <w:color w:val="000000"/>
          <w:spacing w:val="0"/>
          <w:sz w:val="24"/>
          <w:szCs w:val="24"/>
          <w:highlight w:val="none"/>
        </w:rPr>
        <w:t>合同履约期限：</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合同签订之日起</w:t>
      </w:r>
      <w:r>
        <w:rPr>
          <w:rFonts w:hint="eastAsia" w:cs="宋体"/>
          <w:i w:val="0"/>
          <w:iCs w:val="0"/>
          <w:caps w:val="0"/>
          <w:color w:val="000000"/>
          <w:spacing w:val="0"/>
          <w:sz w:val="24"/>
          <w:szCs w:val="24"/>
          <w:highlight w:val="none"/>
          <w:lang w:val="en-US" w:eastAsia="zh-CN"/>
        </w:rPr>
        <w:t>90日历天</w:t>
      </w:r>
      <w:r>
        <w:rPr>
          <w:rFonts w:hint="eastAsia" w:ascii="宋体" w:hAnsi="宋体" w:cs="宋体"/>
          <w:i w:val="0"/>
          <w:iCs w:val="0"/>
          <w:caps w:val="0"/>
          <w:color w:val="000000"/>
          <w:spacing w:val="0"/>
          <w:sz w:val="24"/>
          <w:szCs w:val="24"/>
          <w:highlight w:val="none"/>
          <w:lang w:val="en-US" w:eastAsia="zh-CN"/>
        </w:rPr>
        <w:t>。</w:t>
      </w:r>
    </w:p>
    <w:p w14:paraId="0F1FE16B">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000000"/>
          <w:sz w:val="24"/>
          <w:szCs w:val="24"/>
          <w:highlight w:val="none"/>
        </w:rPr>
      </w:pPr>
      <w:r>
        <w:rPr>
          <w:rFonts w:hint="eastAsia" w:ascii="宋体" w:hAnsi="宋体" w:eastAsia="宋体" w:cs="宋体"/>
          <w:i w:val="0"/>
          <w:iCs w:val="0"/>
          <w:caps w:val="0"/>
          <w:color w:val="000000"/>
          <w:spacing w:val="0"/>
          <w:sz w:val="24"/>
          <w:szCs w:val="24"/>
          <w:highlight w:val="none"/>
        </w:rPr>
        <w:t>本项目（否）接受联合体投标。</w:t>
      </w:r>
    </w:p>
    <w:p w14:paraId="7175FD9F">
      <w:pPr>
        <w:pStyle w:val="17"/>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r>
        <w:rPr>
          <w:rStyle w:val="23"/>
          <w:rFonts w:hint="eastAsia" w:ascii="宋体" w:hAnsi="宋体" w:eastAsia="宋体" w:cs="宋体"/>
          <w:i w:val="0"/>
          <w:iCs w:val="0"/>
          <w:caps w:val="0"/>
          <w:color w:val="auto"/>
          <w:spacing w:val="0"/>
          <w:sz w:val="24"/>
          <w:szCs w:val="24"/>
          <w:highlight w:val="none"/>
        </w:rPr>
        <w:t>二、申请人的资格要求：</w:t>
      </w:r>
    </w:p>
    <w:p w14:paraId="5BD33277">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1.满足《中华人民共和国政府采购法》第二十二条规定；</w:t>
      </w:r>
    </w:p>
    <w:p w14:paraId="1AEC0EBA">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rPr>
        <w:t>2.落实政府采购政策需满足的资格要求：</w:t>
      </w:r>
      <w:r>
        <w:rPr>
          <w:rFonts w:hint="eastAsia" w:ascii="宋体" w:hAnsi="宋体" w:eastAsia="宋体" w:cs="宋体"/>
          <w:i w:val="0"/>
          <w:iCs w:val="0"/>
          <w:caps w:val="0"/>
          <w:color w:val="auto"/>
          <w:spacing w:val="0"/>
          <w:sz w:val="24"/>
          <w:szCs w:val="24"/>
          <w:highlight w:val="none"/>
          <w:lang w:val="en-US" w:eastAsia="zh-CN"/>
        </w:rPr>
        <w:t>专门面向中</w:t>
      </w:r>
      <w:r>
        <w:rPr>
          <w:rFonts w:hint="eastAsia" w:ascii="宋体" w:hAnsi="宋体" w:eastAsia="宋体" w:cs="宋体"/>
          <w:i w:val="0"/>
          <w:iCs w:val="0"/>
          <w:caps w:val="0"/>
          <w:color w:val="auto"/>
          <w:spacing w:val="0"/>
          <w:sz w:val="24"/>
          <w:szCs w:val="24"/>
          <w:highlight w:val="none"/>
        </w:rPr>
        <w:t>小企业</w:t>
      </w:r>
      <w:r>
        <w:rPr>
          <w:rFonts w:hint="eastAsia" w:ascii="宋体" w:hAnsi="宋体" w:eastAsia="宋体" w:cs="宋体"/>
          <w:i w:val="0"/>
          <w:iCs w:val="0"/>
          <w:caps w:val="0"/>
          <w:color w:val="auto"/>
          <w:spacing w:val="0"/>
          <w:sz w:val="24"/>
          <w:szCs w:val="24"/>
          <w:highlight w:val="none"/>
          <w:lang w:eastAsia="zh-CN"/>
        </w:rPr>
        <w:t>；</w:t>
      </w:r>
    </w:p>
    <w:p w14:paraId="301197C1">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3.本项目</w:t>
      </w:r>
      <w:r>
        <w:rPr>
          <w:rFonts w:hint="eastAsia" w:ascii="宋体" w:hAnsi="宋体" w:eastAsia="宋体" w:cs="宋体"/>
          <w:i w:val="0"/>
          <w:iCs w:val="0"/>
          <w:caps w:val="0"/>
          <w:color w:val="000000"/>
          <w:spacing w:val="0"/>
          <w:sz w:val="24"/>
          <w:szCs w:val="24"/>
          <w:highlight w:val="none"/>
        </w:rPr>
        <w:t>的特定资格要求：</w:t>
      </w:r>
    </w:p>
    <w:p w14:paraId="463A4009">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Style w:val="23"/>
          <w:rFonts w:hint="eastAsia" w:ascii="宋体" w:hAnsi="宋体" w:eastAsia="宋体" w:cs="宋体"/>
          <w:b w:val="0"/>
          <w:bCs/>
          <w:i w:val="0"/>
          <w:iCs w:val="0"/>
          <w:caps w:val="0"/>
          <w:color w:val="000000"/>
          <w:spacing w:val="0"/>
          <w:sz w:val="24"/>
          <w:szCs w:val="24"/>
          <w:highlight w:val="none"/>
        </w:rPr>
      </w:pPr>
      <w:r>
        <w:rPr>
          <w:rStyle w:val="23"/>
          <w:rFonts w:hint="eastAsia" w:ascii="宋体" w:hAnsi="宋体" w:eastAsia="宋体" w:cs="宋体"/>
          <w:b w:val="0"/>
          <w:bCs/>
          <w:i w:val="0"/>
          <w:iCs w:val="0"/>
          <w:caps w:val="0"/>
          <w:color w:val="000000"/>
          <w:spacing w:val="0"/>
          <w:sz w:val="24"/>
          <w:szCs w:val="24"/>
          <w:highlight w:val="none"/>
        </w:rPr>
        <w:t>(1)须具有有效的建筑工程施工总承包三级及以上资质、具有有效的安全生产许可证，并在人员、设备、资金等方面具有相应的施工能力；（2）项目负责人要求：应具备合格有效期内的建筑工程专业贰级以上（含）注册建造师执业资格、有效的安全生产考核合格证（B类），且未担任其他在施建设工程项目的项目负责人。</w:t>
      </w:r>
    </w:p>
    <w:p w14:paraId="23E1971B">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ascii="宋体" w:hAnsi="宋体" w:eastAsia="宋体" w:cs="宋体"/>
          <w:i w:val="0"/>
          <w:iCs w:val="0"/>
          <w:caps w:val="0"/>
          <w:color w:val="000000"/>
          <w:spacing w:val="0"/>
          <w:sz w:val="24"/>
          <w:szCs w:val="24"/>
          <w:highlight w:val="none"/>
        </w:rPr>
      </w:pPr>
      <w:r>
        <w:rPr>
          <w:rStyle w:val="23"/>
          <w:rFonts w:hint="eastAsia" w:ascii="宋体" w:hAnsi="宋体" w:eastAsia="宋体" w:cs="宋体"/>
          <w:i w:val="0"/>
          <w:iCs w:val="0"/>
          <w:caps w:val="0"/>
          <w:color w:val="000000"/>
          <w:spacing w:val="0"/>
          <w:sz w:val="24"/>
          <w:szCs w:val="24"/>
          <w:highlight w:val="none"/>
        </w:rPr>
        <w:t>三、获取</w:t>
      </w:r>
      <w:r>
        <w:rPr>
          <w:rStyle w:val="23"/>
          <w:rFonts w:hint="eastAsia" w:ascii="宋体" w:hAnsi="宋体" w:eastAsia="宋体" w:cs="宋体"/>
          <w:i w:val="0"/>
          <w:iCs w:val="0"/>
          <w:caps w:val="0"/>
          <w:color w:val="000000"/>
          <w:spacing w:val="0"/>
          <w:sz w:val="24"/>
          <w:szCs w:val="24"/>
          <w:highlight w:val="none"/>
          <w:lang w:val="en-US" w:eastAsia="zh-CN"/>
        </w:rPr>
        <w:t>采购</w:t>
      </w:r>
      <w:r>
        <w:rPr>
          <w:rStyle w:val="23"/>
          <w:rFonts w:hint="eastAsia" w:ascii="宋体" w:hAnsi="宋体" w:eastAsia="宋体" w:cs="宋体"/>
          <w:i w:val="0"/>
          <w:iCs w:val="0"/>
          <w:caps w:val="0"/>
          <w:color w:val="000000"/>
          <w:spacing w:val="0"/>
          <w:sz w:val="24"/>
          <w:szCs w:val="24"/>
          <w:highlight w:val="none"/>
        </w:rPr>
        <w:t>文件</w:t>
      </w:r>
    </w:p>
    <w:p w14:paraId="64109B93">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000000"/>
          <w:spacing w:val="0"/>
          <w:sz w:val="24"/>
          <w:szCs w:val="24"/>
          <w:highlight w:val="none"/>
        </w:rPr>
        <w:t>时间：</w:t>
      </w:r>
      <w:r>
        <w:rPr>
          <w:rFonts w:hint="eastAsia" w:ascii="宋体" w:hAnsi="宋体" w:eastAsia="宋体" w:cs="宋体"/>
          <w:i w:val="0"/>
          <w:iCs w:val="0"/>
          <w:caps w:val="0"/>
          <w:color w:val="000000"/>
          <w:spacing w:val="0"/>
          <w:sz w:val="24"/>
          <w:szCs w:val="24"/>
          <w:highlight w:val="none"/>
          <w:lang w:val="en-US" w:eastAsia="zh-CN"/>
        </w:rPr>
        <w:t xml:space="preserve"> </w:t>
      </w:r>
      <w:r>
        <w:rPr>
          <w:rFonts w:hint="eastAsia" w:ascii="宋体" w:hAnsi="宋体" w:eastAsia="宋体" w:cs="宋体"/>
          <w:i w:val="0"/>
          <w:iCs w:val="0"/>
          <w:caps w:val="0"/>
          <w:color w:val="000000"/>
          <w:spacing w:val="0"/>
          <w:sz w:val="24"/>
          <w:szCs w:val="24"/>
          <w:highlight w:val="none"/>
        </w:rPr>
        <w:t>202</w:t>
      </w:r>
      <w:r>
        <w:rPr>
          <w:rFonts w:hint="eastAsia" w:cs="宋体"/>
          <w:i w:val="0"/>
          <w:iCs w:val="0"/>
          <w:caps w:val="0"/>
          <w:color w:val="000000"/>
          <w:spacing w:val="0"/>
          <w:sz w:val="24"/>
          <w:szCs w:val="24"/>
          <w:highlight w:val="none"/>
          <w:lang w:val="en-US" w:eastAsia="zh-CN"/>
        </w:rPr>
        <w:t>6</w:t>
      </w:r>
      <w:r>
        <w:rPr>
          <w:rFonts w:hint="eastAsia" w:ascii="宋体" w:hAnsi="宋体" w:eastAsia="宋体" w:cs="宋体"/>
          <w:i w:val="0"/>
          <w:iCs w:val="0"/>
          <w:caps w:val="0"/>
          <w:color w:val="000000"/>
          <w:spacing w:val="0"/>
          <w:sz w:val="24"/>
          <w:szCs w:val="24"/>
          <w:highlight w:val="none"/>
        </w:rPr>
        <w:t>年</w:t>
      </w:r>
      <w:r>
        <w:rPr>
          <w:rFonts w:hint="eastAsia" w:cs="宋体"/>
          <w:i w:val="0"/>
          <w:iCs w:val="0"/>
          <w:caps w:val="0"/>
          <w:color w:val="000000"/>
          <w:spacing w:val="0"/>
          <w:sz w:val="24"/>
          <w:szCs w:val="24"/>
          <w:highlight w:val="none"/>
          <w:lang w:val="en-US" w:eastAsia="zh-CN"/>
        </w:rPr>
        <w:t>06</w:t>
      </w:r>
      <w:r>
        <w:rPr>
          <w:rFonts w:hint="eastAsia" w:ascii="宋体" w:hAnsi="宋体" w:eastAsia="宋体" w:cs="宋体"/>
          <w:i w:val="0"/>
          <w:iCs w:val="0"/>
          <w:caps w:val="0"/>
          <w:color w:val="000000"/>
          <w:spacing w:val="0"/>
          <w:sz w:val="24"/>
          <w:szCs w:val="24"/>
          <w:highlight w:val="none"/>
        </w:rPr>
        <w:t>月</w:t>
      </w:r>
      <w:r>
        <w:rPr>
          <w:rFonts w:hint="eastAsia" w:cs="宋体"/>
          <w:i w:val="0"/>
          <w:iCs w:val="0"/>
          <w:caps w:val="0"/>
          <w:color w:val="000000"/>
          <w:spacing w:val="0"/>
          <w:sz w:val="24"/>
          <w:szCs w:val="24"/>
          <w:highlight w:val="none"/>
          <w:lang w:val="en-US" w:eastAsia="zh-CN"/>
        </w:rPr>
        <w:t>11</w:t>
      </w:r>
      <w:r>
        <w:rPr>
          <w:rFonts w:hint="eastAsia" w:ascii="宋体" w:hAnsi="宋体" w:eastAsia="宋体" w:cs="宋体"/>
          <w:i w:val="0"/>
          <w:iCs w:val="0"/>
          <w:caps w:val="0"/>
          <w:color w:val="000000"/>
          <w:spacing w:val="0"/>
          <w:sz w:val="24"/>
          <w:szCs w:val="24"/>
          <w:highlight w:val="none"/>
        </w:rPr>
        <w:t>日至202</w:t>
      </w:r>
      <w:r>
        <w:rPr>
          <w:rFonts w:hint="eastAsia" w:cs="宋体"/>
          <w:i w:val="0"/>
          <w:iCs w:val="0"/>
          <w:caps w:val="0"/>
          <w:color w:val="000000"/>
          <w:spacing w:val="0"/>
          <w:sz w:val="24"/>
          <w:szCs w:val="24"/>
          <w:highlight w:val="none"/>
          <w:lang w:val="en-US" w:eastAsia="zh-CN"/>
        </w:rPr>
        <w:t>6</w:t>
      </w:r>
      <w:r>
        <w:rPr>
          <w:rFonts w:hint="eastAsia" w:ascii="宋体" w:hAnsi="宋体" w:eastAsia="宋体" w:cs="宋体"/>
          <w:i w:val="0"/>
          <w:iCs w:val="0"/>
          <w:caps w:val="0"/>
          <w:color w:val="000000"/>
          <w:spacing w:val="0"/>
          <w:sz w:val="24"/>
          <w:szCs w:val="24"/>
          <w:highlight w:val="none"/>
        </w:rPr>
        <w:t>年</w:t>
      </w:r>
      <w:r>
        <w:rPr>
          <w:rFonts w:hint="eastAsia" w:cs="宋体"/>
          <w:i w:val="0"/>
          <w:iCs w:val="0"/>
          <w:caps w:val="0"/>
          <w:color w:val="000000"/>
          <w:spacing w:val="0"/>
          <w:sz w:val="24"/>
          <w:szCs w:val="24"/>
          <w:highlight w:val="none"/>
          <w:lang w:val="en-US" w:eastAsia="zh-CN"/>
        </w:rPr>
        <w:t>06</w:t>
      </w:r>
      <w:r>
        <w:rPr>
          <w:rFonts w:hint="eastAsia" w:ascii="宋体" w:hAnsi="宋体" w:eastAsia="宋体" w:cs="宋体"/>
          <w:i w:val="0"/>
          <w:iCs w:val="0"/>
          <w:caps w:val="0"/>
          <w:color w:val="000000"/>
          <w:spacing w:val="0"/>
          <w:sz w:val="24"/>
          <w:szCs w:val="24"/>
          <w:highlight w:val="none"/>
        </w:rPr>
        <w:t>月</w:t>
      </w:r>
      <w:r>
        <w:rPr>
          <w:rFonts w:hint="eastAsia" w:cs="宋体"/>
          <w:i w:val="0"/>
          <w:iCs w:val="0"/>
          <w:caps w:val="0"/>
          <w:color w:val="000000"/>
          <w:spacing w:val="0"/>
          <w:sz w:val="24"/>
          <w:szCs w:val="24"/>
          <w:highlight w:val="none"/>
          <w:lang w:val="en-US" w:eastAsia="zh-CN"/>
        </w:rPr>
        <w:t>18</w:t>
      </w:r>
      <w:r>
        <w:rPr>
          <w:rFonts w:hint="eastAsia" w:ascii="宋体" w:hAnsi="宋体" w:eastAsia="宋体" w:cs="宋体"/>
          <w:i w:val="0"/>
          <w:iCs w:val="0"/>
          <w:caps w:val="0"/>
          <w:color w:val="000000"/>
          <w:spacing w:val="0"/>
          <w:sz w:val="24"/>
          <w:szCs w:val="24"/>
          <w:highlight w:val="none"/>
        </w:rPr>
        <w:t>日，每天上午</w:t>
      </w:r>
      <w:r>
        <w:rPr>
          <w:rFonts w:hint="eastAsia" w:cs="宋体"/>
          <w:i w:val="0"/>
          <w:iCs w:val="0"/>
          <w:caps w:val="0"/>
          <w:color w:val="000000"/>
          <w:spacing w:val="0"/>
          <w:sz w:val="24"/>
          <w:szCs w:val="24"/>
          <w:highlight w:val="none"/>
          <w:lang w:val="en-US" w:eastAsia="zh-CN"/>
        </w:rPr>
        <w:t>9</w:t>
      </w:r>
      <w:r>
        <w:rPr>
          <w:rFonts w:hint="eastAsia" w:ascii="宋体" w:hAnsi="宋体" w:eastAsia="宋体" w:cs="宋体"/>
          <w:i w:val="0"/>
          <w:iCs w:val="0"/>
          <w:caps w:val="0"/>
          <w:color w:val="000000"/>
          <w:spacing w:val="0"/>
          <w:sz w:val="24"/>
          <w:szCs w:val="24"/>
          <w:highlight w:val="none"/>
        </w:rPr>
        <w:t>:</w:t>
      </w:r>
      <w:r>
        <w:rPr>
          <w:rFonts w:hint="eastAsia" w:cs="宋体"/>
          <w:i w:val="0"/>
          <w:iCs w:val="0"/>
          <w:caps w:val="0"/>
          <w:color w:val="000000"/>
          <w:spacing w:val="0"/>
          <w:sz w:val="24"/>
          <w:szCs w:val="24"/>
          <w:highlight w:val="none"/>
          <w:lang w:val="en-US" w:eastAsia="zh-CN"/>
        </w:rPr>
        <w:t>3</w:t>
      </w:r>
      <w:r>
        <w:rPr>
          <w:rFonts w:hint="eastAsia" w:ascii="宋体" w:hAnsi="宋体" w:eastAsia="宋体" w:cs="宋体"/>
          <w:i w:val="0"/>
          <w:iCs w:val="0"/>
          <w:caps w:val="0"/>
          <w:color w:val="000000"/>
          <w:spacing w:val="0"/>
          <w:sz w:val="24"/>
          <w:szCs w:val="24"/>
          <w:highlight w:val="none"/>
        </w:rPr>
        <w:t>0至13:30，下午1</w:t>
      </w:r>
      <w:r>
        <w:rPr>
          <w:rFonts w:hint="eastAsia" w:cs="宋体"/>
          <w:i w:val="0"/>
          <w:iCs w:val="0"/>
          <w:caps w:val="0"/>
          <w:color w:val="000000"/>
          <w:spacing w:val="0"/>
          <w:sz w:val="24"/>
          <w:szCs w:val="24"/>
          <w:highlight w:val="none"/>
          <w:lang w:val="en-US" w:eastAsia="zh-CN"/>
        </w:rPr>
        <w:t>6</w:t>
      </w:r>
      <w:r>
        <w:rPr>
          <w:rFonts w:hint="eastAsia" w:ascii="宋体" w:hAnsi="宋体" w:eastAsia="宋体" w:cs="宋体"/>
          <w:i w:val="0"/>
          <w:iCs w:val="0"/>
          <w:caps w:val="0"/>
          <w:color w:val="000000"/>
          <w:spacing w:val="0"/>
          <w:sz w:val="24"/>
          <w:szCs w:val="24"/>
          <w:highlight w:val="none"/>
        </w:rPr>
        <w:t>:30至</w:t>
      </w:r>
      <w:r>
        <w:rPr>
          <w:rFonts w:hint="eastAsia" w:cs="宋体"/>
          <w:i w:val="0"/>
          <w:iCs w:val="0"/>
          <w:caps w:val="0"/>
          <w:color w:val="000000"/>
          <w:spacing w:val="0"/>
          <w:sz w:val="24"/>
          <w:szCs w:val="24"/>
          <w:highlight w:val="none"/>
          <w:lang w:val="en-US" w:eastAsia="zh-CN"/>
        </w:rPr>
        <w:t>20</w:t>
      </w:r>
      <w:r>
        <w:rPr>
          <w:rFonts w:hint="eastAsia" w:ascii="宋体" w:hAnsi="宋体" w:eastAsia="宋体" w:cs="宋体"/>
          <w:i w:val="0"/>
          <w:iCs w:val="0"/>
          <w:caps w:val="0"/>
          <w:color w:val="000000"/>
          <w:spacing w:val="0"/>
          <w:sz w:val="24"/>
          <w:szCs w:val="24"/>
          <w:highlight w:val="none"/>
        </w:rPr>
        <w:t>:</w:t>
      </w:r>
      <w:r>
        <w:rPr>
          <w:rFonts w:hint="eastAsia" w:cs="宋体"/>
          <w:i w:val="0"/>
          <w:iCs w:val="0"/>
          <w:caps w:val="0"/>
          <w:color w:val="000000"/>
          <w:spacing w:val="0"/>
          <w:sz w:val="24"/>
          <w:szCs w:val="24"/>
          <w:highlight w:val="none"/>
          <w:lang w:val="en-US" w:eastAsia="zh-CN"/>
        </w:rPr>
        <w:t>00</w:t>
      </w:r>
      <w:r>
        <w:rPr>
          <w:rFonts w:hint="eastAsia" w:ascii="宋体" w:hAnsi="宋体" w:eastAsia="宋体" w:cs="宋体"/>
          <w:i w:val="0"/>
          <w:iCs w:val="0"/>
          <w:caps w:val="0"/>
          <w:color w:val="000000"/>
          <w:spacing w:val="0"/>
          <w:sz w:val="24"/>
          <w:szCs w:val="24"/>
          <w:highlight w:val="none"/>
        </w:rPr>
        <w:t>（北京时</w:t>
      </w:r>
      <w:r>
        <w:rPr>
          <w:rFonts w:hint="eastAsia" w:ascii="宋体" w:hAnsi="宋体" w:eastAsia="宋体" w:cs="宋体"/>
          <w:i w:val="0"/>
          <w:iCs w:val="0"/>
          <w:caps w:val="0"/>
          <w:color w:val="auto"/>
          <w:spacing w:val="0"/>
          <w:sz w:val="24"/>
          <w:szCs w:val="24"/>
          <w:highlight w:val="none"/>
        </w:rPr>
        <w:t>间，法定节假日除外）</w:t>
      </w:r>
    </w:p>
    <w:p w14:paraId="6EFE307B">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地点：政采云平台线上</w:t>
      </w:r>
      <w:r>
        <w:rPr>
          <w:rFonts w:hint="eastAsia" w:ascii="宋体" w:hAnsi="宋体" w:eastAsia="宋体" w:cs="宋体"/>
          <w:i w:val="0"/>
          <w:iCs w:val="0"/>
          <w:caps w:val="0"/>
          <w:color w:val="auto"/>
          <w:spacing w:val="0"/>
          <w:sz w:val="24"/>
          <w:szCs w:val="24"/>
          <w:highlight w:val="none"/>
          <w:lang w:val="en-US" w:eastAsia="zh-CN"/>
        </w:rPr>
        <w:t>获取</w:t>
      </w:r>
    </w:p>
    <w:p w14:paraId="5D9B28FE">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F4B99EE">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售价（元）：0</w:t>
      </w:r>
    </w:p>
    <w:p w14:paraId="4945B322">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ascii="宋体" w:hAnsi="宋体" w:eastAsia="宋体" w:cs="宋体"/>
          <w:i w:val="0"/>
          <w:iCs w:val="0"/>
          <w:caps w:val="0"/>
          <w:color w:val="auto"/>
          <w:spacing w:val="0"/>
          <w:sz w:val="24"/>
          <w:szCs w:val="24"/>
          <w:highlight w:val="none"/>
          <w:lang w:eastAsia="zh-CN"/>
        </w:rPr>
      </w:pPr>
      <w:r>
        <w:rPr>
          <w:rStyle w:val="23"/>
          <w:rFonts w:hint="eastAsia" w:ascii="宋体" w:hAnsi="宋体" w:eastAsia="宋体" w:cs="宋体"/>
          <w:i w:val="0"/>
          <w:iCs w:val="0"/>
          <w:caps w:val="0"/>
          <w:color w:val="auto"/>
          <w:spacing w:val="0"/>
          <w:sz w:val="24"/>
          <w:szCs w:val="24"/>
          <w:highlight w:val="none"/>
        </w:rPr>
        <w:t>四、</w:t>
      </w:r>
      <w:r>
        <w:rPr>
          <w:rStyle w:val="23"/>
          <w:rFonts w:hint="eastAsia" w:ascii="宋体" w:hAnsi="宋体" w:eastAsia="宋体" w:cs="宋体"/>
          <w:i w:val="0"/>
          <w:iCs w:val="0"/>
          <w:caps w:val="0"/>
          <w:color w:val="auto"/>
          <w:spacing w:val="0"/>
          <w:sz w:val="24"/>
          <w:szCs w:val="24"/>
          <w:highlight w:val="none"/>
          <w:lang w:val="en-US" w:eastAsia="zh-CN"/>
        </w:rPr>
        <w:t>响应文件提交</w:t>
      </w:r>
    </w:p>
    <w:p w14:paraId="75240D53">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提交</w:t>
      </w:r>
      <w:r>
        <w:rPr>
          <w:rFonts w:hint="eastAsia" w:cs="宋体"/>
          <w:i w:val="0"/>
          <w:iCs w:val="0"/>
          <w:caps w:val="0"/>
          <w:color w:val="auto"/>
          <w:spacing w:val="0"/>
          <w:sz w:val="24"/>
          <w:szCs w:val="24"/>
          <w:highlight w:val="none"/>
          <w:lang w:eastAsia="zh-CN"/>
        </w:rPr>
        <w:t>响应文件</w:t>
      </w:r>
      <w:r>
        <w:rPr>
          <w:rFonts w:hint="eastAsia" w:ascii="宋体" w:hAnsi="宋体" w:eastAsia="宋体" w:cs="宋体"/>
          <w:i w:val="0"/>
          <w:iCs w:val="0"/>
          <w:caps w:val="0"/>
          <w:color w:val="auto"/>
          <w:spacing w:val="0"/>
          <w:sz w:val="24"/>
          <w:szCs w:val="24"/>
          <w:highlight w:val="none"/>
        </w:rPr>
        <w:t>截止时间：</w:t>
      </w:r>
      <w:r>
        <w:rPr>
          <w:rFonts w:hint="eastAsia" w:ascii="宋体" w:hAnsi="宋体" w:eastAsia="宋体" w:cs="宋体"/>
          <w:i w:val="0"/>
          <w:iCs w:val="0"/>
          <w:caps w:val="0"/>
          <w:color w:val="auto"/>
          <w:spacing w:val="0"/>
          <w:kern w:val="0"/>
          <w:sz w:val="24"/>
          <w:szCs w:val="24"/>
          <w:highlight w:val="none"/>
          <w:lang w:val="en-US" w:eastAsia="zh-CN" w:bidi="ar"/>
        </w:rPr>
        <w:t>202</w:t>
      </w:r>
      <w:r>
        <w:rPr>
          <w:rFonts w:hint="eastAsia" w:cs="宋体"/>
          <w:i w:val="0"/>
          <w:iCs w:val="0"/>
          <w:caps w:val="0"/>
          <w:color w:val="auto"/>
          <w:spacing w:val="0"/>
          <w:kern w:val="0"/>
          <w:sz w:val="24"/>
          <w:szCs w:val="24"/>
          <w:highlight w:val="none"/>
          <w:lang w:val="en-US" w:eastAsia="zh-CN" w:bidi="ar"/>
        </w:rPr>
        <w:t>6</w:t>
      </w:r>
      <w:r>
        <w:rPr>
          <w:rFonts w:hint="eastAsia" w:ascii="宋体" w:hAnsi="宋体" w:eastAsia="宋体" w:cs="宋体"/>
          <w:i w:val="0"/>
          <w:iCs w:val="0"/>
          <w:caps w:val="0"/>
          <w:color w:val="auto"/>
          <w:spacing w:val="0"/>
          <w:kern w:val="0"/>
          <w:sz w:val="24"/>
          <w:szCs w:val="24"/>
          <w:highlight w:val="none"/>
          <w:lang w:val="en-US" w:eastAsia="zh-CN" w:bidi="ar"/>
        </w:rPr>
        <w:t>年</w:t>
      </w:r>
      <w:r>
        <w:rPr>
          <w:rFonts w:hint="eastAsia" w:cs="宋体"/>
          <w:i w:val="0"/>
          <w:iCs w:val="0"/>
          <w:caps w:val="0"/>
          <w:color w:val="auto"/>
          <w:spacing w:val="0"/>
          <w:kern w:val="0"/>
          <w:sz w:val="24"/>
          <w:szCs w:val="24"/>
          <w:highlight w:val="none"/>
          <w:lang w:val="en-US" w:eastAsia="zh-CN" w:bidi="ar"/>
        </w:rPr>
        <w:t>06</w:t>
      </w:r>
      <w:r>
        <w:rPr>
          <w:rFonts w:hint="eastAsia" w:ascii="宋体" w:hAnsi="宋体" w:eastAsia="宋体" w:cs="宋体"/>
          <w:i w:val="0"/>
          <w:iCs w:val="0"/>
          <w:caps w:val="0"/>
          <w:color w:val="auto"/>
          <w:spacing w:val="0"/>
          <w:kern w:val="0"/>
          <w:sz w:val="24"/>
          <w:szCs w:val="24"/>
          <w:highlight w:val="none"/>
          <w:lang w:val="en-US" w:eastAsia="zh-CN" w:bidi="ar"/>
        </w:rPr>
        <w:t>月</w:t>
      </w:r>
      <w:r>
        <w:rPr>
          <w:rFonts w:hint="eastAsia" w:cs="宋体"/>
          <w:i w:val="0"/>
          <w:iCs w:val="0"/>
          <w:caps w:val="0"/>
          <w:color w:val="auto"/>
          <w:spacing w:val="0"/>
          <w:kern w:val="0"/>
          <w:sz w:val="24"/>
          <w:szCs w:val="24"/>
          <w:highlight w:val="none"/>
          <w:lang w:val="en-US" w:eastAsia="zh-CN" w:bidi="ar"/>
        </w:rPr>
        <w:t>23</w:t>
      </w:r>
      <w:r>
        <w:rPr>
          <w:rFonts w:hint="eastAsia" w:ascii="宋体" w:hAnsi="宋体" w:eastAsia="宋体" w:cs="宋体"/>
          <w:i w:val="0"/>
          <w:iCs w:val="0"/>
          <w:caps w:val="0"/>
          <w:color w:val="auto"/>
          <w:spacing w:val="0"/>
          <w:kern w:val="0"/>
          <w:sz w:val="24"/>
          <w:szCs w:val="24"/>
          <w:highlight w:val="none"/>
          <w:lang w:val="en-US" w:eastAsia="zh-CN" w:bidi="ar"/>
        </w:rPr>
        <w:t>日</w:t>
      </w:r>
      <w:r>
        <w:rPr>
          <w:rFonts w:hint="eastAsia" w:cs="宋体"/>
          <w:i w:val="0"/>
          <w:iCs w:val="0"/>
          <w:caps w:val="0"/>
          <w:color w:val="auto"/>
          <w:spacing w:val="0"/>
          <w:kern w:val="0"/>
          <w:sz w:val="24"/>
          <w:szCs w:val="24"/>
          <w:highlight w:val="none"/>
          <w:lang w:val="en-US" w:eastAsia="zh-CN" w:bidi="ar"/>
        </w:rPr>
        <w:t>17</w:t>
      </w:r>
      <w:r>
        <w:rPr>
          <w:rFonts w:hint="eastAsia" w:ascii="宋体" w:hAnsi="宋体" w:eastAsia="宋体" w:cs="宋体"/>
          <w:i w:val="0"/>
          <w:iCs w:val="0"/>
          <w:caps w:val="0"/>
          <w:color w:val="auto"/>
          <w:spacing w:val="0"/>
          <w:kern w:val="0"/>
          <w:sz w:val="24"/>
          <w:szCs w:val="24"/>
          <w:highlight w:val="none"/>
          <w:lang w:val="en-US" w:eastAsia="zh-CN" w:bidi="ar"/>
        </w:rPr>
        <w:t>:</w:t>
      </w:r>
      <w:r>
        <w:rPr>
          <w:rFonts w:hint="eastAsia" w:cs="宋体"/>
          <w:i w:val="0"/>
          <w:iCs w:val="0"/>
          <w:caps w:val="0"/>
          <w:color w:val="auto"/>
          <w:spacing w:val="0"/>
          <w:kern w:val="0"/>
          <w:sz w:val="24"/>
          <w:szCs w:val="24"/>
          <w:highlight w:val="none"/>
          <w:lang w:val="en-US" w:eastAsia="zh-CN" w:bidi="ar"/>
        </w:rPr>
        <w:t>0</w:t>
      </w:r>
      <w:r>
        <w:rPr>
          <w:rFonts w:hint="eastAsia" w:ascii="宋体" w:hAnsi="宋体" w:eastAsia="宋体" w:cs="宋体"/>
          <w:i w:val="0"/>
          <w:iCs w:val="0"/>
          <w:caps w:val="0"/>
          <w:color w:val="auto"/>
          <w:spacing w:val="0"/>
          <w:kern w:val="0"/>
          <w:sz w:val="24"/>
          <w:szCs w:val="24"/>
          <w:highlight w:val="none"/>
          <w:lang w:val="en-US" w:eastAsia="zh-CN" w:bidi="ar"/>
        </w:rPr>
        <w:t>0</w:t>
      </w:r>
      <w:r>
        <w:rPr>
          <w:rFonts w:hint="eastAsia" w:ascii="宋体" w:hAnsi="宋体" w:eastAsia="宋体" w:cs="宋体"/>
          <w:i w:val="0"/>
          <w:iCs w:val="0"/>
          <w:caps w:val="0"/>
          <w:color w:val="auto"/>
          <w:spacing w:val="0"/>
          <w:sz w:val="24"/>
          <w:szCs w:val="24"/>
          <w:highlight w:val="none"/>
        </w:rPr>
        <w:t>（北京时间）</w:t>
      </w:r>
    </w:p>
    <w:p w14:paraId="1C678CF9">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投标地点：将响应文件上传至政采云平台https://www.zcygov.cn/对应位置（逾期未上传的或不符合规定的响应文件将被拒绝接收）。 </w:t>
      </w:r>
    </w:p>
    <w:p w14:paraId="6C6A0499">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right="0" w:firstLine="0"/>
        <w:jc w:val="both"/>
        <w:textAlignment w:val="auto"/>
        <w:rPr>
          <w:rFonts w:hint="eastAsia" w:ascii="宋体" w:hAnsi="宋体" w:eastAsia="宋体" w:cs="宋体"/>
          <w:i w:val="0"/>
          <w:iCs w:val="0"/>
          <w:caps w:val="0"/>
          <w:color w:val="auto"/>
          <w:spacing w:val="0"/>
          <w:sz w:val="24"/>
          <w:szCs w:val="24"/>
          <w:highlight w:val="none"/>
        </w:rPr>
      </w:pPr>
      <w:r>
        <w:rPr>
          <w:rStyle w:val="23"/>
          <w:rFonts w:hint="eastAsia" w:ascii="宋体" w:hAnsi="宋体" w:eastAsia="宋体" w:cs="宋体"/>
          <w:i w:val="0"/>
          <w:iCs w:val="0"/>
          <w:caps w:val="0"/>
          <w:color w:val="auto"/>
          <w:spacing w:val="0"/>
          <w:sz w:val="24"/>
          <w:szCs w:val="24"/>
          <w:highlight w:val="none"/>
        </w:rPr>
        <w:t>五、响应文件开启</w:t>
      </w:r>
      <w:r>
        <w:rPr>
          <w:rFonts w:hint="eastAsia" w:ascii="宋体" w:hAnsi="宋体" w:eastAsia="宋体" w:cs="宋体"/>
          <w:i w:val="0"/>
          <w:iCs w:val="0"/>
          <w:caps w:val="0"/>
          <w:color w:val="auto"/>
          <w:spacing w:val="0"/>
          <w:sz w:val="24"/>
          <w:szCs w:val="24"/>
          <w:highlight w:val="none"/>
        </w:rPr>
        <w:t> </w:t>
      </w:r>
    </w:p>
    <w:p w14:paraId="789BE735">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 开启时间：</w:t>
      </w:r>
      <w:r>
        <w:rPr>
          <w:rFonts w:hint="eastAsia" w:ascii="宋体" w:hAnsi="宋体" w:eastAsia="宋体" w:cs="宋体"/>
          <w:i w:val="0"/>
          <w:iCs w:val="0"/>
          <w:caps w:val="0"/>
          <w:color w:val="auto"/>
          <w:spacing w:val="0"/>
          <w:kern w:val="0"/>
          <w:sz w:val="24"/>
          <w:szCs w:val="24"/>
          <w:highlight w:val="none"/>
          <w:lang w:val="en-US" w:eastAsia="zh-CN" w:bidi="ar"/>
        </w:rPr>
        <w:t>202</w:t>
      </w:r>
      <w:r>
        <w:rPr>
          <w:rFonts w:hint="eastAsia" w:cs="宋体"/>
          <w:i w:val="0"/>
          <w:iCs w:val="0"/>
          <w:caps w:val="0"/>
          <w:color w:val="auto"/>
          <w:spacing w:val="0"/>
          <w:kern w:val="0"/>
          <w:sz w:val="24"/>
          <w:szCs w:val="24"/>
          <w:highlight w:val="none"/>
          <w:lang w:val="en-US" w:eastAsia="zh-CN" w:bidi="ar"/>
        </w:rPr>
        <w:t>6</w:t>
      </w:r>
      <w:r>
        <w:rPr>
          <w:rFonts w:hint="eastAsia" w:ascii="宋体" w:hAnsi="宋体" w:eastAsia="宋体" w:cs="宋体"/>
          <w:i w:val="0"/>
          <w:iCs w:val="0"/>
          <w:caps w:val="0"/>
          <w:color w:val="auto"/>
          <w:spacing w:val="0"/>
          <w:kern w:val="0"/>
          <w:sz w:val="24"/>
          <w:szCs w:val="24"/>
          <w:highlight w:val="none"/>
          <w:lang w:val="en-US" w:eastAsia="zh-CN" w:bidi="ar"/>
        </w:rPr>
        <w:t>年</w:t>
      </w:r>
      <w:r>
        <w:rPr>
          <w:rFonts w:hint="eastAsia" w:cs="宋体"/>
          <w:i w:val="0"/>
          <w:iCs w:val="0"/>
          <w:caps w:val="0"/>
          <w:color w:val="auto"/>
          <w:spacing w:val="0"/>
          <w:kern w:val="0"/>
          <w:sz w:val="24"/>
          <w:szCs w:val="24"/>
          <w:highlight w:val="none"/>
          <w:lang w:val="en-US" w:eastAsia="zh-CN" w:bidi="ar"/>
        </w:rPr>
        <w:t>06</w:t>
      </w:r>
      <w:r>
        <w:rPr>
          <w:rFonts w:hint="eastAsia" w:ascii="宋体" w:hAnsi="宋体" w:eastAsia="宋体" w:cs="宋体"/>
          <w:i w:val="0"/>
          <w:iCs w:val="0"/>
          <w:caps w:val="0"/>
          <w:color w:val="auto"/>
          <w:spacing w:val="0"/>
          <w:kern w:val="0"/>
          <w:sz w:val="24"/>
          <w:szCs w:val="24"/>
          <w:highlight w:val="none"/>
          <w:lang w:val="en-US" w:eastAsia="zh-CN" w:bidi="ar"/>
        </w:rPr>
        <w:t>月</w:t>
      </w:r>
      <w:r>
        <w:rPr>
          <w:rFonts w:hint="eastAsia" w:cs="宋体"/>
          <w:i w:val="0"/>
          <w:iCs w:val="0"/>
          <w:caps w:val="0"/>
          <w:color w:val="auto"/>
          <w:spacing w:val="0"/>
          <w:kern w:val="0"/>
          <w:sz w:val="24"/>
          <w:szCs w:val="24"/>
          <w:highlight w:val="none"/>
          <w:lang w:val="en-US" w:eastAsia="zh-CN" w:bidi="ar"/>
        </w:rPr>
        <w:t>23</w:t>
      </w:r>
      <w:r>
        <w:rPr>
          <w:rFonts w:hint="eastAsia" w:ascii="宋体" w:hAnsi="宋体" w:eastAsia="宋体" w:cs="宋体"/>
          <w:i w:val="0"/>
          <w:iCs w:val="0"/>
          <w:caps w:val="0"/>
          <w:color w:val="auto"/>
          <w:spacing w:val="0"/>
          <w:kern w:val="0"/>
          <w:sz w:val="24"/>
          <w:szCs w:val="24"/>
          <w:highlight w:val="none"/>
          <w:lang w:val="en-US" w:eastAsia="zh-CN" w:bidi="ar"/>
        </w:rPr>
        <w:t>日</w:t>
      </w:r>
      <w:r>
        <w:rPr>
          <w:rFonts w:hint="eastAsia" w:cs="宋体"/>
          <w:i w:val="0"/>
          <w:iCs w:val="0"/>
          <w:caps w:val="0"/>
          <w:color w:val="auto"/>
          <w:spacing w:val="0"/>
          <w:kern w:val="0"/>
          <w:sz w:val="24"/>
          <w:szCs w:val="24"/>
          <w:highlight w:val="none"/>
          <w:lang w:val="en-US" w:eastAsia="zh-CN" w:bidi="ar"/>
        </w:rPr>
        <w:t>17</w:t>
      </w:r>
      <w:r>
        <w:rPr>
          <w:rFonts w:hint="eastAsia" w:ascii="宋体" w:hAnsi="宋体" w:eastAsia="宋体" w:cs="宋体"/>
          <w:i w:val="0"/>
          <w:iCs w:val="0"/>
          <w:caps w:val="0"/>
          <w:color w:val="auto"/>
          <w:spacing w:val="0"/>
          <w:kern w:val="0"/>
          <w:sz w:val="24"/>
          <w:szCs w:val="24"/>
          <w:highlight w:val="none"/>
          <w:lang w:val="en-US" w:eastAsia="zh-CN" w:bidi="ar"/>
        </w:rPr>
        <w:t>:</w:t>
      </w:r>
      <w:r>
        <w:rPr>
          <w:rFonts w:hint="eastAsia" w:cs="宋体"/>
          <w:i w:val="0"/>
          <w:iCs w:val="0"/>
          <w:caps w:val="0"/>
          <w:color w:val="auto"/>
          <w:spacing w:val="0"/>
          <w:kern w:val="0"/>
          <w:sz w:val="24"/>
          <w:szCs w:val="24"/>
          <w:highlight w:val="none"/>
          <w:lang w:val="en-US" w:eastAsia="zh-CN" w:bidi="ar"/>
        </w:rPr>
        <w:t>0</w:t>
      </w:r>
      <w:r>
        <w:rPr>
          <w:rFonts w:hint="eastAsia" w:ascii="宋体" w:hAnsi="宋体" w:eastAsia="宋体" w:cs="宋体"/>
          <w:i w:val="0"/>
          <w:iCs w:val="0"/>
          <w:caps w:val="0"/>
          <w:color w:val="auto"/>
          <w:spacing w:val="0"/>
          <w:kern w:val="0"/>
          <w:sz w:val="24"/>
          <w:szCs w:val="24"/>
          <w:highlight w:val="none"/>
          <w:lang w:val="en-US" w:eastAsia="zh-CN" w:bidi="ar"/>
        </w:rPr>
        <w:t>0</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rPr>
        <w:t>北京时间）</w:t>
      </w:r>
    </w:p>
    <w:p w14:paraId="6B60CED0">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auto"/>
          <w:spacing w:val="0"/>
          <w:sz w:val="24"/>
          <w:szCs w:val="24"/>
          <w:highlight w:val="none"/>
        </w:rPr>
        <w:t> 地点：投标人登录政采云平台https://www.zcygov.c</w:t>
      </w:r>
      <w:r>
        <w:rPr>
          <w:rFonts w:hint="eastAsia" w:ascii="宋体" w:hAnsi="宋体" w:eastAsia="宋体" w:cs="宋体"/>
          <w:i w:val="0"/>
          <w:iCs w:val="0"/>
          <w:caps w:val="0"/>
          <w:color w:val="auto"/>
          <w:spacing w:val="0"/>
          <w:sz w:val="24"/>
          <w:szCs w:val="24"/>
        </w:rPr>
        <w:t>n/，进入“项目采购-开标评标-右边选择对应项目点击“进入项目”进入开标大</w:t>
      </w:r>
      <w:r>
        <w:rPr>
          <w:rFonts w:hint="eastAsia" w:ascii="宋体" w:hAnsi="宋体" w:eastAsia="宋体" w:cs="宋体"/>
          <w:i w:val="0"/>
          <w:iCs w:val="0"/>
          <w:caps w:val="0"/>
          <w:color w:val="000000"/>
          <w:spacing w:val="0"/>
          <w:sz w:val="24"/>
          <w:szCs w:val="24"/>
        </w:rPr>
        <w:t>厅。 </w:t>
      </w:r>
    </w:p>
    <w:p w14:paraId="799EB4D3">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ascii="宋体" w:hAnsi="宋体" w:eastAsia="宋体" w:cs="宋体"/>
          <w:i w:val="0"/>
          <w:iCs w:val="0"/>
          <w:caps w:val="0"/>
          <w:color w:val="000000"/>
          <w:spacing w:val="0"/>
          <w:sz w:val="24"/>
          <w:szCs w:val="24"/>
        </w:rPr>
      </w:pPr>
      <w:r>
        <w:rPr>
          <w:rStyle w:val="23"/>
          <w:rFonts w:hint="eastAsia" w:ascii="宋体" w:hAnsi="宋体" w:eastAsia="宋体" w:cs="宋体"/>
          <w:i w:val="0"/>
          <w:iCs w:val="0"/>
          <w:caps w:val="0"/>
          <w:color w:val="000000"/>
          <w:spacing w:val="0"/>
          <w:sz w:val="24"/>
          <w:szCs w:val="24"/>
          <w:lang w:val="en-US" w:eastAsia="zh-CN"/>
        </w:rPr>
        <w:t>六</w:t>
      </w:r>
      <w:r>
        <w:rPr>
          <w:rStyle w:val="23"/>
          <w:rFonts w:hint="eastAsia" w:ascii="宋体" w:hAnsi="宋体" w:eastAsia="宋体" w:cs="宋体"/>
          <w:i w:val="0"/>
          <w:iCs w:val="0"/>
          <w:caps w:val="0"/>
          <w:color w:val="000000"/>
          <w:spacing w:val="0"/>
          <w:sz w:val="24"/>
          <w:szCs w:val="24"/>
        </w:rPr>
        <w:t>、公告期限</w:t>
      </w:r>
    </w:p>
    <w:p w14:paraId="2652A4A6">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自本公告发布之日起</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个工作日。</w:t>
      </w:r>
    </w:p>
    <w:p w14:paraId="22C4F621">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ascii="宋体" w:hAnsi="宋体" w:eastAsia="宋体" w:cs="宋体"/>
          <w:i w:val="0"/>
          <w:iCs w:val="0"/>
          <w:caps w:val="0"/>
          <w:color w:val="000000"/>
          <w:spacing w:val="0"/>
          <w:sz w:val="24"/>
          <w:szCs w:val="24"/>
        </w:rPr>
      </w:pPr>
      <w:r>
        <w:rPr>
          <w:rStyle w:val="23"/>
          <w:rFonts w:hint="eastAsia" w:ascii="宋体" w:hAnsi="宋体" w:eastAsia="宋体" w:cs="宋体"/>
          <w:i w:val="0"/>
          <w:iCs w:val="0"/>
          <w:caps w:val="0"/>
          <w:color w:val="000000"/>
          <w:spacing w:val="0"/>
          <w:sz w:val="24"/>
          <w:szCs w:val="24"/>
          <w:lang w:val="en-US" w:eastAsia="zh-CN"/>
        </w:rPr>
        <w:t>七</w:t>
      </w:r>
      <w:r>
        <w:rPr>
          <w:rStyle w:val="23"/>
          <w:rFonts w:hint="eastAsia" w:ascii="宋体" w:hAnsi="宋体" w:eastAsia="宋体" w:cs="宋体"/>
          <w:i w:val="0"/>
          <w:iCs w:val="0"/>
          <w:caps w:val="0"/>
          <w:color w:val="000000"/>
          <w:spacing w:val="0"/>
          <w:sz w:val="24"/>
          <w:szCs w:val="24"/>
        </w:rPr>
        <w:t>、其他补充事宜</w:t>
      </w:r>
    </w:p>
    <w:p w14:paraId="47F4323D">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1、本项目实行网上投标，采用电子</w:t>
      </w:r>
      <w:r>
        <w:rPr>
          <w:rFonts w:hint="eastAsia" w:cs="宋体"/>
          <w:i w:val="0"/>
          <w:iCs w:val="0"/>
          <w:caps w:val="0"/>
          <w:color w:val="000000"/>
          <w:spacing w:val="0"/>
          <w:sz w:val="24"/>
          <w:szCs w:val="24"/>
          <w:lang w:eastAsia="zh-CN"/>
        </w:rPr>
        <w:t>响应文件</w:t>
      </w:r>
      <w:r>
        <w:rPr>
          <w:rFonts w:hint="eastAsia" w:ascii="宋体" w:hAnsi="宋体" w:eastAsia="宋体" w:cs="宋体"/>
          <w:i w:val="0"/>
          <w:iCs w:val="0"/>
          <w:caps w:val="0"/>
          <w:color w:val="000000"/>
          <w:spacing w:val="0"/>
          <w:sz w:val="24"/>
          <w:szCs w:val="24"/>
        </w:rPr>
        <w:t>。</w:t>
      </w:r>
    </w:p>
    <w:p w14:paraId="681B1E34">
      <w:pPr>
        <w:pStyle w:val="17"/>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3D57D431">
      <w:pPr>
        <w:pStyle w:val="17"/>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3、供应商将政采云电子交易客户端下载、安装完成后，可通过账号密码或CA登录客户端进行</w:t>
      </w:r>
      <w:r>
        <w:rPr>
          <w:rFonts w:hint="eastAsia" w:cs="宋体"/>
          <w:i w:val="0"/>
          <w:iCs w:val="0"/>
          <w:caps w:val="0"/>
          <w:color w:val="000000"/>
          <w:spacing w:val="0"/>
          <w:sz w:val="24"/>
          <w:szCs w:val="24"/>
          <w:lang w:eastAsia="zh-CN"/>
        </w:rPr>
        <w:t>响应文件</w:t>
      </w:r>
      <w:r>
        <w:rPr>
          <w:rFonts w:hint="eastAsia" w:ascii="宋体" w:hAnsi="宋体" w:eastAsia="宋体" w:cs="宋体"/>
          <w:i w:val="0"/>
          <w:iCs w:val="0"/>
          <w:caps w:val="0"/>
          <w:color w:val="000000"/>
          <w:spacing w:val="0"/>
          <w:sz w:val="24"/>
          <w:szCs w:val="24"/>
        </w:rPr>
        <w:t>的制作。在使用政采云投标客户端时，建议使用WIN7及以上操作系统。</w:t>
      </w:r>
    </w:p>
    <w:p w14:paraId="3CE8FDDE">
      <w:pPr>
        <w:pStyle w:val="17"/>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4、其他事项：/  </w:t>
      </w:r>
    </w:p>
    <w:p w14:paraId="5875A2C3">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特别提示：</w:t>
      </w:r>
    </w:p>
    <w:p w14:paraId="7B654F4F">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0"/>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1、采购限额标准以上，200万元以下的货物和服务采购项目、400万元以下的工程采购项目，适宜由中小企业提供的，采购人应当专门面向中小企业采购。</w:t>
      </w:r>
    </w:p>
    <w:p w14:paraId="1279DBEF">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0"/>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2、超过200万元的货物和服务采购项目，预留该部分采购项目预算总额的30%以上专门面向中小企业采购，其中预留给小微企业的比例不低于60%。</w:t>
      </w:r>
    </w:p>
    <w:p w14:paraId="5574DF49">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0"/>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3、超过400万元的工程采购项目中适宜由中小企业提供的，预留该部分采购项目预算总额的40%以上专门面向中小企业采购，其中预留给小微企业的比例不低于60%。</w:t>
      </w:r>
    </w:p>
    <w:p w14:paraId="66B55BD8">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0"/>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191598E">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0"/>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7877C0D">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ascii="宋体" w:hAnsi="宋体" w:eastAsia="宋体" w:cs="宋体"/>
          <w:i w:val="0"/>
          <w:iCs w:val="0"/>
          <w:caps w:val="0"/>
          <w:color w:val="000000"/>
          <w:spacing w:val="0"/>
          <w:sz w:val="24"/>
          <w:szCs w:val="24"/>
        </w:rPr>
      </w:pPr>
      <w:r>
        <w:rPr>
          <w:rStyle w:val="23"/>
          <w:rFonts w:hint="eastAsia" w:ascii="宋体" w:hAnsi="宋体" w:eastAsia="宋体" w:cs="宋体"/>
          <w:i w:val="0"/>
          <w:iCs w:val="0"/>
          <w:caps w:val="0"/>
          <w:color w:val="000000"/>
          <w:spacing w:val="0"/>
          <w:sz w:val="24"/>
          <w:szCs w:val="24"/>
        </w:rPr>
        <w:t>七、对本次采购提出询问，请按以下方式联系</w:t>
      </w:r>
    </w:p>
    <w:p w14:paraId="18BD1F88">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1.采购人信息</w:t>
      </w:r>
    </w:p>
    <w:p w14:paraId="63CD31CC">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名 称</w:t>
      </w:r>
      <w:r>
        <w:rPr>
          <w:rFonts w:hint="eastAsia" w:ascii="宋体" w:hAnsi="宋体" w:eastAsia="宋体" w:cs="宋体"/>
          <w:i w:val="0"/>
          <w:iCs w:val="0"/>
          <w:caps w:val="0"/>
          <w:color w:val="000000"/>
          <w:spacing w:val="0"/>
          <w:sz w:val="24"/>
          <w:szCs w:val="24"/>
          <w:lang w:val="en-US" w:eastAsia="zh-CN"/>
        </w:rPr>
        <w:t>：吐鲁番市高昌区火焰山镇人民政府</w:t>
      </w:r>
    </w:p>
    <w:p w14:paraId="32A708B1">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 xml:space="preserve">地 </w:t>
      </w:r>
      <w:r>
        <w:rPr>
          <w:rFonts w:hint="eastAsia" w:ascii="宋体" w:hAnsi="宋体" w:eastAsia="宋体" w:cs="宋体"/>
          <w:i w:val="0"/>
          <w:iCs w:val="0"/>
          <w:caps w:val="0"/>
          <w:color w:val="000000"/>
          <w:spacing w:val="0"/>
          <w:sz w:val="24"/>
          <w:szCs w:val="24"/>
          <w:lang w:val="en-US" w:eastAsia="zh-CN"/>
        </w:rPr>
        <w:t>址：吐鲁番市高昌区火焰山镇</w:t>
      </w:r>
    </w:p>
    <w:p w14:paraId="5E1F5530">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420"/>
        <w:jc w:val="left"/>
        <w:textAlignment w:val="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联系方式</w:t>
      </w:r>
      <w:r>
        <w:rPr>
          <w:rFonts w:hint="eastAsia" w:ascii="宋体" w:hAnsi="宋体" w:eastAsia="宋体" w:cs="宋体"/>
          <w:i w:val="0"/>
          <w:iCs w:val="0"/>
          <w:caps w:val="0"/>
          <w:color w:val="000000"/>
          <w:spacing w:val="0"/>
          <w:sz w:val="24"/>
          <w:szCs w:val="24"/>
          <w:lang w:val="en-US" w:eastAsia="zh-CN"/>
        </w:rPr>
        <w:t>：13779001613</w:t>
      </w:r>
    </w:p>
    <w:p w14:paraId="63375A3D">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2.采购代理机构信息</w:t>
      </w:r>
    </w:p>
    <w:p w14:paraId="09BB6767">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名 称：</w:t>
      </w:r>
      <w:r>
        <w:rPr>
          <w:rFonts w:hint="eastAsia" w:ascii="宋体" w:hAnsi="宋体" w:eastAsia="宋体" w:cs="宋体"/>
          <w:i w:val="0"/>
          <w:iCs w:val="0"/>
          <w:caps w:val="0"/>
          <w:color w:val="000000"/>
          <w:spacing w:val="0"/>
          <w:sz w:val="24"/>
          <w:szCs w:val="24"/>
          <w:lang w:val="en-US" w:eastAsia="zh-CN"/>
        </w:rPr>
        <w:t>新疆</w:t>
      </w:r>
      <w:r>
        <w:rPr>
          <w:rFonts w:hint="eastAsia" w:ascii="宋体" w:hAnsi="宋体" w:eastAsia="宋体" w:cs="宋体"/>
          <w:i w:val="0"/>
          <w:iCs w:val="0"/>
          <w:caps w:val="0"/>
          <w:color w:val="000000"/>
          <w:spacing w:val="0"/>
          <w:sz w:val="24"/>
          <w:szCs w:val="24"/>
        </w:rPr>
        <w:t>华域天恒工程管理有限公司</w:t>
      </w:r>
    </w:p>
    <w:p w14:paraId="3B26B189">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 址：吐鲁番市高昌区示范区和平街11幢2层201号</w:t>
      </w:r>
    </w:p>
    <w:p w14:paraId="1F76238D">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联系方式：</w:t>
      </w:r>
      <w:r>
        <w:rPr>
          <w:rFonts w:hint="eastAsia" w:cs="宋体"/>
          <w:i w:val="0"/>
          <w:iCs w:val="0"/>
          <w:caps w:val="0"/>
          <w:color w:val="000000"/>
          <w:spacing w:val="0"/>
          <w:sz w:val="24"/>
          <w:szCs w:val="24"/>
          <w:lang w:val="en-US" w:eastAsia="zh-CN"/>
        </w:rPr>
        <w:t>17860251733</w:t>
      </w:r>
    </w:p>
    <w:p w14:paraId="3FA9296B">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3.项目联系方式</w:t>
      </w:r>
    </w:p>
    <w:p w14:paraId="02C32E11">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项目联系人：</w:t>
      </w:r>
      <w:r>
        <w:rPr>
          <w:rStyle w:val="26"/>
          <w:rFonts w:hint="eastAsia" w:cs="宋体"/>
          <w:i w:val="0"/>
          <w:iCs w:val="0"/>
          <w:caps w:val="0"/>
          <w:color w:val="000000"/>
          <w:spacing w:val="0"/>
          <w:sz w:val="24"/>
          <w:szCs w:val="24"/>
          <w:lang w:val="en-US" w:eastAsia="zh-CN"/>
        </w:rPr>
        <w:t>周淼</w:t>
      </w:r>
    </w:p>
    <w:p w14:paraId="22256A95">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default" w:ascii="宋体" w:hAnsi="宋体" w:eastAsia="宋体" w:cs="宋体"/>
          <w:i w:val="0"/>
          <w:iCs w:val="0"/>
          <w:caps w:val="0"/>
          <w:color w:val="000000"/>
          <w:spacing w:val="0"/>
          <w:sz w:val="24"/>
          <w:szCs w:val="24"/>
          <w:lang w:val="en-US"/>
        </w:rPr>
      </w:pPr>
      <w:r>
        <w:rPr>
          <w:rFonts w:hint="eastAsia" w:ascii="宋体" w:hAnsi="宋体" w:eastAsia="宋体" w:cs="宋体"/>
          <w:i w:val="0"/>
          <w:iCs w:val="0"/>
          <w:caps w:val="0"/>
          <w:color w:val="000000"/>
          <w:spacing w:val="0"/>
          <w:sz w:val="24"/>
          <w:szCs w:val="24"/>
        </w:rPr>
        <w:t>电 话：</w:t>
      </w:r>
      <w:r>
        <w:rPr>
          <w:rFonts w:hint="eastAsia" w:cs="宋体"/>
          <w:i w:val="0"/>
          <w:iCs w:val="0"/>
          <w:caps w:val="0"/>
          <w:color w:val="000000"/>
          <w:spacing w:val="0"/>
          <w:sz w:val="24"/>
          <w:szCs w:val="24"/>
          <w:lang w:val="en-US" w:eastAsia="zh-CN"/>
        </w:rPr>
        <w:t>17860251733</w:t>
      </w:r>
    </w:p>
    <w:p w14:paraId="417DE4DD">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420"/>
        <w:jc w:val="right"/>
        <w:textAlignment w:val="auto"/>
        <w:rPr>
          <w:rFonts w:hint="eastAsia" w:ascii="宋体" w:hAnsi="宋体" w:eastAsia="宋体" w:cs="宋体"/>
          <w:highlight w:val="yellow"/>
        </w:rPr>
      </w:pPr>
    </w:p>
    <w:p w14:paraId="1A76CA0B">
      <w:pPr>
        <w:rPr>
          <w:rFonts w:hint="eastAsia"/>
        </w:rPr>
      </w:pPr>
    </w:p>
    <w:p w14:paraId="3DFD355E">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宋体" w:hAnsi="宋体" w:eastAsia="宋体" w:cs="宋体"/>
          <w:color w:val="auto"/>
          <w:sz w:val="24"/>
          <w:szCs w:val="24"/>
          <w:highlight w:val="none"/>
        </w:rPr>
      </w:pPr>
      <w:r>
        <w:rPr>
          <w:rFonts w:hint="eastAsia" w:ascii="微软雅黑" w:hAnsi="微软雅黑" w:eastAsia="微软雅黑" w:cs="微软雅黑"/>
          <w:b/>
          <w:bCs/>
          <w:color w:val="auto"/>
          <w:sz w:val="32"/>
          <w:szCs w:val="32"/>
          <w:highlight w:val="none"/>
        </w:rPr>
        <w:t>第二部分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rPr>
        <w:t>磋商须知</w:t>
      </w:r>
      <w:bookmarkEnd w:id="0"/>
    </w:p>
    <w:p w14:paraId="218AF733">
      <w:pPr>
        <w:rPr>
          <w:rFonts w:hint="eastAsia"/>
          <w:color w:val="auto"/>
          <w:highlight w:val="none"/>
        </w:rPr>
      </w:pPr>
    </w:p>
    <w:p w14:paraId="0AF1954A">
      <w:pPr>
        <w:keepNext w:val="0"/>
        <w:keepLines w:val="0"/>
        <w:pageBreakBefore w:val="0"/>
        <w:widowControl w:val="0"/>
        <w:numPr>
          <w:ilvl w:val="0"/>
          <w:numId w:val="2"/>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磋商须知前附表 </w:t>
      </w:r>
    </w:p>
    <w:tbl>
      <w:tblPr>
        <w:tblStyle w:val="20"/>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341"/>
        <w:gridCol w:w="6555"/>
      </w:tblGrid>
      <w:tr w14:paraId="1F21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68058B40">
            <w:pPr>
              <w:pStyle w:val="31"/>
              <w:keepNext w:val="0"/>
              <w:keepLines w:val="0"/>
              <w:pageBreakBefore w:val="0"/>
              <w:widowControl/>
              <w:kinsoku/>
              <w:wordWrap/>
              <w:overflowPunct/>
              <w:topLinePunct w:val="0"/>
              <w:bidi w:val="0"/>
              <w:snapToGrid/>
              <w:spacing w:line="320" w:lineRule="exact"/>
              <w:textAlignment w:val="auto"/>
              <w:rPr>
                <w:rFonts w:ascii="宋体" w:hAnsi="宋体" w:eastAsia="宋体"/>
                <w:b/>
                <w:color w:val="auto"/>
                <w:sz w:val="24"/>
                <w:highlight w:val="none"/>
              </w:rPr>
            </w:pPr>
            <w:r>
              <w:rPr>
                <w:rFonts w:ascii="宋体" w:hAnsi="宋体" w:eastAsia="宋体"/>
                <w:b/>
                <w:color w:val="auto"/>
                <w:sz w:val="24"/>
                <w:highlight w:val="none"/>
              </w:rPr>
              <w:t>条款号</w:t>
            </w:r>
          </w:p>
        </w:tc>
        <w:tc>
          <w:tcPr>
            <w:tcW w:w="1341" w:type="dxa"/>
            <w:noWrap w:val="0"/>
            <w:vAlign w:val="center"/>
          </w:tcPr>
          <w:p w14:paraId="1870AF9E">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center"/>
              <w:textAlignment w:val="auto"/>
              <w:rPr>
                <w:rFonts w:ascii="宋体" w:hAnsi="宋体" w:eastAsia="宋体"/>
                <w:b/>
                <w:color w:val="auto"/>
                <w:sz w:val="24"/>
                <w:highlight w:val="none"/>
              </w:rPr>
            </w:pPr>
            <w:r>
              <w:rPr>
                <w:rFonts w:ascii="宋体" w:hAnsi="宋体" w:eastAsia="宋体"/>
                <w:b/>
                <w:color w:val="auto"/>
                <w:sz w:val="24"/>
                <w:highlight w:val="none"/>
              </w:rPr>
              <w:t>条 款 名 称</w:t>
            </w:r>
          </w:p>
        </w:tc>
        <w:tc>
          <w:tcPr>
            <w:tcW w:w="6555" w:type="dxa"/>
            <w:noWrap w:val="0"/>
            <w:vAlign w:val="center"/>
          </w:tcPr>
          <w:p w14:paraId="5D29E4D6">
            <w:pPr>
              <w:pStyle w:val="31"/>
              <w:keepNext w:val="0"/>
              <w:keepLines w:val="0"/>
              <w:pageBreakBefore w:val="0"/>
              <w:widowControl/>
              <w:kinsoku/>
              <w:wordWrap/>
              <w:overflowPunct/>
              <w:topLinePunct w:val="0"/>
              <w:bidi w:val="0"/>
              <w:snapToGrid/>
              <w:spacing w:line="320" w:lineRule="exact"/>
              <w:jc w:val="center"/>
              <w:textAlignment w:val="auto"/>
              <w:rPr>
                <w:rFonts w:ascii="宋体" w:hAnsi="宋体" w:eastAsia="宋体"/>
                <w:b/>
                <w:color w:val="auto"/>
                <w:sz w:val="24"/>
                <w:highlight w:val="none"/>
              </w:rPr>
            </w:pPr>
            <w:r>
              <w:rPr>
                <w:rFonts w:ascii="宋体" w:hAnsi="宋体" w:eastAsia="宋体"/>
                <w:b/>
                <w:color w:val="auto"/>
                <w:sz w:val="24"/>
                <w:highlight w:val="none"/>
              </w:rPr>
              <w:t>编  列  内  容</w:t>
            </w:r>
          </w:p>
        </w:tc>
      </w:tr>
      <w:tr w14:paraId="54F4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14EA6383">
            <w:pPr>
              <w:pStyle w:val="31"/>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1</w:t>
            </w:r>
          </w:p>
        </w:tc>
        <w:tc>
          <w:tcPr>
            <w:tcW w:w="1341" w:type="dxa"/>
            <w:noWrap w:val="0"/>
            <w:vAlign w:val="center"/>
          </w:tcPr>
          <w:p w14:paraId="2B117470">
            <w:pPr>
              <w:adjustRightInd w:val="0"/>
              <w:snapToGrid w:val="0"/>
              <w:spacing w:line="440" w:lineRule="exact"/>
              <w:ind w:left="-140" w:leftChars="0" w:right="-155" w:rightChars="0" w:firstLine="0" w:firstLineChars="0"/>
              <w:jc w:val="center"/>
              <w:rPr>
                <w:rFonts w:ascii="宋体" w:hAnsi="宋体" w:eastAsia="宋体"/>
                <w:b w:val="0"/>
                <w:bCs w:val="0"/>
                <w:color w:val="auto"/>
                <w:sz w:val="24"/>
                <w:highlight w:val="none"/>
              </w:rPr>
            </w:pPr>
            <w:r>
              <w:rPr>
                <w:rFonts w:hint="eastAsia" w:asciiTheme="minorEastAsia" w:hAnsiTheme="minorEastAsia" w:eastAsiaTheme="minorEastAsia" w:cstheme="minorEastAsia"/>
                <w:b w:val="0"/>
                <w:bCs w:val="0"/>
                <w:sz w:val="24"/>
                <w:szCs w:val="24"/>
                <w:highlight w:val="none"/>
              </w:rPr>
              <w:t>采购人</w:t>
            </w:r>
          </w:p>
        </w:tc>
        <w:tc>
          <w:tcPr>
            <w:tcW w:w="6555" w:type="dxa"/>
            <w:noWrap w:val="0"/>
            <w:vAlign w:val="center"/>
          </w:tcPr>
          <w:p w14:paraId="3904C538">
            <w:pPr>
              <w:keepNext w:val="0"/>
              <w:keepLines w:val="0"/>
              <w:pageBreakBefore w:val="0"/>
              <w:kinsoku/>
              <w:wordWrap/>
              <w:overflowPunct/>
              <w:topLinePunct w:val="0"/>
              <w:bidi w:val="0"/>
              <w:adjustRightInd w:val="0"/>
              <w:snapToGrid w:val="0"/>
              <w:spacing w:before="0" w:beforeAutospacing="0" w:after="0" w:afterAutospacing="0" w:line="360" w:lineRule="exact"/>
              <w:ind w:left="0" w:right="0" w:rightChars="0"/>
              <w:rPr>
                <w:rFonts w:asciiTheme="minorEastAsia" w:hAnsiTheme="minorEastAsia" w:eastAsiaTheme="minorEastAsia" w:cstheme="minorEastAsia"/>
                <w:sz w:val="24"/>
                <w:szCs w:val="24"/>
                <w:highlight w:val="none"/>
              </w:rPr>
            </w:pPr>
            <w:bookmarkStart w:id="2" w:name="EB797d1b4079594a778b9f2da7a47c4236"/>
            <w:bookmarkEnd w:id="2"/>
            <w:r>
              <w:rPr>
                <w:rFonts w:hint="eastAsia" w:asciiTheme="minorEastAsia" w:hAnsiTheme="minorEastAsia" w:eastAsiaTheme="minorEastAsia" w:cstheme="minorEastAsia"/>
                <w:sz w:val="24"/>
                <w:szCs w:val="24"/>
                <w:highlight w:val="none"/>
              </w:rPr>
              <w:t>名称：</w:t>
            </w:r>
            <w:r>
              <w:rPr>
                <w:rFonts w:hint="eastAsia" w:ascii="宋体" w:hAnsi="宋体" w:eastAsia="宋体" w:cs="宋体"/>
                <w:i w:val="0"/>
                <w:iCs w:val="0"/>
                <w:caps w:val="0"/>
                <w:color w:val="000000"/>
                <w:spacing w:val="0"/>
                <w:sz w:val="24"/>
                <w:szCs w:val="24"/>
                <w:lang w:val="en-US" w:eastAsia="zh-CN"/>
              </w:rPr>
              <w:t>吐鲁番市高昌区火焰山镇人民政府</w:t>
            </w:r>
            <w:r>
              <w:rPr>
                <w:rFonts w:hint="eastAsia" w:asciiTheme="minorEastAsia" w:hAnsiTheme="minorEastAsia" w:eastAsiaTheme="minorEastAsia" w:cstheme="minorEastAsia"/>
                <w:sz w:val="24"/>
                <w:szCs w:val="24"/>
                <w:highlight w:val="none"/>
              </w:rPr>
              <w:t>　　　　　　　　</w:t>
            </w:r>
          </w:p>
          <w:p w14:paraId="5F1C1B7C">
            <w:pPr>
              <w:keepNext w:val="0"/>
              <w:keepLines w:val="0"/>
              <w:pageBreakBefore w:val="0"/>
              <w:kinsoku/>
              <w:wordWrap/>
              <w:overflowPunct/>
              <w:topLinePunct w:val="0"/>
              <w:bidi w:val="0"/>
              <w:adjustRightInd w:val="0"/>
              <w:snapToGrid w:val="0"/>
              <w:spacing w:before="0" w:beforeAutospacing="0" w:after="0" w:afterAutospacing="0" w:line="360" w:lineRule="exact"/>
              <w:ind w:left="0" w:right="0" w:rightChars="0"/>
              <w:rPr>
                <w:rFonts w:hint="eastAsia"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sz w:val="24"/>
                <w:szCs w:val="24"/>
                <w:highlight w:val="none"/>
              </w:rPr>
              <w:t>地址：</w:t>
            </w:r>
            <w:r>
              <w:rPr>
                <w:rFonts w:hint="eastAsia" w:ascii="宋体" w:hAnsi="宋体" w:eastAsia="宋体" w:cs="宋体"/>
                <w:i w:val="0"/>
                <w:iCs w:val="0"/>
                <w:caps w:val="0"/>
                <w:color w:val="000000"/>
                <w:spacing w:val="0"/>
                <w:sz w:val="24"/>
                <w:szCs w:val="24"/>
                <w:lang w:val="en-US" w:eastAsia="zh-CN"/>
              </w:rPr>
              <w:t>吐鲁番市高昌区火焰山镇</w:t>
            </w:r>
          </w:p>
          <w:p w14:paraId="3AA7CC0F">
            <w:pPr>
              <w:keepNext w:val="0"/>
              <w:keepLines w:val="0"/>
              <w:pageBreakBefore w:val="0"/>
              <w:kinsoku/>
              <w:wordWrap/>
              <w:overflowPunct/>
              <w:topLinePunct w:val="0"/>
              <w:bidi w:val="0"/>
              <w:adjustRightInd w:val="0"/>
              <w:snapToGrid w:val="0"/>
              <w:spacing w:before="0" w:beforeAutospacing="0" w:after="0" w:afterAutospacing="0" w:line="360" w:lineRule="exact"/>
              <w:ind w:left="0" w:right="0" w:rightChars="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联系人：</w:t>
            </w:r>
            <w:r>
              <w:rPr>
                <w:rFonts w:hint="eastAsia" w:asciiTheme="minorEastAsia" w:hAnsiTheme="minorEastAsia" w:eastAsiaTheme="minorEastAsia" w:cstheme="minorEastAsia"/>
                <w:sz w:val="24"/>
                <w:szCs w:val="24"/>
                <w:highlight w:val="none"/>
                <w:lang w:val="en-US" w:eastAsia="zh-CN"/>
              </w:rPr>
              <w:t>柴永宁</w:t>
            </w:r>
          </w:p>
          <w:p w14:paraId="233BDC3C">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rPr>
                <w:rFonts w:hint="eastAsia" w:eastAsia="宋体" w:cs="Times New Roman"/>
                <w:color w:val="auto"/>
                <w:sz w:val="24"/>
                <w:highlight w:val="none"/>
                <w:lang w:val="en-US" w:eastAsia="zh-CN"/>
              </w:rPr>
            </w:pPr>
            <w:r>
              <w:rPr>
                <w:rFonts w:hint="eastAsia" w:asciiTheme="minorEastAsia" w:hAnsiTheme="minorEastAsia" w:eastAsiaTheme="minorEastAsia" w:cstheme="minorEastAsia"/>
                <w:sz w:val="24"/>
                <w:szCs w:val="24"/>
                <w:highlight w:val="none"/>
              </w:rPr>
              <w:t>电  话：</w:t>
            </w:r>
            <w:r>
              <w:rPr>
                <w:rFonts w:hint="eastAsia" w:ascii="宋体" w:hAnsi="宋体" w:eastAsia="宋体" w:cs="宋体"/>
                <w:i w:val="0"/>
                <w:iCs w:val="0"/>
                <w:caps w:val="0"/>
                <w:color w:val="000000"/>
                <w:spacing w:val="0"/>
                <w:sz w:val="24"/>
                <w:szCs w:val="24"/>
                <w:lang w:val="en-US" w:eastAsia="zh-CN"/>
              </w:rPr>
              <w:t>13779001613</w:t>
            </w:r>
          </w:p>
        </w:tc>
      </w:tr>
      <w:tr w14:paraId="7386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68" w:type="dxa"/>
            <w:noWrap w:val="0"/>
            <w:vAlign w:val="center"/>
          </w:tcPr>
          <w:p w14:paraId="2045322C">
            <w:pPr>
              <w:pStyle w:val="31"/>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2</w:t>
            </w:r>
          </w:p>
        </w:tc>
        <w:tc>
          <w:tcPr>
            <w:tcW w:w="1341" w:type="dxa"/>
            <w:noWrap w:val="0"/>
            <w:vAlign w:val="center"/>
          </w:tcPr>
          <w:p w14:paraId="6350FEAA">
            <w:pPr>
              <w:adjustRightInd w:val="0"/>
              <w:snapToGrid w:val="0"/>
              <w:spacing w:line="440" w:lineRule="exact"/>
              <w:ind w:left="-140" w:leftChars="0" w:right="-155" w:rightChars="0" w:firstLine="0" w:firstLineChars="0"/>
              <w:jc w:val="center"/>
              <w:rPr>
                <w:rFonts w:ascii="宋体" w:hAnsi="宋体" w:eastAsia="宋体"/>
                <w:b w:val="0"/>
                <w:bCs w:val="0"/>
                <w:color w:val="auto"/>
                <w:sz w:val="24"/>
                <w:highlight w:val="none"/>
              </w:rPr>
            </w:pPr>
            <w:r>
              <w:rPr>
                <w:rFonts w:hint="eastAsia" w:asciiTheme="minorEastAsia" w:hAnsiTheme="minorEastAsia" w:eastAsiaTheme="minorEastAsia" w:cstheme="minorEastAsia"/>
                <w:b w:val="0"/>
                <w:bCs w:val="0"/>
                <w:sz w:val="24"/>
                <w:szCs w:val="24"/>
                <w:highlight w:val="none"/>
              </w:rPr>
              <w:t>采购代理机构</w:t>
            </w:r>
          </w:p>
        </w:tc>
        <w:tc>
          <w:tcPr>
            <w:tcW w:w="6555" w:type="dxa"/>
            <w:noWrap w:val="0"/>
            <w:vAlign w:val="center"/>
          </w:tcPr>
          <w:p w14:paraId="2A5A822F">
            <w:pPr>
              <w:keepNext w:val="0"/>
              <w:keepLines w:val="0"/>
              <w:pageBreakBefore w:val="0"/>
              <w:widowControl/>
              <w:kinsoku/>
              <w:wordWrap/>
              <w:overflowPunct/>
              <w:topLinePunct w:val="0"/>
              <w:bidi w:val="0"/>
              <w:adjustRightInd w:val="0"/>
              <w:snapToGrid w:val="0"/>
              <w:spacing w:before="0" w:beforeAutospacing="0" w:after="0" w:afterAutospacing="0" w:line="360" w:lineRule="exact"/>
              <w:ind w:left="0" w:right="0" w:rightChars="0"/>
              <w:jc w:val="left"/>
              <w:rPr>
                <w:rFonts w:hint="eastAsia" w:asciiTheme="minorEastAsia" w:hAnsiTheme="minorEastAsia" w:eastAsiaTheme="minorEastAsia" w:cstheme="minorEastAsia"/>
                <w:sz w:val="24"/>
                <w:szCs w:val="24"/>
                <w:highlight w:val="none"/>
                <w:lang w:eastAsia="zh-CN"/>
              </w:rPr>
            </w:pPr>
            <w:bookmarkStart w:id="3" w:name="EB711ab04762684375a014a19528cf06dd"/>
            <w:bookmarkEnd w:id="3"/>
            <w:r>
              <w:rPr>
                <w:rFonts w:hint="eastAsia" w:asciiTheme="minorEastAsia" w:hAnsiTheme="minorEastAsia" w:eastAsiaTheme="minorEastAsia" w:cstheme="minorEastAsia"/>
                <w:sz w:val="24"/>
                <w:szCs w:val="24"/>
                <w:highlight w:val="none"/>
              </w:rPr>
              <w:t>采购代理机构名称：</w:t>
            </w:r>
            <w:r>
              <w:rPr>
                <w:rFonts w:hint="eastAsia" w:asciiTheme="minorEastAsia" w:hAnsiTheme="minorEastAsia" w:eastAsiaTheme="minorEastAsia" w:cstheme="minorEastAsia"/>
                <w:sz w:val="24"/>
                <w:szCs w:val="24"/>
                <w:highlight w:val="none"/>
                <w:lang w:eastAsia="zh-CN"/>
              </w:rPr>
              <w:t>新疆华域天恒工程管理有限公司</w:t>
            </w:r>
          </w:p>
          <w:p w14:paraId="7F5C27A5">
            <w:pPr>
              <w:keepNext w:val="0"/>
              <w:keepLines w:val="0"/>
              <w:pageBreakBefore w:val="0"/>
              <w:widowControl/>
              <w:kinsoku/>
              <w:wordWrap/>
              <w:overflowPunct/>
              <w:topLinePunct w:val="0"/>
              <w:bidi w:val="0"/>
              <w:adjustRightInd w:val="0"/>
              <w:snapToGrid w:val="0"/>
              <w:spacing w:before="0" w:beforeAutospacing="0" w:after="0" w:afterAutospacing="0" w:line="360" w:lineRule="exact"/>
              <w:ind w:left="0" w:right="0" w:rightChars="0"/>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联系人：</w:t>
            </w:r>
            <w:r>
              <w:rPr>
                <w:rFonts w:hint="eastAsia" w:asciiTheme="minorEastAsia" w:hAnsiTheme="minorEastAsia" w:eastAsiaTheme="minorEastAsia" w:cstheme="minorEastAsia"/>
                <w:kern w:val="2"/>
                <w:sz w:val="24"/>
                <w:szCs w:val="24"/>
                <w:highlight w:val="none"/>
                <w:lang w:val="en-US" w:eastAsia="zh-CN" w:bidi="ar-SA"/>
              </w:rPr>
              <w:t>周淼</w:t>
            </w:r>
            <w:r>
              <w:rPr>
                <w:rFonts w:hint="eastAsia" w:asciiTheme="minorEastAsia" w:hAnsiTheme="minorEastAsia" w:eastAsiaTheme="minorEastAsia" w:cstheme="minorEastAsia"/>
                <w:sz w:val="24"/>
                <w:szCs w:val="24"/>
                <w:highlight w:val="none"/>
              </w:rPr>
              <w:t> </w:t>
            </w:r>
            <w:r>
              <w:rPr>
                <w:rFonts w:hint="eastAsia" w:asciiTheme="minorEastAsia" w:hAnsiTheme="minorEastAsia" w:eastAsiaTheme="minorEastAsia" w:cstheme="minorEastAsia"/>
                <w:sz w:val="24"/>
                <w:szCs w:val="24"/>
                <w:highlight w:val="none"/>
                <w:lang w:val="en-US" w:eastAsia="zh-CN"/>
              </w:rPr>
              <w:t xml:space="preserve">  </w:t>
            </w:r>
          </w:p>
          <w:p w14:paraId="017EAFB9">
            <w:pPr>
              <w:pStyle w:val="17"/>
              <w:keepNext w:val="0"/>
              <w:keepLines w:val="0"/>
              <w:pageBreakBefore w:val="0"/>
              <w:kinsoku/>
              <w:wordWrap/>
              <w:overflowPunct/>
              <w:topLinePunct w:val="0"/>
              <w:bidi w:val="0"/>
              <w:adjustRightInd w:val="0"/>
              <w:snapToGrid w:val="0"/>
              <w:spacing w:before="0" w:beforeAutospacing="0" w:after="0" w:afterAutospacing="0" w:line="360" w:lineRule="exact"/>
              <w:ind w:left="0" w:right="0" w:rightChars="0"/>
              <w:rPr>
                <w:rFonts w:hint="default" w:asciiTheme="minorEastAsia" w:hAnsiTheme="minorEastAsia" w:eastAsiaTheme="minorEastAsia" w:cstheme="minorEastAsia"/>
                <w:szCs w:val="24"/>
                <w:highlight w:val="none"/>
                <w:lang w:val="en-US" w:eastAsia="zh-CN"/>
              </w:rPr>
            </w:pPr>
            <w:r>
              <w:rPr>
                <w:rFonts w:hint="eastAsia" w:asciiTheme="minorEastAsia" w:hAnsiTheme="minorEastAsia" w:eastAsiaTheme="minorEastAsia" w:cstheme="minorEastAsia"/>
                <w:szCs w:val="24"/>
                <w:highlight w:val="none"/>
              </w:rPr>
              <w:t>联系电话：</w:t>
            </w:r>
            <w:r>
              <w:rPr>
                <w:rFonts w:hint="eastAsia" w:asciiTheme="minorEastAsia" w:hAnsiTheme="minorEastAsia" w:eastAsiaTheme="minorEastAsia" w:cstheme="minorEastAsia"/>
                <w:kern w:val="2"/>
                <w:sz w:val="24"/>
                <w:szCs w:val="24"/>
                <w:highlight w:val="none"/>
                <w:lang w:val="en-US" w:eastAsia="zh-CN" w:bidi="ar-SA"/>
              </w:rPr>
              <w:t>17860251733、 0995-8637000</w:t>
            </w:r>
          </w:p>
          <w:p w14:paraId="6CFEF817">
            <w:pPr>
              <w:keepNext w:val="0"/>
              <w:keepLines w:val="0"/>
              <w:pageBreakBefore w:val="0"/>
              <w:widowControl/>
              <w:kinsoku/>
              <w:wordWrap/>
              <w:overflowPunct/>
              <w:topLinePunct w:val="0"/>
              <w:bidi w:val="0"/>
              <w:adjustRightInd w:val="0"/>
              <w:snapToGrid w:val="0"/>
              <w:spacing w:before="0" w:beforeAutospacing="0" w:after="0" w:afterAutospacing="0" w:line="360" w:lineRule="exact"/>
              <w:ind w:left="0" w:leftChars="0" w:right="0" w:rightChars="0"/>
              <w:jc w:val="left"/>
              <w:rPr>
                <w:rFonts w:hint="default" w:eastAsia="宋体" w:cs="Times New Roman"/>
                <w:color w:val="auto"/>
                <w:sz w:val="24"/>
                <w:highlight w:val="none"/>
                <w:lang w:val="en-US" w:eastAsia="zh-CN"/>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kern w:val="2"/>
                <w:sz w:val="24"/>
                <w:szCs w:val="24"/>
                <w:highlight w:val="none"/>
                <w:lang w:val="en-US" w:eastAsia="zh-CN" w:bidi="ar-SA"/>
              </w:rPr>
              <w:t>吐鲁番市高昌区示范区和平街11幢2层201号 </w:t>
            </w:r>
            <w:r>
              <w:rPr>
                <w:rFonts w:hint="eastAsia" w:asciiTheme="minorEastAsia" w:hAnsiTheme="minorEastAsia" w:eastAsiaTheme="minorEastAsia" w:cstheme="minorEastAsia"/>
                <w:sz w:val="24"/>
                <w:szCs w:val="24"/>
                <w:highlight w:val="none"/>
              </w:rPr>
              <w:t xml:space="preserve">       </w:t>
            </w:r>
          </w:p>
        </w:tc>
      </w:tr>
      <w:tr w14:paraId="509F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46529F10">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1341" w:type="dxa"/>
            <w:noWrap w:val="0"/>
            <w:vAlign w:val="center"/>
          </w:tcPr>
          <w:p w14:paraId="6D92173F">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center"/>
              <w:textAlignment w:val="auto"/>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项目概况</w:t>
            </w:r>
          </w:p>
        </w:tc>
        <w:tc>
          <w:tcPr>
            <w:tcW w:w="6555" w:type="dxa"/>
            <w:noWrap w:val="0"/>
            <w:vAlign w:val="center"/>
          </w:tcPr>
          <w:p w14:paraId="16EE2B3B">
            <w:pPr>
              <w:pStyle w:val="31"/>
              <w:keepNext w:val="0"/>
              <w:keepLines w:val="0"/>
              <w:pageBreakBefore w:val="0"/>
              <w:widowControl/>
              <w:kinsoku/>
              <w:wordWrap/>
              <w:overflowPunct/>
              <w:topLinePunct w:val="0"/>
              <w:bidi w:val="0"/>
              <w:snapToGrid/>
              <w:spacing w:beforeAutospacing="0" w:afterAutospacing="0" w:line="360" w:lineRule="exact"/>
              <w:ind w:left="0" w:right="0" w:rightChars="0"/>
              <w:textAlignment w:val="auto"/>
              <w:rPr>
                <w:rFonts w:hint="eastAsia" w:eastAsia="宋体" w:cs="Times New Roman"/>
                <w:color w:val="auto"/>
                <w:sz w:val="24"/>
                <w:highlight w:val="none"/>
                <w:lang w:val="en-US" w:eastAsia="zh-CN"/>
              </w:rPr>
            </w:pPr>
            <w:bookmarkStart w:id="4" w:name="EBdaf02b35eef04948bb826c544b7758c6"/>
            <w:bookmarkEnd w:id="4"/>
            <w:r>
              <w:rPr>
                <w:rFonts w:hint="eastAsia" w:eastAsia="宋体" w:cs="Times New Roman"/>
                <w:color w:val="auto"/>
                <w:sz w:val="24"/>
                <w:highlight w:val="none"/>
                <w:lang w:val="en-US" w:eastAsia="zh-CN"/>
              </w:rPr>
              <w:t>标项名称：</w:t>
            </w:r>
            <w:r>
              <w:rPr>
                <w:rFonts w:hint="eastAsia" w:ascii="宋体" w:hAnsi="宋体" w:eastAsia="宋体" w:cs="宋体"/>
                <w:i w:val="0"/>
                <w:iCs w:val="0"/>
                <w:caps w:val="0"/>
                <w:color w:val="000000"/>
                <w:spacing w:val="0"/>
                <w:sz w:val="24"/>
                <w:szCs w:val="24"/>
                <w:lang w:val="en-US" w:eastAsia="zh-CN"/>
              </w:rPr>
              <w:t>火焰山镇古城村农用塑料残膜回收资源化利用及配套设施建设项目</w:t>
            </w:r>
          </w:p>
          <w:p w14:paraId="3ADDE6E2">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项目预算金</w:t>
            </w:r>
            <w:r>
              <w:rPr>
                <w:rFonts w:hint="eastAsia" w:ascii="宋体" w:hAnsi="宋体" w:eastAsia="宋体" w:cs="宋体"/>
                <w:color w:val="auto"/>
                <w:kern w:val="0"/>
                <w:sz w:val="24"/>
                <w:szCs w:val="24"/>
                <w:highlight w:val="none"/>
                <w:lang w:val="en-US" w:eastAsia="zh-CN"/>
              </w:rPr>
              <w:t xml:space="preserve">额：3181400.00元； </w:t>
            </w:r>
          </w:p>
          <w:p w14:paraId="02F7CCF6">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eastAsia" w:ascii="宋体" w:hAnsi="宋体" w:eastAsia="宋体"/>
                <w:color w:val="auto"/>
                <w:sz w:val="24"/>
                <w:highlight w:val="none"/>
                <w:lang w:val="en-US" w:eastAsia="zh-CN"/>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最高限价：3181174.81元</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（各投标单位报价不得超过最高限价，否则将按废标处理。）</w:t>
            </w:r>
          </w:p>
          <w:p w14:paraId="39908605">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采购内容：</w:t>
            </w:r>
            <w:r>
              <w:rPr>
                <w:rFonts w:hint="eastAsia" w:cs="宋体"/>
                <w:i w:val="0"/>
                <w:iCs w:val="0"/>
                <w:caps w:val="0"/>
                <w:color w:val="000000" w:themeColor="text1"/>
                <w:spacing w:val="0"/>
                <w:sz w:val="24"/>
                <w:szCs w:val="24"/>
                <w:highlight w:val="none"/>
                <w:lang w:val="en-US" w:eastAsia="zh-CN"/>
                <w14:textFill>
                  <w14:solidFill>
                    <w14:schemeClr w14:val="tx1"/>
                  </w14:solidFill>
                </w14:textFill>
              </w:rPr>
              <w:t>主要新建残膜回收生产车间1000平方米，残膜回收室外堆场2000平方米，及消防水池、围墙等附属工程建设</w:t>
            </w: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w:t>
            </w:r>
          </w:p>
          <w:p w14:paraId="7228FB7D">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履约期限：合同签订之日起90日历天</w:t>
            </w:r>
          </w:p>
          <w:p w14:paraId="66AE6046">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eastAsia" w:ascii="宋体" w:hAnsi="宋体" w:eastAsia="宋体"/>
                <w:color w:val="auto"/>
                <w:sz w:val="24"/>
                <w:highlight w:val="no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项目资金来源：2026年财政衔接推进乡村振兴补助资金</w:t>
            </w:r>
          </w:p>
          <w:p w14:paraId="573A628B">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质量标准：合格</w:t>
            </w:r>
          </w:p>
          <w:p w14:paraId="5ADC75E0">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质保期：二年</w:t>
            </w:r>
          </w:p>
        </w:tc>
      </w:tr>
      <w:tr w14:paraId="6F7C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64B608F2">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1341" w:type="dxa"/>
            <w:noWrap w:val="0"/>
            <w:vAlign w:val="center"/>
          </w:tcPr>
          <w:p w14:paraId="1060B4F9">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2FF2F12E">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43E935F5">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合格供应商的资格要求</w:t>
            </w:r>
          </w:p>
          <w:p w14:paraId="5F1F5152">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center"/>
              <w:textAlignment w:val="auto"/>
              <w:rPr>
                <w:rFonts w:ascii="宋体" w:hAnsi="宋体" w:eastAsia="宋体"/>
                <w:color w:val="auto"/>
                <w:sz w:val="24"/>
                <w:highlight w:val="none"/>
              </w:rPr>
            </w:pPr>
          </w:p>
        </w:tc>
        <w:tc>
          <w:tcPr>
            <w:tcW w:w="6555" w:type="dxa"/>
            <w:noWrap w:val="0"/>
            <w:vAlign w:val="center"/>
          </w:tcPr>
          <w:p w14:paraId="41CA1370">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cs="宋体"/>
                <w:color w:val="000000" w:themeColor="text1"/>
                <w:kern w:val="0"/>
                <w:sz w:val="24"/>
                <w:szCs w:val="24"/>
                <w:highlight w:val="none"/>
                <w:lang w:val="en-US" w:eastAsia="zh-CN"/>
                <w14:textFill>
                  <w14:solidFill>
                    <w14:schemeClr w14:val="tx1"/>
                  </w14:solidFill>
                </w14:textFill>
              </w:rPr>
            </w:pPr>
            <w:bookmarkStart w:id="5" w:name="EB93f4d92dc67243458e6fe4614c19bd8f"/>
            <w:bookmarkEnd w:id="5"/>
            <w:bookmarkStart w:id="6" w:name="EB8d5c7d73ca244b28bcae3699d53bc511"/>
            <w:bookmarkEnd w:id="6"/>
            <w:r>
              <w:rPr>
                <w:rFonts w:hint="eastAsia" w:cs="宋体"/>
                <w:color w:val="000000" w:themeColor="text1"/>
                <w:kern w:val="0"/>
                <w:sz w:val="24"/>
                <w:szCs w:val="24"/>
                <w:highlight w:val="none"/>
                <w:lang w:val="en-US" w:eastAsia="zh-CN"/>
                <w14:textFill>
                  <w14:solidFill>
                    <w14:schemeClr w14:val="tx1"/>
                  </w14:solidFill>
                </w14:textFill>
              </w:rPr>
              <w:t>1、满足《中华人民共和国政府采购法》第二十二条规定</w:t>
            </w:r>
          </w:p>
          <w:p w14:paraId="2D4A092B">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cs="宋体"/>
                <w:color w:val="000000" w:themeColor="text1"/>
                <w:kern w:val="0"/>
                <w:sz w:val="24"/>
                <w:szCs w:val="24"/>
                <w:highlight w:val="none"/>
                <w:lang w:val="en-US" w:eastAsia="zh-CN"/>
                <w14:textFill>
                  <w14:solidFill>
                    <w14:schemeClr w14:val="tx1"/>
                  </w14:solidFill>
                </w14:textFill>
              </w:rPr>
            </w:pPr>
            <w:r>
              <w:rPr>
                <w:rFonts w:hint="eastAsia" w:cs="宋体"/>
                <w:color w:val="000000" w:themeColor="text1"/>
                <w:kern w:val="0"/>
                <w:sz w:val="24"/>
                <w:szCs w:val="24"/>
                <w:highlight w:val="none"/>
                <w:lang w:val="en-US" w:eastAsia="zh-CN"/>
                <w14:textFill>
                  <w14:solidFill>
                    <w14:schemeClr w14:val="tx1"/>
                  </w14:solidFill>
                </w14:textFill>
              </w:rPr>
              <w:t>2、落实政府采购政策需满足的资格要求：专门面向中小企业</w:t>
            </w:r>
          </w:p>
          <w:p w14:paraId="1DB9CFEE">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cs="宋体"/>
                <w:color w:val="000000" w:themeColor="text1"/>
                <w:kern w:val="0"/>
                <w:sz w:val="24"/>
                <w:szCs w:val="24"/>
                <w:highlight w:val="none"/>
                <w:lang w:val="en-US" w:eastAsia="zh-CN"/>
                <w14:textFill>
                  <w14:solidFill>
                    <w14:schemeClr w14:val="tx1"/>
                  </w14:solidFill>
                </w14:textFill>
              </w:rPr>
            </w:pPr>
            <w:r>
              <w:rPr>
                <w:rFonts w:hint="eastAsia" w:cs="宋体"/>
                <w:color w:val="000000" w:themeColor="text1"/>
                <w:kern w:val="0"/>
                <w:sz w:val="24"/>
                <w:szCs w:val="24"/>
                <w:highlight w:val="none"/>
                <w:lang w:val="en-US" w:eastAsia="zh-CN"/>
                <w14:textFill>
                  <w14:solidFill>
                    <w14:schemeClr w14:val="tx1"/>
                  </w14:solidFill>
                </w14:textFill>
              </w:rPr>
              <w:t>3.本项目的特定资格要求：(1)须具有有效的建筑工程施工总承包三级及以上资质、具有有效的安全生产许可证，并在人员、设备、资金等方面具有相应的施工能力；（2）项目负责人要求：应具备合格有效期内的建筑工程专业贰级以上（含）注册建造师执业资格、有效的安全生产考核合格证（B类），且未担任其他在施建设工程项目的项目负责人。</w:t>
            </w:r>
          </w:p>
          <w:p w14:paraId="00B1E4EF">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cs="宋体"/>
                <w:i w:val="0"/>
                <w:iCs w:val="0"/>
                <w:caps w:val="0"/>
                <w:color w:val="000000"/>
                <w:spacing w:val="0"/>
                <w:sz w:val="24"/>
                <w:szCs w:val="24"/>
                <w:lang w:val="en-US" w:eastAsia="zh-CN"/>
              </w:rPr>
            </w:pPr>
            <w:r>
              <w:rPr>
                <w:rFonts w:hint="eastAsia" w:cs="宋体"/>
                <w:color w:val="000000" w:themeColor="text1"/>
                <w:kern w:val="0"/>
                <w:sz w:val="24"/>
                <w:szCs w:val="24"/>
                <w:highlight w:val="none"/>
                <w:lang w:val="en-US" w:eastAsia="zh-CN"/>
                <w14:textFill>
                  <w14:solidFill>
                    <w14:schemeClr w14:val="tx1"/>
                  </w14:solidFill>
                </w14:textFill>
              </w:rPr>
              <w:t>其他要求：疆外企业若中标，中标后须提供有效的《新疆维吾尔自治区区外进疆建筑企业信息报送册》</w:t>
            </w:r>
          </w:p>
        </w:tc>
      </w:tr>
      <w:tr w14:paraId="44CA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68" w:type="dxa"/>
            <w:noWrap w:val="0"/>
            <w:vAlign w:val="center"/>
          </w:tcPr>
          <w:p w14:paraId="132BDDEB">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1341" w:type="dxa"/>
            <w:noWrap w:val="0"/>
            <w:vAlign w:val="center"/>
          </w:tcPr>
          <w:p w14:paraId="63BA5989">
            <w:pPr>
              <w:keepNext w:val="0"/>
              <w:keepLines w:val="0"/>
              <w:pageBreakBefore w:val="0"/>
              <w:shd w:val="solid" w:color="FFFFFF" w:fill="auto"/>
              <w:kinsoku/>
              <w:wordWrap/>
              <w:topLinePunct w:val="0"/>
              <w:autoSpaceDN w:val="0"/>
              <w:bidi w:val="0"/>
              <w:spacing w:line="400" w:lineRule="exact"/>
              <w:ind w:left="-140" w:leftChars="0" w:right="-155" w:rightChars="0" w:firstLine="0" w:firstLineChars="0"/>
              <w:jc w:val="center"/>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lang w:val="en-US" w:eastAsia="zh-CN"/>
              </w:rPr>
              <w:t>本项目采购标的中小企业划分所属行业</w:t>
            </w:r>
          </w:p>
        </w:tc>
        <w:tc>
          <w:tcPr>
            <w:tcW w:w="6555" w:type="dxa"/>
            <w:noWrap w:val="0"/>
            <w:vAlign w:val="center"/>
          </w:tcPr>
          <w:p w14:paraId="1AF5DC94">
            <w:pPr>
              <w:pStyle w:val="54"/>
              <w:keepNext w:val="0"/>
              <w:keepLines w:val="0"/>
              <w:pageBreakBefore w:val="0"/>
              <w:kinsoku/>
              <w:wordWrap/>
              <w:overflowPunct/>
              <w:topLinePunct w:val="0"/>
              <w:bidi w:val="0"/>
              <w:spacing w:beforeAutospacing="0" w:afterAutospacing="0" w:line="360" w:lineRule="exact"/>
              <w:ind w:left="0" w:leftChars="0" w:right="0" w:rightChars="0" w:firstLine="0" w:firstLineChars="0"/>
              <w:textAlignment w:val="auto"/>
              <w:rPr>
                <w:rFonts w:hint="eastAsia" w:ascii="宋体" w:hAnsi="宋体" w:eastAsia="宋体" w:cs="宋体"/>
                <w:color w:val="000000" w:themeColor="text1"/>
                <w:sz w:val="24"/>
                <w:szCs w:val="24"/>
                <w:highlight w:val="none"/>
                <w:lang w:val="zh-CN" w:eastAsia="zh-CN" w:bidi="zh-CN"/>
                <w14:textFill>
                  <w14:solidFill>
                    <w14:schemeClr w14:val="tx1"/>
                  </w14:solidFill>
                </w14:textFill>
              </w:rPr>
            </w:pPr>
            <w:r>
              <w:rPr>
                <w:rFonts w:hint="eastAsia" w:ascii="宋体" w:hAnsi="宋体" w:eastAsia="宋体" w:cs="宋体"/>
                <w:color w:val="auto"/>
                <w:kern w:val="2"/>
                <w:sz w:val="24"/>
                <w:szCs w:val="24"/>
                <w:lang w:val="en-US" w:eastAsia="zh-CN"/>
              </w:rPr>
              <w:t>建筑业</w:t>
            </w:r>
          </w:p>
        </w:tc>
      </w:tr>
      <w:tr w14:paraId="7B44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168" w:type="dxa"/>
            <w:noWrap w:val="0"/>
            <w:vAlign w:val="center"/>
          </w:tcPr>
          <w:p w14:paraId="0A5F7EA6">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1341" w:type="dxa"/>
            <w:noWrap w:val="0"/>
            <w:vAlign w:val="center"/>
          </w:tcPr>
          <w:p w14:paraId="60E8E96C">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center"/>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是否允许联合体投标</w:t>
            </w:r>
          </w:p>
        </w:tc>
        <w:tc>
          <w:tcPr>
            <w:tcW w:w="6555" w:type="dxa"/>
            <w:noWrap w:val="0"/>
            <w:vAlign w:val="center"/>
          </w:tcPr>
          <w:p w14:paraId="34EA08AB">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kern w:val="0"/>
                <w:sz w:val="24"/>
                <w:szCs w:val="24"/>
                <w:highlight w:val="none"/>
                <w:lang w:val="en-US" w:eastAsia="zh-CN"/>
              </w:rPr>
              <w:t xml:space="preserve"> 否    </w:t>
            </w:r>
          </w:p>
        </w:tc>
      </w:tr>
      <w:tr w14:paraId="0175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168" w:type="dxa"/>
            <w:noWrap w:val="0"/>
            <w:vAlign w:val="center"/>
          </w:tcPr>
          <w:p w14:paraId="417EF1CD">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p>
        </w:tc>
        <w:tc>
          <w:tcPr>
            <w:tcW w:w="1341" w:type="dxa"/>
            <w:noWrap w:val="0"/>
            <w:vAlign w:val="center"/>
          </w:tcPr>
          <w:p w14:paraId="48501AAA">
            <w:pPr>
              <w:keepNext w:val="0"/>
              <w:keepLines w:val="0"/>
              <w:pageBreakBefore w:val="0"/>
              <w:shd w:val="solid" w:color="FFFFFF" w:fill="auto"/>
              <w:kinsoku/>
              <w:wordWrap/>
              <w:topLinePunct w:val="0"/>
              <w:autoSpaceDN w:val="0"/>
              <w:bidi w:val="0"/>
              <w:spacing w:line="400" w:lineRule="exact"/>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是否专门面向中小企业</w:t>
            </w:r>
          </w:p>
        </w:tc>
        <w:tc>
          <w:tcPr>
            <w:tcW w:w="6555" w:type="dxa"/>
            <w:noWrap w:val="0"/>
            <w:vAlign w:val="center"/>
          </w:tcPr>
          <w:p w14:paraId="18827EE7">
            <w:pPr>
              <w:pStyle w:val="54"/>
              <w:keepNext w:val="0"/>
              <w:keepLines w:val="0"/>
              <w:pageBreakBefore w:val="0"/>
              <w:kinsoku/>
              <w:wordWrap/>
              <w:topLinePunct w:val="0"/>
              <w:bidi w:val="0"/>
              <w:spacing w:line="360" w:lineRule="exact"/>
              <w:ind w:right="0" w:rightChars="0"/>
              <w:textAlignment w:val="auto"/>
              <w:rPr>
                <w:rStyle w:val="57"/>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Fonts w:hint="eastAsia" w:cs="宋体"/>
                <w:color w:val="000000" w:themeColor="text1"/>
                <w:kern w:val="2"/>
                <w:sz w:val="24"/>
                <w:szCs w:val="24"/>
                <w:highlight w:val="none"/>
                <w:lang w:val="en-US" w:eastAsia="zh-CN"/>
                <w14:textFill>
                  <w14:solidFill>
                    <w14:schemeClr w14:val="tx1"/>
                  </w14:solidFill>
                </w14:textFill>
              </w:rPr>
              <w:t xml:space="preserve">是  </w:t>
            </w:r>
          </w:p>
        </w:tc>
      </w:tr>
      <w:tr w14:paraId="6A6D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168" w:type="dxa"/>
            <w:noWrap w:val="0"/>
            <w:vAlign w:val="center"/>
          </w:tcPr>
          <w:p w14:paraId="07589A5D">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w:t>
            </w:r>
          </w:p>
        </w:tc>
        <w:tc>
          <w:tcPr>
            <w:tcW w:w="1341" w:type="dxa"/>
            <w:noWrap w:val="0"/>
            <w:vAlign w:val="center"/>
          </w:tcPr>
          <w:p w14:paraId="74D240F6">
            <w:pPr>
              <w:adjustRightInd w:val="0"/>
              <w:snapToGrid w:val="0"/>
              <w:spacing w:line="440" w:lineRule="exact"/>
              <w:ind w:left="0" w:leftChars="0" w:right="-155"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是否允许分包</w:t>
            </w:r>
          </w:p>
        </w:tc>
        <w:tc>
          <w:tcPr>
            <w:tcW w:w="6555" w:type="dxa"/>
            <w:noWrap w:val="0"/>
            <w:vAlign w:val="center"/>
          </w:tcPr>
          <w:p w14:paraId="7E6531C0">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rPr>
                <w:rStyle w:val="57"/>
                <w:rFonts w:hint="default"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Style w:val="57"/>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t>否</w:t>
            </w:r>
          </w:p>
        </w:tc>
      </w:tr>
      <w:tr w14:paraId="1A27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168" w:type="dxa"/>
            <w:noWrap w:val="0"/>
            <w:vAlign w:val="center"/>
          </w:tcPr>
          <w:p w14:paraId="55A9D2FF">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9</w:t>
            </w:r>
          </w:p>
        </w:tc>
        <w:tc>
          <w:tcPr>
            <w:tcW w:w="1341" w:type="dxa"/>
            <w:noWrap w:val="0"/>
            <w:vAlign w:val="center"/>
          </w:tcPr>
          <w:p w14:paraId="670815EE">
            <w:pPr>
              <w:adjustRightInd w:val="0"/>
              <w:snapToGrid w:val="0"/>
              <w:spacing w:line="440" w:lineRule="exact"/>
              <w:ind w:left="0" w:leftChars="0" w:right="-155"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响应文件提交截止时间</w:t>
            </w:r>
          </w:p>
        </w:tc>
        <w:tc>
          <w:tcPr>
            <w:tcW w:w="6555" w:type="dxa"/>
            <w:noWrap w:val="0"/>
            <w:vAlign w:val="center"/>
          </w:tcPr>
          <w:p w14:paraId="4D169988">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auto"/>
                <w:spacing w:val="0"/>
                <w:kern w:val="0"/>
                <w:sz w:val="24"/>
                <w:szCs w:val="24"/>
                <w:highlight w:val="none"/>
                <w:lang w:val="en-US" w:eastAsia="zh-CN" w:bidi="ar"/>
              </w:rPr>
              <w:t>202</w:t>
            </w:r>
            <w:r>
              <w:rPr>
                <w:rFonts w:hint="eastAsia" w:cs="宋体"/>
                <w:i w:val="0"/>
                <w:iCs w:val="0"/>
                <w:caps w:val="0"/>
                <w:color w:val="auto"/>
                <w:spacing w:val="0"/>
                <w:kern w:val="0"/>
                <w:sz w:val="24"/>
                <w:szCs w:val="24"/>
                <w:highlight w:val="none"/>
                <w:lang w:val="en-US" w:eastAsia="zh-CN" w:bidi="ar"/>
              </w:rPr>
              <w:t>6</w:t>
            </w:r>
            <w:r>
              <w:rPr>
                <w:rFonts w:hint="eastAsia" w:ascii="宋体" w:hAnsi="宋体" w:eastAsia="宋体" w:cs="宋体"/>
                <w:i w:val="0"/>
                <w:iCs w:val="0"/>
                <w:caps w:val="0"/>
                <w:color w:val="auto"/>
                <w:spacing w:val="0"/>
                <w:kern w:val="0"/>
                <w:sz w:val="24"/>
                <w:szCs w:val="24"/>
                <w:highlight w:val="none"/>
                <w:lang w:val="en-US" w:eastAsia="zh-CN" w:bidi="ar"/>
              </w:rPr>
              <w:t>年</w:t>
            </w:r>
            <w:r>
              <w:rPr>
                <w:rFonts w:hint="eastAsia" w:cs="宋体"/>
                <w:i w:val="0"/>
                <w:iCs w:val="0"/>
                <w:caps w:val="0"/>
                <w:color w:val="auto"/>
                <w:spacing w:val="0"/>
                <w:kern w:val="0"/>
                <w:sz w:val="24"/>
                <w:szCs w:val="24"/>
                <w:highlight w:val="none"/>
                <w:lang w:val="en-US" w:eastAsia="zh-CN" w:bidi="ar"/>
              </w:rPr>
              <w:t>06</w:t>
            </w:r>
            <w:r>
              <w:rPr>
                <w:rFonts w:hint="eastAsia" w:ascii="宋体" w:hAnsi="宋体" w:eastAsia="宋体" w:cs="宋体"/>
                <w:i w:val="0"/>
                <w:iCs w:val="0"/>
                <w:caps w:val="0"/>
                <w:color w:val="auto"/>
                <w:spacing w:val="0"/>
                <w:kern w:val="0"/>
                <w:sz w:val="24"/>
                <w:szCs w:val="24"/>
                <w:highlight w:val="none"/>
                <w:lang w:val="en-US" w:eastAsia="zh-CN" w:bidi="ar"/>
              </w:rPr>
              <w:t>月</w:t>
            </w:r>
            <w:r>
              <w:rPr>
                <w:rFonts w:hint="eastAsia" w:cs="宋体"/>
                <w:i w:val="0"/>
                <w:iCs w:val="0"/>
                <w:caps w:val="0"/>
                <w:color w:val="auto"/>
                <w:spacing w:val="0"/>
                <w:kern w:val="0"/>
                <w:sz w:val="24"/>
                <w:szCs w:val="24"/>
                <w:highlight w:val="none"/>
                <w:lang w:val="en-US" w:eastAsia="zh-CN" w:bidi="ar"/>
              </w:rPr>
              <w:t>23</w:t>
            </w:r>
            <w:r>
              <w:rPr>
                <w:rFonts w:hint="eastAsia" w:ascii="宋体" w:hAnsi="宋体" w:eastAsia="宋体" w:cs="宋体"/>
                <w:i w:val="0"/>
                <w:iCs w:val="0"/>
                <w:caps w:val="0"/>
                <w:color w:val="auto"/>
                <w:spacing w:val="0"/>
                <w:kern w:val="0"/>
                <w:sz w:val="24"/>
                <w:szCs w:val="24"/>
                <w:highlight w:val="none"/>
                <w:lang w:val="en-US" w:eastAsia="zh-CN" w:bidi="ar"/>
              </w:rPr>
              <w:t>日</w:t>
            </w:r>
            <w:r>
              <w:rPr>
                <w:rFonts w:hint="eastAsia" w:cs="宋体"/>
                <w:i w:val="0"/>
                <w:iCs w:val="0"/>
                <w:caps w:val="0"/>
                <w:color w:val="auto"/>
                <w:spacing w:val="0"/>
                <w:kern w:val="0"/>
                <w:sz w:val="24"/>
                <w:szCs w:val="24"/>
                <w:highlight w:val="none"/>
                <w:lang w:val="en-US" w:eastAsia="zh-CN" w:bidi="ar"/>
              </w:rPr>
              <w:t>17</w:t>
            </w:r>
            <w:r>
              <w:rPr>
                <w:rFonts w:hint="eastAsia" w:ascii="宋体" w:hAnsi="宋体" w:eastAsia="宋体" w:cs="宋体"/>
                <w:i w:val="0"/>
                <w:iCs w:val="0"/>
                <w:caps w:val="0"/>
                <w:color w:val="auto"/>
                <w:spacing w:val="0"/>
                <w:kern w:val="0"/>
                <w:sz w:val="24"/>
                <w:szCs w:val="24"/>
                <w:highlight w:val="none"/>
                <w:lang w:val="en-US" w:eastAsia="zh-CN" w:bidi="ar"/>
              </w:rPr>
              <w:t>:</w:t>
            </w:r>
            <w:r>
              <w:rPr>
                <w:rFonts w:hint="eastAsia" w:cs="宋体"/>
                <w:i w:val="0"/>
                <w:iCs w:val="0"/>
                <w:caps w:val="0"/>
                <w:color w:val="auto"/>
                <w:spacing w:val="0"/>
                <w:kern w:val="0"/>
                <w:sz w:val="24"/>
                <w:szCs w:val="24"/>
                <w:highlight w:val="none"/>
                <w:lang w:val="en-US" w:eastAsia="zh-CN" w:bidi="ar"/>
              </w:rPr>
              <w:t>0</w:t>
            </w:r>
            <w:r>
              <w:rPr>
                <w:rFonts w:hint="eastAsia" w:ascii="宋体" w:hAnsi="宋体" w:eastAsia="宋体" w:cs="宋体"/>
                <w:i w:val="0"/>
                <w:iCs w:val="0"/>
                <w:caps w:val="0"/>
                <w:color w:val="auto"/>
                <w:spacing w:val="0"/>
                <w:kern w:val="0"/>
                <w:sz w:val="24"/>
                <w:szCs w:val="24"/>
                <w:highlight w:val="none"/>
                <w:lang w:val="en-US" w:eastAsia="zh-CN" w:bidi="ar"/>
              </w:rPr>
              <w:t>0</w:t>
            </w:r>
            <w:r>
              <w:rPr>
                <w:rFonts w:hint="eastAsia" w:asciiTheme="minorEastAsia" w:hAnsiTheme="minorEastAsia" w:eastAsiaTheme="minorEastAsia" w:cstheme="minorEastAsia"/>
                <w:sz w:val="24"/>
                <w:szCs w:val="24"/>
                <w:highlight w:val="none"/>
              </w:rPr>
              <w:t>（北京时间）</w:t>
            </w:r>
          </w:p>
        </w:tc>
      </w:tr>
      <w:tr w14:paraId="0DD2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546C4362">
            <w:pPr>
              <w:pStyle w:val="31"/>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w:t>
            </w:r>
          </w:p>
        </w:tc>
        <w:tc>
          <w:tcPr>
            <w:tcW w:w="1341" w:type="dxa"/>
            <w:noWrap w:val="0"/>
            <w:vAlign w:val="center"/>
          </w:tcPr>
          <w:p w14:paraId="3C9025D3">
            <w:pPr>
              <w:adjustRightInd w:val="0"/>
              <w:snapToGrid w:val="0"/>
              <w:spacing w:line="440" w:lineRule="exact"/>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sz w:val="24"/>
                <w:szCs w:val="24"/>
                <w:highlight w:val="none"/>
              </w:rPr>
              <w:t>磋商时间、地点</w:t>
            </w:r>
          </w:p>
        </w:tc>
        <w:tc>
          <w:tcPr>
            <w:tcW w:w="6555" w:type="dxa"/>
            <w:noWrap w:val="0"/>
            <w:vAlign w:val="center"/>
          </w:tcPr>
          <w:p w14:paraId="71889145">
            <w:pPr>
              <w:pStyle w:val="50"/>
              <w:keepNext w:val="0"/>
              <w:keepLines w:val="0"/>
              <w:pageBreakBefore w:val="0"/>
              <w:kinsoku/>
              <w:wordWrap/>
              <w:overflowPunct/>
              <w:topLinePunct w:val="0"/>
              <w:bidi w:val="0"/>
              <w:spacing w:before="0" w:beforeAutospacing="0" w:after="0" w:afterAutospacing="0" w:line="360" w:lineRule="exact"/>
              <w:ind w:left="0" w:right="0" w:rightChars="0" w:firstLine="0" w:firstLineChars="0"/>
              <w:rPr>
                <w:rStyle w:val="57"/>
                <w:rFonts w:asciiTheme="minorEastAsia" w:hAnsiTheme="minorEastAsia" w:eastAsiaTheme="minorEastAsia" w:cstheme="minorEastAsia"/>
                <w:b w:val="0"/>
                <w:sz w:val="24"/>
                <w:szCs w:val="24"/>
                <w:highlight w:val="none"/>
              </w:rPr>
            </w:pPr>
            <w:r>
              <w:rPr>
                <w:rStyle w:val="57"/>
                <w:rFonts w:hint="eastAsia" w:asciiTheme="minorEastAsia" w:hAnsiTheme="minorEastAsia" w:eastAsiaTheme="minorEastAsia" w:cstheme="minorEastAsia"/>
                <w:b w:val="0"/>
                <w:sz w:val="24"/>
                <w:szCs w:val="24"/>
                <w:highlight w:val="none"/>
              </w:rPr>
              <w:t>☑采用不见面开标</w:t>
            </w:r>
          </w:p>
          <w:p w14:paraId="7C10DB45">
            <w:pPr>
              <w:keepNext w:val="0"/>
              <w:keepLines w:val="0"/>
              <w:pageBreakBefore w:val="0"/>
              <w:kinsoku/>
              <w:wordWrap/>
              <w:overflowPunct/>
              <w:topLinePunct w:val="0"/>
              <w:bidi w:val="0"/>
              <w:spacing w:before="0" w:beforeAutospacing="0" w:after="0" w:afterAutospacing="0" w:line="360" w:lineRule="exact"/>
              <w:ind w:left="0" w:right="0" w:rightChars="0"/>
              <w:textAlignment w:val="baseline"/>
              <w:rPr>
                <w:rStyle w:val="57"/>
                <w:rFonts w:asciiTheme="minorEastAsia" w:hAnsiTheme="minorEastAsia" w:eastAsiaTheme="minorEastAsia" w:cstheme="minorEastAsia"/>
                <w:b w:val="0"/>
                <w:sz w:val="24"/>
                <w:szCs w:val="24"/>
                <w:highlight w:val="none"/>
              </w:rPr>
            </w:pPr>
            <w:r>
              <w:rPr>
                <w:rStyle w:val="57"/>
                <w:rFonts w:hint="eastAsia" w:asciiTheme="minorEastAsia" w:hAnsiTheme="minorEastAsia" w:eastAsiaTheme="minorEastAsia" w:cstheme="minorEastAsia"/>
                <w:b w:val="0"/>
                <w:sz w:val="24"/>
                <w:szCs w:val="24"/>
                <w:highlight w:val="none"/>
              </w:rPr>
              <w:t>磋商时间：</w:t>
            </w:r>
            <w:r>
              <w:rPr>
                <w:rFonts w:hint="eastAsia" w:ascii="宋体" w:hAnsi="宋体" w:eastAsia="宋体" w:cs="宋体"/>
                <w:i w:val="0"/>
                <w:iCs w:val="0"/>
                <w:caps w:val="0"/>
                <w:color w:val="auto"/>
                <w:spacing w:val="0"/>
                <w:kern w:val="0"/>
                <w:sz w:val="24"/>
                <w:szCs w:val="24"/>
                <w:highlight w:val="none"/>
                <w:lang w:val="en-US" w:eastAsia="zh-CN" w:bidi="ar"/>
              </w:rPr>
              <w:t>202</w:t>
            </w:r>
            <w:r>
              <w:rPr>
                <w:rFonts w:hint="eastAsia" w:cs="宋体"/>
                <w:i w:val="0"/>
                <w:iCs w:val="0"/>
                <w:caps w:val="0"/>
                <w:color w:val="auto"/>
                <w:spacing w:val="0"/>
                <w:kern w:val="0"/>
                <w:sz w:val="24"/>
                <w:szCs w:val="24"/>
                <w:highlight w:val="none"/>
                <w:lang w:val="en-US" w:eastAsia="zh-CN" w:bidi="ar"/>
              </w:rPr>
              <w:t>6</w:t>
            </w:r>
            <w:r>
              <w:rPr>
                <w:rFonts w:hint="eastAsia" w:ascii="宋体" w:hAnsi="宋体" w:eastAsia="宋体" w:cs="宋体"/>
                <w:i w:val="0"/>
                <w:iCs w:val="0"/>
                <w:caps w:val="0"/>
                <w:color w:val="auto"/>
                <w:spacing w:val="0"/>
                <w:kern w:val="0"/>
                <w:sz w:val="24"/>
                <w:szCs w:val="24"/>
                <w:highlight w:val="none"/>
                <w:lang w:val="en-US" w:eastAsia="zh-CN" w:bidi="ar"/>
              </w:rPr>
              <w:t>年</w:t>
            </w:r>
            <w:r>
              <w:rPr>
                <w:rFonts w:hint="eastAsia" w:cs="宋体"/>
                <w:i w:val="0"/>
                <w:iCs w:val="0"/>
                <w:caps w:val="0"/>
                <w:color w:val="auto"/>
                <w:spacing w:val="0"/>
                <w:kern w:val="0"/>
                <w:sz w:val="24"/>
                <w:szCs w:val="24"/>
                <w:highlight w:val="none"/>
                <w:lang w:val="en-US" w:eastAsia="zh-CN" w:bidi="ar"/>
              </w:rPr>
              <w:t>06</w:t>
            </w:r>
            <w:r>
              <w:rPr>
                <w:rFonts w:hint="eastAsia" w:ascii="宋体" w:hAnsi="宋体" w:eastAsia="宋体" w:cs="宋体"/>
                <w:i w:val="0"/>
                <w:iCs w:val="0"/>
                <w:caps w:val="0"/>
                <w:color w:val="auto"/>
                <w:spacing w:val="0"/>
                <w:kern w:val="0"/>
                <w:sz w:val="24"/>
                <w:szCs w:val="24"/>
                <w:highlight w:val="none"/>
                <w:lang w:val="en-US" w:eastAsia="zh-CN" w:bidi="ar"/>
              </w:rPr>
              <w:t>月</w:t>
            </w:r>
            <w:r>
              <w:rPr>
                <w:rFonts w:hint="eastAsia" w:cs="宋体"/>
                <w:i w:val="0"/>
                <w:iCs w:val="0"/>
                <w:caps w:val="0"/>
                <w:color w:val="auto"/>
                <w:spacing w:val="0"/>
                <w:kern w:val="0"/>
                <w:sz w:val="24"/>
                <w:szCs w:val="24"/>
                <w:highlight w:val="none"/>
                <w:lang w:val="en-US" w:eastAsia="zh-CN" w:bidi="ar"/>
              </w:rPr>
              <w:t>23</w:t>
            </w:r>
            <w:r>
              <w:rPr>
                <w:rFonts w:hint="eastAsia" w:ascii="宋体" w:hAnsi="宋体" w:eastAsia="宋体" w:cs="宋体"/>
                <w:i w:val="0"/>
                <w:iCs w:val="0"/>
                <w:caps w:val="0"/>
                <w:color w:val="auto"/>
                <w:spacing w:val="0"/>
                <w:kern w:val="0"/>
                <w:sz w:val="24"/>
                <w:szCs w:val="24"/>
                <w:highlight w:val="none"/>
                <w:lang w:val="en-US" w:eastAsia="zh-CN" w:bidi="ar"/>
              </w:rPr>
              <w:t>日</w:t>
            </w:r>
            <w:r>
              <w:rPr>
                <w:rFonts w:hint="eastAsia" w:cs="宋体"/>
                <w:i w:val="0"/>
                <w:iCs w:val="0"/>
                <w:caps w:val="0"/>
                <w:color w:val="auto"/>
                <w:spacing w:val="0"/>
                <w:kern w:val="0"/>
                <w:sz w:val="24"/>
                <w:szCs w:val="24"/>
                <w:highlight w:val="none"/>
                <w:lang w:val="en-US" w:eastAsia="zh-CN" w:bidi="ar"/>
              </w:rPr>
              <w:t>17</w:t>
            </w:r>
            <w:r>
              <w:rPr>
                <w:rFonts w:hint="eastAsia" w:ascii="宋体" w:hAnsi="宋体" w:eastAsia="宋体" w:cs="宋体"/>
                <w:i w:val="0"/>
                <w:iCs w:val="0"/>
                <w:caps w:val="0"/>
                <w:color w:val="auto"/>
                <w:spacing w:val="0"/>
                <w:kern w:val="0"/>
                <w:sz w:val="24"/>
                <w:szCs w:val="24"/>
                <w:highlight w:val="none"/>
                <w:lang w:val="en-US" w:eastAsia="zh-CN" w:bidi="ar"/>
              </w:rPr>
              <w:t>:</w:t>
            </w:r>
            <w:r>
              <w:rPr>
                <w:rFonts w:hint="eastAsia" w:cs="宋体"/>
                <w:i w:val="0"/>
                <w:iCs w:val="0"/>
                <w:caps w:val="0"/>
                <w:color w:val="auto"/>
                <w:spacing w:val="0"/>
                <w:kern w:val="0"/>
                <w:sz w:val="24"/>
                <w:szCs w:val="24"/>
                <w:highlight w:val="none"/>
                <w:lang w:val="en-US" w:eastAsia="zh-CN" w:bidi="ar"/>
              </w:rPr>
              <w:t>0</w:t>
            </w:r>
            <w:r>
              <w:rPr>
                <w:rFonts w:hint="eastAsia" w:ascii="宋体" w:hAnsi="宋体" w:eastAsia="宋体" w:cs="宋体"/>
                <w:i w:val="0"/>
                <w:iCs w:val="0"/>
                <w:caps w:val="0"/>
                <w:color w:val="auto"/>
                <w:spacing w:val="0"/>
                <w:kern w:val="0"/>
                <w:sz w:val="24"/>
                <w:szCs w:val="24"/>
                <w:highlight w:val="none"/>
                <w:lang w:val="en-US" w:eastAsia="zh-CN" w:bidi="ar"/>
              </w:rPr>
              <w:t>0</w:t>
            </w:r>
            <w:r>
              <w:rPr>
                <w:rStyle w:val="57"/>
                <w:rFonts w:hint="eastAsia" w:asciiTheme="minorEastAsia" w:hAnsiTheme="minorEastAsia" w:eastAsiaTheme="minorEastAsia" w:cstheme="minorEastAsia"/>
                <w:b w:val="0"/>
                <w:sz w:val="24"/>
                <w:szCs w:val="24"/>
                <w:highlight w:val="none"/>
              </w:rPr>
              <w:t>（北京时间）</w:t>
            </w:r>
          </w:p>
          <w:p w14:paraId="6DDC729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Style w:val="57"/>
                <w:rFonts w:hint="eastAsia" w:asciiTheme="minorEastAsia" w:hAnsiTheme="minorEastAsia" w:eastAsiaTheme="minorEastAsia" w:cstheme="minorEastAsia"/>
                <w:b w:val="0"/>
                <w:sz w:val="24"/>
                <w:szCs w:val="24"/>
                <w:highlight w:val="none"/>
              </w:rPr>
              <w:t>磋商地点：本项目采用不见面开标，供应商需要递交加密的电子响应文件，在磋商截止时间前通过新疆政府采购云平台https://www.zcygov.cn/开标系统上传到指定位置。逾期未上传的或不符合规定的响应文件将被拒绝接收。</w:t>
            </w:r>
          </w:p>
        </w:tc>
      </w:tr>
      <w:tr w14:paraId="4A99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68" w:type="dxa"/>
            <w:noWrap w:val="0"/>
            <w:vAlign w:val="center"/>
          </w:tcPr>
          <w:p w14:paraId="60EBFF26">
            <w:pPr>
              <w:pStyle w:val="31"/>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p>
        </w:tc>
        <w:tc>
          <w:tcPr>
            <w:tcW w:w="1341" w:type="dxa"/>
            <w:noWrap w:val="0"/>
            <w:vAlign w:val="center"/>
          </w:tcPr>
          <w:p w14:paraId="4FD2D3A0">
            <w:pPr>
              <w:adjustRightInd w:val="0"/>
              <w:snapToGrid w:val="0"/>
              <w:spacing w:line="440" w:lineRule="exact"/>
              <w:ind w:left="0" w:leftChars="0" w:right="0" w:rightChars="0"/>
              <w:jc w:val="center"/>
              <w:rPr>
                <w:rFonts w:hint="eastAsia" w:ascii="宋体" w:hAnsi="宋体" w:eastAsia="宋体" w:cs="宋体"/>
                <w:color w:val="auto"/>
                <w:kern w:val="0"/>
                <w:sz w:val="24"/>
                <w:szCs w:val="24"/>
                <w:highlight w:val="none"/>
                <w:lang w:val="en-US" w:eastAsia="zh-CN"/>
              </w:rPr>
            </w:pPr>
            <w:r>
              <w:rPr>
                <w:rFonts w:hint="eastAsia" w:asciiTheme="minorEastAsia" w:hAnsiTheme="minorEastAsia" w:eastAsiaTheme="minorEastAsia" w:cstheme="minorEastAsia"/>
                <w:b/>
                <w:bCs/>
                <w:sz w:val="24"/>
                <w:szCs w:val="24"/>
                <w:highlight w:val="none"/>
              </w:rPr>
              <w:t>磋商保证金</w:t>
            </w:r>
            <w:r>
              <w:rPr>
                <w:rFonts w:hint="eastAsia" w:asciiTheme="minorEastAsia" w:hAnsiTheme="minorEastAsia" w:eastAsiaTheme="minorEastAsia" w:cstheme="minorEastAsia"/>
                <w:b/>
                <w:bCs/>
                <w:sz w:val="24"/>
                <w:szCs w:val="24"/>
                <w:highlight w:val="none"/>
                <w:lang w:val="en-US" w:eastAsia="zh-CN"/>
              </w:rPr>
              <w:t>缴纳方式</w:t>
            </w:r>
          </w:p>
        </w:tc>
        <w:tc>
          <w:tcPr>
            <w:tcW w:w="6555" w:type="dxa"/>
            <w:noWrap w:val="0"/>
            <w:vAlign w:val="center"/>
          </w:tcPr>
          <w:p w14:paraId="1F866545">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en-US" w:eastAsia="zh-CN" w:bidi="ar-SA"/>
              </w:rPr>
              <w:t>投</w:t>
            </w:r>
            <w:r>
              <w:rPr>
                <w:rFonts w:hint="eastAsia" w:asciiTheme="minorEastAsia" w:hAnsiTheme="minorEastAsia" w:eastAsiaTheme="minorEastAsia" w:cstheme="minorEastAsia"/>
                <w:b/>
                <w:bCs/>
                <w:color w:val="auto"/>
                <w:kern w:val="2"/>
                <w:sz w:val="24"/>
                <w:szCs w:val="24"/>
                <w:lang w:val="zh-CN" w:eastAsia="zh-CN" w:bidi="ar-SA"/>
              </w:rPr>
              <w:t>标保证金</w:t>
            </w:r>
            <w:r>
              <w:rPr>
                <w:rFonts w:hint="eastAsia" w:asciiTheme="minorEastAsia" w:hAnsiTheme="minorEastAsia" w:eastAsiaTheme="minorEastAsia" w:cstheme="minorEastAsia"/>
                <w:b/>
                <w:bCs/>
                <w:color w:val="auto"/>
                <w:kern w:val="2"/>
                <w:sz w:val="24"/>
                <w:szCs w:val="24"/>
                <w:highlight w:val="none"/>
                <w:lang w:val="zh-CN" w:eastAsia="zh-CN" w:bidi="ar-SA"/>
              </w:rPr>
              <w:t>金额：人民币</w:t>
            </w:r>
            <w:r>
              <w:rPr>
                <w:rFonts w:hint="eastAsia" w:asciiTheme="minorEastAsia" w:hAnsiTheme="minorEastAsia" w:eastAsiaTheme="minorEastAsia" w:cstheme="minorEastAsia"/>
                <w:b/>
                <w:bCs/>
                <w:color w:val="auto"/>
                <w:kern w:val="2"/>
                <w:sz w:val="24"/>
                <w:szCs w:val="24"/>
                <w:highlight w:val="none"/>
                <w:lang w:val="en-US" w:eastAsia="zh-CN" w:bidi="ar-SA"/>
              </w:rPr>
              <w:t>陆万</w:t>
            </w:r>
            <w:r>
              <w:rPr>
                <w:rFonts w:hint="eastAsia" w:asciiTheme="minorEastAsia" w:hAnsiTheme="minorEastAsia" w:eastAsiaTheme="minorEastAsia" w:cstheme="minorEastAsia"/>
                <w:b/>
                <w:bCs/>
                <w:color w:val="auto"/>
                <w:kern w:val="2"/>
                <w:sz w:val="24"/>
                <w:szCs w:val="24"/>
                <w:highlight w:val="none"/>
                <w:lang w:val="zh-CN" w:eastAsia="zh-CN" w:bidi="ar-SA"/>
              </w:rPr>
              <w:t>元整（</w:t>
            </w:r>
            <w:r>
              <w:rPr>
                <w:rFonts w:hint="eastAsia" w:asciiTheme="minorEastAsia" w:hAnsiTheme="minorEastAsia" w:eastAsiaTheme="minorEastAsia" w:cstheme="minorEastAsia"/>
                <w:b/>
                <w:bCs/>
                <w:color w:val="auto"/>
                <w:kern w:val="2"/>
                <w:sz w:val="24"/>
                <w:szCs w:val="24"/>
                <w:highlight w:val="none"/>
                <w:lang w:val="en-US" w:eastAsia="zh-CN" w:bidi="ar-SA"/>
              </w:rPr>
              <w:t>600</w:t>
            </w:r>
            <w:r>
              <w:rPr>
                <w:rFonts w:hint="eastAsia" w:asciiTheme="minorEastAsia" w:hAnsiTheme="minorEastAsia" w:eastAsiaTheme="minorEastAsia" w:cstheme="minorEastAsia"/>
                <w:b/>
                <w:bCs/>
                <w:color w:val="auto"/>
                <w:kern w:val="2"/>
                <w:sz w:val="24"/>
                <w:szCs w:val="24"/>
                <w:highlight w:val="none"/>
                <w:lang w:val="zh-CN" w:eastAsia="zh-CN" w:bidi="ar-SA"/>
              </w:rPr>
              <w:t>00.00元整）</w:t>
            </w:r>
          </w:p>
          <w:p w14:paraId="24F9A5FE">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保证金形式：支票、汇票、本票、网上银行支付或者金融机构、担保机构出具的保函等政府采购法律法规中要求的非现金形式；</w:t>
            </w:r>
          </w:p>
          <w:p w14:paraId="70E5E61F">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en-US" w:eastAsia="zh-CN" w:bidi="ar-SA"/>
              </w:rPr>
              <w:t>（1）若采用电汇或转账：</w:t>
            </w:r>
            <w:r>
              <w:rPr>
                <w:rFonts w:hint="eastAsia" w:asciiTheme="minorEastAsia" w:hAnsiTheme="minorEastAsia" w:eastAsiaTheme="minorEastAsia" w:cstheme="minorEastAsia"/>
                <w:b/>
                <w:bCs/>
                <w:color w:val="auto"/>
                <w:kern w:val="2"/>
                <w:sz w:val="24"/>
                <w:szCs w:val="24"/>
                <w:lang w:val="zh-CN" w:eastAsia="zh-CN" w:bidi="ar-SA"/>
              </w:rPr>
              <w:t>投标保证金于投标时间截止之前（北京时间，以到账时间为准）从投标人基本账户以网银或银行电汇形式汇至本公司账户，否则响应文件将</w:t>
            </w:r>
            <w:r>
              <w:rPr>
                <w:rFonts w:hint="eastAsia" w:asciiTheme="minorEastAsia" w:hAnsiTheme="minorEastAsia" w:eastAsiaTheme="minorEastAsia" w:cstheme="minorEastAsia"/>
                <w:b/>
                <w:bCs/>
                <w:color w:val="auto"/>
                <w:kern w:val="2"/>
                <w:sz w:val="24"/>
                <w:szCs w:val="24"/>
                <w:lang w:val="en-US" w:eastAsia="zh-CN" w:bidi="ar-SA"/>
              </w:rPr>
              <w:t>视为无效投标</w:t>
            </w:r>
            <w:r>
              <w:rPr>
                <w:rFonts w:hint="eastAsia" w:asciiTheme="minorEastAsia" w:hAnsiTheme="minorEastAsia" w:eastAsiaTheme="minorEastAsia" w:cstheme="minorEastAsia"/>
                <w:b/>
                <w:bCs/>
                <w:color w:val="auto"/>
                <w:kern w:val="2"/>
                <w:sz w:val="24"/>
                <w:szCs w:val="24"/>
                <w:lang w:val="zh-CN" w:eastAsia="zh-CN" w:bidi="ar-SA"/>
              </w:rPr>
              <w:t>。投标人提交投标保证金应充分考虑资金在途时间。汇（转）款时，应在用途栏（备注栏）准确注明“（简写项目名称）投标保证金”字样。</w:t>
            </w:r>
          </w:p>
          <w:p w14:paraId="7388FCD4">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户名：新疆华域天恒工程管理有限公司</w:t>
            </w:r>
          </w:p>
          <w:p w14:paraId="397D3A0A">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 xml:space="preserve">开户银行：中国农业银行股份有限公司吐鲁番高昌支行  </w:t>
            </w:r>
          </w:p>
          <w:p w14:paraId="1F9EEAEE">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 xml:space="preserve">帐号：3026 5301 0400 1229 8     </w:t>
            </w:r>
          </w:p>
          <w:p w14:paraId="718577C6">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行号：1038 8302 6535</w:t>
            </w:r>
          </w:p>
          <w:p w14:paraId="65EC964A">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（2）若采用保函形式：采用保函形式应按以下要求办理：</w:t>
            </w:r>
            <w:r>
              <w:rPr>
                <w:rFonts w:hint="eastAsia" w:asciiTheme="minorEastAsia" w:hAnsiTheme="minorEastAsia" w:eastAsiaTheme="minorEastAsia" w:cstheme="minorEastAsia"/>
                <w:b/>
                <w:bCs/>
                <w:color w:val="auto"/>
                <w:kern w:val="2"/>
                <w:sz w:val="24"/>
                <w:szCs w:val="24"/>
                <w:lang w:val="zh-CN" w:eastAsia="zh-CN" w:bidi="ar-SA"/>
              </w:rPr>
              <w:t>1、</w:t>
            </w:r>
            <w:r>
              <w:rPr>
                <w:rFonts w:hint="eastAsia" w:asciiTheme="minorEastAsia" w:hAnsiTheme="minorEastAsia" w:eastAsiaTheme="minorEastAsia" w:cstheme="minorEastAsia"/>
                <w:b/>
                <w:bCs/>
                <w:color w:val="auto"/>
                <w:kern w:val="2"/>
                <w:sz w:val="24"/>
                <w:szCs w:val="24"/>
                <w:lang w:val="en-US" w:eastAsia="zh-CN" w:bidi="ar-SA"/>
              </w:rPr>
              <w:t>保函须在磋商文件规定的投标截止时间前办理完成；2.</w:t>
            </w:r>
            <w:r>
              <w:rPr>
                <w:rFonts w:hint="eastAsia" w:asciiTheme="minorEastAsia" w:hAnsiTheme="minorEastAsia" w:eastAsiaTheme="minorEastAsia" w:cstheme="minorEastAsia"/>
                <w:b/>
                <w:bCs/>
                <w:color w:val="auto"/>
                <w:kern w:val="2"/>
                <w:sz w:val="24"/>
                <w:szCs w:val="24"/>
                <w:lang w:val="zh-CN" w:eastAsia="zh-CN" w:bidi="ar-SA"/>
              </w:rPr>
              <w:t>保函金额不得少于保证金金额；</w:t>
            </w:r>
            <w:r>
              <w:rPr>
                <w:rFonts w:hint="eastAsia" w:asciiTheme="minorEastAsia" w:hAnsiTheme="minorEastAsia" w:eastAsiaTheme="minorEastAsia" w:cstheme="minorEastAsia"/>
                <w:b/>
                <w:bCs/>
                <w:color w:val="auto"/>
                <w:kern w:val="2"/>
                <w:sz w:val="24"/>
                <w:szCs w:val="24"/>
                <w:lang w:val="en-US" w:eastAsia="zh-CN" w:bidi="ar-SA"/>
              </w:rPr>
              <w:t>3</w:t>
            </w:r>
            <w:r>
              <w:rPr>
                <w:rFonts w:hint="eastAsia" w:asciiTheme="minorEastAsia" w:hAnsiTheme="minorEastAsia" w:eastAsiaTheme="minorEastAsia" w:cstheme="minorEastAsia"/>
                <w:b/>
                <w:bCs/>
                <w:color w:val="auto"/>
                <w:kern w:val="2"/>
                <w:sz w:val="24"/>
                <w:szCs w:val="24"/>
                <w:lang w:val="zh-CN" w:eastAsia="zh-CN" w:bidi="ar-SA"/>
              </w:rPr>
              <w:t>、保函的有效期不得少于本项目投标有效期；</w:t>
            </w:r>
            <w:r>
              <w:rPr>
                <w:rFonts w:hint="eastAsia" w:asciiTheme="minorEastAsia" w:hAnsiTheme="minorEastAsia" w:eastAsiaTheme="minorEastAsia" w:cstheme="minorEastAsia"/>
                <w:b/>
                <w:bCs/>
                <w:color w:val="auto"/>
                <w:kern w:val="2"/>
                <w:sz w:val="24"/>
                <w:szCs w:val="24"/>
                <w:lang w:val="en-US" w:eastAsia="zh-CN" w:bidi="ar-SA"/>
              </w:rPr>
              <w:t>4</w:t>
            </w:r>
            <w:r>
              <w:rPr>
                <w:rFonts w:hint="eastAsia" w:asciiTheme="minorEastAsia" w:hAnsiTheme="minorEastAsia" w:eastAsiaTheme="minorEastAsia" w:cstheme="minorEastAsia"/>
                <w:b/>
                <w:bCs/>
                <w:color w:val="auto"/>
                <w:kern w:val="2"/>
                <w:sz w:val="24"/>
                <w:szCs w:val="24"/>
                <w:lang w:val="zh-CN" w:eastAsia="zh-CN" w:bidi="ar-SA"/>
              </w:rPr>
              <w:t>、保函应是针对本项目开具的；</w:t>
            </w:r>
            <w:r>
              <w:rPr>
                <w:rFonts w:hint="eastAsia" w:asciiTheme="minorEastAsia" w:hAnsiTheme="minorEastAsia" w:eastAsiaTheme="minorEastAsia" w:cstheme="minorEastAsia"/>
                <w:b/>
                <w:bCs/>
                <w:color w:val="auto"/>
                <w:kern w:val="2"/>
                <w:sz w:val="24"/>
                <w:szCs w:val="24"/>
                <w:lang w:val="en-US" w:eastAsia="zh-CN" w:bidi="ar-SA"/>
              </w:rPr>
              <w:t>5、</w:t>
            </w:r>
            <w:r>
              <w:rPr>
                <w:rFonts w:hint="eastAsia" w:asciiTheme="minorEastAsia" w:hAnsiTheme="minorEastAsia" w:eastAsiaTheme="minorEastAsia" w:cstheme="minorEastAsia"/>
                <w:b/>
                <w:bCs/>
                <w:color w:val="auto"/>
                <w:kern w:val="2"/>
                <w:sz w:val="24"/>
                <w:szCs w:val="24"/>
                <w:lang w:val="zh-CN" w:eastAsia="zh-CN" w:bidi="ar-SA"/>
              </w:rPr>
              <w:t>保函是响应文件中组成部分；</w:t>
            </w:r>
            <w:r>
              <w:rPr>
                <w:rFonts w:hint="eastAsia" w:asciiTheme="minorEastAsia" w:hAnsiTheme="minorEastAsia" w:eastAsiaTheme="minorEastAsia" w:cstheme="minorEastAsia"/>
                <w:b/>
                <w:bCs/>
                <w:color w:val="auto"/>
                <w:kern w:val="2"/>
                <w:sz w:val="24"/>
                <w:szCs w:val="24"/>
                <w:lang w:val="en-US" w:eastAsia="zh-CN" w:bidi="ar-SA"/>
              </w:rPr>
              <w:t>6.保函按照“一项目一保函”的原则。</w:t>
            </w:r>
          </w:p>
          <w:p w14:paraId="6CED6ABA">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 退投标保证金程序：</w:t>
            </w:r>
          </w:p>
          <w:p w14:paraId="7DB4255C">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 xml:space="preserve">  未中标的投标保证金，在中标结果发出后5个工作日内予以退还。</w:t>
            </w:r>
          </w:p>
          <w:p w14:paraId="44FB2E2C">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jc w:val="left"/>
              <w:textAlignment w:val="baseline"/>
              <w:rPr>
                <w:rFonts w:hint="eastAsia" w:ascii="宋体" w:hAnsi="宋体" w:eastAsia="宋体" w:cs="宋体"/>
                <w:color w:val="auto"/>
                <w:kern w:val="0"/>
                <w:sz w:val="24"/>
                <w:szCs w:val="24"/>
                <w:highlight w:val="none"/>
                <w:lang w:val="en-US" w:eastAsia="zh-CN"/>
              </w:rPr>
            </w:pPr>
            <w:r>
              <w:rPr>
                <w:rFonts w:hint="eastAsia" w:asciiTheme="minorEastAsia" w:hAnsiTheme="minorEastAsia" w:eastAsiaTheme="minorEastAsia" w:cstheme="minorEastAsia"/>
                <w:b/>
                <w:bCs/>
                <w:color w:val="auto"/>
                <w:kern w:val="2"/>
                <w:sz w:val="24"/>
                <w:szCs w:val="24"/>
                <w:lang w:val="zh-CN" w:eastAsia="zh-CN" w:bidi="ar-SA"/>
              </w:rPr>
              <w:t>中标的投标保证金，与采购人签订采购合同后5个工作日内予以退还。</w:t>
            </w:r>
          </w:p>
        </w:tc>
      </w:tr>
      <w:tr w14:paraId="7674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71A89198">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olor w:val="auto"/>
                <w:sz w:val="24"/>
                <w:highlight w:val="none"/>
                <w:lang w:val="en-US" w:eastAsia="zh-CN"/>
              </w:rPr>
              <w:t>12</w:t>
            </w:r>
          </w:p>
        </w:tc>
        <w:tc>
          <w:tcPr>
            <w:tcW w:w="1341" w:type="dxa"/>
            <w:noWrap w:val="0"/>
            <w:vAlign w:val="top"/>
          </w:tcPr>
          <w:p w14:paraId="6BEEE405">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127B9BD6">
            <w:pPr>
              <w:keepNext w:val="0"/>
              <w:keepLines w:val="0"/>
              <w:pageBreakBefore w:val="0"/>
              <w:widowControl w:val="0"/>
              <w:kinsoku/>
              <w:wordWrap/>
              <w:overflowPunct/>
              <w:topLinePunct w:val="0"/>
              <w:autoSpaceDE w:val="0"/>
              <w:autoSpaceDN w:val="0"/>
              <w:bidi w:val="0"/>
              <w:adjustRightInd/>
              <w:snapToGrid/>
              <w:spacing w:line="320" w:lineRule="exact"/>
              <w:ind w:right="0" w:rightChars="0"/>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rPr>
              <w:t>★报价</w:t>
            </w:r>
          </w:p>
        </w:tc>
        <w:tc>
          <w:tcPr>
            <w:tcW w:w="6555" w:type="dxa"/>
            <w:noWrap w:val="0"/>
            <w:vAlign w:val="top"/>
          </w:tcPr>
          <w:p w14:paraId="260582D8">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textAlignment w:val="auto"/>
              <w:rPr>
                <w:rFonts w:hint="eastAsia" w:cs="宋体"/>
                <w:b/>
                <w:bCs/>
                <w:color w:val="000000" w:themeColor="text1"/>
                <w:sz w:val="24"/>
                <w:szCs w:val="24"/>
                <w:highlight w:val="none"/>
                <w:lang w:val="en-US" w:eastAsia="zh-CN"/>
                <w14:textFill>
                  <w14:solidFill>
                    <w14:schemeClr w14:val="tx1"/>
                  </w14:solidFill>
                </w14:textFill>
              </w:rPr>
            </w:pPr>
            <w:r>
              <w:rPr>
                <w:rFonts w:hint="eastAsia" w:cs="宋体"/>
                <w:b/>
                <w:bCs/>
                <w:color w:val="000000" w:themeColor="text1"/>
                <w:sz w:val="24"/>
                <w:szCs w:val="24"/>
                <w:highlight w:val="none"/>
                <w:lang w:val="en-US" w:eastAsia="zh-CN"/>
                <w14:textFill>
                  <w14:solidFill>
                    <w14:schemeClr w14:val="tx1"/>
                  </w14:solidFill>
                </w14:textFill>
              </w:rPr>
              <w:t>本工程的投标报价采用总价方式进行报价。</w:t>
            </w:r>
          </w:p>
          <w:p w14:paraId="7D1160BD">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textAlignment w:val="auto"/>
              <w:rPr>
                <w:rFonts w:hint="eastAsia"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报价（含首次报价或最后报价）超出本项目</w:t>
            </w:r>
            <w:r>
              <w:rPr>
                <w:rFonts w:hint="eastAsia" w:cs="宋体"/>
                <w:b/>
                <w:bCs/>
                <w:color w:val="000000" w:themeColor="text1"/>
                <w:sz w:val="24"/>
                <w:szCs w:val="24"/>
                <w:highlight w:val="none"/>
                <w:lang w:val="en-US" w:eastAsia="zh-CN"/>
                <w14:textFill>
                  <w14:solidFill>
                    <w14:schemeClr w14:val="tx1"/>
                  </w14:solidFill>
                </w14:textFill>
              </w:rPr>
              <w:t>最高限价</w:t>
            </w:r>
            <w:r>
              <w:rPr>
                <w:rFonts w:hint="eastAsia" w:ascii="宋体" w:hAnsi="宋体" w:eastAsia="宋体" w:cs="宋体"/>
                <w:b/>
                <w:bCs/>
                <w:color w:val="000000" w:themeColor="text1"/>
                <w:sz w:val="24"/>
                <w:szCs w:val="24"/>
                <w:highlight w:val="none"/>
                <w14:textFill>
                  <w14:solidFill>
                    <w14:schemeClr w14:val="tx1"/>
                  </w14:solidFill>
                </w14:textFill>
              </w:rPr>
              <w:t xml:space="preserve">的为无效报价，其响应文件将被认定为无效响应。 </w:t>
            </w:r>
            <w:r>
              <w:rPr>
                <w:rFonts w:hint="eastAsia" w:cs="宋体"/>
                <w:b/>
                <w:bCs/>
                <w:color w:val="000000" w:themeColor="text1"/>
                <w:sz w:val="24"/>
                <w:szCs w:val="24"/>
                <w:highlight w:val="none"/>
                <w:lang w:val="en-US" w:eastAsia="zh-CN"/>
                <w14:textFill>
                  <w14:solidFill>
                    <w14:schemeClr w14:val="tx1"/>
                  </w14:solidFill>
                </w14:textFill>
              </w:rPr>
              <w:t>供应商最后报价下浮金额，视为总价让利（不改变清单投标单价）。</w:t>
            </w:r>
          </w:p>
          <w:p w14:paraId="19F708E3">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textAlignment w:val="auto"/>
              <w:rPr>
                <w:rFonts w:hint="eastAsia"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snapToGrid/>
                <w:color w:val="auto"/>
                <w:kern w:val="0"/>
                <w:sz w:val="24"/>
                <w:szCs w:val="24"/>
                <w:lang w:val="en-US" w:eastAsia="zh-CN" w:bidi="ar-SA"/>
              </w:rPr>
              <w:t xml:space="preserve">竞争性磋商共有两次报价 ，二次报价为最终报价 </w:t>
            </w:r>
            <w:r>
              <w:rPr>
                <w:rFonts w:hint="eastAsia" w:ascii="宋体" w:hAnsi="宋体" w:eastAsia="宋体" w:cs="宋体"/>
                <w:color w:val="auto"/>
                <w:kern w:val="0"/>
                <w:sz w:val="24"/>
                <w:szCs w:val="24"/>
                <w:highlight w:val="none"/>
                <w:lang w:val="en-US" w:eastAsia="zh-CN"/>
              </w:rPr>
              <w:t>，但最终报价不得高于第一次报价，否则其投标将</w:t>
            </w:r>
            <w:r>
              <w:rPr>
                <w:rFonts w:hint="eastAsia" w:ascii="宋体" w:hAnsi="宋体" w:eastAsia="宋体" w:cs="宋体"/>
                <w:b w:val="0"/>
                <w:bCs w:val="0"/>
                <w:color w:val="auto"/>
                <w:kern w:val="0"/>
                <w:sz w:val="24"/>
                <w:szCs w:val="24"/>
                <w:highlight w:val="none"/>
                <w:lang w:val="en-US" w:eastAsia="zh-CN"/>
              </w:rPr>
              <w:t>被否决。</w:t>
            </w:r>
            <w:r>
              <w:rPr>
                <w:rFonts w:hint="eastAsia" w:ascii="宋体" w:hAnsi="宋体" w:eastAsia="宋体" w:cs="宋体"/>
                <w:b w:val="0"/>
                <w:bCs w:val="0"/>
                <w:snapToGrid/>
                <w:color w:val="auto"/>
                <w:kern w:val="0"/>
                <w:sz w:val="24"/>
                <w:szCs w:val="24"/>
                <w:lang w:val="en-US" w:eastAsia="zh-CN" w:bidi="ar-SA"/>
              </w:rPr>
              <w:t>磋商小组要求所有实质性响应的供应商在规定时间30分钟内提交最后报价，未报价的供应商视为退出磋商。</w:t>
            </w:r>
          </w:p>
        </w:tc>
      </w:tr>
      <w:tr w14:paraId="6DF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68" w:type="dxa"/>
            <w:noWrap w:val="0"/>
            <w:vAlign w:val="center"/>
          </w:tcPr>
          <w:p w14:paraId="1EF2BAB3">
            <w:pPr>
              <w:pStyle w:val="31"/>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13</w:t>
            </w:r>
          </w:p>
        </w:tc>
        <w:tc>
          <w:tcPr>
            <w:tcW w:w="1341" w:type="dxa"/>
            <w:shd w:val="clear" w:color="auto" w:fill="auto"/>
            <w:noWrap w:val="0"/>
            <w:vAlign w:val="center"/>
          </w:tcPr>
          <w:p w14:paraId="2F98DE8E">
            <w:pPr>
              <w:adjustRightInd w:val="0"/>
              <w:snapToGrid w:val="0"/>
              <w:spacing w:line="440" w:lineRule="exact"/>
              <w:ind w:left="-140" w:leftChars="0" w:right="-155" w:rightChars="0" w:firstLine="0" w:firstLineChars="0"/>
              <w:jc w:val="center"/>
              <w:rPr>
                <w:rFonts w:hint="eastAsia" w:ascii="宋体" w:hAnsi="宋体" w:eastAsia="宋体" w:cs="宋体"/>
                <w:color w:val="000000" w:themeColor="text1"/>
                <w:kern w:val="0"/>
                <w:sz w:val="24"/>
                <w:szCs w:val="24"/>
                <w:highlight w:val="none"/>
                <w:lang w:val="en-US" w:eastAsia="zh-CN" w:bidi="zh-CN"/>
                <w14:textFill>
                  <w14:solidFill>
                    <w14:schemeClr w14:val="tx1"/>
                  </w14:solidFill>
                </w14:textFill>
              </w:rPr>
            </w:pPr>
            <w:r>
              <w:rPr>
                <w:rFonts w:hint="eastAsia" w:asciiTheme="minorEastAsia" w:hAnsiTheme="minorEastAsia" w:eastAsiaTheme="minorEastAsia" w:cstheme="minorEastAsia"/>
                <w:b w:val="0"/>
                <w:bCs w:val="0"/>
                <w:sz w:val="24"/>
                <w:szCs w:val="24"/>
                <w:highlight w:val="none"/>
              </w:rPr>
              <w:t>磋商小组的组建及评审专家的确定方式</w:t>
            </w:r>
          </w:p>
        </w:tc>
        <w:tc>
          <w:tcPr>
            <w:tcW w:w="6555" w:type="dxa"/>
            <w:shd w:val="clear" w:color="auto" w:fill="auto"/>
            <w:noWrap w:val="0"/>
            <w:vAlign w:val="center"/>
          </w:tcPr>
          <w:p w14:paraId="5E472034">
            <w:pPr>
              <w:keepNext w:val="0"/>
              <w:keepLines w:val="0"/>
              <w:pageBreakBefore w:val="0"/>
              <w:kinsoku/>
              <w:wordWrap/>
              <w:overflowPunct/>
              <w:topLinePunct w:val="0"/>
              <w:bidi w:val="0"/>
              <w:adjustRightInd w:val="0"/>
              <w:snapToGrid w:val="0"/>
              <w:spacing w:before="0" w:beforeAutospacing="0" w:after="0" w:afterAutospacing="0" w:line="360" w:lineRule="exact"/>
              <w:ind w:left="0" w:right="0" w:rightChars="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磋商小组由采购人代表和评审专家共3人单数组成，其中评审专家人数不得少于磋商小组成员总数的2/3。</w:t>
            </w:r>
          </w:p>
          <w:p w14:paraId="47905BF9">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rPr>
                <w:rFonts w:hint="default" w:ascii="宋体" w:hAnsi="宋体" w:eastAsia="宋体" w:cs="宋体"/>
                <w:color w:val="auto"/>
                <w:kern w:val="0"/>
                <w:sz w:val="24"/>
                <w:szCs w:val="24"/>
                <w:highlight w:val="none"/>
                <w:lang w:val="en-US" w:eastAsia="zh-CN" w:bidi="zh-CN"/>
              </w:rPr>
            </w:pPr>
            <w:r>
              <w:rPr>
                <w:rFonts w:hint="eastAsia" w:asciiTheme="minorEastAsia" w:hAnsiTheme="minorEastAsia" w:eastAsiaTheme="minorEastAsia" w:cstheme="minorEastAsia"/>
                <w:sz w:val="24"/>
                <w:szCs w:val="24"/>
                <w:highlight w:val="none"/>
              </w:rPr>
              <w:t>小组确定方式：</w:t>
            </w:r>
            <w:r>
              <w:rPr>
                <w:rFonts w:hint="eastAsia" w:asciiTheme="minorEastAsia" w:hAnsiTheme="minorEastAsia" w:eastAsiaTheme="minorEastAsia" w:cstheme="minorEastAsia"/>
                <w:sz w:val="24"/>
                <w:szCs w:val="24"/>
                <w:highlight w:val="none"/>
                <w:lang w:val="en-US" w:eastAsia="zh-CN"/>
              </w:rPr>
              <w:t>政采云系统</w:t>
            </w:r>
            <w:r>
              <w:rPr>
                <w:rFonts w:hint="eastAsia" w:asciiTheme="minorEastAsia" w:hAnsiTheme="minorEastAsia" w:eastAsiaTheme="minorEastAsia" w:cstheme="minorEastAsia"/>
                <w:sz w:val="24"/>
                <w:szCs w:val="24"/>
                <w:highlight w:val="none"/>
              </w:rPr>
              <w:t xml:space="preserve">随机抽取方式 </w:t>
            </w:r>
          </w:p>
        </w:tc>
      </w:tr>
      <w:tr w14:paraId="1670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shd w:val="clear" w:color="auto" w:fill="auto"/>
            <w:noWrap w:val="0"/>
            <w:vAlign w:val="center"/>
          </w:tcPr>
          <w:p w14:paraId="2574CEB8">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14</w:t>
            </w:r>
          </w:p>
        </w:tc>
        <w:tc>
          <w:tcPr>
            <w:tcW w:w="1341" w:type="dxa"/>
            <w:noWrap w:val="0"/>
            <w:vAlign w:val="center"/>
          </w:tcPr>
          <w:p w14:paraId="1BFA77AE">
            <w:pPr>
              <w:adjustRightInd w:val="0"/>
              <w:snapToGrid w:val="0"/>
              <w:spacing w:line="440" w:lineRule="exact"/>
              <w:ind w:left="0" w:leftChars="0" w:right="-155"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sz w:val="24"/>
                <w:szCs w:val="24"/>
                <w:highlight w:val="none"/>
              </w:rPr>
              <w:t>磋商有效期</w:t>
            </w:r>
          </w:p>
        </w:tc>
        <w:tc>
          <w:tcPr>
            <w:tcW w:w="6555" w:type="dxa"/>
            <w:noWrap w:val="0"/>
            <w:vAlign w:val="center"/>
          </w:tcPr>
          <w:p w14:paraId="46F12EEB">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single"/>
                <w:lang w:val="en-US" w:eastAsia="zh-CN"/>
              </w:rPr>
              <w:t>6</w:t>
            </w:r>
            <w:r>
              <w:rPr>
                <w:rFonts w:hint="eastAsia" w:asciiTheme="minorEastAsia" w:hAnsiTheme="minorEastAsia" w:eastAsiaTheme="minorEastAsia" w:cstheme="minorEastAsia"/>
                <w:sz w:val="24"/>
                <w:szCs w:val="24"/>
                <w:highlight w:val="none"/>
                <w:u w:val="single"/>
              </w:rPr>
              <w:t>0</w:t>
            </w:r>
            <w:r>
              <w:rPr>
                <w:rFonts w:hint="eastAsia" w:asciiTheme="minorEastAsia" w:hAnsiTheme="minorEastAsia" w:eastAsiaTheme="minorEastAsia" w:cstheme="minorEastAsia"/>
                <w:sz w:val="24"/>
                <w:szCs w:val="24"/>
                <w:highlight w:val="none"/>
              </w:rPr>
              <w:t>日（日历日）</w:t>
            </w:r>
          </w:p>
        </w:tc>
      </w:tr>
      <w:tr w14:paraId="73A1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168" w:type="dxa"/>
            <w:shd w:val="clear" w:color="auto" w:fill="auto"/>
            <w:noWrap w:val="0"/>
            <w:vAlign w:val="center"/>
          </w:tcPr>
          <w:p w14:paraId="1D584B4B">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15</w:t>
            </w:r>
          </w:p>
        </w:tc>
        <w:tc>
          <w:tcPr>
            <w:tcW w:w="1341" w:type="dxa"/>
            <w:noWrap w:val="0"/>
            <w:vAlign w:val="center"/>
          </w:tcPr>
          <w:p w14:paraId="28A106C5">
            <w:pPr>
              <w:adjustRightInd w:val="0"/>
              <w:snapToGrid w:val="0"/>
              <w:spacing w:line="440" w:lineRule="exact"/>
              <w:ind w:left="-140" w:leftChars="0" w:right="-155" w:rightChars="0" w:firstLine="0" w:firstLineChars="0"/>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cs="宋体"/>
                <w:color w:val="000000" w:themeColor="text1"/>
                <w:kern w:val="0"/>
                <w:sz w:val="24"/>
                <w:szCs w:val="24"/>
                <w:highlight w:val="none"/>
                <w:lang w:val="en-US" w:eastAsia="zh-CN"/>
                <w14:textFill>
                  <w14:solidFill>
                    <w14:schemeClr w14:val="tx1"/>
                  </w14:solidFill>
                </w14:textFill>
              </w:rPr>
              <w:t>评审方法</w:t>
            </w:r>
          </w:p>
        </w:tc>
        <w:tc>
          <w:tcPr>
            <w:tcW w:w="6555" w:type="dxa"/>
            <w:noWrap w:val="0"/>
            <w:vAlign w:val="center"/>
          </w:tcPr>
          <w:p w14:paraId="217873E7">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rPr>
                <w:rFonts w:hint="default"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综合评估法</w:t>
            </w:r>
          </w:p>
        </w:tc>
      </w:tr>
      <w:tr w14:paraId="2406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8" w:type="dxa"/>
            <w:shd w:val="clear" w:color="auto" w:fill="auto"/>
            <w:noWrap w:val="0"/>
            <w:vAlign w:val="center"/>
          </w:tcPr>
          <w:p w14:paraId="40FBA142">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16</w:t>
            </w:r>
          </w:p>
        </w:tc>
        <w:tc>
          <w:tcPr>
            <w:tcW w:w="1341" w:type="dxa"/>
            <w:noWrap w:val="0"/>
            <w:vAlign w:val="center"/>
          </w:tcPr>
          <w:p w14:paraId="288F6467">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ascii="宋体" w:hAnsi="宋体" w:eastAsia="宋体"/>
                <w:color w:val="auto"/>
                <w:sz w:val="24"/>
                <w:highlight w:val="none"/>
              </w:rPr>
              <w:t>踏勘</w:t>
            </w:r>
            <w:r>
              <w:rPr>
                <w:rFonts w:hint="eastAsia" w:ascii="宋体" w:hAnsi="宋体" w:eastAsia="宋体"/>
                <w:color w:val="auto"/>
                <w:sz w:val="24"/>
                <w:highlight w:val="none"/>
              </w:rPr>
              <w:t>现场</w:t>
            </w:r>
          </w:p>
        </w:tc>
        <w:tc>
          <w:tcPr>
            <w:tcW w:w="6555" w:type="dxa"/>
            <w:noWrap w:val="0"/>
            <w:vAlign w:val="center"/>
          </w:tcPr>
          <w:p w14:paraId="1B8597BA">
            <w:pPr>
              <w:pStyle w:val="31"/>
              <w:keepNext w:val="0"/>
              <w:keepLines w:val="0"/>
              <w:pageBreakBefore w:val="0"/>
              <w:widowControl/>
              <w:kinsoku/>
              <w:wordWrap/>
              <w:overflowPunct/>
              <w:topLinePunct w:val="0"/>
              <w:bidi w:val="0"/>
              <w:snapToGrid/>
              <w:spacing w:beforeAutospacing="0" w:afterAutospacing="0" w:line="360" w:lineRule="exact"/>
              <w:ind w:left="0" w:right="0" w:rightChars="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eastAsia="宋体" w:cs="Times New Roman"/>
                <w:color w:val="auto"/>
                <w:sz w:val="24"/>
                <w:highlight w:val="none"/>
                <w:lang w:val="en-US" w:eastAsia="zh-CN"/>
              </w:rPr>
              <w:t>不组织</w:t>
            </w:r>
          </w:p>
        </w:tc>
      </w:tr>
      <w:tr w14:paraId="617F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68" w:type="dxa"/>
            <w:shd w:val="clear" w:color="auto" w:fill="auto"/>
            <w:noWrap w:val="0"/>
            <w:vAlign w:val="center"/>
          </w:tcPr>
          <w:p w14:paraId="2149D9A4">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17</w:t>
            </w:r>
          </w:p>
        </w:tc>
        <w:tc>
          <w:tcPr>
            <w:tcW w:w="1341" w:type="dxa"/>
            <w:noWrap w:val="0"/>
            <w:vAlign w:val="center"/>
          </w:tcPr>
          <w:p w14:paraId="326C08F6">
            <w:pPr>
              <w:pStyle w:val="54"/>
              <w:keepNext w:val="0"/>
              <w:keepLines w:val="0"/>
              <w:pageBreakBefore w:val="0"/>
              <w:kinsoku/>
              <w:wordWrap/>
              <w:topLinePunct w:val="0"/>
              <w:bidi w:val="0"/>
              <w:spacing w:line="400" w:lineRule="exact"/>
              <w:ind w:left="16" w:leftChars="0" w:right="-155" w:rightChars="0" w:hanging="16"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zh-CN"/>
              </w:rPr>
              <w:t>履约保证金</w:t>
            </w:r>
          </w:p>
        </w:tc>
        <w:tc>
          <w:tcPr>
            <w:tcW w:w="6555" w:type="dxa"/>
            <w:noWrap w:val="0"/>
            <w:vAlign w:val="center"/>
          </w:tcPr>
          <w:p w14:paraId="073F278B">
            <w:pPr>
              <w:keepNext w:val="0"/>
              <w:keepLines w:val="0"/>
              <w:pageBreakBefore w:val="0"/>
              <w:shd w:val="solid" w:color="FFFFFF" w:fill="auto"/>
              <w:kinsoku/>
              <w:wordWrap/>
              <w:overflowPunct/>
              <w:topLinePunct w:val="0"/>
              <w:autoSpaceDN w:val="0"/>
              <w:bidi w:val="0"/>
              <w:spacing w:before="0" w:beforeAutospacing="0" w:after="0" w:afterAutospacing="0" w:line="360" w:lineRule="exact"/>
              <w:ind w:left="0" w:leftChars="0" w:right="0" w:rightChars="0"/>
              <w:jc w:val="left"/>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sz w:val="24"/>
                <w:szCs w:val="24"/>
                <w:lang w:val="en-US" w:eastAsia="zh-CN"/>
              </w:rPr>
              <w:t>0元</w:t>
            </w:r>
          </w:p>
        </w:tc>
      </w:tr>
      <w:tr w14:paraId="1422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68" w:type="dxa"/>
            <w:noWrap w:val="0"/>
            <w:vAlign w:val="center"/>
          </w:tcPr>
          <w:p w14:paraId="3FCB1BB9">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18</w:t>
            </w:r>
          </w:p>
        </w:tc>
        <w:tc>
          <w:tcPr>
            <w:tcW w:w="1341" w:type="dxa"/>
            <w:noWrap w:val="0"/>
            <w:vAlign w:val="center"/>
          </w:tcPr>
          <w:p w14:paraId="725C4FC7">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rightChars="0"/>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kern w:val="2"/>
                <w:sz w:val="24"/>
                <w:szCs w:val="24"/>
                <w:highlight w:val="none"/>
                <w:lang w:val="en-US" w:eastAsia="zh-CN" w:bidi="ar-SA"/>
              </w:rPr>
              <w:t>中小企业政策</w:t>
            </w:r>
          </w:p>
        </w:tc>
        <w:tc>
          <w:tcPr>
            <w:tcW w:w="6555" w:type="dxa"/>
            <w:noWrap w:val="0"/>
            <w:vAlign w:val="center"/>
          </w:tcPr>
          <w:p w14:paraId="1BE378C4">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根据工信部等部委发布的《关于印发中小企业划型标准规定的通知》（工信部联企业〔2011〕300号）；财政部《关于进一步加大政府采购支持中小企业力度的通知》（财库〔2022〕19号）规定，本次采购标的</w:t>
            </w:r>
            <w:r>
              <w:rPr>
                <w:rFonts w:hint="eastAsia" w:ascii="宋体" w:hAnsi="宋体" w:eastAsia="宋体" w:cs="宋体"/>
                <w:b/>
                <w:bCs/>
                <w:color w:val="auto"/>
                <w:kern w:val="2"/>
                <w:sz w:val="24"/>
                <w:szCs w:val="24"/>
                <w:highlight w:val="none"/>
                <w:lang w:val="en-US" w:eastAsia="zh-CN" w:bidi="ar-SA"/>
              </w:rPr>
              <w:t>所属行业为建筑业</w:t>
            </w:r>
            <w:r>
              <w:rPr>
                <w:rFonts w:hint="eastAsia" w:ascii="宋体" w:hAnsi="宋体" w:eastAsia="宋体" w:cs="宋体"/>
                <w:color w:val="auto"/>
                <w:kern w:val="2"/>
                <w:sz w:val="24"/>
                <w:szCs w:val="24"/>
                <w:highlight w:val="none"/>
                <w:lang w:val="en-US" w:eastAsia="zh-CN" w:bidi="ar-SA"/>
              </w:rPr>
              <w:t>、《政府采购需求管理办法的通知》（财库〔2021〕22 号）、《政府采购促进中小企业发展管理办法》（财库[2020]46 号）、《财政部 司法部关于政府采购支持监狱企业发展有关问题的通知》（财库〔2014〕68 号）和《三部门联合发布关于促进残疾人就业政府采购政策的通知》（财库〔2017〕 141 号）的规定，对满足价格扣除条件且在响应文件中提交了《供应商企业类型声明函》或省级以上监狱管理局、戒毒管理局（含新疆生产建设兵团）出具的属于监狱企业的证明文件的供应商，其投标报价扣除 10%后参与评审。符合以下条件的中小微型企业应按照采购文件格式要求提供《中小企业声明函》。</w:t>
            </w:r>
          </w:p>
          <w:p w14:paraId="71CB8FB2">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003FDE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14:paraId="3477A85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（3）根据上述文件规定，对满足上述（1）（2）两项条件的小微企业的投标总报价给予10%的扣除，用扣除后的价格参与评审。</w:t>
            </w:r>
          </w:p>
          <w:p w14:paraId="6CFA222F">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（4）依据本办法规定享受扶持政策获得政府采购合同的，小微企业不得将合同分包给大中型企业，中型企业不得将合同分包给大型企业。</w:t>
            </w:r>
          </w:p>
          <w:p w14:paraId="798805A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jc w:val="left"/>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kern w:val="2"/>
                <w:sz w:val="24"/>
                <w:szCs w:val="24"/>
                <w:highlight w:val="none"/>
                <w:lang w:val="en-US" w:eastAsia="zh-CN" w:bidi="ar-SA"/>
              </w:rPr>
              <w:t>（5）联合体各方均为中小企业的,联合体视同中小企业。其中,联合体各方均为小微企业的,联合体视同小微企业。组成联合体的小微企业与其他企业之间存在直接控股、管理关系的,不享受价格扣除优惠政策。</w:t>
            </w:r>
          </w:p>
        </w:tc>
      </w:tr>
      <w:tr w14:paraId="6B61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68" w:type="dxa"/>
            <w:noWrap w:val="0"/>
            <w:vAlign w:val="center"/>
          </w:tcPr>
          <w:p w14:paraId="2876CAE3">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w:t>
            </w:r>
          </w:p>
        </w:tc>
        <w:tc>
          <w:tcPr>
            <w:tcW w:w="1341" w:type="dxa"/>
            <w:noWrap w:val="0"/>
            <w:vAlign w:val="center"/>
          </w:tcPr>
          <w:p w14:paraId="625D4B77">
            <w:pPr>
              <w:pStyle w:val="54"/>
              <w:keepNext w:val="0"/>
              <w:keepLines w:val="0"/>
              <w:pageBreakBefore w:val="0"/>
              <w:kinsoku/>
              <w:wordWrap/>
              <w:topLinePunct w:val="0"/>
              <w:bidi w:val="0"/>
              <w:spacing w:line="400" w:lineRule="exact"/>
              <w:ind w:left="96" w:lef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lang w:val="zh-CN"/>
              </w:rPr>
              <w:t>信用查询记录</w:t>
            </w:r>
          </w:p>
        </w:tc>
        <w:tc>
          <w:tcPr>
            <w:tcW w:w="6555" w:type="dxa"/>
            <w:noWrap w:val="0"/>
            <w:vAlign w:val="center"/>
          </w:tcPr>
          <w:p w14:paraId="652BCA05">
            <w:pPr>
              <w:keepNext w:val="0"/>
              <w:keepLines w:val="0"/>
              <w:pageBreakBefore w:val="0"/>
              <w:widowControl w:val="0"/>
              <w:tabs>
                <w:tab w:val="left" w:pos="7665"/>
              </w:tabs>
              <w:kinsoku/>
              <w:wordWrap w:val="0"/>
              <w:overflowPunct/>
              <w:topLinePunct w:val="0"/>
              <w:autoSpaceDE w:val="0"/>
              <w:autoSpaceDN w:val="0"/>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lang w:val="zh-CN"/>
              </w:rPr>
              <w:t>资格审查时，通过“信用中国”网站(www.creditchina.gov.cn)、中国政府采购网(www.ccgp.gov.cn)渠道查询投标人信用记录，经查询列入失信被执行人、重大税收违法案件当事人名单、政府采购严重违法失信行为记录名单，其投标无效，无效投标人的信用记录查询结果截图将作为项目材料的组成部分。</w:t>
            </w:r>
          </w:p>
        </w:tc>
      </w:tr>
      <w:tr w14:paraId="3DF1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168" w:type="dxa"/>
            <w:noWrap w:val="0"/>
            <w:vAlign w:val="center"/>
          </w:tcPr>
          <w:p w14:paraId="5D17F5FD">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1341" w:type="dxa"/>
            <w:noWrap w:val="0"/>
            <w:vAlign w:val="center"/>
          </w:tcPr>
          <w:p w14:paraId="1DBC0BE6">
            <w:pPr>
              <w:pStyle w:val="54"/>
              <w:keepNext w:val="0"/>
              <w:keepLines w:val="0"/>
              <w:pageBreakBefore w:val="0"/>
              <w:kinsoku/>
              <w:wordWrap/>
              <w:topLinePunct w:val="0"/>
              <w:bidi w:val="0"/>
              <w:spacing w:line="400" w:lineRule="exact"/>
              <w:ind w:left="-140" w:leftChars="0" w:right="-155" w:righ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2"/>
                <w:sz w:val="24"/>
                <w:szCs w:val="24"/>
              </w:rPr>
              <w:t>对</w:t>
            </w:r>
            <w:r>
              <w:rPr>
                <w:rFonts w:hint="eastAsia" w:cs="宋体"/>
                <w:color w:val="auto"/>
                <w:sz w:val="24"/>
                <w:szCs w:val="24"/>
                <w:lang w:eastAsia="zh-CN"/>
              </w:rPr>
              <w:t>磋商文件</w:t>
            </w:r>
            <w:r>
              <w:rPr>
                <w:rFonts w:hint="eastAsia" w:ascii="宋体" w:hAnsi="宋体" w:eastAsia="宋体" w:cs="宋体"/>
                <w:color w:val="auto"/>
                <w:sz w:val="24"/>
                <w:szCs w:val="24"/>
              </w:rPr>
              <w:t>除资质要求、技术参数、商务要求、评分办法等采购需求内容以外事项、</w:t>
            </w:r>
            <w:r>
              <w:rPr>
                <w:rFonts w:hint="eastAsia" w:ascii="宋体" w:hAnsi="宋体" w:eastAsia="宋体" w:cs="宋体"/>
                <w:color w:val="auto"/>
                <w:kern w:val="2"/>
                <w:sz w:val="24"/>
                <w:szCs w:val="24"/>
              </w:rPr>
              <w:t>采购过程和采购结果的询问和质疑</w:t>
            </w:r>
          </w:p>
        </w:tc>
        <w:tc>
          <w:tcPr>
            <w:tcW w:w="6555" w:type="dxa"/>
            <w:noWrap w:val="0"/>
            <w:vAlign w:val="center"/>
          </w:tcPr>
          <w:p w14:paraId="69E28FB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受理单位：新疆华域天恒工程管理有限公司</w:t>
            </w:r>
          </w:p>
          <w:p w14:paraId="5EC2AD2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 系 人：周淼</w:t>
            </w:r>
          </w:p>
          <w:p w14:paraId="1FFC080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联系电话：0995-8637000、17860251733  </w:t>
            </w:r>
          </w:p>
          <w:p w14:paraId="01A69DB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邮箱：2597607318@qq.com</w:t>
            </w:r>
          </w:p>
          <w:p w14:paraId="3C8F2E3D">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质疑函接受方式：书面形式</w:t>
            </w:r>
          </w:p>
          <w:p w14:paraId="1FB5B838">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地址：吐鲁番市高昌区示范区和平街11幢2层201号</w:t>
            </w:r>
          </w:p>
          <w:p w14:paraId="796C4B9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对采购过程提出质疑时间：为各采购程序环节结束之日起七个工作日内。</w:t>
            </w:r>
          </w:p>
          <w:p w14:paraId="586FED09">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对采购结果提出质疑时间：为中标结果公告发布次日后七个工作日内。</w:t>
            </w:r>
          </w:p>
          <w:p w14:paraId="3ADB1F7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p w14:paraId="3CBEEA30">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1、采购单位无正当理由不按照依法推荐的中标候选供应商顺序确定中标供应商，或者在评标委员会依法推荐的中标候选供应商以外确定中标供应商的质疑由采购单位受理。</w:t>
            </w:r>
          </w:p>
          <w:p w14:paraId="5D79045F">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2、供应商应当在法定质疑期内一次性提出针对统一采购程序环节的质疑。</w:t>
            </w:r>
          </w:p>
        </w:tc>
      </w:tr>
      <w:tr w14:paraId="7BB5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68" w:type="dxa"/>
            <w:noWrap w:val="0"/>
            <w:vAlign w:val="center"/>
          </w:tcPr>
          <w:p w14:paraId="21C30688">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w:t>
            </w:r>
          </w:p>
        </w:tc>
        <w:tc>
          <w:tcPr>
            <w:tcW w:w="1341" w:type="dxa"/>
            <w:noWrap w:val="0"/>
            <w:vAlign w:val="center"/>
          </w:tcPr>
          <w:p w14:paraId="6C52EC19">
            <w:pPr>
              <w:pStyle w:val="54"/>
              <w:keepNext w:val="0"/>
              <w:keepLines w:val="0"/>
              <w:pageBreakBefore w:val="0"/>
              <w:kinsoku/>
              <w:wordWrap/>
              <w:topLinePunct w:val="0"/>
              <w:bidi w:val="0"/>
              <w:spacing w:line="400" w:lineRule="exact"/>
              <w:ind w:right="-155" w:rightChars="0"/>
              <w:jc w:val="both"/>
              <w:textAlignment w:val="auto"/>
              <w:rPr>
                <w:rFonts w:hint="eastAsia" w:ascii="宋体" w:hAnsi="宋体" w:eastAsia="宋体" w:cs="宋体"/>
                <w:color w:val="auto"/>
                <w:sz w:val="24"/>
                <w:szCs w:val="24"/>
              </w:rPr>
            </w:pPr>
            <w:r>
              <w:rPr>
                <w:rFonts w:hint="eastAsia" w:cs="宋体"/>
                <w:color w:val="auto"/>
                <w:sz w:val="24"/>
                <w:szCs w:val="24"/>
                <w:lang w:val="en-US" w:eastAsia="zh-CN"/>
              </w:rPr>
              <w:t>推荐的中标候选人数量</w:t>
            </w:r>
          </w:p>
        </w:tc>
        <w:tc>
          <w:tcPr>
            <w:tcW w:w="6555" w:type="dxa"/>
            <w:noWrap w:val="0"/>
            <w:vAlign w:val="center"/>
          </w:tcPr>
          <w:p w14:paraId="3065707A">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000000"/>
                <w:kern w:val="0"/>
                <w:sz w:val="24"/>
                <w:szCs w:val="24"/>
                <w:lang w:val="en-US" w:eastAsia="zh-CN" w:bidi="ar"/>
              </w:rPr>
              <w:t>3名</w:t>
            </w:r>
          </w:p>
        </w:tc>
      </w:tr>
      <w:tr w14:paraId="78EE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68" w:type="dxa"/>
            <w:noWrap w:val="0"/>
            <w:vAlign w:val="center"/>
          </w:tcPr>
          <w:p w14:paraId="04FE4A1D">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w:t>
            </w:r>
          </w:p>
        </w:tc>
        <w:tc>
          <w:tcPr>
            <w:tcW w:w="1341" w:type="dxa"/>
            <w:noWrap w:val="0"/>
            <w:vAlign w:val="center"/>
          </w:tcPr>
          <w:p w14:paraId="04EEBBFE">
            <w:pPr>
              <w:pStyle w:val="54"/>
              <w:keepNext w:val="0"/>
              <w:keepLines w:val="0"/>
              <w:pageBreakBefore w:val="0"/>
              <w:kinsoku/>
              <w:wordWrap/>
              <w:topLinePunct w:val="0"/>
              <w:bidi w:val="0"/>
              <w:spacing w:line="4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rPr>
              <w:t>评审情况的公告</w:t>
            </w:r>
          </w:p>
        </w:tc>
        <w:tc>
          <w:tcPr>
            <w:tcW w:w="6555" w:type="dxa"/>
            <w:noWrap w:val="0"/>
            <w:vAlign w:val="center"/>
          </w:tcPr>
          <w:p w14:paraId="23B52538">
            <w:pPr>
              <w:keepNext w:val="0"/>
              <w:keepLines w:val="0"/>
              <w:pageBreakBefore w:val="0"/>
              <w:kinsoku/>
              <w:wordWrap/>
              <w:overflowPunct/>
              <w:topLinePunct w:val="0"/>
              <w:bidi w:val="0"/>
              <w:spacing w:before="0" w:beforeAutospacing="0" w:after="0" w:afterAutospacing="0" w:line="36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rPr>
              <w:t>评审结果将在新疆政府采购网上采购结果公告栏中予以公告。</w:t>
            </w:r>
          </w:p>
        </w:tc>
      </w:tr>
      <w:tr w14:paraId="6EE2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168" w:type="dxa"/>
            <w:noWrap w:val="0"/>
            <w:vAlign w:val="center"/>
          </w:tcPr>
          <w:p w14:paraId="244DF2C8">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w:t>
            </w:r>
          </w:p>
        </w:tc>
        <w:tc>
          <w:tcPr>
            <w:tcW w:w="1341" w:type="dxa"/>
            <w:noWrap w:val="0"/>
            <w:vAlign w:val="center"/>
          </w:tcPr>
          <w:p w14:paraId="56848A90">
            <w:pPr>
              <w:keepNext w:val="0"/>
              <w:keepLines w:val="0"/>
              <w:pageBreakBefore w:val="0"/>
              <w:kinsoku/>
              <w:wordWrap/>
              <w:topLinePunct w:val="0"/>
              <w:bidi w:val="0"/>
              <w:spacing w:line="400" w:lineRule="exact"/>
              <w:ind w:left="0" w:leftChars="0" w:right="0" w:rightChars="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rPr>
              <w:t>政府采购合同备案</w:t>
            </w:r>
          </w:p>
        </w:tc>
        <w:tc>
          <w:tcPr>
            <w:tcW w:w="6555" w:type="dxa"/>
            <w:noWrap w:val="0"/>
            <w:vAlign w:val="center"/>
          </w:tcPr>
          <w:p w14:paraId="0949CFB1">
            <w:pPr>
              <w:keepNext w:val="0"/>
              <w:keepLines w:val="0"/>
              <w:pageBreakBefore w:val="0"/>
              <w:kinsoku/>
              <w:wordWrap/>
              <w:overflowPunct/>
              <w:topLinePunct w:val="0"/>
              <w:bidi w:val="0"/>
              <w:spacing w:before="0" w:beforeAutospacing="0" w:after="0" w:afterAutospacing="0" w:line="360" w:lineRule="exact"/>
              <w:ind w:left="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政府采购合同签订之日起2个工作日内，采购人应将政府采购合同在新疆政府采购网公告；政府采购合同签订之日起七个工作日内，政府采购合同将向本采购项目同级财政部门备案。</w:t>
            </w:r>
          </w:p>
          <w:p w14:paraId="65AB6377">
            <w:pPr>
              <w:keepNext w:val="0"/>
              <w:keepLines w:val="0"/>
              <w:pageBreakBefore w:val="0"/>
              <w:kinsoku/>
              <w:wordWrap/>
              <w:overflowPunct/>
              <w:topLinePunct w:val="0"/>
              <w:bidi w:val="0"/>
              <w:spacing w:before="0" w:beforeAutospacing="0" w:after="0" w:afterAutospacing="0" w:line="360" w:lineRule="exact"/>
              <w:ind w:left="0" w:leftChars="0" w:right="0" w:right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rPr>
              <w:t>政府采购合同签订之日起2个工作日内，成交供应商应将政府采购合同向采购代理机构审核</w:t>
            </w:r>
            <w:r>
              <w:rPr>
                <w:rFonts w:hint="eastAsia" w:ascii="宋体" w:hAnsi="宋体" w:eastAsia="宋体" w:cs="宋体"/>
                <w:color w:val="auto"/>
                <w:sz w:val="24"/>
                <w:szCs w:val="24"/>
                <w:lang w:val="zh-CN"/>
              </w:rPr>
              <w:t>备案。</w:t>
            </w:r>
          </w:p>
        </w:tc>
      </w:tr>
      <w:tr w14:paraId="3F8C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168" w:type="dxa"/>
            <w:noWrap w:val="0"/>
            <w:vAlign w:val="center"/>
          </w:tcPr>
          <w:p w14:paraId="71033CD2">
            <w:pPr>
              <w:pStyle w:val="31"/>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24</w:t>
            </w:r>
          </w:p>
        </w:tc>
        <w:tc>
          <w:tcPr>
            <w:tcW w:w="1341" w:type="dxa"/>
            <w:noWrap w:val="0"/>
            <w:vAlign w:val="center"/>
          </w:tcPr>
          <w:p w14:paraId="211CA261">
            <w:pPr>
              <w:pStyle w:val="62"/>
              <w:autoSpaceDE w:val="0"/>
              <w:autoSpaceDN w:val="0"/>
              <w:adjustRightInd w:val="0"/>
              <w:snapToGrid w:val="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snapToGrid w:val="0"/>
                <w:kern w:val="0"/>
                <w:sz w:val="24"/>
                <w:szCs w:val="22"/>
                <w:lang w:val="zh-CN" w:eastAsia="zh-CN" w:bidi="ar-SA"/>
              </w:rPr>
              <w:t>低价不正当竞争预防措施</w:t>
            </w:r>
          </w:p>
        </w:tc>
        <w:tc>
          <w:tcPr>
            <w:tcW w:w="6555" w:type="dxa"/>
            <w:noWrap w:val="0"/>
            <w:vAlign w:val="center"/>
          </w:tcPr>
          <w:p w14:paraId="23DCCE09">
            <w:pPr>
              <w:pStyle w:val="36"/>
              <w:keepNext w:val="0"/>
              <w:keepLines w:val="0"/>
              <w:pageBreakBefore w:val="0"/>
              <w:kinsoku/>
              <w:wordWrap/>
              <w:topLinePunct w:val="0"/>
              <w:bidi w:val="0"/>
              <w:adjustRightInd w:val="0"/>
              <w:snapToGrid w:val="0"/>
              <w:spacing w:line="360" w:lineRule="exact"/>
              <w:ind w:right="0" w:rightChars="0"/>
              <w:textAlignment w:val="auto"/>
              <w:rPr>
                <w:rFonts w:hint="eastAsia" w:ascii="仿宋" w:hAnsi="仿宋" w:eastAsia="仿宋"/>
                <w:b/>
                <w:bCs/>
                <w:snapToGrid w:val="0"/>
                <w:kern w:val="0"/>
                <w:sz w:val="24"/>
                <w:szCs w:val="22"/>
                <w:lang w:val="zh-CN"/>
              </w:rPr>
            </w:pPr>
            <w:r>
              <w:rPr>
                <w:rFonts w:hint="eastAsia" w:ascii="宋体" w:hAnsi="宋体" w:eastAsia="宋体" w:cs="宋体"/>
                <w:b/>
                <w:bCs/>
                <w:snapToGrid w:val="0"/>
                <w:kern w:val="0"/>
                <w:sz w:val="24"/>
                <w:szCs w:val="22"/>
                <w:lang w:val="zh-CN"/>
              </w:rPr>
              <w:t>低价不正当竞争预防措施(实质性要求):</w:t>
            </w:r>
          </w:p>
          <w:p w14:paraId="382CC98C">
            <w:pPr>
              <w:pStyle w:val="36"/>
              <w:keepNext w:val="0"/>
              <w:keepLines w:val="0"/>
              <w:pageBreakBefore w:val="0"/>
              <w:numPr>
                <w:ilvl w:val="0"/>
                <w:numId w:val="3"/>
              </w:numPr>
              <w:kinsoku/>
              <w:wordWrap/>
              <w:topLinePunct w:val="0"/>
              <w:bidi w:val="0"/>
              <w:adjustRightInd w:val="0"/>
              <w:snapToGrid w:val="0"/>
              <w:spacing w:line="360" w:lineRule="exact"/>
              <w:ind w:right="0" w:rightChars="0"/>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 xml:space="preserve">在评标过程中，评标委员会认为投标人的报价明显低于其 他通过符合性审查投标人的报价，有可能影响产品质量或者不能 诚信履约的，应当要求其在评标现场合理的时间内提供书面说明，必要时提交相关证明材料；投标人不能证明其报价合理性的，评标委员会应当将其作为无效投标处理。 </w:t>
            </w:r>
          </w:p>
          <w:p w14:paraId="4AAA4914">
            <w:pPr>
              <w:pStyle w:val="36"/>
              <w:keepNext w:val="0"/>
              <w:keepLines w:val="0"/>
              <w:pageBreakBefore w:val="0"/>
              <w:numPr>
                <w:ilvl w:val="0"/>
                <w:numId w:val="3"/>
              </w:numPr>
              <w:kinsoku/>
              <w:wordWrap/>
              <w:topLinePunct w:val="0"/>
              <w:bidi w:val="0"/>
              <w:adjustRightInd w:val="0"/>
              <w:snapToGrid w:val="0"/>
              <w:spacing w:line="360" w:lineRule="exact"/>
              <w:ind w:right="0" w:rightChars="0"/>
              <w:textAlignment w:val="auto"/>
              <w:rPr>
                <w:rFonts w:hint="eastAsia" w:ascii="宋体" w:hAnsi="宋体" w:eastAsia="宋体" w:cs="宋体"/>
                <w:snapToGrid w:val="0"/>
                <w:color w:val="auto"/>
                <w:kern w:val="0"/>
                <w:sz w:val="24"/>
                <w:szCs w:val="22"/>
                <w:lang w:val="zh-CN" w:eastAsia="zh-CN" w:bidi="ar-SA"/>
              </w:rPr>
            </w:pPr>
            <w:r>
              <w:rPr>
                <w:rFonts w:hint="eastAsia" w:ascii="宋体" w:hAnsi="宋体" w:eastAsia="宋体" w:cs="宋体"/>
                <w:snapToGrid w:val="0"/>
                <w:color w:val="auto"/>
                <w:kern w:val="0"/>
                <w:sz w:val="24"/>
                <w:szCs w:val="22"/>
                <w:lang w:val="en-US" w:eastAsia="zh-CN" w:bidi="ar-SA"/>
              </w:rPr>
              <w:t>政府采购异常低价审查：根据《关于推动解决政府采购异常低价问题的通知》（财库〔2026〕2号）的规定：</w:t>
            </w:r>
          </w:p>
          <w:p w14:paraId="4A6AFE81">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（一）采购评审中出现下列情形之一的，评审委员会应当启动异常低价投标（响应）审查程序：</w:t>
            </w:r>
          </w:p>
          <w:p w14:paraId="2F20F680">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1.投标（响应）报价低于全部通过符合性审查供应商投标（响应）报价平均值50%的，即投标（响应）报价&lt;全部通过符合性审查供应商投标（响应）报价平均值×50%；</w:t>
            </w:r>
          </w:p>
          <w:p w14:paraId="28E3B780">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2.投标（响应）报价低于通过符合性审查的次低报价供应商投标（响应）报价50%的，即投标（响应）报价&lt;通过符合性审查的次低报价供应商投标（响应）报价×50%；</w:t>
            </w:r>
          </w:p>
          <w:p w14:paraId="736EAE7F">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3.投标（响应）报价低于采购项目最高限价45%的，即投标（响应）报价&lt;采购项目最高限价×45%；</w:t>
            </w:r>
          </w:p>
          <w:p w14:paraId="6DFCF2D6">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4.评审委员会基于专业判断，认为供应商报价过低，有可能影响产品质量或者不能诚信履约的其他情形。</w:t>
            </w:r>
          </w:p>
          <w:p w14:paraId="1A5CC7DE">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采购人可以结合具体项目实际情况，提高上述第1项至第3项中启动异常低价投标（响应）审查的数值标准，但是最高不得超过65%。</w:t>
            </w:r>
          </w:p>
          <w:p w14:paraId="5B274468">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相关法律法规对供应商报价有规定的，从其规定。</w:t>
            </w:r>
          </w:p>
          <w:p w14:paraId="0EEF57CD">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817614">
            <w:pPr>
              <w:pStyle w:val="36"/>
              <w:keepNext w:val="0"/>
              <w:keepLines w:val="0"/>
              <w:pageBreakBefore w:val="0"/>
              <w:widowControl w:val="0"/>
              <w:kinsoku/>
              <w:wordWrap/>
              <w:overflowPunct/>
              <w:topLinePunct w:val="0"/>
              <w:bidi w:val="0"/>
              <w:adjustRightInd w:val="0"/>
              <w:snapToGrid w:val="0"/>
              <w:spacing w:line="360" w:lineRule="exact"/>
              <w:ind w:right="0" w:right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napToGrid w:val="0"/>
                <w:color w:val="auto"/>
                <w:kern w:val="0"/>
                <w:sz w:val="24"/>
                <w:szCs w:val="22"/>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942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68" w:type="dxa"/>
            <w:noWrap w:val="0"/>
            <w:vAlign w:val="center"/>
          </w:tcPr>
          <w:p w14:paraId="5634BECE">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25</w:t>
            </w:r>
          </w:p>
        </w:tc>
        <w:tc>
          <w:tcPr>
            <w:tcW w:w="1341" w:type="dxa"/>
            <w:noWrap w:val="0"/>
            <w:vAlign w:val="center"/>
          </w:tcPr>
          <w:p w14:paraId="26D3ACC1">
            <w:pPr>
              <w:pStyle w:val="54"/>
              <w:keepNext w:val="0"/>
              <w:keepLines w:val="0"/>
              <w:pageBreakBefore w:val="0"/>
              <w:kinsoku/>
              <w:wordWrap/>
              <w:topLinePunct w:val="0"/>
              <w:bidi w:val="0"/>
              <w:spacing w:line="400" w:lineRule="exact"/>
              <w:ind w:left="96" w:leftChars="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招标代理费</w:t>
            </w:r>
          </w:p>
        </w:tc>
        <w:tc>
          <w:tcPr>
            <w:tcW w:w="6555" w:type="dxa"/>
            <w:noWrap w:val="0"/>
            <w:vAlign w:val="center"/>
          </w:tcPr>
          <w:p w14:paraId="6250F3DB">
            <w:pPr>
              <w:keepNext w:val="0"/>
              <w:keepLines w:val="0"/>
              <w:pageBreakBefore w:val="0"/>
              <w:tabs>
                <w:tab w:val="left" w:pos="7665"/>
              </w:tabs>
              <w:kinsoku/>
              <w:wordWrap/>
              <w:overflowPunct/>
              <w:topLinePunct w:val="0"/>
              <w:bidi w:val="0"/>
              <w:spacing w:before="0" w:beforeAutospacing="0" w:after="0" w:afterAutospacing="0" w:line="360" w:lineRule="exact"/>
              <w:ind w:left="0" w:right="0" w:rightChars="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代理费收取方式：电汇或银行转账</w:t>
            </w:r>
          </w:p>
          <w:p w14:paraId="5C617EB1">
            <w:pPr>
              <w:keepNext w:val="0"/>
              <w:keepLines w:val="0"/>
              <w:pageBreakBefore w:val="0"/>
              <w:tabs>
                <w:tab w:val="left" w:pos="7665"/>
              </w:tabs>
              <w:kinsoku/>
              <w:wordWrap/>
              <w:overflowPunct/>
              <w:topLinePunct w:val="0"/>
              <w:bidi w:val="0"/>
              <w:spacing w:before="0" w:beforeAutospacing="0" w:after="0" w:afterAutospacing="0" w:line="360" w:lineRule="exact"/>
              <w:ind w:left="0" w:leftChars="0" w:right="0" w:rightChars="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代理费收取标准：</w:t>
            </w:r>
            <w:r>
              <w:rPr>
                <w:rFonts w:hint="eastAsia" w:cs="宋体"/>
                <w:color w:val="auto"/>
                <w:sz w:val="24"/>
                <w:szCs w:val="24"/>
                <w:highlight w:val="none"/>
                <w:lang w:val="en-US" w:eastAsia="zh-CN"/>
              </w:rPr>
              <w:t>15000.00元</w:t>
            </w:r>
            <w:r>
              <w:rPr>
                <w:rFonts w:hint="eastAsia" w:ascii="宋体" w:hAnsi="宋体" w:eastAsia="宋体" w:cs="宋体"/>
                <w:color w:val="auto"/>
                <w:sz w:val="24"/>
                <w:szCs w:val="24"/>
                <w:highlight w:val="none"/>
                <w:lang w:val="zh-CN" w:eastAsia="zh-CN"/>
              </w:rPr>
              <w:t>，由中标人支付，支付方式为电汇或转账。</w:t>
            </w:r>
          </w:p>
        </w:tc>
      </w:tr>
      <w:tr w14:paraId="13CE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68" w:type="dxa"/>
            <w:noWrap w:val="0"/>
            <w:vAlign w:val="center"/>
          </w:tcPr>
          <w:p w14:paraId="11AD6635">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26</w:t>
            </w:r>
          </w:p>
        </w:tc>
        <w:tc>
          <w:tcPr>
            <w:tcW w:w="1341" w:type="dxa"/>
            <w:noWrap w:val="0"/>
            <w:vAlign w:val="center"/>
          </w:tcPr>
          <w:p w14:paraId="2768AB1A">
            <w:pPr>
              <w:pStyle w:val="31"/>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kern w:val="0"/>
                <w:sz w:val="24"/>
                <w:szCs w:val="24"/>
                <w:highlight w:val="none"/>
                <w:lang w:val="en-US" w:eastAsia="zh-CN"/>
              </w:rPr>
              <w:t>实质性要求和条件</w:t>
            </w:r>
          </w:p>
        </w:tc>
        <w:tc>
          <w:tcPr>
            <w:tcW w:w="6555" w:type="dxa"/>
            <w:noWrap w:val="0"/>
            <w:vAlign w:val="top"/>
          </w:tcPr>
          <w:p w14:paraId="70EF6ADA">
            <w:pPr>
              <w:pStyle w:val="31"/>
              <w:keepNext w:val="0"/>
              <w:keepLines w:val="0"/>
              <w:pageBreakBefore w:val="0"/>
              <w:widowControl/>
              <w:kinsoku/>
              <w:wordWrap/>
              <w:overflowPunct/>
              <w:topLinePunct w:val="0"/>
              <w:bidi w:val="0"/>
              <w:snapToGrid/>
              <w:spacing w:beforeAutospacing="0" w:afterAutospacing="0" w:line="360" w:lineRule="exact"/>
              <w:ind w:left="0" w:leftChars="0" w:right="0" w:rightChars="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实质性要求和条件：除法律、法规和规章规定外，采购文件中用“拒绝”、“不接受”、“无效”、“不得”</w:t>
            </w:r>
            <w:r>
              <w:rPr>
                <w:rFonts w:hint="eastAsia" w:ascii="宋体" w:hAnsi="宋体" w:eastAsia="宋体" w:cs="宋体"/>
                <w:b w:val="0"/>
                <w:bCs/>
                <w:sz w:val="24"/>
                <w:szCs w:val="24"/>
              </w:rPr>
              <w:t>加粗、</w:t>
            </w:r>
            <w:r>
              <w:rPr>
                <w:rFonts w:hint="eastAsia" w:ascii="宋体" w:hAnsi="宋体" w:eastAsia="宋体" w:cs="宋体"/>
                <w:b w:val="0"/>
                <w:bCs/>
                <w:color w:val="auto"/>
                <w:kern w:val="0"/>
                <w:sz w:val="24"/>
                <w:szCs w:val="24"/>
                <w:highlight w:val="none"/>
                <w:lang w:val="en-US" w:eastAsia="zh-CN"/>
              </w:rPr>
              <w:t>等文字规定或采购文件初步审查表中的内容以及标注“★”</w:t>
            </w:r>
            <w:r>
              <w:rPr>
                <w:rFonts w:hint="eastAsia" w:ascii="宋体" w:hAnsi="宋体" w:eastAsia="宋体" w:cs="宋体"/>
                <w:color w:val="auto"/>
                <w:kern w:val="0"/>
                <w:sz w:val="24"/>
                <w:szCs w:val="24"/>
                <w:highlight w:val="none"/>
                <w:lang w:val="en-US" w:eastAsia="zh-CN"/>
              </w:rPr>
              <w:t>符号的条款为实质性要求条款（即重要条款），对其中任何一条的偏离，在评标时将其视为无效投标。</w:t>
            </w:r>
          </w:p>
        </w:tc>
      </w:tr>
      <w:tr w14:paraId="2BEA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064" w:type="dxa"/>
            <w:gridSpan w:val="3"/>
            <w:noWrap w:val="0"/>
            <w:vAlign w:val="center"/>
          </w:tcPr>
          <w:p w14:paraId="60AF3820">
            <w:pPr>
              <w:pStyle w:val="31"/>
              <w:widowControl/>
              <w:spacing w:line="334" w:lineRule="exact"/>
              <w:ind w:firstLine="960" w:firstLineChars="4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注：磋商文件中如有内容冲突的地方，以投标须知前附表要求为准</w:t>
            </w:r>
          </w:p>
        </w:tc>
      </w:tr>
    </w:tbl>
    <w:p w14:paraId="1C8EB129">
      <w:pPr>
        <w:pStyle w:val="31"/>
        <w:widowControl/>
        <w:spacing w:line="334" w:lineRule="exact"/>
        <w:rPr>
          <w:rFonts w:hint="eastAsia" w:ascii="宋体" w:hAnsi="宋体" w:eastAsia="宋体" w:cs="宋体"/>
          <w:color w:val="auto"/>
          <w:kern w:val="0"/>
          <w:sz w:val="24"/>
          <w:szCs w:val="24"/>
          <w:highlight w:val="none"/>
          <w:lang w:val="en-US" w:eastAsia="zh-CN"/>
        </w:rPr>
      </w:pPr>
    </w:p>
    <w:p w14:paraId="2A5E419E">
      <w:pPr>
        <w:pStyle w:val="31"/>
        <w:widowControl/>
        <w:spacing w:line="334" w:lineRule="exact"/>
        <w:rPr>
          <w:rFonts w:hint="eastAsia" w:ascii="宋体" w:hAnsi="宋体" w:eastAsia="宋体" w:cs="宋体"/>
          <w:color w:val="auto"/>
          <w:kern w:val="0"/>
          <w:sz w:val="24"/>
          <w:szCs w:val="24"/>
          <w:highlight w:val="none"/>
          <w:lang w:val="en-US" w:eastAsia="zh-CN"/>
        </w:rPr>
      </w:pPr>
    </w:p>
    <w:p w14:paraId="041E3C4A">
      <w:pPr>
        <w:pStyle w:val="31"/>
        <w:widowControl/>
        <w:spacing w:line="334" w:lineRule="exact"/>
        <w:rPr>
          <w:rFonts w:hint="eastAsia" w:ascii="宋体" w:hAnsi="宋体" w:eastAsia="宋体" w:cs="宋体"/>
          <w:color w:val="auto"/>
          <w:kern w:val="0"/>
          <w:sz w:val="24"/>
          <w:szCs w:val="24"/>
          <w:highlight w:val="none"/>
          <w:lang w:val="en-US" w:eastAsia="zh-CN"/>
        </w:rPr>
      </w:pPr>
    </w:p>
    <w:p w14:paraId="250ED52F">
      <w:pPr>
        <w:keepNext w:val="0"/>
        <w:keepLines w:val="0"/>
        <w:pageBreakBefore w:val="0"/>
        <w:widowControl w:val="0"/>
        <w:numPr>
          <w:ilvl w:val="0"/>
          <w:numId w:val="4"/>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磋商须知 </w:t>
      </w:r>
    </w:p>
    <w:p w14:paraId="718015C5">
      <w:pPr>
        <w:pStyle w:val="7"/>
        <w:numPr>
          <w:ilvl w:val="0"/>
          <w:numId w:val="0"/>
        </w:numPr>
        <w:ind w:right="0" w:rightChars="0"/>
        <w:rPr>
          <w:rFonts w:hint="eastAsia"/>
          <w:color w:val="auto"/>
          <w:highlight w:val="none"/>
        </w:rPr>
      </w:pPr>
    </w:p>
    <w:p w14:paraId="02E861DC">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color w:val="auto"/>
          <w:highlight w:val="none"/>
        </w:rPr>
      </w:pPr>
      <w:r>
        <w:rPr>
          <w:rFonts w:hint="eastAsia" w:ascii="宋体" w:hAnsi="宋体" w:eastAsia="宋体" w:cs="宋体"/>
          <w:b/>
          <w:bCs/>
          <w:color w:val="auto"/>
          <w:sz w:val="30"/>
          <w:szCs w:val="30"/>
          <w:highlight w:val="none"/>
        </w:rPr>
        <w:t>一</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rPr>
        <w:t>说 明</w:t>
      </w:r>
    </w:p>
    <w:p w14:paraId="6A7A440E">
      <w:pPr>
        <w:pStyle w:val="7"/>
        <w:rPr>
          <w:rFonts w:hint="eastAsia"/>
          <w:color w:val="auto"/>
          <w:highlight w:val="none"/>
        </w:rPr>
      </w:pPr>
    </w:p>
    <w:p w14:paraId="73F69896">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 xml:space="preserve">适用范围 </w:t>
      </w:r>
    </w:p>
    <w:p w14:paraId="1267324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 xml:space="preserve">本文件适用于本竞争性磋商的采购项目。 </w:t>
      </w:r>
    </w:p>
    <w:p w14:paraId="655ACDBC">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 xml:space="preserve">本项目的采购人、供应商及各方当事人均适用本须知。 </w:t>
      </w:r>
    </w:p>
    <w:p w14:paraId="2E7712E0">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 </w:t>
      </w:r>
      <w:r>
        <w:rPr>
          <w:rFonts w:hint="eastAsia" w:ascii="宋体" w:hAnsi="宋体" w:eastAsia="宋体" w:cs="宋体"/>
          <w:b/>
          <w:bCs/>
          <w:color w:val="auto"/>
          <w:sz w:val="24"/>
          <w:szCs w:val="24"/>
          <w:highlight w:val="none"/>
        </w:rPr>
        <w:t>定义</w:t>
      </w:r>
      <w:r>
        <w:rPr>
          <w:rFonts w:hint="eastAsia" w:ascii="宋体" w:hAnsi="宋体" w:eastAsia="宋体" w:cs="宋体"/>
          <w:color w:val="auto"/>
          <w:sz w:val="24"/>
          <w:szCs w:val="24"/>
          <w:highlight w:val="none"/>
        </w:rPr>
        <w:t xml:space="preserve"> </w:t>
      </w:r>
    </w:p>
    <w:p w14:paraId="2BD5D4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 </w:t>
      </w:r>
      <w:r>
        <w:rPr>
          <w:rFonts w:hint="eastAsia" w:ascii="宋体" w:hAnsi="宋体" w:eastAsia="宋体" w:cs="宋体"/>
          <w:color w:val="auto"/>
          <w:sz w:val="24"/>
          <w:szCs w:val="24"/>
          <w:highlight w:val="none"/>
        </w:rPr>
        <w:t xml:space="preserve">监管部门：指同级或以上人民政府财政部门。 </w:t>
      </w:r>
    </w:p>
    <w:p w14:paraId="41D6C86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 </w:t>
      </w: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是指采购人已拥有一笔财政性资金或资金来源已落实。 </w:t>
      </w:r>
    </w:p>
    <w:p w14:paraId="76BDF55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2.3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en-US" w:eastAsia="zh-CN"/>
        </w:rPr>
        <w:t>依法进行政府采购的国家机关、事业单位、团体组织</w:t>
      </w:r>
      <w:r>
        <w:rPr>
          <w:rFonts w:hint="eastAsia" w:ascii="宋体" w:hAnsi="宋体" w:eastAsia="宋体" w:cs="宋体"/>
          <w:color w:val="auto"/>
          <w:sz w:val="24"/>
          <w:szCs w:val="24"/>
          <w:highlight w:val="none"/>
        </w:rPr>
        <w:t xml:space="preserve">。 </w:t>
      </w:r>
    </w:p>
    <w:p w14:paraId="0120F6B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2.4 </w:t>
      </w:r>
      <w:r>
        <w:rPr>
          <w:rFonts w:hint="eastAsia" w:cs="宋体"/>
          <w:color w:val="auto"/>
          <w:sz w:val="24"/>
          <w:szCs w:val="24"/>
          <w:highlight w:val="none"/>
          <w:lang w:val="en-US" w:eastAsia="zh-CN"/>
        </w:rPr>
        <w:t>代理</w:t>
      </w:r>
      <w:r>
        <w:rPr>
          <w:rFonts w:hint="eastAsia" w:ascii="宋体" w:hAnsi="宋体" w:eastAsia="宋体" w:cs="宋体"/>
          <w:color w:val="auto"/>
          <w:sz w:val="24"/>
          <w:szCs w:val="24"/>
          <w:highlight w:val="none"/>
          <w:lang w:val="en-US" w:eastAsia="zh-CN"/>
        </w:rPr>
        <w:t>采购机构</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新疆华域天恒工程管理有限公司</w:t>
      </w:r>
      <w:r>
        <w:rPr>
          <w:rFonts w:hint="eastAsia" w:ascii="宋体" w:hAnsi="宋体" w:eastAsia="宋体" w:cs="宋体"/>
          <w:color w:val="auto"/>
          <w:sz w:val="24"/>
          <w:szCs w:val="24"/>
          <w:highlight w:val="none"/>
        </w:rPr>
        <w:t xml:space="preserve">。 </w:t>
      </w:r>
    </w:p>
    <w:p w14:paraId="3D2505D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rPr>
        <w:t>磋商小组：磋商小组是依法组建的专门负责本次磋商及评审工作的</w:t>
      </w:r>
      <w:r>
        <w:rPr>
          <w:rFonts w:hint="eastAsia" w:ascii="宋体" w:hAnsi="宋体" w:eastAsia="宋体" w:cs="宋体"/>
          <w:color w:val="auto"/>
          <w:sz w:val="24"/>
          <w:szCs w:val="24"/>
          <w:highlight w:val="none"/>
          <w:lang w:val="en-US" w:eastAsia="zh-CN"/>
        </w:rPr>
        <w:t>人员</w:t>
      </w:r>
      <w:r>
        <w:rPr>
          <w:rFonts w:hint="eastAsia" w:ascii="宋体" w:hAnsi="宋体" w:eastAsia="宋体" w:cs="宋体"/>
          <w:color w:val="auto"/>
          <w:sz w:val="24"/>
          <w:szCs w:val="24"/>
          <w:highlight w:val="none"/>
        </w:rPr>
        <w:t xml:space="preserve">。 </w:t>
      </w:r>
    </w:p>
    <w:p w14:paraId="4E5BEEC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 </w:t>
      </w:r>
      <w:r>
        <w:rPr>
          <w:rFonts w:hint="eastAsia" w:ascii="宋体" w:hAnsi="宋体" w:eastAsia="宋体" w:cs="宋体"/>
          <w:color w:val="auto"/>
          <w:sz w:val="24"/>
          <w:szCs w:val="24"/>
          <w:highlight w:val="none"/>
        </w:rPr>
        <w:t xml:space="preserve">供应商：符合资格要求，响应采购、依法成立的企业法人、其他组织或自然人。 </w:t>
      </w:r>
    </w:p>
    <w:p w14:paraId="7E298AD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2.7 </w:t>
      </w:r>
      <w:r>
        <w:rPr>
          <w:rFonts w:hint="eastAsia" w:ascii="宋体" w:hAnsi="宋体" w:eastAsia="宋体" w:cs="宋体"/>
          <w:color w:val="auto"/>
          <w:sz w:val="24"/>
          <w:szCs w:val="24"/>
          <w:highlight w:val="none"/>
        </w:rPr>
        <w:t xml:space="preserve">成交供应商：经合法磋商程序评选出来并经采购人确认的获得本项目成交资格的供应商。 </w:t>
      </w:r>
    </w:p>
    <w:p w14:paraId="0A251B0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 </w:t>
      </w:r>
      <w:r>
        <w:rPr>
          <w:rFonts w:hint="eastAsia" w:ascii="宋体" w:hAnsi="宋体" w:eastAsia="宋体" w:cs="宋体"/>
          <w:color w:val="auto"/>
          <w:sz w:val="24"/>
          <w:szCs w:val="24"/>
          <w:highlight w:val="none"/>
        </w:rPr>
        <w:t xml:space="preserve">日期：指公历日。 </w:t>
      </w:r>
    </w:p>
    <w:p w14:paraId="3687173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 </w:t>
      </w:r>
      <w:r>
        <w:rPr>
          <w:rFonts w:hint="eastAsia" w:ascii="宋体" w:hAnsi="宋体" w:eastAsia="宋体" w:cs="宋体"/>
          <w:color w:val="auto"/>
          <w:sz w:val="24"/>
          <w:szCs w:val="24"/>
          <w:highlight w:val="none"/>
        </w:rPr>
        <w:t xml:space="preserve">时间：指北京时间。 </w:t>
      </w:r>
    </w:p>
    <w:p w14:paraId="0F8C2F0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 </w:t>
      </w:r>
      <w:r>
        <w:rPr>
          <w:rFonts w:hint="eastAsia" w:ascii="宋体" w:hAnsi="宋体" w:eastAsia="宋体" w:cs="宋体"/>
          <w:b/>
          <w:bCs/>
          <w:color w:val="auto"/>
          <w:sz w:val="24"/>
          <w:szCs w:val="24"/>
          <w:highlight w:val="none"/>
        </w:rPr>
        <w:t>合格的供应商</w:t>
      </w:r>
      <w:r>
        <w:rPr>
          <w:rFonts w:hint="eastAsia" w:ascii="宋体" w:hAnsi="宋体" w:eastAsia="宋体" w:cs="宋体"/>
          <w:color w:val="auto"/>
          <w:sz w:val="24"/>
          <w:szCs w:val="24"/>
          <w:highlight w:val="none"/>
        </w:rPr>
        <w:t xml:space="preserve"> </w:t>
      </w:r>
    </w:p>
    <w:p w14:paraId="3612374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供应商须符合第一部分“磋商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”供应商资格要求的全部条款。 </w:t>
      </w:r>
    </w:p>
    <w:p w14:paraId="3BEB4C9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4 </w:t>
      </w:r>
      <w:r>
        <w:rPr>
          <w:rFonts w:hint="eastAsia" w:ascii="宋体" w:hAnsi="宋体" w:eastAsia="宋体" w:cs="宋体"/>
          <w:b/>
          <w:bCs/>
          <w:color w:val="auto"/>
          <w:sz w:val="24"/>
          <w:szCs w:val="24"/>
          <w:highlight w:val="none"/>
        </w:rPr>
        <w:t>合格的货物</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服务</w:t>
      </w:r>
      <w:r>
        <w:rPr>
          <w:rFonts w:hint="eastAsia" w:ascii="宋体" w:hAnsi="宋体" w:eastAsia="宋体" w:cs="宋体"/>
          <w:b/>
          <w:bCs/>
          <w:color w:val="auto"/>
          <w:sz w:val="24"/>
          <w:szCs w:val="24"/>
          <w:highlight w:val="none"/>
          <w:lang w:val="en-US" w:eastAsia="zh-CN"/>
        </w:rPr>
        <w:t>和工程</w:t>
      </w:r>
      <w:r>
        <w:rPr>
          <w:rFonts w:hint="eastAsia" w:ascii="宋体" w:hAnsi="宋体" w:eastAsia="宋体" w:cs="宋体"/>
          <w:color w:val="auto"/>
          <w:sz w:val="24"/>
          <w:szCs w:val="24"/>
          <w:highlight w:val="none"/>
        </w:rPr>
        <w:t xml:space="preserve"> </w:t>
      </w:r>
    </w:p>
    <w:p w14:paraId="7BB6301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4.1 </w:t>
      </w:r>
      <w:r>
        <w:rPr>
          <w:rFonts w:hint="eastAsia" w:ascii="宋体" w:hAnsi="宋体" w:eastAsia="宋体" w:cs="宋体"/>
          <w:color w:val="auto"/>
          <w:sz w:val="24"/>
          <w:szCs w:val="24"/>
          <w:highlight w:val="none"/>
        </w:rPr>
        <w:t xml:space="preserve">“货物”是指供应商制造或符合磋商文件要求的货物等。供应商的货物必须是其合法生产、合法来源的符合国家有关标准要求的货物，并满足磋商文件规定的规格、参数、质量、价格、有效期、售后服务等要求。 </w:t>
      </w:r>
    </w:p>
    <w:p w14:paraId="5C82F2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4.2 </w:t>
      </w:r>
      <w:r>
        <w:rPr>
          <w:rFonts w:hint="eastAsia" w:ascii="宋体" w:hAnsi="宋体" w:eastAsia="宋体" w:cs="宋体"/>
          <w:color w:val="auto"/>
          <w:sz w:val="24"/>
          <w:szCs w:val="24"/>
          <w:highlight w:val="none"/>
        </w:rPr>
        <w:t>“服务”是指除货物和工程以外的其他政府采购对象，其中包括供应商须承担的运输、安装、技术支持、培训以及磋商文件规定的其它伴随服务。</w:t>
      </w:r>
    </w:p>
    <w:p w14:paraId="7B6ACE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highlight w:val="none"/>
        </w:rPr>
      </w:pPr>
      <w:r>
        <w:rPr>
          <w:rFonts w:hint="eastAsia" w:ascii="宋体" w:hAnsi="宋体" w:eastAsia="宋体" w:cs="宋体"/>
          <w:color w:val="auto"/>
          <w:sz w:val="24"/>
          <w:szCs w:val="24"/>
          <w:highlight w:val="none"/>
          <w:lang w:val="en-US" w:eastAsia="zh-CN"/>
        </w:rPr>
        <w:t xml:space="preserve">4.3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是指建设工程，包括建筑物和构筑物的新建、改建、扩建、装修、拆除、修缮等。</w:t>
      </w:r>
    </w:p>
    <w:p w14:paraId="65F2733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4.4 </w:t>
      </w:r>
      <w:r>
        <w:rPr>
          <w:rFonts w:hint="eastAsia" w:ascii="宋体" w:hAnsi="宋体" w:eastAsia="宋体" w:cs="宋体"/>
          <w:color w:val="auto"/>
          <w:sz w:val="24"/>
          <w:szCs w:val="24"/>
          <w:highlight w:val="none"/>
        </w:rPr>
        <w:t xml:space="preserve">政府采购应当采购本国产品，确需采购进口产品的，依据《政府采购进口产品管理办法》执行。 </w:t>
      </w:r>
    </w:p>
    <w:p w14:paraId="28593BD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4.5 </w:t>
      </w:r>
      <w:r>
        <w:rPr>
          <w:rFonts w:hint="eastAsia" w:ascii="宋体" w:hAnsi="宋体" w:eastAsia="宋体" w:cs="宋体"/>
          <w:color w:val="auto"/>
          <w:sz w:val="24"/>
          <w:szCs w:val="24"/>
          <w:highlight w:val="none"/>
        </w:rPr>
        <w:t xml:space="preserve">本文件所称进口产品是指通过中国海关报关验放进入中国境内且产自关境外的产品。 </w:t>
      </w:r>
    </w:p>
    <w:p w14:paraId="6E6DCFA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4.6 </w:t>
      </w:r>
      <w:r>
        <w:rPr>
          <w:rFonts w:hint="eastAsia" w:ascii="宋体" w:hAnsi="宋体" w:eastAsia="宋体" w:cs="宋体"/>
          <w:color w:val="auto"/>
          <w:sz w:val="24"/>
          <w:szCs w:val="24"/>
          <w:highlight w:val="none"/>
        </w:rPr>
        <w:t xml:space="preserve">供应商应保证，采购人在中华人民共和国使用货物或服务的任何一部分时，采购人免受第三方提出侵犯其专利权、商标权或其它知识产权的起诉。 </w:t>
      </w:r>
    </w:p>
    <w:p w14:paraId="600DFC1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5 </w:t>
      </w:r>
      <w:r>
        <w:rPr>
          <w:rFonts w:hint="eastAsia" w:ascii="宋体" w:hAnsi="宋体" w:eastAsia="宋体" w:cs="宋体"/>
          <w:b/>
          <w:bCs/>
          <w:color w:val="auto"/>
          <w:sz w:val="24"/>
          <w:szCs w:val="24"/>
          <w:highlight w:val="none"/>
        </w:rPr>
        <w:t>磋商费用</w:t>
      </w:r>
      <w:r>
        <w:rPr>
          <w:rFonts w:hint="eastAsia" w:ascii="宋体" w:hAnsi="宋体" w:eastAsia="宋体" w:cs="宋体"/>
          <w:color w:val="auto"/>
          <w:sz w:val="24"/>
          <w:szCs w:val="24"/>
          <w:highlight w:val="none"/>
        </w:rPr>
        <w:t xml:space="preserve"> </w:t>
      </w:r>
    </w:p>
    <w:p w14:paraId="5A72723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供应商应承担所有与准备和参加项目磋商有关的费用。不论磋商的结果如何，采购人及</w:t>
      </w:r>
      <w:r>
        <w:rPr>
          <w:rFonts w:hint="eastAsia" w:cs="宋体"/>
          <w:color w:val="auto"/>
          <w:sz w:val="24"/>
          <w:szCs w:val="24"/>
          <w:highlight w:val="none"/>
          <w:lang w:val="en-US" w:eastAsia="zh-CN"/>
        </w:rPr>
        <w:t>招标代理有限公司</w:t>
      </w:r>
      <w:r>
        <w:rPr>
          <w:rFonts w:hint="eastAsia" w:ascii="宋体" w:hAnsi="宋体" w:eastAsia="宋体" w:cs="宋体"/>
          <w:color w:val="auto"/>
          <w:sz w:val="24"/>
          <w:szCs w:val="24"/>
          <w:highlight w:val="none"/>
        </w:rPr>
        <w:t xml:space="preserve">均无义务和责任承担这些费用。  </w:t>
      </w:r>
    </w:p>
    <w:p w14:paraId="7D81CF5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6 </w:t>
      </w:r>
      <w:r>
        <w:rPr>
          <w:rFonts w:hint="eastAsia" w:ascii="宋体" w:hAnsi="宋体" w:eastAsia="宋体" w:cs="宋体"/>
          <w:b/>
          <w:bCs/>
          <w:color w:val="auto"/>
          <w:sz w:val="24"/>
          <w:szCs w:val="24"/>
          <w:highlight w:val="none"/>
        </w:rPr>
        <w:t>其他</w:t>
      </w:r>
      <w:r>
        <w:rPr>
          <w:rFonts w:hint="eastAsia" w:ascii="宋体" w:hAnsi="宋体" w:eastAsia="宋体" w:cs="宋体"/>
          <w:color w:val="auto"/>
          <w:sz w:val="24"/>
          <w:szCs w:val="24"/>
          <w:highlight w:val="none"/>
        </w:rPr>
        <w:t xml:space="preserve"> </w:t>
      </w:r>
    </w:p>
    <w:p w14:paraId="06BFFB4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.1. 所有时间均为24小时制北京时间，所有货币单位均为人民币元，所使用的计量单位均以《中华人民共和国法定计量单位》为准（特别注明除外）。 </w:t>
      </w:r>
    </w:p>
    <w:p w14:paraId="7901A6E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3F197F5">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3654" w:firstLineChars="13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磋商文件</w:t>
      </w:r>
    </w:p>
    <w:p w14:paraId="6A7BA308">
      <w:pPr>
        <w:pStyle w:val="7"/>
        <w:numPr>
          <w:ilvl w:val="0"/>
          <w:numId w:val="0"/>
        </w:numPr>
        <w:ind w:right="0" w:rightChars="0"/>
        <w:rPr>
          <w:rFonts w:hint="eastAsia"/>
          <w:color w:val="auto"/>
          <w:highlight w:val="none"/>
        </w:rPr>
      </w:pPr>
    </w:p>
    <w:p w14:paraId="5FB5641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rPr>
        <w:t xml:space="preserve">磋商文件的编制依据与构成 </w:t>
      </w:r>
    </w:p>
    <w:p w14:paraId="2BF745F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7.1 </w:t>
      </w:r>
      <w:r>
        <w:rPr>
          <w:rFonts w:hint="eastAsia" w:ascii="宋体" w:hAnsi="宋体" w:eastAsia="宋体" w:cs="宋体"/>
          <w:color w:val="auto"/>
          <w:sz w:val="24"/>
          <w:szCs w:val="24"/>
          <w:highlight w:val="none"/>
        </w:rPr>
        <w:t xml:space="preserve">本项目磋商文件的编制依据是《中华人民共和国政府采购法》及其实施条例、《政府采购竞争性磋商采购方式管理暂行办法》及其配套的法规、规章政策。 </w:t>
      </w:r>
    </w:p>
    <w:p w14:paraId="3D8E86F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7.2 </w:t>
      </w:r>
      <w:r>
        <w:rPr>
          <w:rFonts w:hint="eastAsia" w:ascii="宋体" w:hAnsi="宋体" w:eastAsia="宋体" w:cs="宋体"/>
          <w:color w:val="auto"/>
          <w:sz w:val="24"/>
          <w:szCs w:val="24"/>
          <w:highlight w:val="none"/>
        </w:rPr>
        <w:t xml:space="preserve">要求提供的服务、货物、磋商过程和合同条件在磋商文件中均有说明。磋商文件以中文文字编写。由下列文件以及在磋商过程中发出的澄清、修改和补充文件组成，内容包括： </w:t>
      </w:r>
    </w:p>
    <w:p w14:paraId="2140D6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 </w:t>
      </w:r>
    </w:p>
    <w:p w14:paraId="25DDB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磋商须知； </w:t>
      </w:r>
    </w:p>
    <w:p w14:paraId="0423FC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 xml:space="preserve">； </w:t>
      </w:r>
    </w:p>
    <w:p w14:paraId="1308063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合同格式； </w:t>
      </w:r>
    </w:p>
    <w:p w14:paraId="522C77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响应文件格式； </w:t>
      </w:r>
    </w:p>
    <w:p w14:paraId="06BC3A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7.3 </w:t>
      </w:r>
      <w:r>
        <w:rPr>
          <w:rFonts w:hint="eastAsia" w:ascii="宋体" w:hAnsi="宋体" w:eastAsia="宋体" w:cs="宋体"/>
          <w:color w:val="auto"/>
          <w:sz w:val="24"/>
          <w:szCs w:val="24"/>
          <w:highlight w:val="none"/>
        </w:rPr>
        <w:t xml:space="preserve">供应商应认真阅读、并充分理解磋商文件的全部内容（包括所有的补充、修改内容、重要事项、格式、条款和技术规范、参数及要求等）。供应商没有按照磋商文件要求提交全部资料，或者响应文件没有对磋商文件在各方面都作出实质性响应是供应商的风险，有可能导致其响应被拒绝，或被确定为响应无效。 </w:t>
      </w:r>
    </w:p>
    <w:p w14:paraId="3BCDA7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 xml:space="preserve">磋商文件的澄清和修改 </w:t>
      </w:r>
    </w:p>
    <w:p w14:paraId="16FD96A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8.1 </w:t>
      </w:r>
      <w:r>
        <w:rPr>
          <w:rFonts w:hint="eastAsia" w:ascii="宋体" w:hAnsi="宋体" w:eastAsia="宋体" w:cs="宋体"/>
          <w:color w:val="auto"/>
          <w:sz w:val="24"/>
          <w:szCs w:val="24"/>
          <w:highlight w:val="none"/>
        </w:rPr>
        <w:t>提交首次响应文件截止之日前，采购人、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可以对已发出的磋商文件进行必要的澄清或者修改，澄清或者修改的内容作为磋商文件的组成部分。澄清或者修改的内容可能影响响应文件编制的，采购人、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应当在提交首次响应文件截止时间至少5日前，以书面形式通知所有获取磋商文件的供应商；不足5日的，采购人、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应当顺延提交首次响应文件截止时间。同时在磋商文件指定的政府采购信息发布媒体上发布变更公告。</w:t>
      </w:r>
      <w:r>
        <w:rPr>
          <w:rFonts w:hint="eastAsia" w:cs="宋体"/>
          <w:color w:val="auto"/>
          <w:sz w:val="24"/>
          <w:szCs w:val="24"/>
          <w:highlight w:val="none"/>
          <w:lang w:val="en-US" w:eastAsia="zh-CN"/>
        </w:rPr>
        <w:t>一经发布，视为收到变更</w:t>
      </w:r>
      <w:r>
        <w:rPr>
          <w:rFonts w:hint="eastAsia" w:ascii="宋体" w:hAnsi="宋体" w:eastAsia="宋体" w:cs="宋体"/>
          <w:color w:val="auto"/>
          <w:sz w:val="24"/>
          <w:szCs w:val="24"/>
          <w:highlight w:val="none"/>
        </w:rPr>
        <w:t xml:space="preserve">。 </w:t>
      </w:r>
    </w:p>
    <w:p w14:paraId="170EE73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8.2 </w:t>
      </w:r>
      <w:r>
        <w:rPr>
          <w:rFonts w:hint="eastAsia" w:ascii="宋体" w:hAnsi="宋体" w:eastAsia="宋体" w:cs="宋体"/>
          <w:color w:val="auto"/>
          <w:sz w:val="24"/>
          <w:szCs w:val="24"/>
          <w:highlight w:val="none"/>
        </w:rPr>
        <w:t>磋商文件的澄清或者修改内容作为磋商文件的组成部分，并对供应商具有约束力。当磋商文件、磋商文件的澄清或修改在同一内容的表述上不一致时，以最后发出的文件内容为准。</w:t>
      </w:r>
    </w:p>
    <w:p w14:paraId="66C6704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 </w:t>
      </w:r>
      <w:r>
        <w:rPr>
          <w:rFonts w:hint="eastAsia" w:ascii="宋体" w:hAnsi="宋体" w:eastAsia="宋体" w:cs="宋体"/>
          <w:color w:val="auto"/>
          <w:sz w:val="24"/>
          <w:szCs w:val="24"/>
          <w:highlight w:val="none"/>
        </w:rPr>
        <w:t xml:space="preserve">答疑会或现场考察 </w:t>
      </w:r>
    </w:p>
    <w:p w14:paraId="1E55B49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9.1 </w:t>
      </w:r>
      <w:r>
        <w:rPr>
          <w:rFonts w:hint="eastAsia" w:ascii="宋体" w:hAnsi="宋体" w:eastAsia="宋体" w:cs="宋体"/>
          <w:color w:val="auto"/>
          <w:sz w:val="24"/>
          <w:szCs w:val="24"/>
          <w:highlight w:val="none"/>
        </w:rPr>
        <w:t>除磋商须知前附表中另有规定，本项目不举行磋商前答疑会及</w:t>
      </w:r>
      <w:r>
        <w:rPr>
          <w:rFonts w:hint="eastAsia" w:cs="宋体"/>
          <w:color w:val="auto"/>
          <w:sz w:val="24"/>
          <w:szCs w:val="24"/>
          <w:highlight w:val="none"/>
          <w:lang w:val="en-US" w:eastAsia="zh-CN"/>
        </w:rPr>
        <w:t>勘察</w:t>
      </w:r>
      <w:r>
        <w:rPr>
          <w:rFonts w:hint="eastAsia" w:ascii="宋体" w:hAnsi="宋体" w:eastAsia="宋体" w:cs="宋体"/>
          <w:color w:val="auto"/>
          <w:sz w:val="24"/>
          <w:szCs w:val="24"/>
          <w:highlight w:val="none"/>
        </w:rPr>
        <w:t xml:space="preserve">现场。 </w:t>
      </w:r>
    </w:p>
    <w:p w14:paraId="2464188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9.2 </w:t>
      </w:r>
      <w:r>
        <w:rPr>
          <w:rFonts w:hint="eastAsia" w:ascii="宋体" w:hAnsi="宋体" w:eastAsia="宋体" w:cs="宋体"/>
          <w:color w:val="auto"/>
          <w:sz w:val="24"/>
          <w:szCs w:val="24"/>
          <w:highlight w:val="none"/>
        </w:rPr>
        <w:t>如举行磋商前答疑会或现场考察的，则按以下规定：已获取磋商文件的潜在供应商对本项目提出疑问的，需在答疑会或现场考察召开日前至少一个工作日将问题以书面形式（加盖公章）提交至</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将以书面形式通知所有获取磋商文件的潜在供应商代表于磋商须知前附表规定的时间和地点出席答疑会或现场考察。 </w:t>
      </w:r>
    </w:p>
    <w:p w14:paraId="6E64C7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9.3 </w:t>
      </w:r>
      <w:r>
        <w:rPr>
          <w:rFonts w:hint="eastAsia" w:ascii="宋体" w:hAnsi="宋体" w:eastAsia="宋体" w:cs="宋体"/>
          <w:color w:val="auto"/>
          <w:sz w:val="24"/>
          <w:szCs w:val="24"/>
          <w:highlight w:val="none"/>
        </w:rPr>
        <w:t xml:space="preserve">已获取磋商文件的供应商如不出席答疑会或现场考察视为对磋商文件所有内容无任何异议。 </w:t>
      </w:r>
    </w:p>
    <w:p w14:paraId="7E2634A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45E0B12">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3092" w:firstLineChars="11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响应文件的编制</w:t>
      </w:r>
    </w:p>
    <w:p w14:paraId="478F9191">
      <w:pPr>
        <w:pStyle w:val="7"/>
        <w:numPr>
          <w:ilvl w:val="0"/>
          <w:numId w:val="0"/>
        </w:numPr>
        <w:ind w:leftChars="200" w:right="0" w:rightChars="0"/>
        <w:rPr>
          <w:rFonts w:hint="eastAsia"/>
          <w:color w:val="auto"/>
          <w:highlight w:val="none"/>
        </w:rPr>
      </w:pPr>
    </w:p>
    <w:p w14:paraId="25BD9F0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10 </w:t>
      </w:r>
      <w:r>
        <w:rPr>
          <w:rFonts w:hint="eastAsia" w:ascii="宋体" w:hAnsi="宋体" w:eastAsia="宋体" w:cs="宋体"/>
          <w:color w:val="auto"/>
          <w:sz w:val="24"/>
          <w:szCs w:val="24"/>
          <w:highlight w:val="none"/>
        </w:rPr>
        <w:t xml:space="preserve">响应文件的构成 </w:t>
      </w:r>
    </w:p>
    <w:p w14:paraId="055DAB1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供应商编写的响应文件应包括价格部分、商务部分和技术部分。供应商</w:t>
      </w:r>
      <w:r>
        <w:rPr>
          <w:rFonts w:hint="eastAsia" w:cs="宋体"/>
          <w:color w:val="auto"/>
          <w:sz w:val="24"/>
          <w:szCs w:val="24"/>
          <w:highlight w:val="none"/>
          <w:lang w:val="en-US" w:eastAsia="zh-CN"/>
        </w:rPr>
        <w:t>可以</w:t>
      </w:r>
      <w:r>
        <w:rPr>
          <w:rFonts w:hint="eastAsia" w:ascii="宋体" w:hAnsi="宋体" w:eastAsia="宋体" w:cs="宋体"/>
          <w:color w:val="auto"/>
          <w:sz w:val="24"/>
          <w:szCs w:val="24"/>
          <w:highlight w:val="none"/>
        </w:rPr>
        <w:t>参考磋商文件第五部分</w:t>
      </w:r>
      <w:r>
        <w:rPr>
          <w:rFonts w:hint="eastAsia" w:ascii="宋体" w:hAnsi="宋体" w:eastAsia="宋体" w:cs="宋体"/>
          <w:b/>
          <w:bCs/>
          <w:color w:val="auto"/>
          <w:sz w:val="24"/>
          <w:szCs w:val="24"/>
          <w:highlight w:val="none"/>
        </w:rPr>
        <w:t>响应文件格式</w:t>
      </w:r>
      <w:r>
        <w:rPr>
          <w:rFonts w:hint="eastAsia" w:ascii="宋体" w:hAnsi="宋体" w:eastAsia="宋体" w:cs="宋体"/>
          <w:color w:val="auto"/>
          <w:sz w:val="24"/>
          <w:szCs w:val="24"/>
          <w:highlight w:val="none"/>
        </w:rPr>
        <w:t xml:space="preserve">顺序编排响应文件。 </w:t>
      </w:r>
    </w:p>
    <w:p w14:paraId="6CA2C47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 xml:space="preserve">响应文件的语言及编写原则 </w:t>
      </w:r>
    </w:p>
    <w:p w14:paraId="021685D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响应文件的语言：响应文件、供应商与</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就磋商项目的文件和来往信件，应以中文书写。供应商提供的支持文件、技术资料和印刷的文献可以用其他语言，但相应实质性内容须附有中文翻译本，在解释响应文件的修改内容时以中文翻译本为准。对中文翻译有异议的，以权威机构的译本为准。 </w:t>
      </w:r>
    </w:p>
    <w:p w14:paraId="3DFA538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11.2 </w:t>
      </w:r>
      <w:r>
        <w:rPr>
          <w:rFonts w:hint="eastAsia" w:ascii="宋体" w:hAnsi="宋体" w:eastAsia="宋体" w:cs="宋体"/>
          <w:color w:val="auto"/>
          <w:sz w:val="24"/>
          <w:szCs w:val="24"/>
          <w:highlight w:val="none"/>
        </w:rPr>
        <w:t xml:space="preserve">计量单位：除在磋商文件的技术规格中另有规定外，计量单位应使用中华人民共和国法定计量单位(国际单位制和国家选定的其他计量单位)。 </w:t>
      </w:r>
    </w:p>
    <w:p w14:paraId="7F6C98D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11.3 </w:t>
      </w:r>
      <w:r>
        <w:rPr>
          <w:rFonts w:hint="eastAsia" w:ascii="宋体" w:hAnsi="宋体" w:eastAsia="宋体" w:cs="宋体"/>
          <w:color w:val="auto"/>
          <w:sz w:val="24"/>
          <w:szCs w:val="24"/>
          <w:highlight w:val="none"/>
        </w:rPr>
        <w:t>供应商应完整、真实、准确地填写磋商文件中提供的磋商函、</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w:t>
      </w:r>
      <w:r>
        <w:rPr>
          <w:rFonts w:hint="eastAsia" w:ascii="宋体" w:hAnsi="宋体" w:eastAsia="宋体" w:cs="宋体"/>
          <w:color w:val="auto"/>
          <w:sz w:val="24"/>
          <w:szCs w:val="24"/>
          <w:highlight w:val="none"/>
          <w:lang w:eastAsia="zh-CN"/>
        </w:rPr>
        <w:t>报价明细表</w:t>
      </w:r>
      <w:r>
        <w:rPr>
          <w:rFonts w:hint="eastAsia" w:ascii="宋体" w:hAnsi="宋体" w:eastAsia="宋体" w:cs="宋体"/>
          <w:color w:val="auto"/>
          <w:sz w:val="24"/>
          <w:szCs w:val="24"/>
          <w:highlight w:val="none"/>
        </w:rPr>
        <w:t xml:space="preserve">（如适用）以及磋商文件中规定的其它所有内容。 </w:t>
      </w:r>
    </w:p>
    <w:p w14:paraId="31C19A0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11.4 </w:t>
      </w:r>
      <w:r>
        <w:rPr>
          <w:rFonts w:hint="eastAsia" w:ascii="宋体" w:hAnsi="宋体" w:eastAsia="宋体" w:cs="宋体"/>
          <w:color w:val="auto"/>
          <w:sz w:val="24"/>
          <w:szCs w:val="24"/>
          <w:highlight w:val="none"/>
        </w:rPr>
        <w:t>供应商对磋商文件中多个包组进行投标的，其响应文件的编制应当按每个包</w:t>
      </w:r>
      <w:r>
        <w:rPr>
          <w:rFonts w:hint="eastAsia" w:cs="宋体"/>
          <w:color w:val="auto"/>
          <w:sz w:val="24"/>
          <w:szCs w:val="24"/>
          <w:highlight w:val="none"/>
          <w:lang w:val="en-US" w:eastAsia="zh-CN"/>
        </w:rPr>
        <w:t>上传</w:t>
      </w:r>
      <w:r>
        <w:rPr>
          <w:rFonts w:hint="eastAsia" w:ascii="宋体" w:hAnsi="宋体" w:eastAsia="宋体" w:cs="宋体"/>
          <w:color w:val="auto"/>
          <w:sz w:val="24"/>
          <w:szCs w:val="24"/>
          <w:highlight w:val="none"/>
        </w:rPr>
        <w:t>，对未</w:t>
      </w:r>
      <w:r>
        <w:rPr>
          <w:rFonts w:hint="eastAsia" w:cs="宋体"/>
          <w:color w:val="auto"/>
          <w:sz w:val="24"/>
          <w:szCs w:val="24"/>
          <w:highlight w:val="none"/>
          <w:lang w:val="en-US" w:eastAsia="zh-CN"/>
        </w:rPr>
        <w:t>按要求上传的响应文件，</w:t>
      </w:r>
      <w:r>
        <w:rPr>
          <w:rFonts w:hint="eastAsia" w:ascii="宋体" w:hAnsi="宋体" w:eastAsia="宋体" w:cs="宋体"/>
          <w:color w:val="auto"/>
          <w:sz w:val="24"/>
          <w:szCs w:val="24"/>
          <w:highlight w:val="none"/>
        </w:rPr>
        <w:t xml:space="preserve">由此造成的后果和责任由供应商承担。 </w:t>
      </w:r>
    </w:p>
    <w:p w14:paraId="4D6E26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11.5 </w:t>
      </w:r>
      <w:r>
        <w:rPr>
          <w:rFonts w:hint="eastAsia" w:ascii="宋体" w:hAnsi="宋体" w:eastAsia="宋体" w:cs="宋体"/>
          <w:color w:val="auto"/>
          <w:sz w:val="24"/>
          <w:szCs w:val="24"/>
          <w:highlight w:val="none"/>
        </w:rPr>
        <w:t>供应商必须对响应文件所提供的全部资料的真实性承担法律责任，并无条件接受采购人、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及监管部门等对其中任何资料进行核实的要求。 </w:t>
      </w:r>
    </w:p>
    <w:p w14:paraId="26D248D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11.6 </w:t>
      </w:r>
      <w:r>
        <w:rPr>
          <w:rFonts w:hint="eastAsia" w:ascii="宋体" w:hAnsi="宋体" w:eastAsia="宋体" w:cs="宋体"/>
          <w:color w:val="auto"/>
          <w:sz w:val="24"/>
          <w:szCs w:val="24"/>
          <w:highlight w:val="none"/>
        </w:rPr>
        <w:t xml:space="preserve">如果因为供应商的响应文件只填写和提供了本磋商文件要求的部分内容和附件，或没有提供磋商文件中所要求的全部资料及数据，由此造成的后果和责任由供应商承担。 </w:t>
      </w:r>
    </w:p>
    <w:p w14:paraId="2A6996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 xml:space="preserve">首次报价 </w:t>
      </w:r>
    </w:p>
    <w:p w14:paraId="107302E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12.1 </w:t>
      </w:r>
      <w:r>
        <w:rPr>
          <w:rFonts w:hint="eastAsia" w:ascii="宋体" w:hAnsi="宋体" w:eastAsia="宋体" w:cs="宋体"/>
          <w:color w:val="auto"/>
          <w:sz w:val="24"/>
          <w:szCs w:val="24"/>
          <w:highlight w:val="none"/>
        </w:rPr>
        <w:t>供应商对所提供的</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均以人民币报价。 </w:t>
      </w:r>
    </w:p>
    <w:p w14:paraId="2540C05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12.2 </w:t>
      </w:r>
      <w:r>
        <w:rPr>
          <w:rFonts w:hint="eastAsia" w:ascii="宋体" w:hAnsi="宋体" w:eastAsia="宋体" w:cs="宋体"/>
          <w:color w:val="auto"/>
          <w:sz w:val="24"/>
          <w:szCs w:val="24"/>
          <w:highlight w:val="none"/>
        </w:rPr>
        <w:t xml:space="preserve">首次报价超过本项目预算金额的按无效响应处理。 </w:t>
      </w:r>
    </w:p>
    <w:p w14:paraId="4D06897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12.3 </w:t>
      </w:r>
      <w:r>
        <w:rPr>
          <w:rFonts w:hint="eastAsia" w:ascii="宋体" w:hAnsi="宋体" w:eastAsia="宋体" w:cs="宋体"/>
          <w:color w:val="auto"/>
          <w:sz w:val="24"/>
          <w:szCs w:val="24"/>
          <w:highlight w:val="none"/>
        </w:rPr>
        <w:t>供应商应按照“</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”中采购项目技术或服务要求规定的内容、责任范围进行首次报价，并按《</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的要求报出首次价格。首次报价总价中不得包含磋商文件要求以外的内容，否则，在评审时不予核减。首次报价总价中不得缺漏磋商文件所要求的内容，否则，被视为包含在首次报价总价中。《</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一览表（首次报价表）》中若出现免费项及赠送项则视同该部分价包含在总报价中。 </w:t>
      </w:r>
    </w:p>
    <w:p w14:paraId="6023483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 xml:space="preserve">12.4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标价的工程量清单</w:t>
      </w:r>
      <w:r>
        <w:rPr>
          <w:rFonts w:hint="eastAsia" w:ascii="宋体" w:hAnsi="宋体" w:eastAsia="宋体" w:cs="宋体"/>
          <w:color w:val="auto"/>
          <w:sz w:val="24"/>
          <w:szCs w:val="24"/>
          <w:highlight w:val="none"/>
        </w:rPr>
        <w:t>》内容应包含：</w:t>
      </w:r>
      <w:r>
        <w:rPr>
          <w:rFonts w:hint="eastAsia" w:ascii="宋体" w:hAnsi="宋体" w:eastAsia="宋体" w:cs="宋体"/>
          <w:color w:val="auto"/>
          <w:kern w:val="0"/>
          <w:sz w:val="24"/>
          <w:szCs w:val="24"/>
          <w:highlight w:val="none"/>
          <w:lang w:val="en-US" w:eastAsia="zh-CN" w:bidi="ar"/>
        </w:rPr>
        <w:t>具体内容及所需的表格，以</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文件的“附件</w:t>
      </w:r>
      <w:r>
        <w:rPr>
          <w:rFonts w:hint="eastAsia"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工程量清单”</w:t>
      </w:r>
      <w:r>
        <w:rPr>
          <w:rFonts w:hint="eastAsia" w:cs="宋体"/>
          <w:color w:val="auto"/>
          <w:kern w:val="0"/>
          <w:sz w:val="24"/>
          <w:szCs w:val="24"/>
          <w:highlight w:val="none"/>
          <w:lang w:val="en-US" w:eastAsia="zh-CN" w:bidi="ar"/>
        </w:rPr>
        <w:t>及投标总价单</w:t>
      </w:r>
      <w:r>
        <w:rPr>
          <w:rFonts w:hint="eastAsia" w:ascii="宋体" w:hAnsi="宋体" w:eastAsia="宋体" w:cs="宋体"/>
          <w:color w:val="auto"/>
          <w:kern w:val="0"/>
          <w:sz w:val="24"/>
          <w:szCs w:val="24"/>
          <w:highlight w:val="none"/>
          <w:lang w:val="en-US" w:eastAsia="zh-CN" w:bidi="ar"/>
        </w:rPr>
        <w:t>为准</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本项目</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文件中投标总价单必须由投标单位</w:t>
      </w:r>
      <w:r>
        <w:rPr>
          <w:rFonts w:hint="eastAsia" w:ascii="宋体" w:hAnsi="宋体" w:eastAsia="宋体" w:cs="宋体"/>
          <w:b/>
          <w:bCs/>
          <w:color w:val="auto"/>
          <w:kern w:val="0"/>
          <w:sz w:val="24"/>
          <w:szCs w:val="24"/>
          <w:highlight w:val="none"/>
          <w:lang w:val="en-US" w:eastAsia="zh-CN" w:bidi="ar"/>
        </w:rPr>
        <w:t>注册造价工程师签字并盖专用章</w:t>
      </w:r>
      <w:r>
        <w:rPr>
          <w:rFonts w:hint="eastAsia" w:ascii="宋体" w:hAnsi="宋体" w:eastAsia="宋体" w:cs="宋体"/>
          <w:color w:val="auto"/>
          <w:kern w:val="0"/>
          <w:sz w:val="24"/>
          <w:szCs w:val="24"/>
          <w:highlight w:val="none"/>
          <w:lang w:val="en-US" w:eastAsia="zh-CN" w:bidi="ar"/>
        </w:rPr>
        <w:t>，否则视为不响应磋商文件。</w:t>
      </w:r>
    </w:p>
    <w:p w14:paraId="47F747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12.5 </w:t>
      </w:r>
      <w:r>
        <w:rPr>
          <w:rFonts w:hint="eastAsia" w:ascii="宋体" w:hAnsi="宋体" w:eastAsia="宋体" w:cs="宋体"/>
          <w:color w:val="auto"/>
          <w:sz w:val="24"/>
          <w:szCs w:val="24"/>
          <w:highlight w:val="none"/>
        </w:rPr>
        <w:t>除</w:t>
      </w:r>
      <w:r>
        <w:rPr>
          <w:rFonts w:hint="eastAsia" w:ascii="宋体" w:hAnsi="宋体" w:eastAsia="宋体" w:cs="宋体"/>
          <w:b/>
          <w:bCs/>
          <w:color w:val="auto"/>
          <w:sz w:val="24"/>
          <w:szCs w:val="24"/>
          <w:highlight w:val="none"/>
        </w:rPr>
        <w:t>磋商须知前附表</w:t>
      </w:r>
      <w:r>
        <w:rPr>
          <w:rFonts w:hint="eastAsia" w:ascii="宋体" w:hAnsi="宋体" w:eastAsia="宋体" w:cs="宋体"/>
          <w:color w:val="auto"/>
          <w:sz w:val="24"/>
          <w:szCs w:val="24"/>
          <w:highlight w:val="none"/>
        </w:rPr>
        <w:t xml:space="preserve">中另有规定，供应商所报的磋商价在合同执行过程中是固定不变的，不得以任何理由予以变更。任何包含价格调整要求的磋商被认为是非实质性响应响应而予以拒绝。 </w:t>
      </w:r>
    </w:p>
    <w:p w14:paraId="0A89265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12.6 </w:t>
      </w:r>
      <w:r>
        <w:rPr>
          <w:rFonts w:hint="eastAsia" w:ascii="宋体" w:hAnsi="宋体" w:eastAsia="宋体" w:cs="宋体"/>
          <w:color w:val="auto"/>
          <w:sz w:val="24"/>
          <w:szCs w:val="24"/>
          <w:highlight w:val="none"/>
        </w:rPr>
        <w:t xml:space="preserve">除磋商须知前附表中允许有备选方案外，本次磋商不接受选择性报价，不接受具有附加条件的报价，否则将被视为无效响应。 </w:t>
      </w:r>
    </w:p>
    <w:p w14:paraId="17B2F1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rPr>
        <w:t xml:space="preserve">联合体投标 </w:t>
      </w:r>
    </w:p>
    <w:p w14:paraId="79005CB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 </w:t>
      </w:r>
      <w:r>
        <w:rPr>
          <w:rFonts w:hint="eastAsia" w:ascii="宋体" w:hAnsi="宋体" w:eastAsia="宋体" w:cs="宋体"/>
          <w:color w:val="auto"/>
          <w:sz w:val="24"/>
          <w:szCs w:val="24"/>
          <w:highlight w:val="none"/>
        </w:rPr>
        <w:t>磋商文件第一部分“磋商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”中拒绝接受联合体投标的，则不接受联合体磋商。如果“磋商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”中允许联合体投标的，则必须满足： </w:t>
      </w:r>
    </w:p>
    <w:p w14:paraId="06A036A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13.1.1 </w:t>
      </w:r>
      <w:r>
        <w:rPr>
          <w:rFonts w:hint="eastAsia" w:ascii="宋体" w:hAnsi="宋体" w:eastAsia="宋体" w:cs="宋体"/>
          <w:color w:val="auto"/>
          <w:sz w:val="24"/>
          <w:szCs w:val="24"/>
          <w:highlight w:val="none"/>
        </w:rPr>
        <w:t xml:space="preserve">以联合体形式参加磋商的，联合体各方均必须符合《中华人民共和国政府采购法》第二十二条规定，联合体中有同类资质的供应商按照联合体分工承担相同工作的，按照资质等级较低的供应商确定资质等级。  </w:t>
      </w:r>
    </w:p>
    <w:p w14:paraId="105E092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13.1.2 </w:t>
      </w:r>
      <w:r>
        <w:rPr>
          <w:rFonts w:hint="eastAsia" w:ascii="宋体" w:hAnsi="宋体" w:eastAsia="宋体" w:cs="宋体"/>
          <w:color w:val="auto"/>
          <w:sz w:val="24"/>
          <w:szCs w:val="24"/>
          <w:highlight w:val="none"/>
        </w:rPr>
        <w:t xml:space="preserve">联合体磋商的，必须提供各方签订的共同投标协议，明确约定各方承担的工作和相应的责任。联合体各方签订共同磋商协议后，不得再以自己名义单独在同一项目（或包组）中磋商，也不得组成新的联合体参加同一项目（或包组）磋商。 </w:t>
      </w:r>
    </w:p>
    <w:p w14:paraId="47BAD0C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13.1.3 </w:t>
      </w:r>
      <w:r>
        <w:rPr>
          <w:rFonts w:hint="eastAsia" w:ascii="宋体" w:hAnsi="宋体" w:eastAsia="宋体" w:cs="宋体"/>
          <w:color w:val="auto"/>
          <w:sz w:val="24"/>
          <w:szCs w:val="24"/>
          <w:highlight w:val="none"/>
        </w:rPr>
        <w:t xml:space="preserve">联合体磋商的，可以由联合体中的一方或者共同提交磋商保证金，以一方名义提交投磋商证金的，对联合体各方均具有约束力。 </w:t>
      </w:r>
    </w:p>
    <w:p w14:paraId="6741E9F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13.1.4 </w:t>
      </w:r>
      <w:r>
        <w:rPr>
          <w:rFonts w:hint="eastAsia" w:ascii="宋体" w:hAnsi="宋体" w:eastAsia="宋体" w:cs="宋体"/>
          <w:color w:val="auto"/>
          <w:sz w:val="24"/>
          <w:szCs w:val="24"/>
          <w:highlight w:val="none"/>
        </w:rPr>
        <w:t xml:space="preserve">联合体成交的，联合体各方应当共同与采购人签订合同。 </w:t>
      </w:r>
    </w:p>
    <w:p w14:paraId="10AB0A9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13.1.5 </w:t>
      </w:r>
      <w:r>
        <w:rPr>
          <w:rFonts w:hint="eastAsia" w:ascii="宋体" w:hAnsi="宋体" w:eastAsia="宋体" w:cs="宋体"/>
          <w:color w:val="auto"/>
          <w:sz w:val="24"/>
          <w:szCs w:val="24"/>
          <w:highlight w:val="none"/>
        </w:rPr>
        <w:t>联合体在报名登记时，提交经联合体各方盖章的联合体磋商协议，以确认联合体的牵头人及成员。</w:t>
      </w:r>
    </w:p>
    <w:p w14:paraId="0EEC42A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 xml:space="preserve">证明供应商合格的资格文件 </w:t>
      </w:r>
    </w:p>
    <w:p w14:paraId="2BE35A4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14.1 </w:t>
      </w:r>
      <w:r>
        <w:rPr>
          <w:rFonts w:hint="eastAsia" w:ascii="宋体" w:hAnsi="宋体" w:eastAsia="宋体" w:cs="宋体"/>
          <w:color w:val="auto"/>
          <w:sz w:val="24"/>
          <w:szCs w:val="24"/>
          <w:highlight w:val="none"/>
        </w:rPr>
        <w:t xml:space="preserve">供应商应提交证明其有资格参加磋商和被确定为成交供应商后有能力履行合同的文件，以及证明其提供的合同项下，服务的合格性符合磋商文件规定的文件，并作为响应文件的一部分。如果供应商为联合体，应提交联合体各方的资格证明文件、共同磋商协议并注明主体方及各方拟承担的工作和责任。否则，将导致其响应无效。 </w:t>
      </w:r>
    </w:p>
    <w:p w14:paraId="255C7EC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14.2 </w:t>
      </w:r>
      <w:r>
        <w:rPr>
          <w:rFonts w:hint="eastAsia" w:ascii="宋体" w:hAnsi="宋体" w:eastAsia="宋体" w:cs="宋体"/>
          <w:color w:val="auto"/>
          <w:sz w:val="24"/>
          <w:szCs w:val="24"/>
          <w:highlight w:val="none"/>
        </w:rPr>
        <w:t>供应商提交的资格证明文件应满足第一部分“磋商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”供应商资格要求的全部条款。 </w:t>
      </w:r>
    </w:p>
    <w:p w14:paraId="3E15C6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 </w:t>
      </w:r>
      <w:r>
        <w:rPr>
          <w:rFonts w:hint="eastAsia" w:ascii="宋体" w:hAnsi="宋体" w:eastAsia="宋体" w:cs="宋体"/>
          <w:color w:val="auto"/>
          <w:sz w:val="24"/>
          <w:szCs w:val="24"/>
          <w:highlight w:val="none"/>
        </w:rPr>
        <w:t xml:space="preserve">证明标的的合格性和符合磋商文件规定的文件 </w:t>
      </w:r>
    </w:p>
    <w:p w14:paraId="4D944D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15.1 </w:t>
      </w:r>
      <w:r>
        <w:rPr>
          <w:rFonts w:hint="eastAsia" w:ascii="宋体" w:hAnsi="宋体" w:eastAsia="宋体" w:cs="宋体"/>
          <w:color w:val="auto"/>
          <w:sz w:val="24"/>
          <w:szCs w:val="24"/>
          <w:highlight w:val="none"/>
        </w:rPr>
        <w:t>供应商应提交证明文件，证明其拟磋商的</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的合格性符合磋商文件规定。该证明文件作为响应文件的一部分。 </w:t>
      </w:r>
    </w:p>
    <w:p w14:paraId="0FD24E9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15.2 工程</w:t>
      </w:r>
      <w:r>
        <w:rPr>
          <w:rFonts w:hint="eastAsia" w:ascii="宋体" w:hAnsi="宋体" w:eastAsia="宋体" w:cs="宋体"/>
          <w:color w:val="auto"/>
          <w:sz w:val="24"/>
          <w:szCs w:val="24"/>
          <w:highlight w:val="none"/>
        </w:rPr>
        <w:t>合格性的证明文件应包括</w:t>
      </w:r>
      <w:r>
        <w:rPr>
          <w:rFonts w:hint="eastAsia" w:ascii="宋体" w:hAnsi="宋体" w:eastAsia="宋体" w:cs="宋体"/>
          <w:color w:val="auto"/>
          <w:sz w:val="24"/>
          <w:szCs w:val="24"/>
          <w:highlight w:val="none"/>
          <w:lang w:val="en-US" w:eastAsia="zh-CN"/>
        </w:rPr>
        <w:t>标价的工程量清单</w:t>
      </w:r>
      <w:r>
        <w:rPr>
          <w:rFonts w:hint="eastAsia" w:ascii="宋体" w:hAnsi="宋体" w:eastAsia="宋体" w:cs="宋体"/>
          <w:color w:val="auto"/>
          <w:sz w:val="24"/>
          <w:szCs w:val="24"/>
          <w:highlight w:val="none"/>
        </w:rPr>
        <w:t xml:space="preserve">中对货物和服务原产地的说明。 </w:t>
      </w:r>
    </w:p>
    <w:p w14:paraId="64ABA0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 xml:space="preserve">15.3 </w:t>
      </w:r>
      <w:r>
        <w:rPr>
          <w:rFonts w:hint="eastAsia" w:ascii="宋体" w:hAnsi="宋体" w:eastAsia="宋体" w:cs="宋体"/>
          <w:color w:val="auto"/>
          <w:sz w:val="24"/>
          <w:szCs w:val="24"/>
          <w:highlight w:val="none"/>
        </w:rPr>
        <w:t>证明</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与磋商文件的要求相一致的文件，可以是文字资料、图纸和数据，它包括： </w:t>
      </w:r>
    </w:p>
    <w:p w14:paraId="26F7C2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15.3.1 工程</w:t>
      </w:r>
      <w:r>
        <w:rPr>
          <w:rFonts w:hint="eastAsia" w:ascii="宋体" w:hAnsi="宋体" w:eastAsia="宋体" w:cs="宋体"/>
          <w:color w:val="auto"/>
          <w:sz w:val="24"/>
          <w:szCs w:val="24"/>
          <w:highlight w:val="none"/>
        </w:rPr>
        <w:t xml:space="preserve">主要技术指标和性能的详细说明； </w:t>
      </w:r>
    </w:p>
    <w:p w14:paraId="298892E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15.3.2 工程</w:t>
      </w:r>
      <w:r>
        <w:rPr>
          <w:rFonts w:hint="eastAsia" w:ascii="宋体" w:hAnsi="宋体" w:eastAsia="宋体" w:cs="宋体"/>
          <w:color w:val="auto"/>
          <w:sz w:val="24"/>
          <w:szCs w:val="24"/>
          <w:highlight w:val="none"/>
        </w:rPr>
        <w:t xml:space="preserve">正常使用所必须的备件和专用工具清单，包括备件和专用工具的货源及现行价格； </w:t>
      </w:r>
    </w:p>
    <w:p w14:paraId="313F1C0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15.3.3</w:t>
      </w:r>
      <w:r>
        <w:rPr>
          <w:rFonts w:hint="eastAsia" w:ascii="宋体" w:hAnsi="宋体" w:eastAsia="宋体" w:cs="宋体"/>
          <w:color w:val="auto"/>
          <w:sz w:val="24"/>
          <w:szCs w:val="24"/>
          <w:highlight w:val="none"/>
        </w:rPr>
        <w:t>对照磋商文件技术规格，逐条说明所提供</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已对磋商文件的技术规格作出了实质性的响应，并申明与技术规格条文的偏差和例外。对有具体参数要求的指标，供应商应提供所投设备的具体参数值。供应商在阐述时应注意磋商文件的技术规格中指出的工艺、材料和设备的标准。供应商在磋商中要实质上满足磋商文件的要求。 </w:t>
      </w:r>
    </w:p>
    <w:p w14:paraId="1D14449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 </w:t>
      </w:r>
      <w:r>
        <w:rPr>
          <w:rFonts w:hint="eastAsia" w:ascii="宋体" w:hAnsi="宋体" w:eastAsia="宋体" w:cs="宋体"/>
          <w:color w:val="auto"/>
          <w:sz w:val="24"/>
          <w:szCs w:val="24"/>
          <w:highlight w:val="none"/>
        </w:rPr>
        <w:t xml:space="preserve">不允许偏离的实质性条款 </w:t>
      </w:r>
    </w:p>
    <w:p w14:paraId="37D3EFC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 </w:t>
      </w:r>
      <w:r>
        <w:rPr>
          <w:rFonts w:hint="eastAsia" w:ascii="宋体" w:hAnsi="宋体" w:eastAsia="宋体" w:cs="宋体"/>
          <w:color w:val="auto"/>
          <w:sz w:val="24"/>
          <w:szCs w:val="24"/>
          <w:highlight w:val="none"/>
        </w:rPr>
        <w:t xml:space="preserve">响应文件必须对磋商文件中实质性条款的要求进行响应，不能出现负偏离，否则将导致响应无效。不允许负偏离的实质性条款如下： </w:t>
      </w:r>
    </w:p>
    <w:p w14:paraId="6030E0F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16.1.1 </w:t>
      </w:r>
      <w:r>
        <w:rPr>
          <w:rFonts w:hint="eastAsia" w:ascii="宋体" w:hAnsi="宋体" w:eastAsia="宋体" w:cs="宋体"/>
          <w:color w:val="auto"/>
          <w:sz w:val="24"/>
          <w:szCs w:val="24"/>
          <w:highlight w:val="none"/>
        </w:rPr>
        <w:t xml:space="preserve">加注“★部分”条款； </w:t>
      </w:r>
    </w:p>
    <w:p w14:paraId="7A9D6D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16.1.2 </w:t>
      </w:r>
      <w:r>
        <w:rPr>
          <w:rFonts w:hint="eastAsia" w:ascii="宋体" w:hAnsi="宋体" w:eastAsia="宋体" w:cs="宋体"/>
          <w:color w:val="auto"/>
          <w:sz w:val="24"/>
          <w:szCs w:val="24"/>
          <w:highlight w:val="none"/>
        </w:rPr>
        <w:t xml:space="preserve">磋商文件规定的其他必须响应的内容。 </w:t>
      </w:r>
    </w:p>
    <w:p w14:paraId="240049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16.2 </w:t>
      </w:r>
      <w:r>
        <w:rPr>
          <w:rFonts w:hint="eastAsia" w:ascii="宋体" w:hAnsi="宋体" w:eastAsia="宋体" w:cs="宋体"/>
          <w:color w:val="auto"/>
          <w:sz w:val="24"/>
          <w:szCs w:val="24"/>
          <w:highlight w:val="none"/>
        </w:rPr>
        <w:t>响应文件中技术规格、参数或其他内容优于磋商文件的要求视作正偏离，不构成响应无效，供应商对这种优于</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要求的情况必须单独说明。</w:t>
      </w:r>
    </w:p>
    <w:p w14:paraId="38DB38D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 </w:t>
      </w:r>
      <w:r>
        <w:rPr>
          <w:rFonts w:hint="eastAsia" w:ascii="宋体" w:hAnsi="宋体" w:eastAsia="宋体" w:cs="宋体"/>
          <w:color w:val="auto"/>
          <w:sz w:val="24"/>
          <w:szCs w:val="24"/>
          <w:highlight w:val="none"/>
        </w:rPr>
        <w:t xml:space="preserve">磋商保证金 </w:t>
      </w:r>
    </w:p>
    <w:p w14:paraId="2B8C0E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17.1 </w:t>
      </w:r>
      <w:r>
        <w:rPr>
          <w:rFonts w:hint="eastAsia" w:ascii="宋体" w:hAnsi="宋体" w:eastAsia="宋体" w:cs="宋体"/>
          <w:color w:val="auto"/>
          <w:sz w:val="24"/>
          <w:szCs w:val="24"/>
          <w:highlight w:val="none"/>
        </w:rPr>
        <w:t xml:space="preserve">供应商应按磋商须知前附表中规定的金额、期限缴纳磋商保证金，并作为其响应文件的组成部分。 </w:t>
      </w:r>
    </w:p>
    <w:p w14:paraId="69C65BA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17.2 采</w:t>
      </w:r>
      <w:r>
        <w:rPr>
          <w:rFonts w:hint="eastAsia" w:ascii="宋体" w:hAnsi="宋体" w:eastAsia="宋体" w:cs="宋体"/>
          <w:color w:val="auto"/>
          <w:sz w:val="24"/>
          <w:szCs w:val="24"/>
          <w:highlight w:val="none"/>
        </w:rPr>
        <w:t>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应当在采购活动结束后退还供应商的磋商保证金，但因供应商自身原因导致无法及时退还的除外。未成交供应商的磋商保证金应当在</w:t>
      </w:r>
      <w:r>
        <w:rPr>
          <w:rFonts w:hint="eastAsia" w:cs="宋体"/>
          <w:color w:val="auto"/>
          <w:sz w:val="24"/>
          <w:szCs w:val="24"/>
          <w:highlight w:val="none"/>
          <w:lang w:eastAsia="zh-CN"/>
        </w:rPr>
        <w:t>中标通知书</w:t>
      </w:r>
      <w:r>
        <w:rPr>
          <w:rFonts w:hint="eastAsia" w:ascii="宋体" w:hAnsi="宋体" w:eastAsia="宋体" w:cs="宋体"/>
          <w:color w:val="auto"/>
          <w:sz w:val="24"/>
          <w:szCs w:val="24"/>
          <w:highlight w:val="none"/>
        </w:rPr>
        <w:t xml:space="preserve">发出后5个工作日内退还，成交供应商的磋商保证金应当在采购合同签订后5个工作日内退还。 </w:t>
      </w:r>
    </w:p>
    <w:p w14:paraId="0B8FAF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 </w:t>
      </w:r>
      <w:r>
        <w:rPr>
          <w:rFonts w:hint="eastAsia" w:ascii="宋体" w:hAnsi="宋体" w:eastAsia="宋体" w:cs="宋体"/>
          <w:color w:val="auto"/>
          <w:sz w:val="24"/>
          <w:szCs w:val="24"/>
          <w:highlight w:val="none"/>
        </w:rPr>
        <w:t xml:space="preserve">有下列情形之一的，磋商保证金不予退还： </w:t>
      </w:r>
    </w:p>
    <w:p w14:paraId="79F3BD9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17.3.1 </w:t>
      </w:r>
      <w:r>
        <w:rPr>
          <w:rFonts w:hint="eastAsia" w:ascii="宋体" w:hAnsi="宋体" w:eastAsia="宋体" w:cs="宋体"/>
          <w:color w:val="auto"/>
          <w:sz w:val="24"/>
          <w:szCs w:val="24"/>
          <w:highlight w:val="none"/>
        </w:rPr>
        <w:t xml:space="preserve">供应商在提交响应文件截止时间后撤回响应文件的； </w:t>
      </w:r>
    </w:p>
    <w:p w14:paraId="2022B6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17.3.2 </w:t>
      </w:r>
      <w:r>
        <w:rPr>
          <w:rFonts w:hint="eastAsia" w:ascii="宋体" w:hAnsi="宋体" w:eastAsia="宋体" w:cs="宋体"/>
          <w:color w:val="auto"/>
          <w:sz w:val="24"/>
          <w:szCs w:val="24"/>
          <w:highlight w:val="none"/>
        </w:rPr>
        <w:t xml:space="preserve">供应商在响应文件中提供虚假材料的； </w:t>
      </w:r>
    </w:p>
    <w:p w14:paraId="033693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17.3.3 </w:t>
      </w:r>
      <w:r>
        <w:rPr>
          <w:rFonts w:hint="eastAsia" w:ascii="宋体" w:hAnsi="宋体" w:eastAsia="宋体" w:cs="宋体"/>
          <w:color w:val="auto"/>
          <w:sz w:val="24"/>
          <w:szCs w:val="24"/>
          <w:highlight w:val="none"/>
        </w:rPr>
        <w:t xml:space="preserve">除因不可抗力或磋商文件认可的情形以外，成交供应商不与采购人签订合同的； </w:t>
      </w:r>
    </w:p>
    <w:p w14:paraId="619F3CF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17.3.4 </w:t>
      </w:r>
      <w:r>
        <w:rPr>
          <w:rFonts w:hint="eastAsia" w:ascii="宋体" w:hAnsi="宋体" w:eastAsia="宋体" w:cs="宋体"/>
          <w:color w:val="auto"/>
          <w:sz w:val="24"/>
          <w:szCs w:val="24"/>
          <w:highlight w:val="none"/>
        </w:rPr>
        <w:t xml:space="preserve">供应商与采购人、其他供应商恶意串通的； </w:t>
      </w:r>
    </w:p>
    <w:p w14:paraId="1967C54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17.3.5 </w:t>
      </w:r>
      <w:r>
        <w:rPr>
          <w:rFonts w:hint="eastAsia" w:ascii="宋体" w:hAnsi="宋体" w:eastAsia="宋体" w:cs="宋体"/>
          <w:color w:val="auto"/>
          <w:sz w:val="24"/>
          <w:szCs w:val="24"/>
          <w:highlight w:val="none"/>
        </w:rPr>
        <w:t xml:space="preserve">磋商文件规定的其他情形。 </w:t>
      </w:r>
    </w:p>
    <w:p w14:paraId="279F92A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 </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 </w:t>
      </w:r>
    </w:p>
    <w:p w14:paraId="350EF14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18.1 </w:t>
      </w:r>
      <w:r>
        <w:rPr>
          <w:rFonts w:hint="eastAsia" w:ascii="宋体" w:hAnsi="宋体" w:eastAsia="宋体" w:cs="宋体"/>
          <w:color w:val="auto"/>
          <w:sz w:val="24"/>
          <w:szCs w:val="24"/>
          <w:highlight w:val="none"/>
        </w:rPr>
        <w:t>响应文件的有效期</w:t>
      </w:r>
      <w:r>
        <w:rPr>
          <w:rFonts w:hint="eastAsia" w:ascii="宋体" w:hAnsi="宋体" w:eastAsia="宋体" w:cs="宋体"/>
          <w:color w:val="auto"/>
          <w:sz w:val="24"/>
          <w:szCs w:val="24"/>
          <w:highlight w:val="none"/>
          <w:lang w:val="en-US" w:eastAsia="zh-CN"/>
        </w:rPr>
        <w:t>见磋商须知前附表之规定</w:t>
      </w:r>
      <w:r>
        <w:rPr>
          <w:rFonts w:hint="eastAsia" w:ascii="宋体" w:hAnsi="宋体" w:eastAsia="宋体" w:cs="宋体"/>
          <w:color w:val="auto"/>
          <w:sz w:val="24"/>
          <w:szCs w:val="24"/>
          <w:highlight w:val="none"/>
        </w:rPr>
        <w:t>，响应文件应在此期限内保持有效。磋商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有效期不足的响应文件将被视为非实质性响应，视为无效响应文件。 </w:t>
      </w:r>
    </w:p>
    <w:p w14:paraId="4C80A1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18.2 </w:t>
      </w:r>
      <w:r>
        <w:rPr>
          <w:rFonts w:hint="eastAsia" w:ascii="宋体" w:hAnsi="宋体" w:eastAsia="宋体" w:cs="宋体"/>
          <w:color w:val="auto"/>
          <w:sz w:val="24"/>
          <w:szCs w:val="24"/>
          <w:highlight w:val="none"/>
        </w:rPr>
        <w:t>特殊情况下，在原磋商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有效期截止之前，</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可要求供应商延长磋商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有效期。这种要求与答复均应以书面形式提交。供应商可拒绝</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的这种要求，其磋商保证金将被无息退还，但其磋商在原磋商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有效期期满后将不再有效。同意延长磋商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有效期的供应商将不会被要求和允许修正其磋商，而只会被要求相应地延长其磋商保证金的有效期。在这种情况下，本须知有关磋商保证金的退还和没收的规定将在延长了的有效期内继续有效。 </w:t>
      </w:r>
    </w:p>
    <w:p w14:paraId="175193B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 </w:t>
      </w:r>
      <w:r>
        <w:rPr>
          <w:rFonts w:hint="eastAsia" w:ascii="宋体" w:hAnsi="宋体" w:eastAsia="宋体" w:cs="宋体"/>
          <w:color w:val="auto"/>
          <w:sz w:val="24"/>
          <w:szCs w:val="24"/>
          <w:highlight w:val="none"/>
        </w:rPr>
        <w:t xml:space="preserve">响应文件的式样和签署 </w:t>
      </w:r>
    </w:p>
    <w:p w14:paraId="6A956E5B">
      <w:pPr>
        <w:spacing w:line="440" w:lineRule="exact"/>
        <w:ind w:firstLine="480" w:firstLineChars="200"/>
        <w:rPr>
          <w:rFonts w:hint="eastAsia"/>
          <w:color w:val="auto"/>
          <w:sz w:val="24"/>
          <w:szCs w:val="24"/>
          <w:highlight w:val="none"/>
        </w:rPr>
      </w:pPr>
      <w:r>
        <w:rPr>
          <w:rFonts w:hint="eastAsia" w:ascii="宋体" w:hAnsi="宋体" w:eastAsia="宋体" w:cs="宋体"/>
          <w:color w:val="auto"/>
          <w:sz w:val="24"/>
          <w:szCs w:val="24"/>
          <w:highlight w:val="none"/>
          <w:lang w:val="en-US" w:eastAsia="zh-CN"/>
        </w:rPr>
        <w:t xml:space="preserve">19.1 </w:t>
      </w:r>
      <w:r>
        <w:rPr>
          <w:rFonts w:hint="eastAsia" w:ascii="宋体" w:hAnsi="宋体" w:eastAsia="宋体" w:cs="宋体"/>
          <w:color w:val="auto"/>
          <w:sz w:val="24"/>
          <w:szCs w:val="24"/>
          <w:highlight w:val="none"/>
        </w:rPr>
        <w:t>响应文件的式样：</w:t>
      </w:r>
      <w:r>
        <w:rPr>
          <w:rFonts w:hint="eastAsia"/>
          <w:color w:val="auto"/>
          <w:sz w:val="24"/>
          <w:szCs w:val="24"/>
          <w:highlight w:val="none"/>
        </w:rPr>
        <w:t xml:space="preserve">在政采云平台上传加密的电子响应文件。 </w:t>
      </w:r>
    </w:p>
    <w:p w14:paraId="0F62AC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19.2 </w:t>
      </w:r>
      <w:r>
        <w:rPr>
          <w:rFonts w:hint="eastAsia" w:ascii="宋体" w:hAnsi="宋体" w:eastAsia="宋体" w:cs="宋体"/>
          <w:color w:val="auto"/>
          <w:sz w:val="24"/>
          <w:szCs w:val="24"/>
          <w:highlight w:val="none"/>
        </w:rPr>
        <w:t xml:space="preserve">响应文件的签署及盖章： </w:t>
      </w:r>
    </w:p>
    <w:p w14:paraId="08E4D92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19.2.1 </w:t>
      </w:r>
      <w:r>
        <w:rPr>
          <w:rFonts w:hint="eastAsia" w:ascii="宋体" w:hAnsi="宋体" w:eastAsia="宋体" w:cs="宋体"/>
          <w:color w:val="auto"/>
          <w:sz w:val="24"/>
          <w:szCs w:val="24"/>
          <w:highlight w:val="none"/>
        </w:rPr>
        <w:t xml:space="preserve">响应文件要求签名或盖章的内容（磋商文件第五部分“响应文件格式”中要求法人代表或授权委托人签名或盖章）必须由法定代表人或经其正式授权的代表签字或盖章，由授权代表签字或盖章的，必须将书面形式出具的《法定代表人授权委托书》附在响应文件中。 </w:t>
      </w:r>
    </w:p>
    <w:p w14:paraId="3AC8BD8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sz w:val="24"/>
          <w:szCs w:val="24"/>
          <w:highlight w:val="none"/>
        </w:rPr>
      </w:pPr>
      <w:r>
        <w:rPr>
          <w:rFonts w:hint="eastAsia" w:ascii="宋体" w:hAnsi="宋体" w:eastAsia="宋体" w:cs="宋体"/>
          <w:color w:val="auto"/>
          <w:sz w:val="24"/>
          <w:szCs w:val="24"/>
          <w:highlight w:val="none"/>
          <w:lang w:val="en-US" w:eastAsia="zh-CN"/>
        </w:rPr>
        <w:t>19.2.2</w:t>
      </w:r>
      <w:r>
        <w:rPr>
          <w:rFonts w:hint="eastAsia"/>
          <w:color w:val="auto"/>
          <w:sz w:val="24"/>
          <w:szCs w:val="24"/>
          <w:highlight w:val="none"/>
        </w:rPr>
        <w:t>响应文件要求盖公章的内容（磋商文件第五部分“响应文件格式”中要求盖供应商公章）必须加盖供应商公章。</w:t>
      </w:r>
    </w:p>
    <w:p w14:paraId="1D8EB3C8">
      <w:pPr>
        <w:rPr>
          <w:rFonts w:hint="eastAsia" w:ascii="宋体" w:hAnsi="宋体" w:eastAsia="宋体" w:cs="宋体"/>
          <w:color w:val="auto"/>
          <w:sz w:val="24"/>
          <w:szCs w:val="24"/>
          <w:highlight w:val="none"/>
        </w:rPr>
      </w:pPr>
    </w:p>
    <w:p w14:paraId="3741AC98">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811" w:firstLineChars="10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响应文件的递交</w:t>
      </w:r>
    </w:p>
    <w:p w14:paraId="09CC1A5F">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3080" w:leftChars="0" w:right="0" w:rightChars="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14:paraId="363ECEE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20 </w:t>
      </w:r>
      <w:r>
        <w:rPr>
          <w:rFonts w:hint="eastAsia" w:cs="宋体"/>
          <w:b/>
          <w:bCs/>
          <w:color w:val="auto"/>
          <w:sz w:val="24"/>
          <w:szCs w:val="24"/>
          <w:highlight w:val="none"/>
          <w:lang w:val="en-US" w:eastAsia="zh-CN"/>
        </w:rPr>
        <w:t>加密电子响应文件</w:t>
      </w:r>
      <w:r>
        <w:rPr>
          <w:rFonts w:hint="eastAsia" w:ascii="宋体" w:hAnsi="宋体" w:eastAsia="宋体" w:cs="宋体"/>
          <w:b/>
          <w:bCs/>
          <w:color w:val="auto"/>
          <w:sz w:val="24"/>
          <w:szCs w:val="24"/>
          <w:highlight w:val="none"/>
        </w:rPr>
        <w:t xml:space="preserve"> </w:t>
      </w:r>
    </w:p>
    <w:p w14:paraId="1F4D43EF">
      <w:pPr>
        <w:keepNext w:val="0"/>
        <w:keepLines w:val="0"/>
        <w:pageBreakBefore w:val="0"/>
        <w:widowControl w:val="0"/>
        <w:kinsoku/>
        <w:wordWrap w:val="0"/>
        <w:overflowPunct/>
        <w:topLinePunct w:val="0"/>
        <w:autoSpaceDE w:val="0"/>
        <w:autoSpaceDN w:val="0"/>
        <w:bidi w:val="0"/>
        <w:adjustRightInd/>
        <w:snapToGrid/>
        <w:spacing w:line="440" w:lineRule="exact"/>
        <w:ind w:firstLine="480" w:firstLineChars="200"/>
        <w:textAlignment w:val="auto"/>
        <w:rPr>
          <w:rFonts w:hint="eastAsia"/>
          <w:color w:val="auto"/>
          <w:sz w:val="24"/>
          <w:szCs w:val="24"/>
          <w:highlight w:val="none"/>
        </w:rPr>
      </w:pPr>
      <w:r>
        <w:rPr>
          <w:rFonts w:hint="eastAsia"/>
          <w:color w:val="auto"/>
          <w:sz w:val="24"/>
          <w:szCs w:val="24"/>
          <w:highlight w:val="none"/>
          <w:lang w:val="en-US"/>
        </w:rPr>
        <w:t>20.1</w:t>
      </w:r>
      <w:r>
        <w:rPr>
          <w:rFonts w:hint="eastAsia"/>
          <w:color w:val="auto"/>
          <w:sz w:val="24"/>
          <w:szCs w:val="24"/>
          <w:highlight w:val="none"/>
          <w:lang w:val="en-US" w:eastAsia="zh-CN"/>
        </w:rPr>
        <w:t xml:space="preserve"> 本项目采用不见面开标，供应商须在投标截止时间前通过CA在政采云平台上传加密的电子响应文件。供应商对不见面开评标系统的技术操作咨询，可通过 （https://www.xjca.com.cn/）或下载“新疆政务通”APP自行进行申领。自助查询，也可在政采云帮助中心常见问题解答和操作流程讲解视频中自助查询，网址为：（https://www.xjca.com.cn/）“项目采购”—“操作流程-电子招投标”—“政府采购项目电子交易管理操作指南-供应商”版面获取操作指南，同时对所有无法解决的问题可通过钉钉群及政采云在线客服获取服务支持。</w:t>
      </w:r>
      <w:r>
        <w:rPr>
          <w:rFonts w:hint="eastAsia"/>
          <w:color w:val="auto"/>
          <w:sz w:val="24"/>
          <w:szCs w:val="24"/>
          <w:highlight w:val="none"/>
        </w:rPr>
        <w:t xml:space="preserve"> </w:t>
      </w:r>
    </w:p>
    <w:p w14:paraId="49A3F86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21 </w:t>
      </w:r>
      <w:r>
        <w:rPr>
          <w:rFonts w:hint="eastAsia" w:ascii="宋体" w:hAnsi="宋体" w:eastAsia="宋体" w:cs="宋体"/>
          <w:b/>
          <w:bCs/>
          <w:color w:val="auto"/>
          <w:sz w:val="24"/>
          <w:szCs w:val="24"/>
          <w:highlight w:val="none"/>
        </w:rPr>
        <w:t>磋商响应截止</w:t>
      </w:r>
      <w:r>
        <w:rPr>
          <w:rFonts w:hint="eastAsia" w:ascii="宋体" w:hAnsi="宋体" w:eastAsia="宋体" w:cs="宋体"/>
          <w:color w:val="auto"/>
          <w:sz w:val="24"/>
          <w:szCs w:val="24"/>
          <w:highlight w:val="none"/>
        </w:rPr>
        <w:t xml:space="preserve"> </w:t>
      </w:r>
    </w:p>
    <w:p w14:paraId="29FD2E92">
      <w:pPr>
        <w:spacing w:line="440" w:lineRule="exact"/>
        <w:ind w:firstLine="480" w:firstLineChars="200"/>
        <w:rPr>
          <w:rFonts w:hint="eastAsia" w:eastAsia="宋体"/>
          <w:color w:val="auto"/>
          <w:sz w:val="24"/>
          <w:szCs w:val="24"/>
          <w:highlight w:val="none"/>
          <w:lang w:eastAsia="zh-CN"/>
        </w:rPr>
      </w:pPr>
      <w:r>
        <w:rPr>
          <w:rFonts w:hint="eastAsia"/>
          <w:color w:val="auto"/>
          <w:sz w:val="24"/>
          <w:szCs w:val="24"/>
          <w:highlight w:val="none"/>
          <w:lang w:val="en-US"/>
        </w:rPr>
        <w:t xml:space="preserve">21.1 </w:t>
      </w:r>
      <w:r>
        <w:rPr>
          <w:rFonts w:hint="eastAsia"/>
          <w:color w:val="auto"/>
          <w:sz w:val="24"/>
          <w:szCs w:val="24"/>
          <w:highlight w:val="none"/>
        </w:rPr>
        <w:t>供应商应在磋商文件第一部分“磋商</w:t>
      </w:r>
      <w:r>
        <w:rPr>
          <w:rFonts w:hint="eastAsia"/>
          <w:color w:val="auto"/>
          <w:sz w:val="24"/>
          <w:szCs w:val="24"/>
          <w:highlight w:val="none"/>
          <w:lang w:val="en-US" w:eastAsia="zh-CN"/>
        </w:rPr>
        <w:t>公告</w:t>
      </w:r>
      <w:r>
        <w:rPr>
          <w:rFonts w:hint="eastAsia"/>
          <w:color w:val="auto"/>
          <w:sz w:val="24"/>
          <w:szCs w:val="24"/>
          <w:highlight w:val="none"/>
        </w:rPr>
        <w:t>”中规定的截止日期和时间前将</w:t>
      </w:r>
      <w:r>
        <w:rPr>
          <w:rFonts w:hint="eastAsia"/>
          <w:color w:val="auto"/>
          <w:sz w:val="24"/>
          <w:szCs w:val="24"/>
          <w:highlight w:val="none"/>
          <w:lang w:val="en-US" w:eastAsia="zh-CN"/>
        </w:rPr>
        <w:t>电子</w:t>
      </w:r>
      <w:r>
        <w:rPr>
          <w:rFonts w:hint="eastAsia"/>
          <w:color w:val="auto"/>
          <w:sz w:val="24"/>
          <w:szCs w:val="24"/>
          <w:highlight w:val="none"/>
        </w:rPr>
        <w:t>响应文件</w:t>
      </w:r>
      <w:r>
        <w:rPr>
          <w:rFonts w:hint="eastAsia"/>
          <w:color w:val="auto"/>
          <w:sz w:val="24"/>
          <w:szCs w:val="24"/>
          <w:highlight w:val="none"/>
          <w:lang w:val="en-US" w:eastAsia="zh-CN"/>
        </w:rPr>
        <w:t>递交上传</w:t>
      </w:r>
      <w:r>
        <w:rPr>
          <w:rFonts w:hint="eastAsia"/>
          <w:color w:val="auto"/>
          <w:sz w:val="24"/>
          <w:szCs w:val="24"/>
          <w:highlight w:val="none"/>
        </w:rPr>
        <w:t>至新疆政府采购云平台</w:t>
      </w:r>
      <w:r>
        <w:rPr>
          <w:rFonts w:hint="eastAsia"/>
          <w:color w:val="auto"/>
          <w:sz w:val="24"/>
          <w:szCs w:val="24"/>
          <w:highlight w:val="none"/>
          <w:lang w:val="en-US" w:eastAsia="zh-CN"/>
        </w:rPr>
        <w:t>（https://www.xjca.com.cn/）</w:t>
      </w:r>
      <w:r>
        <w:rPr>
          <w:rFonts w:hint="eastAsia"/>
          <w:color w:val="auto"/>
          <w:sz w:val="24"/>
          <w:szCs w:val="24"/>
          <w:highlight w:val="none"/>
          <w:lang w:eastAsia="zh-CN"/>
        </w:rPr>
        <w:t>。</w:t>
      </w:r>
    </w:p>
    <w:p w14:paraId="341AA77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21.2 </w:t>
      </w:r>
      <w:r>
        <w:rPr>
          <w:rFonts w:hint="eastAsia" w:ascii="宋体" w:hAnsi="宋体" w:eastAsia="宋体" w:cs="宋体"/>
          <w:color w:val="auto"/>
          <w:sz w:val="24"/>
          <w:szCs w:val="24"/>
          <w:highlight w:val="none"/>
        </w:rPr>
        <w:t>为使供应商准备响应时有充分时间对磋商文件的修改部分进行研究，采购人或者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可适当推迟响应截止期，但应发布公告并书面通知所有获取磋商文件的潜在供应商。在此情况下，采购人或者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和供应商受响应截止期制约的所有权利和义务均应延长至新的截止期。 </w:t>
      </w:r>
    </w:p>
    <w:p w14:paraId="0C21A07E">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21.3 </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将拒收在磋商文件规定的响应截止时间之后送达的响应文件及未报名获取磋商文件的供应商递交的响应文件。 </w:t>
      </w:r>
    </w:p>
    <w:p w14:paraId="7151DD0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22 </w:t>
      </w:r>
      <w:r>
        <w:rPr>
          <w:rFonts w:hint="eastAsia" w:ascii="宋体" w:hAnsi="宋体" w:eastAsia="宋体" w:cs="宋体"/>
          <w:b/>
          <w:bCs/>
          <w:color w:val="auto"/>
          <w:sz w:val="24"/>
          <w:szCs w:val="24"/>
          <w:highlight w:val="none"/>
        </w:rPr>
        <w:t>响应文件的修改和撤回</w:t>
      </w:r>
      <w:r>
        <w:rPr>
          <w:rFonts w:hint="eastAsia" w:ascii="宋体" w:hAnsi="宋体" w:eastAsia="宋体" w:cs="宋体"/>
          <w:color w:val="auto"/>
          <w:sz w:val="24"/>
          <w:szCs w:val="24"/>
          <w:highlight w:val="none"/>
        </w:rPr>
        <w:t xml:space="preserve"> </w:t>
      </w:r>
    </w:p>
    <w:p w14:paraId="10983E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 供应商在响应文件提交截止期前，可以对所提交的响应文件进行补充、修改或者撤回，并书面通知采购单位。补充、修改的内容应当按磋商文件要求签署、盖章，并作为响应文件的组成部分。补充、修改的内容和响应文件不一致的，以补充、修改的内容为准。在响应文件递交截止期时点之后，磋商供应商不得撤回其响应文件，不得对其响应文件做任何修改和补充。</w:t>
      </w:r>
    </w:p>
    <w:p w14:paraId="7E4C5F0E">
      <w:pPr>
        <w:pStyle w:val="7"/>
        <w:rPr>
          <w:rFonts w:hint="eastAsia"/>
          <w:color w:val="auto"/>
          <w:highlight w:val="none"/>
        </w:rPr>
      </w:pPr>
    </w:p>
    <w:p w14:paraId="2BC60480">
      <w:pPr>
        <w:keepNext w:val="0"/>
        <w:keepLines w:val="0"/>
        <w:pageBreakBefore w:val="0"/>
        <w:widowControl w:val="0"/>
        <w:numPr>
          <w:ilvl w:val="0"/>
          <w:numId w:val="5"/>
        </w:numPr>
        <w:kinsoku/>
        <w:wordWrap/>
        <w:overflowPunct/>
        <w:topLinePunct w:val="0"/>
        <w:autoSpaceDE w:val="0"/>
        <w:autoSpaceDN w:val="0"/>
        <w:bidi w:val="0"/>
        <w:adjustRightInd/>
        <w:snapToGrid/>
        <w:spacing w:line="440" w:lineRule="exact"/>
        <w:ind w:right="0" w:rightChars="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磋商</w:t>
      </w:r>
      <w:r>
        <w:rPr>
          <w:rFonts w:hint="eastAsia" w:ascii="宋体" w:hAnsi="宋体" w:eastAsia="宋体" w:cs="宋体"/>
          <w:b/>
          <w:bCs/>
          <w:color w:val="auto"/>
          <w:sz w:val="28"/>
          <w:szCs w:val="28"/>
          <w:highlight w:val="none"/>
          <w:lang w:val="en-US" w:eastAsia="zh-CN"/>
        </w:rPr>
        <w:t>程序</w:t>
      </w:r>
    </w:p>
    <w:p w14:paraId="29FBA749">
      <w:pPr>
        <w:pStyle w:val="7"/>
        <w:numPr>
          <w:ilvl w:val="0"/>
          <w:numId w:val="0"/>
        </w:numPr>
        <w:ind w:right="0" w:rightChars="0"/>
        <w:rPr>
          <w:rFonts w:hint="eastAsia"/>
          <w:color w:val="auto"/>
          <w:highlight w:val="none"/>
          <w:lang w:eastAsia="zh-CN"/>
        </w:rPr>
      </w:pPr>
    </w:p>
    <w:p w14:paraId="0C302F3A">
      <w:pPr>
        <w:spacing w:line="440" w:lineRule="exact"/>
        <w:ind w:firstLine="482" w:firstLineChars="200"/>
        <w:rPr>
          <w:rFonts w:hint="eastAsia"/>
          <w:b/>
          <w:bCs/>
          <w:color w:val="auto"/>
          <w:sz w:val="24"/>
          <w:szCs w:val="24"/>
          <w:highlight w:val="none"/>
        </w:rPr>
      </w:pPr>
      <w:r>
        <w:rPr>
          <w:rFonts w:hint="eastAsia"/>
          <w:b/>
          <w:bCs/>
          <w:color w:val="auto"/>
          <w:sz w:val="24"/>
          <w:szCs w:val="24"/>
          <w:highlight w:val="none"/>
        </w:rPr>
        <w:t>23 开标</w:t>
      </w:r>
    </w:p>
    <w:p w14:paraId="58D3B856">
      <w:pPr>
        <w:spacing w:line="440" w:lineRule="exact"/>
        <w:ind w:firstLine="480" w:firstLineChars="200"/>
        <w:rPr>
          <w:rFonts w:hint="eastAsia"/>
          <w:color w:val="auto"/>
          <w:sz w:val="24"/>
          <w:szCs w:val="24"/>
          <w:highlight w:val="none"/>
        </w:rPr>
      </w:pPr>
      <w:r>
        <w:rPr>
          <w:rFonts w:hint="eastAsia"/>
          <w:color w:val="auto"/>
          <w:sz w:val="24"/>
          <w:szCs w:val="24"/>
          <w:highlight w:val="none"/>
        </w:rPr>
        <w:t>23.1 除非采购代理机构另外书面通知，本项目将按本招标文件《</w:t>
      </w:r>
      <w:r>
        <w:rPr>
          <w:rFonts w:hint="eastAsia"/>
          <w:color w:val="auto"/>
          <w:sz w:val="24"/>
          <w:szCs w:val="24"/>
          <w:highlight w:val="none"/>
          <w:lang w:eastAsia="zh-CN"/>
        </w:rPr>
        <w:t>磋商须知前附表</w:t>
      </w:r>
      <w:r>
        <w:rPr>
          <w:rFonts w:hint="eastAsia"/>
          <w:color w:val="auto"/>
          <w:sz w:val="24"/>
          <w:szCs w:val="24"/>
          <w:highlight w:val="none"/>
        </w:rPr>
        <w:t>》中规定的时间和地点开标。</w:t>
      </w:r>
    </w:p>
    <w:p w14:paraId="377AA739">
      <w:pPr>
        <w:spacing w:line="440" w:lineRule="exact"/>
        <w:ind w:firstLine="480" w:firstLineChars="200"/>
        <w:rPr>
          <w:rFonts w:hint="eastAsia"/>
          <w:b/>
          <w:bCs/>
          <w:color w:val="auto"/>
          <w:sz w:val="24"/>
          <w:szCs w:val="24"/>
          <w:highlight w:val="none"/>
        </w:rPr>
      </w:pPr>
      <w:r>
        <w:rPr>
          <w:rFonts w:hint="eastAsia"/>
          <w:color w:val="auto"/>
          <w:sz w:val="24"/>
          <w:szCs w:val="24"/>
          <w:highlight w:val="none"/>
          <w:lang w:val="en-US" w:eastAsia="zh-CN"/>
        </w:rPr>
        <w:t>23.2</w:t>
      </w:r>
      <w:r>
        <w:rPr>
          <w:rFonts w:hint="eastAsia"/>
          <w:b/>
          <w:bCs/>
          <w:color w:val="auto"/>
          <w:sz w:val="24"/>
          <w:szCs w:val="24"/>
          <w:highlight w:val="none"/>
        </w:rPr>
        <w:t>采购代理机构按照招标文件规定的时间、地点主持开标。开标前，</w:t>
      </w:r>
      <w:r>
        <w:rPr>
          <w:rFonts w:hint="eastAsia"/>
          <w:b/>
          <w:bCs/>
          <w:color w:val="auto"/>
          <w:sz w:val="24"/>
          <w:szCs w:val="24"/>
          <w:highlight w:val="none"/>
          <w:lang w:val="en-US" w:eastAsia="zh-CN"/>
        </w:rPr>
        <w:t>资格审查小组（监督人）</w:t>
      </w:r>
      <w:r>
        <w:rPr>
          <w:rFonts w:hint="eastAsia"/>
          <w:b/>
          <w:bCs/>
          <w:color w:val="auto"/>
          <w:sz w:val="24"/>
          <w:szCs w:val="24"/>
          <w:highlight w:val="none"/>
        </w:rPr>
        <w:t>进行验标（检查网上招标系统正常与否，检查电子版响应文件，检查供应商报名及保证金交纳情况），确认无误后开标。开标时，各供应商应对本单位的加密的电子响应文件解密，采购代理机构工作人员在监督人员的监督下解密所有响应文件。</w:t>
      </w:r>
    </w:p>
    <w:p w14:paraId="7F4135BD">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23.3</w:t>
      </w:r>
      <w:r>
        <w:rPr>
          <w:rFonts w:hint="eastAsia"/>
          <w:color w:val="auto"/>
          <w:sz w:val="24"/>
          <w:szCs w:val="24"/>
          <w:highlight w:val="none"/>
        </w:rPr>
        <w:t>开标时，采购代理机构将通过网上开标系统公布供应商名称、投标价格，以及采购代理机构认为合适的其它详细内容。</w:t>
      </w:r>
    </w:p>
    <w:p w14:paraId="383568E5">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23.4</w:t>
      </w:r>
      <w:r>
        <w:rPr>
          <w:rFonts w:hint="eastAsia"/>
          <w:b/>
          <w:bCs/>
          <w:color w:val="auto"/>
          <w:sz w:val="24"/>
          <w:szCs w:val="24"/>
          <w:highlight w:val="none"/>
        </w:rPr>
        <w:t>由磋商小组对各供应商进行符合性审查，通过的供应商，由磋商</w:t>
      </w:r>
      <w:r>
        <w:rPr>
          <w:rFonts w:hint="eastAsia"/>
          <w:b/>
          <w:bCs/>
          <w:color w:val="auto"/>
          <w:sz w:val="24"/>
          <w:szCs w:val="24"/>
          <w:highlight w:val="none"/>
          <w:lang w:val="en-US" w:eastAsia="zh-CN"/>
        </w:rPr>
        <w:t>小组</w:t>
      </w:r>
      <w:r>
        <w:rPr>
          <w:rFonts w:hint="eastAsia"/>
          <w:b/>
          <w:bCs/>
          <w:color w:val="auto"/>
          <w:sz w:val="24"/>
          <w:szCs w:val="24"/>
          <w:highlight w:val="none"/>
        </w:rPr>
        <w:t>组长发起二轮报价，各供应商需在30分钟内完成报价，逾期或者未在规定时间内完成二次报价的视为放弃报价。</w:t>
      </w:r>
    </w:p>
    <w:p w14:paraId="61026F61">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23.5</w:t>
      </w:r>
      <w:r>
        <w:rPr>
          <w:rFonts w:hint="eastAsia"/>
          <w:color w:val="auto"/>
          <w:sz w:val="24"/>
          <w:szCs w:val="24"/>
          <w:highlight w:val="none"/>
        </w:rPr>
        <w:t>供应商自提交磋商文件之时起至评标结束止，应确保其提供的联系方式一直保持有效和畅通，以保证在招投标期间需进行往来函件或与之有关的事宜能及时发送或通知供应商，并能及时反馈信息。否则，采购人（或招标代理机构）不承担由此（提供的联系方式无效或通讯不畅）引起的一切后果。</w:t>
      </w:r>
    </w:p>
    <w:p w14:paraId="4D8E826B">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23.6</w:t>
      </w:r>
      <w:r>
        <w:rPr>
          <w:rFonts w:hint="eastAsia"/>
          <w:b/>
          <w:bCs/>
          <w:color w:val="auto"/>
          <w:sz w:val="24"/>
          <w:szCs w:val="24"/>
          <w:highlight w:val="none"/>
        </w:rPr>
        <w:t>监督人员对开标过程进行全程监督。</w:t>
      </w:r>
    </w:p>
    <w:p w14:paraId="6CDC42B1">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23.7</w:t>
      </w:r>
      <w:r>
        <w:rPr>
          <w:rFonts w:hint="eastAsia"/>
          <w:color w:val="auto"/>
          <w:sz w:val="24"/>
          <w:szCs w:val="24"/>
          <w:highlight w:val="none"/>
        </w:rPr>
        <w:t xml:space="preserve"> 开标异议</w:t>
      </w:r>
    </w:p>
    <w:p w14:paraId="454BFFB7">
      <w:pPr>
        <w:spacing w:line="440" w:lineRule="exact"/>
        <w:ind w:firstLine="480" w:firstLineChars="200"/>
        <w:rPr>
          <w:rFonts w:hint="eastAsia"/>
          <w:color w:val="auto"/>
          <w:sz w:val="24"/>
          <w:szCs w:val="24"/>
          <w:highlight w:val="none"/>
        </w:rPr>
      </w:pPr>
      <w:r>
        <w:rPr>
          <w:rFonts w:hint="eastAsia"/>
          <w:color w:val="auto"/>
          <w:sz w:val="24"/>
          <w:szCs w:val="24"/>
          <w:highlight w:val="none"/>
        </w:rPr>
        <w:t>供应商对开标有异议的，应当在开标现场提出，采购人当场作出答复，并制作记录。</w:t>
      </w:r>
    </w:p>
    <w:p w14:paraId="01A763FB">
      <w:pPr>
        <w:spacing w:line="440" w:lineRule="exact"/>
        <w:ind w:firstLine="480" w:firstLineChars="200"/>
        <w:rPr>
          <w:rFonts w:hint="eastAsia"/>
          <w:color w:val="auto"/>
          <w:sz w:val="24"/>
          <w:szCs w:val="24"/>
          <w:highlight w:val="none"/>
        </w:rPr>
      </w:pPr>
      <w:r>
        <w:rPr>
          <w:rFonts w:hint="eastAsia"/>
          <w:color w:val="auto"/>
          <w:sz w:val="24"/>
          <w:szCs w:val="24"/>
          <w:highlight w:val="none"/>
        </w:rPr>
        <w:t>23.</w:t>
      </w:r>
      <w:r>
        <w:rPr>
          <w:rFonts w:hint="eastAsia"/>
          <w:color w:val="auto"/>
          <w:sz w:val="24"/>
          <w:szCs w:val="24"/>
          <w:highlight w:val="none"/>
          <w:lang w:val="en-US" w:eastAsia="zh-CN"/>
        </w:rPr>
        <w:t>8</w:t>
      </w:r>
      <w:r>
        <w:rPr>
          <w:rFonts w:hint="eastAsia"/>
          <w:color w:val="auto"/>
          <w:sz w:val="24"/>
          <w:szCs w:val="24"/>
          <w:highlight w:val="none"/>
        </w:rPr>
        <w:t xml:space="preserve"> 本项目采用电子开标方式，投标人的法定代表人或其委托代理人无需到达 开标现场，仅需在任意地点通过政采云电子开标系统，使用CA密钥完成远程解密、提 疑澄清、开标唱标、结果公布等交互环节。</w:t>
      </w:r>
    </w:p>
    <w:p w14:paraId="354B19D4">
      <w:pPr>
        <w:spacing w:line="440" w:lineRule="exact"/>
        <w:ind w:firstLine="480" w:firstLineChars="200"/>
        <w:rPr>
          <w:rFonts w:hint="eastAsia"/>
          <w:color w:val="auto"/>
          <w:sz w:val="24"/>
          <w:szCs w:val="24"/>
          <w:highlight w:val="none"/>
        </w:rPr>
      </w:pPr>
      <w:r>
        <w:rPr>
          <w:rFonts w:hint="eastAsia"/>
          <w:color w:val="auto"/>
          <w:sz w:val="24"/>
          <w:szCs w:val="24"/>
          <w:highlight w:val="none"/>
        </w:rPr>
        <w:t>23.</w:t>
      </w:r>
      <w:r>
        <w:rPr>
          <w:rFonts w:hint="eastAsia"/>
          <w:color w:val="auto"/>
          <w:sz w:val="24"/>
          <w:szCs w:val="24"/>
          <w:highlight w:val="none"/>
          <w:lang w:val="en-US" w:eastAsia="zh-CN"/>
        </w:rPr>
        <w:t>9</w:t>
      </w:r>
      <w:r>
        <w:rPr>
          <w:rFonts w:hint="eastAsia"/>
          <w:color w:val="auto"/>
          <w:sz w:val="24"/>
          <w:szCs w:val="24"/>
          <w:highlight w:val="none"/>
        </w:rPr>
        <w:t xml:space="preserve"> 法定代表人或法定代表人授权委托人参与远程交互， 中途不得更换在废 标、澄清、提疑、传送文件等特殊情况下需要交互时，投标人一端参与交互的人员将 均被视为是投标人的授权委托人或法人代表，投标人不得以不承认交互人员的资格或 身份等为借口推脱，投标人自行承担随意更换人员所导致的一切后果。</w:t>
      </w:r>
    </w:p>
    <w:p w14:paraId="7D1CCC4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cs="宋体"/>
          <w:b/>
          <w:bCs/>
          <w:color w:val="auto"/>
          <w:sz w:val="24"/>
          <w:szCs w:val="24"/>
          <w:highlight w:val="none"/>
          <w:lang w:val="en-US" w:eastAsia="zh-CN"/>
        </w:rPr>
        <w:t>4 资格审查</w:t>
      </w:r>
      <w:r>
        <w:rPr>
          <w:rFonts w:hint="eastAsia" w:ascii="宋体" w:hAnsi="宋体" w:eastAsia="宋体" w:cs="宋体"/>
          <w:color w:val="auto"/>
          <w:sz w:val="24"/>
          <w:szCs w:val="24"/>
          <w:highlight w:val="none"/>
        </w:rPr>
        <w:t xml:space="preserve"> </w:t>
      </w:r>
    </w:p>
    <w:p w14:paraId="4B1B18A6">
      <w:pPr>
        <w:spacing w:line="440" w:lineRule="exact"/>
        <w:ind w:firstLine="482" w:firstLineChars="200"/>
        <w:rPr>
          <w:rFonts w:hint="eastAsia"/>
          <w:b/>
          <w:bCs/>
          <w:color w:val="auto"/>
          <w:sz w:val="24"/>
          <w:szCs w:val="24"/>
          <w:highlight w:val="none"/>
        </w:rPr>
      </w:pPr>
      <w:r>
        <w:rPr>
          <w:rFonts w:hint="eastAsia"/>
          <w:b/>
          <w:bCs/>
          <w:color w:val="auto"/>
          <w:sz w:val="24"/>
          <w:szCs w:val="24"/>
          <w:highlight w:val="none"/>
          <w:lang w:val="en-US"/>
        </w:rPr>
        <w:t xml:space="preserve">24.1 </w:t>
      </w:r>
      <w:r>
        <w:rPr>
          <w:rFonts w:hint="eastAsia" w:cs="宋体"/>
          <w:b/>
          <w:bCs/>
          <w:color w:val="auto"/>
          <w:sz w:val="24"/>
          <w:szCs w:val="24"/>
          <w:highlight w:val="none"/>
          <w:lang w:val="en-US" w:eastAsia="zh-CN"/>
        </w:rPr>
        <w:t>资格审查小组</w:t>
      </w:r>
      <w:r>
        <w:rPr>
          <w:rFonts w:hint="eastAsia"/>
          <w:b/>
          <w:bCs/>
          <w:color w:val="auto"/>
          <w:sz w:val="24"/>
          <w:szCs w:val="24"/>
          <w:highlight w:val="none"/>
        </w:rPr>
        <w:t>依法对供应商资格进行审查。资格审查是审查供应商</w:t>
      </w:r>
      <w:r>
        <w:rPr>
          <w:rFonts w:hint="eastAsia"/>
          <w:b/>
          <w:bCs/>
          <w:color w:val="auto"/>
          <w:sz w:val="24"/>
          <w:szCs w:val="24"/>
          <w:highlight w:val="none"/>
          <w:lang w:val="en-US"/>
        </w:rPr>
        <w:t>资格证明</w:t>
      </w:r>
      <w:r>
        <w:rPr>
          <w:rFonts w:hint="eastAsia"/>
          <w:b/>
          <w:bCs/>
          <w:color w:val="auto"/>
          <w:sz w:val="24"/>
          <w:szCs w:val="24"/>
          <w:highlight w:val="none"/>
        </w:rPr>
        <w:t>文件是否对磋商文件</w:t>
      </w:r>
      <w:r>
        <w:rPr>
          <w:rFonts w:hint="eastAsia"/>
          <w:b/>
          <w:bCs/>
          <w:color w:val="auto"/>
          <w:sz w:val="24"/>
          <w:szCs w:val="24"/>
          <w:highlight w:val="none"/>
          <w:lang w:val="en-US"/>
        </w:rPr>
        <w:t>资格条件</w:t>
      </w:r>
      <w:r>
        <w:rPr>
          <w:rFonts w:hint="eastAsia"/>
          <w:b/>
          <w:bCs/>
          <w:color w:val="auto"/>
          <w:sz w:val="24"/>
          <w:szCs w:val="24"/>
          <w:highlight w:val="none"/>
        </w:rPr>
        <w:t>作出实质性的响应，审查细则详见</w:t>
      </w:r>
      <w:r>
        <w:rPr>
          <w:rFonts w:hint="eastAsia"/>
          <w:b/>
          <w:bCs/>
          <w:color w:val="auto"/>
          <w:sz w:val="24"/>
          <w:szCs w:val="24"/>
          <w:highlight w:val="none"/>
          <w:lang w:val="en-US"/>
        </w:rPr>
        <w:t>磋商须知第</w:t>
      </w:r>
      <w:r>
        <w:rPr>
          <w:rFonts w:hint="eastAsia"/>
          <w:b/>
          <w:bCs/>
          <w:color w:val="auto"/>
          <w:sz w:val="24"/>
          <w:szCs w:val="24"/>
          <w:highlight w:val="none"/>
          <w:lang w:val="en-US" w:eastAsia="zh-CN"/>
        </w:rPr>
        <w:t>七</w:t>
      </w:r>
      <w:r>
        <w:rPr>
          <w:rFonts w:hint="eastAsia"/>
          <w:b/>
          <w:bCs/>
          <w:color w:val="auto"/>
          <w:sz w:val="24"/>
          <w:szCs w:val="24"/>
          <w:highlight w:val="none"/>
          <w:lang w:val="en-US"/>
        </w:rPr>
        <w:t>部分：《资格性审查表》</w:t>
      </w:r>
      <w:r>
        <w:rPr>
          <w:rFonts w:hint="eastAsia"/>
          <w:b/>
          <w:bCs/>
          <w:color w:val="auto"/>
          <w:sz w:val="24"/>
          <w:szCs w:val="24"/>
          <w:highlight w:val="none"/>
        </w:rPr>
        <w:t>。对</w:t>
      </w:r>
      <w:r>
        <w:rPr>
          <w:rFonts w:hint="eastAsia"/>
          <w:b/>
          <w:bCs/>
          <w:color w:val="auto"/>
          <w:sz w:val="24"/>
          <w:szCs w:val="24"/>
          <w:highlight w:val="none"/>
          <w:lang w:val="en-US"/>
        </w:rPr>
        <w:t>资格证明文件提供不全或</w:t>
      </w:r>
      <w:r>
        <w:rPr>
          <w:rFonts w:hint="eastAsia"/>
          <w:b/>
          <w:bCs/>
          <w:color w:val="auto"/>
          <w:sz w:val="24"/>
          <w:szCs w:val="24"/>
          <w:highlight w:val="none"/>
        </w:rPr>
        <w:t>资格性审查不通过的磋商供应商，</w:t>
      </w:r>
      <w:r>
        <w:rPr>
          <w:rFonts w:hint="eastAsia"/>
          <w:b/>
          <w:bCs/>
          <w:color w:val="auto"/>
          <w:sz w:val="24"/>
          <w:szCs w:val="24"/>
          <w:highlight w:val="none"/>
          <w:lang w:val="en-US"/>
        </w:rPr>
        <w:t>将</w:t>
      </w:r>
      <w:r>
        <w:rPr>
          <w:rFonts w:hint="eastAsia"/>
          <w:b/>
          <w:bCs/>
          <w:color w:val="auto"/>
          <w:sz w:val="24"/>
          <w:szCs w:val="24"/>
          <w:highlight w:val="none"/>
        </w:rPr>
        <w:t>由</w:t>
      </w:r>
      <w:r>
        <w:rPr>
          <w:rFonts w:hint="eastAsia" w:ascii="宋体" w:hAnsi="宋体" w:eastAsia="宋体" w:cs="宋体"/>
          <w:b/>
          <w:bCs/>
          <w:color w:val="auto"/>
          <w:sz w:val="24"/>
          <w:szCs w:val="24"/>
          <w:highlight w:val="none"/>
        </w:rPr>
        <w:t>磋商小组</w:t>
      </w:r>
      <w:r>
        <w:rPr>
          <w:rFonts w:hint="eastAsia"/>
          <w:b/>
          <w:bCs/>
          <w:color w:val="auto"/>
          <w:sz w:val="24"/>
          <w:szCs w:val="24"/>
          <w:highlight w:val="none"/>
        </w:rPr>
        <w:t>现场告知</w:t>
      </w:r>
      <w:r>
        <w:rPr>
          <w:rFonts w:hint="eastAsia"/>
          <w:b/>
          <w:bCs/>
          <w:color w:val="auto"/>
          <w:sz w:val="24"/>
          <w:szCs w:val="24"/>
          <w:highlight w:val="none"/>
          <w:lang w:val="en-US"/>
        </w:rPr>
        <w:t>其不得</w:t>
      </w:r>
      <w:r>
        <w:rPr>
          <w:rFonts w:hint="eastAsia"/>
          <w:b/>
          <w:bCs/>
          <w:color w:val="auto"/>
          <w:sz w:val="24"/>
          <w:szCs w:val="24"/>
          <w:highlight w:val="none"/>
        </w:rPr>
        <w:t xml:space="preserve">参与磋商。 </w:t>
      </w:r>
    </w:p>
    <w:p w14:paraId="51BB0918">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25 </w:t>
      </w:r>
      <w:r>
        <w:rPr>
          <w:rFonts w:hint="eastAsia" w:ascii="宋体" w:hAnsi="宋体" w:eastAsia="宋体" w:cs="宋体"/>
          <w:b/>
          <w:bCs/>
          <w:color w:val="auto"/>
          <w:sz w:val="24"/>
          <w:szCs w:val="24"/>
          <w:highlight w:val="none"/>
        </w:rPr>
        <w:t>磋商小组</w:t>
      </w:r>
      <w:r>
        <w:rPr>
          <w:rFonts w:hint="eastAsia" w:ascii="宋体" w:hAnsi="宋体" w:eastAsia="宋体" w:cs="宋体"/>
          <w:color w:val="auto"/>
          <w:sz w:val="24"/>
          <w:szCs w:val="24"/>
          <w:highlight w:val="none"/>
        </w:rPr>
        <w:t xml:space="preserve"> </w:t>
      </w:r>
    </w:p>
    <w:p w14:paraId="1F2A975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25.1 </w:t>
      </w:r>
      <w:r>
        <w:rPr>
          <w:rFonts w:hint="eastAsia" w:ascii="宋体" w:hAnsi="宋体" w:eastAsia="宋体" w:cs="宋体"/>
          <w:color w:val="auto"/>
          <w:sz w:val="24"/>
          <w:szCs w:val="24"/>
          <w:highlight w:val="none"/>
        </w:rPr>
        <w:t xml:space="preserve">磋商小组根据采购项目的特点进行组建，并负责磋商工作。磋商小组由评审专家共3人以上单数组成，其中评审专家人数不得少于磋商小组成员总数的三分之二。评标专家依法从政府采购评审专家库内相关的专家名单中随机抽取。采购人代表人数、专家人数构成将按照磋商须知前附表中确定。 </w:t>
      </w:r>
    </w:p>
    <w:p w14:paraId="6CE299C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25.2 </w:t>
      </w:r>
      <w:r>
        <w:rPr>
          <w:rFonts w:hint="eastAsia" w:ascii="宋体" w:hAnsi="宋体" w:eastAsia="宋体" w:cs="宋体"/>
          <w:color w:val="auto"/>
          <w:sz w:val="24"/>
          <w:szCs w:val="24"/>
          <w:highlight w:val="none"/>
        </w:rPr>
        <w:t xml:space="preserve">磋商基本原则：磋商工作根据《中华人民共和国政府采购法》及其实施条例、《政府采购竞争性磋商采购方式管理暂行办法》、《财政部关于政府采购竞争性磋商采购方式管理暂行办法有关问题的补充通知》以及相关配套的法律法规和政策规定进行。磋商小组将按照磋商文件规定的程序与各供应商单独进行磋商。 </w:t>
      </w:r>
    </w:p>
    <w:p w14:paraId="61DAF7D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 </w:t>
      </w:r>
      <w:r>
        <w:rPr>
          <w:rFonts w:hint="eastAsia" w:ascii="宋体" w:hAnsi="宋体" w:eastAsia="宋体" w:cs="宋体"/>
          <w:color w:val="auto"/>
          <w:sz w:val="24"/>
          <w:szCs w:val="24"/>
          <w:highlight w:val="none"/>
        </w:rPr>
        <w:t>磋商小组名单在评审结果确定前严格保密。评审专家有下列情形之一的，受到邀请应主动提出回避， 采购当事人也可以要求该评审专家回避</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3284893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25.3.1 </w:t>
      </w:r>
      <w:r>
        <w:rPr>
          <w:rFonts w:hint="eastAsia" w:ascii="宋体" w:hAnsi="宋体" w:eastAsia="宋体" w:cs="宋体"/>
          <w:color w:val="auto"/>
          <w:sz w:val="24"/>
          <w:szCs w:val="24"/>
          <w:highlight w:val="none"/>
        </w:rPr>
        <w:t xml:space="preserve">参加采购活动前3年内与参加该采购项目的供应商存在劳动关系或担任过供应商的董事、监事或是供应商的控股股东或者实际控制人； </w:t>
      </w:r>
    </w:p>
    <w:p w14:paraId="3F6377C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25.3.2 </w:t>
      </w:r>
      <w:r>
        <w:rPr>
          <w:rFonts w:hint="eastAsia" w:ascii="宋体" w:hAnsi="宋体" w:eastAsia="宋体" w:cs="宋体"/>
          <w:color w:val="auto"/>
          <w:sz w:val="24"/>
          <w:szCs w:val="24"/>
          <w:highlight w:val="none"/>
        </w:rPr>
        <w:t xml:space="preserve">与参加该采购项目的供应商的法定代表人或者负责人有夫妻、直系血亲、三代以内旁系血亲或者近姻亲关系； </w:t>
      </w:r>
    </w:p>
    <w:p w14:paraId="141D967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25.3.3 </w:t>
      </w:r>
      <w:r>
        <w:rPr>
          <w:rFonts w:hint="eastAsia" w:ascii="宋体" w:hAnsi="宋体" w:eastAsia="宋体" w:cs="宋体"/>
          <w:color w:val="auto"/>
          <w:sz w:val="24"/>
          <w:szCs w:val="24"/>
          <w:highlight w:val="none"/>
        </w:rPr>
        <w:t xml:space="preserve">与参加该采购项目的供应商有其他可能影响政府采购活动公平、公正进行的关系。 </w:t>
      </w:r>
    </w:p>
    <w:p w14:paraId="14C5C7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 </w:t>
      </w:r>
      <w:r>
        <w:rPr>
          <w:rFonts w:hint="eastAsia" w:ascii="宋体" w:hAnsi="宋体" w:eastAsia="宋体" w:cs="宋体"/>
          <w:color w:val="auto"/>
          <w:sz w:val="24"/>
          <w:szCs w:val="24"/>
          <w:highlight w:val="none"/>
        </w:rPr>
        <w:t xml:space="preserve">磋商小组负责具体评审事务，并独立履行下列职责： </w:t>
      </w:r>
    </w:p>
    <w:p w14:paraId="62BB32C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25.4.1 </w:t>
      </w:r>
      <w:r>
        <w:rPr>
          <w:rFonts w:hint="eastAsia" w:ascii="宋体" w:hAnsi="宋体" w:eastAsia="宋体" w:cs="宋体"/>
          <w:color w:val="auto"/>
          <w:sz w:val="24"/>
          <w:szCs w:val="24"/>
          <w:highlight w:val="none"/>
        </w:rPr>
        <w:t xml:space="preserve">审查、评审响应文件是否符合磋商文件的商务、技术等实质性要求； </w:t>
      </w:r>
    </w:p>
    <w:p w14:paraId="71BCDD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25.4.2 </w:t>
      </w:r>
      <w:r>
        <w:rPr>
          <w:rFonts w:hint="eastAsia" w:ascii="宋体" w:hAnsi="宋体" w:eastAsia="宋体" w:cs="宋体"/>
          <w:color w:val="auto"/>
          <w:sz w:val="24"/>
          <w:szCs w:val="24"/>
          <w:highlight w:val="none"/>
        </w:rPr>
        <w:t xml:space="preserve">要求供应商对响应文件有关事项作出澄清或者说明； </w:t>
      </w:r>
    </w:p>
    <w:p w14:paraId="0F27558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25.4.3 </w:t>
      </w:r>
      <w:r>
        <w:rPr>
          <w:rFonts w:hint="eastAsia" w:ascii="宋体" w:hAnsi="宋体" w:eastAsia="宋体" w:cs="宋体"/>
          <w:color w:val="auto"/>
          <w:sz w:val="24"/>
          <w:szCs w:val="24"/>
          <w:highlight w:val="none"/>
        </w:rPr>
        <w:t xml:space="preserve">对响应文件进行比较和评价； </w:t>
      </w:r>
    </w:p>
    <w:p w14:paraId="276B5E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25.4.4 </w:t>
      </w:r>
      <w:r>
        <w:rPr>
          <w:rFonts w:hint="eastAsia" w:ascii="宋体" w:hAnsi="宋体" w:eastAsia="宋体" w:cs="宋体"/>
          <w:color w:val="auto"/>
          <w:sz w:val="24"/>
          <w:szCs w:val="24"/>
          <w:highlight w:val="none"/>
        </w:rPr>
        <w:t xml:space="preserve">确定成交候选供应商名单，以及根据采购人委托直接确定成交供应商； </w:t>
      </w:r>
    </w:p>
    <w:p w14:paraId="302A5D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25.4.5 </w:t>
      </w:r>
      <w:r>
        <w:rPr>
          <w:rFonts w:hint="eastAsia" w:ascii="宋体" w:hAnsi="宋体" w:eastAsia="宋体" w:cs="宋体"/>
          <w:color w:val="auto"/>
          <w:sz w:val="24"/>
          <w:szCs w:val="24"/>
          <w:highlight w:val="none"/>
        </w:rPr>
        <w:t>向采购人、</w:t>
      </w:r>
      <w:r>
        <w:rPr>
          <w:rFonts w:hint="eastAsia" w:cs="宋体"/>
          <w:color w:val="auto"/>
          <w:sz w:val="24"/>
          <w:szCs w:val="24"/>
          <w:highlight w:val="none"/>
          <w:lang w:val="en-US" w:eastAsia="zh-CN"/>
        </w:rPr>
        <w:t>当地财政局采购办</w:t>
      </w:r>
      <w:r>
        <w:rPr>
          <w:rFonts w:hint="eastAsia" w:ascii="宋体" w:hAnsi="宋体" w:eastAsia="宋体" w:cs="宋体"/>
          <w:color w:val="auto"/>
          <w:sz w:val="24"/>
          <w:szCs w:val="24"/>
          <w:highlight w:val="none"/>
          <w:lang w:eastAsia="zh-CN"/>
        </w:rPr>
        <w:t>和</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或者有关部门报告磋商中发现的违法行为。 </w:t>
      </w:r>
    </w:p>
    <w:p w14:paraId="6323AE0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25.5 </w:t>
      </w:r>
      <w:r>
        <w:rPr>
          <w:rFonts w:hint="eastAsia" w:ascii="宋体" w:hAnsi="宋体" w:eastAsia="宋体" w:cs="宋体"/>
          <w:color w:val="auto"/>
          <w:sz w:val="24"/>
          <w:szCs w:val="24"/>
          <w:highlight w:val="none"/>
        </w:rPr>
        <w:t xml:space="preserve">磋商小组和有关工作人员不得透露对响应文件的评审和比较以及与磋商有关的其他情况。 </w:t>
      </w:r>
    </w:p>
    <w:p w14:paraId="6DC446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25.6 </w:t>
      </w:r>
      <w:r>
        <w:rPr>
          <w:rFonts w:hint="eastAsia" w:ascii="宋体" w:hAnsi="宋体" w:eastAsia="宋体" w:cs="宋体"/>
          <w:color w:val="auto"/>
          <w:sz w:val="24"/>
          <w:szCs w:val="24"/>
          <w:highlight w:val="none"/>
        </w:rPr>
        <w:t xml:space="preserve">磋商小组将按照磋商文件中确定的评标方法和评标标准进行磋商。 </w:t>
      </w:r>
    </w:p>
    <w:p w14:paraId="302C751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25.7 </w:t>
      </w:r>
      <w:r>
        <w:rPr>
          <w:rFonts w:hint="eastAsia" w:ascii="宋体" w:hAnsi="宋体" w:eastAsia="宋体" w:cs="宋体"/>
          <w:color w:val="auto"/>
          <w:sz w:val="24"/>
          <w:szCs w:val="24"/>
          <w:highlight w:val="none"/>
        </w:rPr>
        <w:t xml:space="preserve">磋商小组对磋商文件中描述有歧意或前后不一致的地方，有权进行评判，但对同一条款的评判应适用于每个磋商供应商。 </w:t>
      </w:r>
    </w:p>
    <w:p w14:paraId="69407E71">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25.8 </w:t>
      </w:r>
      <w:r>
        <w:rPr>
          <w:rFonts w:hint="eastAsia" w:ascii="宋体" w:hAnsi="宋体" w:eastAsia="宋体" w:cs="宋体"/>
          <w:color w:val="auto"/>
          <w:sz w:val="24"/>
          <w:szCs w:val="24"/>
          <w:highlight w:val="none"/>
        </w:rPr>
        <w:t>磋商中因磋商小组成员缺席、回避或者健康等特殊原因导致磋商小组成不符合相关法律法规规定的</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应当依法补足后继续磋商。被更换的磋商小组成员所作出的评审意见无效。 </w:t>
      </w:r>
    </w:p>
    <w:p w14:paraId="539EA12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25.9 </w:t>
      </w:r>
      <w:r>
        <w:rPr>
          <w:rFonts w:hint="eastAsia" w:ascii="宋体" w:hAnsi="宋体" w:eastAsia="宋体" w:cs="宋体"/>
          <w:color w:val="auto"/>
          <w:sz w:val="24"/>
          <w:szCs w:val="24"/>
          <w:highlight w:val="none"/>
        </w:rPr>
        <w:t>无法及时补足磋商小组成员的，采购人或者</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应当停止评标活动，封存所有响应文件和开标、磋商资料，依法重新组建磋商小组进行磋商。 </w:t>
      </w:r>
    </w:p>
    <w:p w14:paraId="571007D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25.10 </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应当将变更、重新组建评磋商小组的情况予以记录，并随采购文件一并存档。 </w:t>
      </w:r>
    </w:p>
    <w:p w14:paraId="24558079">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 </w:t>
      </w:r>
      <w:r>
        <w:rPr>
          <w:rFonts w:hint="eastAsia" w:ascii="宋体" w:hAnsi="宋体" w:eastAsia="宋体" w:cs="宋体"/>
          <w:b/>
          <w:bCs/>
          <w:color w:val="auto"/>
          <w:sz w:val="24"/>
          <w:szCs w:val="24"/>
          <w:highlight w:val="none"/>
        </w:rPr>
        <w:t>磋商过程</w:t>
      </w:r>
      <w:r>
        <w:rPr>
          <w:rFonts w:hint="eastAsia" w:ascii="宋体" w:hAnsi="宋体" w:eastAsia="宋体" w:cs="宋体"/>
          <w:color w:val="auto"/>
          <w:sz w:val="24"/>
          <w:szCs w:val="24"/>
          <w:highlight w:val="none"/>
        </w:rPr>
        <w:t xml:space="preserve"> </w:t>
      </w:r>
    </w:p>
    <w:p w14:paraId="16CAE26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26.1 </w:t>
      </w:r>
      <w:r>
        <w:rPr>
          <w:rFonts w:hint="eastAsia" w:ascii="宋体" w:hAnsi="宋体" w:eastAsia="宋体" w:cs="宋体"/>
          <w:b/>
          <w:bCs/>
          <w:color w:val="auto"/>
          <w:sz w:val="24"/>
          <w:szCs w:val="24"/>
          <w:highlight w:val="none"/>
        </w:rPr>
        <w:t>符合性审查</w:t>
      </w:r>
      <w:r>
        <w:rPr>
          <w:rFonts w:hint="eastAsia" w:ascii="宋体" w:hAnsi="宋体" w:eastAsia="宋体" w:cs="宋体"/>
          <w:color w:val="auto"/>
          <w:sz w:val="24"/>
          <w:szCs w:val="24"/>
          <w:highlight w:val="none"/>
        </w:rPr>
        <w:t xml:space="preserve"> </w:t>
      </w:r>
    </w:p>
    <w:p w14:paraId="5985D3D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color w:val="auto"/>
          <w:highlight w:val="none"/>
        </w:rPr>
      </w:pPr>
      <w:r>
        <w:rPr>
          <w:rFonts w:hint="eastAsia" w:ascii="宋体" w:hAnsi="宋体" w:eastAsia="宋体" w:cs="宋体"/>
          <w:b/>
          <w:bCs/>
          <w:color w:val="auto"/>
          <w:sz w:val="24"/>
          <w:szCs w:val="24"/>
          <w:highlight w:val="none"/>
          <w:lang w:val="en-US" w:eastAsia="zh-CN"/>
        </w:rPr>
        <w:t>2</w:t>
      </w:r>
      <w:r>
        <w:rPr>
          <w:rFonts w:hint="eastAsia"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磋商小组在对响应文件的有效性、完整性和响应程序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响应文件应当采用书面形式，并由法定代表人或其授权代表签字或加盖公章，供应商为自然人的，应当由本人签字并附身份证明。 对符合性审查不通过的响应文件磋商小组将按无效响应处理，由磋商小组现场告知该磋商供应商，其响应文件作无效处理，不参与磋商。 </w:t>
      </w:r>
      <w:r>
        <w:rPr>
          <w:rFonts w:hint="eastAsia" w:ascii="宋体" w:hAnsi="宋体" w:eastAsia="宋体" w:cs="宋体"/>
          <w:b/>
          <w:bCs/>
          <w:color w:val="auto"/>
          <w:sz w:val="24"/>
          <w:szCs w:val="24"/>
          <w:highlight w:val="none"/>
        </w:rPr>
        <w:t>审查细则详见</w:t>
      </w:r>
      <w:r>
        <w:rPr>
          <w:rFonts w:hint="eastAsia" w:cs="宋体"/>
          <w:b/>
          <w:bCs/>
          <w:color w:val="auto"/>
          <w:sz w:val="24"/>
          <w:szCs w:val="24"/>
          <w:highlight w:val="none"/>
          <w:lang w:val="en-US" w:eastAsia="zh-CN"/>
        </w:rPr>
        <w:t>磋商须知</w:t>
      </w:r>
      <w:r>
        <w:rPr>
          <w:rFonts w:hint="eastAsia" w:ascii="宋体" w:hAnsi="宋体" w:eastAsia="宋体" w:cs="宋体"/>
          <w:b/>
          <w:bCs/>
          <w:color w:val="auto"/>
          <w:sz w:val="24"/>
          <w:szCs w:val="24"/>
          <w:highlight w:val="none"/>
          <w:lang w:val="en-US" w:eastAsia="zh-CN"/>
        </w:rPr>
        <w:t>第</w:t>
      </w:r>
      <w:r>
        <w:rPr>
          <w:rFonts w:hint="eastAsia"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部分：</w:t>
      </w:r>
      <w:r>
        <w:rPr>
          <w:rFonts w:hint="eastAsia" w:ascii="宋体" w:hAnsi="宋体" w:eastAsia="宋体" w:cs="宋体"/>
          <w:b/>
          <w:bCs/>
          <w:color w:val="auto"/>
          <w:sz w:val="24"/>
          <w:szCs w:val="24"/>
          <w:highlight w:val="none"/>
        </w:rPr>
        <w:t>《符合性审查表》。</w:t>
      </w:r>
    </w:p>
    <w:p w14:paraId="47846F1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26.2 </w:t>
      </w:r>
      <w:r>
        <w:rPr>
          <w:rFonts w:hint="eastAsia" w:ascii="宋体" w:hAnsi="宋体" w:eastAsia="宋体" w:cs="宋体"/>
          <w:b/>
          <w:bCs/>
          <w:color w:val="auto"/>
          <w:sz w:val="24"/>
          <w:szCs w:val="24"/>
          <w:highlight w:val="none"/>
        </w:rPr>
        <w:t>磋商</w:t>
      </w:r>
      <w:r>
        <w:rPr>
          <w:rFonts w:hint="eastAsia" w:ascii="宋体" w:hAnsi="宋体" w:eastAsia="宋体" w:cs="宋体"/>
          <w:color w:val="auto"/>
          <w:sz w:val="24"/>
          <w:szCs w:val="24"/>
          <w:highlight w:val="none"/>
        </w:rPr>
        <w:t xml:space="preserve"> </w:t>
      </w:r>
    </w:p>
    <w:p w14:paraId="19EB900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26.2.1 </w:t>
      </w:r>
      <w:r>
        <w:rPr>
          <w:rFonts w:hint="eastAsia" w:ascii="宋体" w:hAnsi="宋体" w:eastAsia="宋体" w:cs="宋体"/>
          <w:color w:val="auto"/>
          <w:sz w:val="24"/>
          <w:szCs w:val="24"/>
          <w:highlight w:val="none"/>
        </w:rPr>
        <w:t>磋商小组所有成员集中与单一供应商分别进行</w:t>
      </w:r>
      <w:r>
        <w:rPr>
          <w:rFonts w:hint="eastAsia" w:cs="宋体"/>
          <w:color w:val="auto"/>
          <w:sz w:val="24"/>
          <w:szCs w:val="24"/>
          <w:highlight w:val="none"/>
          <w:lang w:val="en-US" w:eastAsia="zh-CN"/>
        </w:rPr>
        <w:t>线上</w:t>
      </w:r>
      <w:r>
        <w:rPr>
          <w:rFonts w:hint="eastAsia" w:ascii="宋体" w:hAnsi="宋体" w:eastAsia="宋体" w:cs="宋体"/>
          <w:color w:val="auto"/>
          <w:sz w:val="24"/>
          <w:szCs w:val="24"/>
          <w:highlight w:val="none"/>
        </w:rPr>
        <w:t xml:space="preserve">磋商，并给予所有参加磋商的供应商平等的磋商机会。 </w:t>
      </w:r>
    </w:p>
    <w:p w14:paraId="0A7F46F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磋商小组对各供应商的最后报价进行审查，认为供应商的最后报价明显低于其他通过资格、符合性审查供应商的报价，有可能影响</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质量或者不能诚信履约的，</w:t>
      </w:r>
      <w:r>
        <w:rPr>
          <w:rFonts w:hint="eastAsia"/>
          <w:color w:val="auto"/>
          <w:sz w:val="24"/>
          <w:szCs w:val="24"/>
          <w:highlight w:val="none"/>
        </w:rPr>
        <w:t>应当要求其在</w:t>
      </w:r>
      <w:r>
        <w:rPr>
          <w:rFonts w:hint="eastAsia"/>
          <w:color w:val="auto"/>
          <w:sz w:val="24"/>
          <w:szCs w:val="24"/>
          <w:highlight w:val="none"/>
          <w:lang w:val="en-US" w:eastAsia="zh-CN"/>
        </w:rPr>
        <w:t>政采云不见面开评标大厅</w:t>
      </w:r>
      <w:r>
        <w:rPr>
          <w:rFonts w:hint="eastAsia"/>
          <w:color w:val="auto"/>
          <w:sz w:val="24"/>
          <w:szCs w:val="24"/>
          <w:highlight w:val="none"/>
        </w:rPr>
        <w:t>提供书面说明，必要时提交相关证明材料；供应商不能证明其报价合理性的，磋商小组应当将其作为无效响应处理。</w:t>
      </w:r>
      <w:r>
        <w:rPr>
          <w:rFonts w:hint="eastAsia"/>
          <w:color w:val="auto"/>
          <w:sz w:val="24"/>
          <w:szCs w:val="24"/>
          <w:highlight w:val="none"/>
          <w:lang w:val="en-US" w:eastAsia="zh-CN"/>
        </w:rPr>
        <w:t xml:space="preserve">  </w:t>
      </w:r>
    </w:p>
    <w:p w14:paraId="417F2AB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供应商的报价出现前后不一致的情况，磋商小组将要求供应商根据磋商文件要求修正报价。修正后的报价经供应商确认后具有约束力，供应商不确认的，其响应无效。 </w:t>
      </w:r>
    </w:p>
    <w:p w14:paraId="02F1F60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报价按照下列规定修正： </w:t>
      </w:r>
    </w:p>
    <w:p w14:paraId="58CF1B8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.1 </w:t>
      </w:r>
      <w:r>
        <w:rPr>
          <w:rFonts w:hint="eastAsia" w:cs="宋体"/>
          <w:color w:val="auto"/>
          <w:sz w:val="24"/>
          <w:szCs w:val="24"/>
          <w:highlight w:val="none"/>
          <w:lang w:val="en-US" w:eastAsia="zh-CN"/>
        </w:rPr>
        <w:t>政府采购网上</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一览表（首次报价表）内容与响应文件中相应内容不一致的，以</w:t>
      </w:r>
      <w:r>
        <w:rPr>
          <w:rFonts w:hint="eastAsia" w:cs="宋体"/>
          <w:color w:val="auto"/>
          <w:sz w:val="24"/>
          <w:szCs w:val="24"/>
          <w:highlight w:val="none"/>
          <w:lang w:val="en-US" w:eastAsia="zh-CN"/>
        </w:rPr>
        <w:t>政府采购网上</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一览表（首次报价表）为准； </w:t>
      </w:r>
    </w:p>
    <w:p w14:paraId="78564C7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 xml:space="preserve">大写金额和小写金额不一致的，以大写金额为准； </w:t>
      </w:r>
    </w:p>
    <w:p w14:paraId="778AEFE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单价金额小数点或者百分比有明显错位的，以</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一览表的总价为准，并修改单价； </w:t>
      </w:r>
    </w:p>
    <w:p w14:paraId="4E2EB21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 xml:space="preserve">总价金额与按单价汇总金额不一致的，以单价金额计算结果为准。 </w:t>
      </w:r>
    </w:p>
    <w:p w14:paraId="21D24D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 xml:space="preserve">同时出现两种以上不一致的，按照前款规定的顺序修正。 </w:t>
      </w:r>
    </w:p>
    <w:p w14:paraId="4536757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在磋商过程中，磋商小组可以根据磋商文件和磋商情况实质性变动采购需求中的技术、服务要求以及合同草案条款，但不得变动磋商文件中的其他内容。实质性变动的内容，须经采购人代表确认。 </w:t>
      </w:r>
    </w:p>
    <w:p w14:paraId="706022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对磋商文件作出的实质性变动是磋商文件的有效组成部分，磋商小组应当以书面形式同时通知所有参加磋商的供应商，供应商应当按照磋商文件的变动情况和磋商小组的要求重新提交响应文件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并由其法定代表人或授权代表签字或者加盖公章。供应商为自然人的，应当由本人签字并附身份证明。 </w:t>
      </w:r>
    </w:p>
    <w:p w14:paraId="4722A002">
      <w:pPr>
        <w:spacing w:line="440" w:lineRule="exact"/>
        <w:ind w:firstLine="480" w:firstLineChars="200"/>
        <w:rPr>
          <w:rFonts w:hint="eastAsia"/>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 xml:space="preserve">7 </w:t>
      </w:r>
      <w:r>
        <w:rPr>
          <w:rFonts w:hint="eastAsia"/>
          <w:color w:val="auto"/>
          <w:sz w:val="24"/>
          <w:szCs w:val="24"/>
          <w:highlight w:val="none"/>
        </w:rPr>
        <w:t>磋商文件能够详细说明采购标的的技术、服务要求的，磋商结束后，磋商小组应当要求所有实质性响应的供应商在规定的时间内</w:t>
      </w:r>
      <w:r>
        <w:rPr>
          <w:rFonts w:hint="eastAsia"/>
          <w:color w:val="auto"/>
          <w:sz w:val="24"/>
          <w:szCs w:val="24"/>
          <w:highlight w:val="none"/>
          <w:lang w:val="en-US" w:eastAsia="zh-CN"/>
        </w:rPr>
        <w:t>在政采云不见面开评标大厅</w:t>
      </w:r>
      <w:r>
        <w:rPr>
          <w:rFonts w:hint="eastAsia"/>
          <w:color w:val="auto"/>
          <w:sz w:val="24"/>
          <w:szCs w:val="24"/>
          <w:highlight w:val="none"/>
        </w:rPr>
        <w:t>提交最后报价，提交最后报价的供应商不得少于3家。</w:t>
      </w:r>
      <w:r>
        <w:rPr>
          <w:rFonts w:hint="eastAsia"/>
          <w:b/>
          <w:bCs/>
          <w:color w:val="auto"/>
          <w:sz w:val="24"/>
          <w:szCs w:val="24"/>
          <w:highlight w:val="none"/>
          <w:lang w:val="en-US" w:eastAsia="zh-CN"/>
        </w:rPr>
        <w:t>供应商进入政采云平台“项目采购”-“开标评标”模块，在政采云不见面开评标大厅中，等待磋商小组组长开启二次报价，供应商根据系统提示填写二次报价，并签章确认提交。</w:t>
      </w:r>
      <w:r>
        <w:rPr>
          <w:rFonts w:hint="eastAsia"/>
          <w:b/>
          <w:bCs/>
          <w:color w:val="auto"/>
          <w:sz w:val="24"/>
          <w:szCs w:val="24"/>
          <w:highlight w:val="none"/>
        </w:rPr>
        <w:t xml:space="preserve"> </w:t>
      </w:r>
      <w:r>
        <w:rPr>
          <w:rFonts w:hint="eastAsia"/>
          <w:b/>
          <w:bCs/>
          <w:color w:val="auto"/>
          <w:sz w:val="24"/>
          <w:szCs w:val="24"/>
          <w:highlight w:val="none"/>
          <w:lang w:val="en-US" w:eastAsia="zh-CN"/>
        </w:rPr>
        <w:t xml:space="preserve">           </w:t>
      </w:r>
    </w:p>
    <w:p w14:paraId="0D887545">
      <w:pPr>
        <w:spacing w:line="440" w:lineRule="exact"/>
        <w:ind w:firstLine="480" w:firstLineChars="200"/>
        <w:rPr>
          <w:rFonts w:hint="eastAsia" w:ascii="宋体" w:hAnsi="宋体" w:eastAsia="宋体" w:cs="宋体"/>
          <w:color w:val="auto"/>
          <w:sz w:val="24"/>
          <w:szCs w:val="24"/>
          <w:highlight w:val="none"/>
        </w:rPr>
      </w:pPr>
      <w:r>
        <w:rPr>
          <w:rFonts w:hint="eastAsia"/>
          <w:color w:val="auto"/>
          <w:sz w:val="24"/>
          <w:szCs w:val="24"/>
          <w:highlight w:val="none"/>
        </w:rPr>
        <w:t>如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响应文件的有效组成部分。</w:t>
      </w:r>
    </w:p>
    <w:p w14:paraId="3AC539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 xml:space="preserve">在磋商过程中，供应商提交的澄清文件和最终响应文件，由供应商法定代表人或其授权代表签署后生效，供应商应受其约束。 </w:t>
      </w:r>
    </w:p>
    <w:p w14:paraId="60C7F15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26.3 </w:t>
      </w:r>
      <w:r>
        <w:rPr>
          <w:rFonts w:hint="eastAsia" w:ascii="宋体" w:hAnsi="宋体" w:eastAsia="宋体" w:cs="宋体"/>
          <w:color w:val="auto"/>
          <w:sz w:val="24"/>
          <w:szCs w:val="24"/>
          <w:highlight w:val="none"/>
        </w:rPr>
        <w:t>已提交响应文件的供应商，在提交最后报价之前，可以根据磋商情况退出磋商。</w:t>
      </w:r>
      <w:r>
        <w:rPr>
          <w:rFonts w:hint="eastAsia" w:ascii="宋体" w:hAnsi="宋体" w:eastAsia="宋体" w:cs="宋体"/>
          <w:color w:val="auto"/>
          <w:sz w:val="24"/>
          <w:szCs w:val="24"/>
          <w:highlight w:val="none"/>
          <w:lang w:val="en-US" w:eastAsia="zh-CN"/>
        </w:rPr>
        <w:t>未作最后报价供应商视为自动退出磋商。供应商下轮报价可与上轮报价一致。</w:t>
      </w:r>
    </w:p>
    <w:p w14:paraId="27EEF2A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26.4 </w:t>
      </w:r>
      <w:r>
        <w:rPr>
          <w:rFonts w:hint="eastAsia" w:cs="宋体"/>
          <w:color w:val="auto"/>
          <w:sz w:val="24"/>
          <w:szCs w:val="24"/>
          <w:highlight w:val="none"/>
          <w:lang w:val="en-US" w:eastAsia="zh-CN"/>
        </w:rPr>
        <w:t>招标代理</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对磋商过程和重要磋商内容进行记录。 </w:t>
      </w:r>
    </w:p>
    <w:p w14:paraId="75603F9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27 </w:t>
      </w:r>
      <w:r>
        <w:rPr>
          <w:rFonts w:hint="eastAsia" w:ascii="宋体" w:hAnsi="宋体" w:eastAsia="宋体" w:cs="宋体"/>
          <w:b/>
          <w:bCs/>
          <w:color w:val="auto"/>
          <w:sz w:val="24"/>
          <w:szCs w:val="24"/>
          <w:highlight w:val="none"/>
        </w:rPr>
        <w:t>最后报价</w:t>
      </w:r>
      <w:r>
        <w:rPr>
          <w:rFonts w:hint="eastAsia" w:ascii="宋体" w:hAnsi="宋体" w:eastAsia="宋体" w:cs="宋体"/>
          <w:color w:val="auto"/>
          <w:sz w:val="24"/>
          <w:szCs w:val="24"/>
          <w:highlight w:val="none"/>
        </w:rPr>
        <w:t xml:space="preserve"> </w:t>
      </w:r>
    </w:p>
    <w:p w14:paraId="4DFE1F1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b/>
          <w:bCs/>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.1. 磋商结束后，作出实质性响应的供应商应在规定的时间内提交最后报价（最后报价时间视磋商进程由磋商小组决定）。 </w:t>
      </w:r>
      <w:r>
        <w:rPr>
          <w:rFonts w:hint="eastAsia"/>
          <w:b/>
          <w:bCs/>
          <w:color w:val="auto"/>
          <w:sz w:val="24"/>
          <w:szCs w:val="24"/>
          <w:highlight w:val="none"/>
          <w:lang w:val="en-US" w:eastAsia="zh-CN"/>
        </w:rPr>
        <w:t>供应商未在规定时间内填写二次报价视为自动退出磋商，放弃投标。</w:t>
      </w:r>
    </w:p>
    <w:p w14:paraId="56E8F7A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28 </w:t>
      </w:r>
      <w:r>
        <w:rPr>
          <w:rFonts w:hint="eastAsia" w:ascii="宋体" w:hAnsi="宋体" w:eastAsia="宋体" w:cs="宋体"/>
          <w:b/>
          <w:bCs/>
          <w:color w:val="auto"/>
          <w:sz w:val="24"/>
          <w:szCs w:val="24"/>
          <w:highlight w:val="none"/>
        </w:rPr>
        <w:t>评标方法</w:t>
      </w:r>
      <w:r>
        <w:rPr>
          <w:rFonts w:hint="eastAsia" w:ascii="宋体" w:hAnsi="宋体" w:eastAsia="宋体" w:cs="宋体"/>
          <w:color w:val="auto"/>
          <w:sz w:val="24"/>
          <w:szCs w:val="24"/>
          <w:highlight w:val="none"/>
        </w:rPr>
        <w:t xml:space="preserve"> </w:t>
      </w:r>
    </w:p>
    <w:p w14:paraId="709848C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28.1 </w:t>
      </w:r>
      <w:r>
        <w:rPr>
          <w:rFonts w:hint="eastAsia" w:ascii="宋体" w:hAnsi="宋体" w:eastAsia="宋体" w:cs="宋体"/>
          <w:color w:val="auto"/>
          <w:sz w:val="24"/>
          <w:szCs w:val="24"/>
          <w:highlight w:val="none"/>
        </w:rPr>
        <w:t xml:space="preserve">本项目采用综合评分法。磋商小组对符合性审查合格的响应文件进行商务、技术和价格评审， 如有多个包组则按各包组的自然顺序进行评审。磋商小组的评审按照客观、公正、审慎的原则，根据磋商文件规定的评标程序、评审方法和评审标准，就每个供应商的商务状况、技术状况及其对磋商文件要求的响应情况进行评审和比较，独立评出各供应商的商务得分、技术得分。各评委的评分算术平均值即为该供应商的商务得分和技术得分；然后评出磋商报价得分；最后将商务得分、技术得分和磋商报价得分汇总得出综合得分（商务得分、技术得分、磋商报价得分分值按四舍五入原则精确到小数点后两位）。 </w:t>
      </w:r>
    </w:p>
    <w:p w14:paraId="72A6F853">
      <w:pPr>
        <w:pStyle w:val="7"/>
        <w:rPr>
          <w:rFonts w:hint="eastAsia"/>
          <w:color w:val="auto"/>
          <w:highlight w:val="none"/>
        </w:rPr>
      </w:pPr>
    </w:p>
    <w:p w14:paraId="75261B5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综合得分＝商务得分+技术得分+磋商报价得分</w:t>
      </w:r>
    </w:p>
    <w:p w14:paraId="43EF697A">
      <w:pPr>
        <w:pStyle w:val="7"/>
        <w:rPr>
          <w:rFonts w:hint="eastAsia"/>
          <w:color w:val="auto"/>
          <w:highlight w:val="none"/>
        </w:rPr>
      </w:pPr>
    </w:p>
    <w:p w14:paraId="229BA43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28.2 </w:t>
      </w:r>
      <w:r>
        <w:rPr>
          <w:rFonts w:hint="eastAsia" w:ascii="宋体" w:hAnsi="宋体" w:eastAsia="宋体" w:cs="宋体"/>
          <w:color w:val="auto"/>
          <w:sz w:val="24"/>
          <w:szCs w:val="24"/>
          <w:highlight w:val="none"/>
        </w:rPr>
        <w:t xml:space="preserve">商务、技术评分 </w:t>
      </w:r>
    </w:p>
    <w:p w14:paraId="7727C99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 xml:space="preserve">28.2.1 </w:t>
      </w:r>
      <w:r>
        <w:rPr>
          <w:rFonts w:hint="eastAsia" w:ascii="宋体" w:hAnsi="宋体" w:eastAsia="宋体" w:cs="宋体"/>
          <w:color w:val="auto"/>
          <w:sz w:val="24"/>
          <w:szCs w:val="24"/>
          <w:highlight w:val="none"/>
        </w:rPr>
        <w:t>磋商小组对供应商的商务、技术状况及响应程度进行评议和比较，并依据评分标准，评出其商务、技术评分。详细评分标准见</w:t>
      </w:r>
      <w:r>
        <w:rPr>
          <w:rFonts w:hint="eastAsia" w:ascii="宋体" w:hAnsi="宋体" w:eastAsia="宋体" w:cs="宋体"/>
          <w:b w:val="0"/>
          <w:bCs w:val="0"/>
          <w:color w:val="auto"/>
          <w:sz w:val="24"/>
          <w:szCs w:val="24"/>
          <w:highlight w:val="none"/>
          <w:lang w:val="en-US" w:eastAsia="zh-CN"/>
        </w:rPr>
        <w:t>磋商须知第七部分《</w:t>
      </w:r>
      <w:r>
        <w:rPr>
          <w:rFonts w:hint="eastAsia" w:ascii="宋体" w:hAnsi="宋体" w:eastAsia="宋体" w:cs="宋体"/>
          <w:b w:val="0"/>
          <w:bCs w:val="0"/>
          <w:color w:val="auto"/>
          <w:sz w:val="24"/>
          <w:szCs w:val="24"/>
          <w:highlight w:val="none"/>
        </w:rPr>
        <w:t>评分标准</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 xml:space="preserve">。 </w:t>
      </w:r>
    </w:p>
    <w:p w14:paraId="77B4A8A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28.3 </w:t>
      </w:r>
      <w:r>
        <w:rPr>
          <w:rFonts w:hint="eastAsia" w:ascii="宋体" w:hAnsi="宋体" w:eastAsia="宋体" w:cs="宋体"/>
          <w:color w:val="auto"/>
          <w:sz w:val="24"/>
          <w:szCs w:val="24"/>
          <w:highlight w:val="none"/>
        </w:rPr>
        <w:t xml:space="preserve">磋商报价评分 </w:t>
      </w:r>
    </w:p>
    <w:p w14:paraId="1B31EF6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28.3.1 </w:t>
      </w:r>
      <w:r>
        <w:rPr>
          <w:rFonts w:hint="eastAsia" w:ascii="宋体" w:hAnsi="宋体" w:eastAsia="宋体" w:cs="宋体"/>
          <w:color w:val="auto"/>
          <w:sz w:val="24"/>
          <w:szCs w:val="24"/>
          <w:highlight w:val="none"/>
        </w:rPr>
        <w:t>磋商报价评分采用低价优先的原则计算，即满足磋商文件要求且最后报价最低的供应商的价格为磋商基准价，该供应商的价格分为满分，落实政府采购政策进行价格调整的，以调整后的价格计算磋商基准价和磋商报价，详细评分标准见</w:t>
      </w:r>
      <w:r>
        <w:rPr>
          <w:rFonts w:hint="eastAsia" w:ascii="宋体" w:hAnsi="宋体" w:eastAsia="宋体" w:cs="宋体"/>
          <w:b w:val="0"/>
          <w:bCs w:val="0"/>
          <w:color w:val="auto"/>
          <w:sz w:val="24"/>
          <w:szCs w:val="24"/>
          <w:highlight w:val="none"/>
          <w:lang w:val="en-US" w:eastAsia="zh-CN"/>
        </w:rPr>
        <w:t>磋商须知第七部分《</w:t>
      </w:r>
      <w:r>
        <w:rPr>
          <w:rFonts w:hint="eastAsia" w:ascii="宋体" w:hAnsi="宋体" w:eastAsia="宋体" w:cs="宋体"/>
          <w:b w:val="0"/>
          <w:bCs w:val="0"/>
          <w:color w:val="auto"/>
          <w:sz w:val="24"/>
          <w:szCs w:val="24"/>
          <w:highlight w:val="none"/>
        </w:rPr>
        <w:t>评分标准</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rPr>
        <w:t xml:space="preserve">。其他供应商的价格分统一按照下列公式计算： </w:t>
      </w:r>
    </w:p>
    <w:p w14:paraId="2CE1077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磋商报价得分=(磋商基准价/最后磋商报价)×价格权重×100</w:t>
      </w:r>
      <w:r>
        <w:rPr>
          <w:rFonts w:hint="eastAsia" w:ascii="宋体" w:hAnsi="宋体" w:eastAsia="宋体" w:cs="宋体"/>
          <w:color w:val="auto"/>
          <w:sz w:val="24"/>
          <w:szCs w:val="24"/>
          <w:highlight w:val="none"/>
        </w:rPr>
        <w:t xml:space="preserve"> </w:t>
      </w:r>
    </w:p>
    <w:p w14:paraId="3DBE618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28.4 </w:t>
      </w:r>
      <w:r>
        <w:rPr>
          <w:rFonts w:hint="eastAsia" w:ascii="宋体" w:hAnsi="宋体" w:eastAsia="宋体" w:cs="宋体"/>
          <w:b/>
          <w:bCs/>
          <w:color w:val="auto"/>
          <w:sz w:val="24"/>
          <w:szCs w:val="24"/>
          <w:highlight w:val="none"/>
          <w:lang w:val="zh-CN"/>
        </w:rPr>
        <w:t>小微企业（监狱企业、残疾人福利性单位视同小微企业）价格扣除（仅非预留份额的采购项目或者采购包适用）</w:t>
      </w:r>
      <w:r>
        <w:rPr>
          <w:rFonts w:hint="eastAsia" w:ascii="宋体" w:hAnsi="宋体" w:eastAsia="宋体" w:cs="宋体"/>
          <w:color w:val="auto"/>
          <w:sz w:val="24"/>
          <w:szCs w:val="24"/>
          <w:highlight w:val="none"/>
        </w:rPr>
        <w:t xml:space="preserve"> </w:t>
      </w:r>
    </w:p>
    <w:p w14:paraId="7184DB5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28.4.1 </w:t>
      </w:r>
      <w:r>
        <w:rPr>
          <w:rFonts w:hint="eastAsia" w:ascii="宋体" w:hAnsi="宋体" w:eastAsia="宋体" w:cs="宋体"/>
          <w:color w:val="auto"/>
          <w:sz w:val="24"/>
          <w:szCs w:val="24"/>
          <w:highlight w:val="none"/>
          <w:lang w:val="zh-CN"/>
        </w:rPr>
        <w:t>对于经主管预算单位统筹后未预留份额专门面向中小企业采购的采购项目，以及预留份额项目中的非预留部分采购包，对符合《政府采购促进中小企业发展管理办法》（财库〔2020〕46 号）规定的小微企业报价给予</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lang w:val="zh-CN"/>
        </w:rPr>
        <w:t>的扣除，用扣除后的价格参加评审。</w:t>
      </w:r>
    </w:p>
    <w:p w14:paraId="5F3611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28.4.2</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接受大中型企业与小微企业组成联合体的采购项目，对联合协议约定小微企业的合同份额占到合同总金额30%以上的，对联合体的报价给予</w:t>
      </w:r>
      <w:r>
        <w:rPr>
          <w:rFonts w:hint="eastAsia"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lang w:val="zh-CN"/>
        </w:rPr>
        <w:t>的扣除，用扣除后的价格参加评审。</w:t>
      </w:r>
    </w:p>
    <w:p w14:paraId="5191FD2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28.4.3</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允许大中型企业向一家或者多家小微企业分包的采购项目，对于分包意向协议约定小微企业的合同份额占到合同总金额30%以上的，对大中型企业的报价给予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zh-CN"/>
        </w:rPr>
        <w:t>%的扣除，用扣除后的价格参加评审。</w:t>
      </w:r>
    </w:p>
    <w:p w14:paraId="3A452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参加政府采购活动的中小企业应当提供《中小企业声明函》原件。监狱企业应当提供监狱企业证明复印件。残疾人福利性单位应当提供《残疾人福利性单位声明函》原件。</w:t>
      </w:r>
      <w:r>
        <w:rPr>
          <w:rFonts w:hint="eastAsia" w:cs="宋体"/>
          <w:color w:val="auto"/>
          <w:sz w:val="24"/>
          <w:szCs w:val="24"/>
          <w:highlight w:val="none"/>
          <w:lang w:val="en-US" w:eastAsia="zh-CN"/>
        </w:rPr>
        <w:t>以上</w:t>
      </w:r>
      <w:r>
        <w:rPr>
          <w:rFonts w:hint="eastAsia" w:ascii="宋体" w:hAnsi="宋体" w:eastAsia="宋体" w:cs="宋体"/>
          <w:color w:val="auto"/>
          <w:sz w:val="24"/>
          <w:szCs w:val="24"/>
          <w:highlight w:val="none"/>
          <w:lang w:val="zh-CN"/>
        </w:rPr>
        <w:t>格式详见</w:t>
      </w:r>
      <w:r>
        <w:rPr>
          <w:rFonts w:hint="eastAsia" w:cs="宋体"/>
          <w:color w:val="auto"/>
          <w:sz w:val="24"/>
          <w:szCs w:val="24"/>
          <w:highlight w:val="none"/>
          <w:lang w:val="en-US" w:eastAsia="zh-CN"/>
        </w:rPr>
        <w:t>磋商文件</w:t>
      </w:r>
      <w:r>
        <w:rPr>
          <w:rFonts w:hint="eastAsia" w:ascii="宋体" w:hAnsi="宋体" w:eastAsia="宋体" w:cs="宋体"/>
          <w:color w:val="auto"/>
          <w:sz w:val="24"/>
          <w:szCs w:val="24"/>
          <w:highlight w:val="none"/>
          <w:lang w:val="zh-CN"/>
        </w:rPr>
        <w:t>第五部分响应文件格式</w:t>
      </w:r>
      <w:r>
        <w:rPr>
          <w:rFonts w:hint="eastAsia" w:cs="宋体"/>
          <w:color w:val="auto"/>
          <w:sz w:val="24"/>
          <w:szCs w:val="24"/>
          <w:highlight w:val="none"/>
          <w:lang w:val="zh-CN"/>
        </w:rPr>
        <w:t>，</w:t>
      </w:r>
      <w:r>
        <w:rPr>
          <w:rFonts w:hint="eastAsia" w:ascii="宋体" w:hAnsi="宋体" w:eastAsia="宋体" w:cs="宋体"/>
          <w:color w:val="auto"/>
          <w:sz w:val="24"/>
          <w:szCs w:val="24"/>
          <w:highlight w:val="none"/>
          <w:lang w:val="zh-CN"/>
        </w:rPr>
        <w:t>未提供的视为放弃享受小微企业价格扣除优惠政策。</w:t>
      </w:r>
    </w:p>
    <w:p w14:paraId="4CF7B31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 xml:space="preserve">5 </w:t>
      </w:r>
      <w:r>
        <w:rPr>
          <w:rFonts w:hint="eastAsia" w:ascii="宋体" w:hAnsi="宋体" w:eastAsia="宋体" w:cs="宋体"/>
          <w:color w:val="auto"/>
          <w:sz w:val="24"/>
          <w:szCs w:val="24"/>
          <w:highlight w:val="none"/>
          <w:lang w:val="zh-CN"/>
        </w:rPr>
        <w:t>组成联合体或者接受分包的小微企业与联合体内其他企业、分包企业之间存在直接控股、管理关系的，不享受价格扣除优惠政策。</w:t>
      </w:r>
    </w:p>
    <w:p w14:paraId="6ADCDA3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 xml:space="preserve">6 </w:t>
      </w:r>
      <w:r>
        <w:rPr>
          <w:rFonts w:hint="eastAsia" w:ascii="宋体" w:hAnsi="宋体" w:eastAsia="宋体" w:cs="宋体"/>
          <w:color w:val="auto"/>
          <w:sz w:val="24"/>
          <w:szCs w:val="24"/>
          <w:highlight w:val="none"/>
          <w:lang w:val="zh-CN"/>
        </w:rPr>
        <w:t>依据《政府采购促进中小企业发展管理办法》（财库〔2020〕46 号）规定享受扶持政策的小微企业，不得将合同分包给大中型企业。</w:t>
      </w:r>
    </w:p>
    <w:p w14:paraId="18B0F6E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28.5 </w:t>
      </w:r>
      <w:r>
        <w:rPr>
          <w:rFonts w:hint="eastAsia" w:ascii="宋体" w:hAnsi="宋体" w:eastAsia="宋体" w:cs="宋体"/>
          <w:b/>
          <w:bCs/>
          <w:color w:val="auto"/>
          <w:sz w:val="24"/>
          <w:szCs w:val="24"/>
          <w:highlight w:val="none"/>
        </w:rPr>
        <w:t>节能产品、环境标志产品政府采购政策执行</w:t>
      </w:r>
      <w:r>
        <w:rPr>
          <w:rFonts w:hint="eastAsia" w:ascii="宋体" w:hAnsi="宋体" w:eastAsia="宋体" w:cs="宋体"/>
          <w:color w:val="auto"/>
          <w:sz w:val="24"/>
          <w:szCs w:val="24"/>
          <w:highlight w:val="none"/>
        </w:rPr>
        <w:t xml:space="preserve"> </w:t>
      </w:r>
    </w:p>
    <w:p w14:paraId="42C4751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cs="宋体"/>
          <w:color w:val="auto"/>
          <w:sz w:val="24"/>
          <w:szCs w:val="24"/>
          <w:highlight w:val="none"/>
          <w:lang w:val="en-US" w:eastAsia="zh-CN"/>
        </w:rPr>
        <w:t xml:space="preserve">28.5.1 </w:t>
      </w:r>
      <w:r>
        <w:rPr>
          <w:rFonts w:hint="eastAsia" w:ascii="宋体" w:hAnsi="宋体" w:eastAsia="宋体" w:cs="宋体"/>
          <w:color w:val="auto"/>
          <w:sz w:val="24"/>
          <w:szCs w:val="24"/>
          <w:highlight w:val="none"/>
          <w:lang w:val="en-US" w:eastAsia="zh-CN"/>
        </w:rPr>
        <w:t>根据《财政部发展改革委生态环境部市场监管总局关于调整优化节能产品、环境标志产品政府采购执行机制的通知》（财库〔2019</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 </w:t>
      </w:r>
    </w:p>
    <w:p w14:paraId="3E2979F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28.5.2 采购标的</w:t>
      </w:r>
      <w:r>
        <w:rPr>
          <w:rFonts w:hint="eastAsia" w:ascii="宋体" w:hAnsi="宋体" w:eastAsia="宋体" w:cs="宋体"/>
          <w:color w:val="auto"/>
          <w:sz w:val="24"/>
          <w:szCs w:val="24"/>
          <w:highlight w:val="none"/>
        </w:rPr>
        <w:t>属于《节能产品政府采购品目清单》、《环境标志产品政府采购品目清单》中优先采购产品类别产品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须提供由《参与实施政府采购节能产品认证机构名录》、《参与实施政府采购环境标志产品认证机构名录》中确定的认证机构出具的、处于有效期之内的节能产品认证证书或环境标志产品认证证书（复印件加盖供应商公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将按照“第</w:t>
      </w:r>
      <w:r>
        <w:rPr>
          <w:rFonts w:hint="eastAsia" w:cs="宋体"/>
          <w:color w:val="auto"/>
          <w:sz w:val="24"/>
          <w:szCs w:val="24"/>
          <w:highlight w:val="none"/>
          <w:lang w:val="en-US" w:eastAsia="zh-CN"/>
        </w:rPr>
        <w:t>七</w:t>
      </w:r>
      <w:r>
        <w:rPr>
          <w:rFonts w:hint="eastAsia" w:ascii="宋体" w:hAnsi="宋体" w:eastAsia="宋体" w:cs="宋体"/>
          <w:color w:val="auto"/>
          <w:sz w:val="24"/>
          <w:szCs w:val="24"/>
          <w:highlight w:val="none"/>
          <w:lang w:val="en-US" w:eastAsia="zh-CN"/>
        </w:rPr>
        <w:t xml:space="preserve">部分 </w:t>
      </w:r>
      <w:r>
        <w:rPr>
          <w:rFonts w:hint="eastAsia" w:cs="宋体"/>
          <w:color w:val="auto"/>
          <w:sz w:val="24"/>
          <w:szCs w:val="24"/>
          <w:highlight w:val="none"/>
          <w:lang w:val="en-US" w:eastAsia="zh-CN"/>
        </w:rPr>
        <w:t>评审</w:t>
      </w:r>
      <w:r>
        <w:rPr>
          <w:rFonts w:hint="eastAsia" w:ascii="宋体" w:hAnsi="宋体" w:eastAsia="宋体" w:cs="宋体"/>
          <w:color w:val="auto"/>
          <w:sz w:val="24"/>
          <w:szCs w:val="24"/>
          <w:highlight w:val="none"/>
          <w:lang w:val="en-US" w:eastAsia="zh-CN"/>
        </w:rPr>
        <w:t>标准”给予加分。</w:t>
      </w:r>
    </w:p>
    <w:p w14:paraId="1505BD7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价格项加分：</w:t>
      </w:r>
    </w:p>
    <w:p w14:paraId="423CCA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1、（节能清单部分产品的价格/投标报价）×3%×价格项满分值</w:t>
      </w:r>
    </w:p>
    <w:p w14:paraId="22761C4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2、（环境清单部分产品的价格/投标报价）×3%×价格项满分值</w:t>
      </w:r>
    </w:p>
    <w:p w14:paraId="18A9DD1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技术项加分：</w:t>
      </w:r>
    </w:p>
    <w:p w14:paraId="54FF251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1、（节能清单部分产品的价格/投标报价）×3%×技术项满分值</w:t>
      </w:r>
    </w:p>
    <w:p w14:paraId="2F3505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2、（环境清单部分产品的价格/投标报价）×3%×技术项满分值</w:t>
      </w:r>
    </w:p>
    <w:p w14:paraId="4D2EF4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注：1、供应商须提供</w:t>
      </w:r>
      <w:r>
        <w:rPr>
          <w:rFonts w:hint="eastAsia" w:ascii="宋体" w:hAnsi="宋体" w:eastAsia="宋体" w:cs="宋体"/>
          <w:color w:val="auto"/>
          <w:sz w:val="24"/>
          <w:szCs w:val="24"/>
          <w:highlight w:val="none"/>
          <w:lang w:val="en-US" w:eastAsia="zh-CN"/>
        </w:rPr>
        <w:t>最新一</w:t>
      </w:r>
      <w:r>
        <w:rPr>
          <w:rFonts w:hint="eastAsia" w:ascii="宋体" w:hAnsi="宋体" w:eastAsia="宋体" w:cs="宋体"/>
          <w:color w:val="auto"/>
          <w:sz w:val="24"/>
          <w:szCs w:val="24"/>
          <w:highlight w:val="none"/>
        </w:rPr>
        <w:t>期《节能产品政府采购清单》关于投标产品当前页的打印件；</w:t>
      </w:r>
    </w:p>
    <w:p w14:paraId="6AC4D7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2、供应商提供</w:t>
      </w:r>
      <w:r>
        <w:rPr>
          <w:rFonts w:hint="eastAsia" w:ascii="宋体" w:hAnsi="宋体" w:eastAsia="宋体" w:cs="宋体"/>
          <w:color w:val="auto"/>
          <w:sz w:val="24"/>
          <w:szCs w:val="24"/>
          <w:highlight w:val="none"/>
          <w:lang w:val="en-US" w:eastAsia="zh-CN"/>
        </w:rPr>
        <w:t>最新一</w:t>
      </w:r>
      <w:r>
        <w:rPr>
          <w:rFonts w:hint="eastAsia" w:ascii="宋体" w:hAnsi="宋体" w:eastAsia="宋体" w:cs="宋体"/>
          <w:color w:val="auto"/>
          <w:sz w:val="24"/>
          <w:szCs w:val="24"/>
          <w:highlight w:val="none"/>
        </w:rPr>
        <w:t>期《环境标志产品政府采购清单》关于投标产品当前页的打印件；</w:t>
      </w:r>
    </w:p>
    <w:p w14:paraId="6CAF750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29 </w:t>
      </w:r>
      <w:r>
        <w:rPr>
          <w:rFonts w:hint="eastAsia" w:ascii="宋体" w:hAnsi="宋体" w:eastAsia="宋体" w:cs="宋体"/>
          <w:b/>
          <w:bCs/>
          <w:color w:val="auto"/>
          <w:sz w:val="24"/>
          <w:szCs w:val="24"/>
          <w:highlight w:val="none"/>
        </w:rPr>
        <w:t>授标与定标原则</w:t>
      </w:r>
      <w:r>
        <w:rPr>
          <w:rFonts w:hint="eastAsia" w:ascii="宋体" w:hAnsi="宋体" w:eastAsia="宋体" w:cs="宋体"/>
          <w:color w:val="auto"/>
          <w:sz w:val="24"/>
          <w:szCs w:val="24"/>
          <w:highlight w:val="none"/>
        </w:rPr>
        <w:t xml:space="preserve"> </w:t>
      </w:r>
    </w:p>
    <w:p w14:paraId="4D7DE16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29.1 </w:t>
      </w:r>
      <w:r>
        <w:rPr>
          <w:rFonts w:hint="eastAsia" w:ascii="宋体" w:hAnsi="宋体" w:eastAsia="宋体" w:cs="宋体"/>
          <w:color w:val="auto"/>
          <w:sz w:val="24"/>
          <w:szCs w:val="24"/>
          <w:highlight w:val="none"/>
        </w:rPr>
        <w:t xml:space="preserve">磋商小组按照磋商文件确定的评标方法、步骤、标准，对响应文件进行评审，并出具书面评标报告。磋商小组成员对需要共同认定的事项存在争议的，应当按照少数服从多数的原则作出结论。持不同意见的磋商小组成员应当在评标报告上签署不同意见及理由，否则视为同意评标报告。 </w:t>
      </w:r>
    </w:p>
    <w:p w14:paraId="51DE681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29.2 </w:t>
      </w:r>
      <w:r>
        <w:rPr>
          <w:rFonts w:hint="eastAsia" w:ascii="宋体" w:hAnsi="宋体" w:eastAsia="宋体" w:cs="宋体"/>
          <w:color w:val="auto"/>
          <w:sz w:val="24"/>
          <w:szCs w:val="24"/>
          <w:highlight w:val="none"/>
        </w:rPr>
        <w:t xml:space="preserve">磋商小组根据评审结果，按评审后得分由高到低的顺序排列成交候选供应商名次。得分相同的，按磋商报价由低到高顺序排列。综合得分且磋商报价相同的，按技术部分得分由高到低顺序排列。综合得分、价格及技术得分均相同的，由磋商小组通过表决的方式，以少数服从多数原则，决定成交候选供应商排列顺序。 </w:t>
      </w:r>
    </w:p>
    <w:p w14:paraId="4673285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29.3 </w:t>
      </w:r>
      <w:r>
        <w:rPr>
          <w:rFonts w:hint="eastAsia" w:ascii="宋体" w:hAnsi="宋体" w:eastAsia="宋体" w:cs="宋体"/>
          <w:color w:val="auto"/>
          <w:sz w:val="24"/>
          <w:szCs w:val="24"/>
          <w:highlight w:val="none"/>
        </w:rPr>
        <w:t xml:space="preserve">推荐综合得分排名第一的供应商为第一成交候选供应商，排名第二的供应商为第二成交候选供应商， 排名第三的供应商为第三成交候选供应商。 </w:t>
      </w:r>
    </w:p>
    <w:p w14:paraId="3742313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29.4 </w:t>
      </w:r>
      <w:r>
        <w:rPr>
          <w:rFonts w:hint="eastAsia" w:ascii="宋体" w:hAnsi="宋体" w:eastAsia="宋体" w:cs="宋体"/>
          <w:color w:val="auto"/>
          <w:sz w:val="24"/>
          <w:szCs w:val="24"/>
          <w:highlight w:val="none"/>
        </w:rPr>
        <w:t>根据磋商小组的磋商结果，采购人在评标报告推荐的成交候选供应商中按顺序依法确定1名成交供应商。</w:t>
      </w:r>
    </w:p>
    <w:p w14:paraId="1B0F345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29.5 </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在评标结束后2个工作日内将评标报告送采购人，采购人在收到评标报告之日起5个工作日内在评标报告确定的成交候选供应商名单中按顺序确定成交供应商。采购人未在5个工作日内按评标报告推荐的成交候选供应商顺序确定成交供应商，又不能说明合法理由的，视同按评标报告推荐的顺序确定排名第一的成交候选供应商为成交供应商。 </w:t>
      </w:r>
    </w:p>
    <w:p w14:paraId="0CCBBF62">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30 </w:t>
      </w:r>
      <w:r>
        <w:rPr>
          <w:rFonts w:hint="eastAsia" w:cs="宋体"/>
          <w:b/>
          <w:bCs/>
          <w:color w:val="auto"/>
          <w:sz w:val="24"/>
          <w:szCs w:val="24"/>
          <w:highlight w:val="none"/>
          <w:lang w:eastAsia="zh-CN"/>
        </w:rPr>
        <w:t>中标通知书</w:t>
      </w:r>
      <w:r>
        <w:rPr>
          <w:rFonts w:hint="eastAsia" w:ascii="宋体" w:hAnsi="宋体" w:eastAsia="宋体" w:cs="宋体"/>
          <w:color w:val="auto"/>
          <w:sz w:val="24"/>
          <w:szCs w:val="24"/>
          <w:highlight w:val="none"/>
        </w:rPr>
        <w:t xml:space="preserve"> </w:t>
      </w:r>
    </w:p>
    <w:p w14:paraId="57A93F2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30.1 </w:t>
      </w:r>
      <w:r>
        <w:rPr>
          <w:rFonts w:hint="eastAsia"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自成交供应商确定之日起2个工作日内，在磋商文件指定的媒体上发布成交公告，成交</w:t>
      </w:r>
      <w:r>
        <w:rPr>
          <w:rFonts w:hint="eastAsia" w:cs="宋体"/>
          <w:color w:val="auto"/>
          <w:sz w:val="24"/>
          <w:szCs w:val="24"/>
          <w:highlight w:val="none"/>
          <w:lang w:val="en-US" w:eastAsia="zh-CN"/>
        </w:rPr>
        <w:t>结果</w:t>
      </w:r>
      <w:r>
        <w:rPr>
          <w:rFonts w:hint="eastAsia" w:ascii="宋体" w:hAnsi="宋体" w:eastAsia="宋体" w:cs="宋体"/>
          <w:color w:val="auto"/>
          <w:sz w:val="24"/>
          <w:szCs w:val="24"/>
          <w:highlight w:val="none"/>
        </w:rPr>
        <w:t>公告期限为</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个工作日。同时向成交供应商发出《</w:t>
      </w:r>
      <w:r>
        <w:rPr>
          <w:rFonts w:hint="eastAsia" w:cs="宋体"/>
          <w:color w:val="auto"/>
          <w:sz w:val="24"/>
          <w:szCs w:val="24"/>
          <w:highlight w:val="none"/>
          <w:lang w:eastAsia="zh-CN"/>
        </w:rPr>
        <w:t>中标通知书</w:t>
      </w:r>
      <w:r>
        <w:rPr>
          <w:rFonts w:hint="eastAsia" w:ascii="宋体" w:hAnsi="宋体" w:eastAsia="宋体" w:cs="宋体"/>
          <w:color w:val="auto"/>
          <w:sz w:val="24"/>
          <w:szCs w:val="24"/>
          <w:highlight w:val="none"/>
        </w:rPr>
        <w:t xml:space="preserve">》。 </w:t>
      </w:r>
    </w:p>
    <w:p w14:paraId="1EFEAB1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30.2 </w:t>
      </w:r>
      <w:r>
        <w:rPr>
          <w:rFonts w:hint="eastAsia" w:ascii="宋体" w:hAnsi="宋体" w:eastAsia="宋体" w:cs="宋体"/>
          <w:color w:val="auto"/>
          <w:sz w:val="24"/>
          <w:szCs w:val="24"/>
          <w:highlight w:val="none"/>
        </w:rPr>
        <w:t>《</w:t>
      </w:r>
      <w:r>
        <w:rPr>
          <w:rFonts w:hint="eastAsia" w:cs="宋体"/>
          <w:color w:val="auto"/>
          <w:sz w:val="24"/>
          <w:szCs w:val="24"/>
          <w:highlight w:val="none"/>
          <w:lang w:eastAsia="zh-CN"/>
        </w:rPr>
        <w:t>中标通知书</w:t>
      </w:r>
      <w:r>
        <w:rPr>
          <w:rFonts w:hint="eastAsia" w:ascii="宋体" w:hAnsi="宋体" w:eastAsia="宋体" w:cs="宋体"/>
          <w:color w:val="auto"/>
          <w:sz w:val="24"/>
          <w:szCs w:val="24"/>
          <w:highlight w:val="none"/>
        </w:rPr>
        <w:t>》是合同的一个组成部分，《</w:t>
      </w:r>
      <w:r>
        <w:rPr>
          <w:rFonts w:hint="eastAsia" w:cs="宋体"/>
          <w:color w:val="auto"/>
          <w:sz w:val="24"/>
          <w:szCs w:val="24"/>
          <w:highlight w:val="none"/>
          <w:lang w:eastAsia="zh-CN"/>
        </w:rPr>
        <w:t>中标通知书</w:t>
      </w:r>
      <w:r>
        <w:rPr>
          <w:rFonts w:hint="eastAsia" w:ascii="宋体" w:hAnsi="宋体" w:eastAsia="宋体" w:cs="宋体"/>
          <w:color w:val="auto"/>
          <w:sz w:val="24"/>
          <w:szCs w:val="24"/>
          <w:highlight w:val="none"/>
        </w:rPr>
        <w:t>》对采购人和成交供应商均具有同等的法律效力；《</w:t>
      </w:r>
      <w:r>
        <w:rPr>
          <w:rFonts w:hint="eastAsia" w:cs="宋体"/>
          <w:color w:val="auto"/>
          <w:sz w:val="24"/>
          <w:szCs w:val="24"/>
          <w:highlight w:val="none"/>
          <w:lang w:eastAsia="zh-CN"/>
        </w:rPr>
        <w:t>中标通知书</w:t>
      </w:r>
      <w:r>
        <w:rPr>
          <w:rFonts w:hint="eastAsia" w:ascii="宋体" w:hAnsi="宋体" w:eastAsia="宋体" w:cs="宋体"/>
          <w:color w:val="auto"/>
          <w:sz w:val="24"/>
          <w:szCs w:val="24"/>
          <w:highlight w:val="none"/>
        </w:rPr>
        <w:t xml:space="preserve">》发出后，采购人改变成交结果，或者成交供应商放弃成交资格，应当承担相应的法律责任。 </w:t>
      </w:r>
    </w:p>
    <w:p w14:paraId="2C8058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30.3 </w:t>
      </w:r>
      <w:r>
        <w:rPr>
          <w:rFonts w:hint="eastAsia" w:ascii="宋体" w:hAnsi="宋体" w:eastAsia="宋体" w:cs="宋体"/>
          <w:color w:val="auto"/>
          <w:sz w:val="24"/>
          <w:szCs w:val="24"/>
          <w:highlight w:val="none"/>
        </w:rPr>
        <w:t>《</w:t>
      </w:r>
      <w:r>
        <w:rPr>
          <w:rFonts w:hint="eastAsia" w:cs="宋体"/>
          <w:color w:val="auto"/>
          <w:sz w:val="24"/>
          <w:szCs w:val="24"/>
          <w:highlight w:val="none"/>
          <w:lang w:eastAsia="zh-CN"/>
        </w:rPr>
        <w:t>中标通知书</w:t>
      </w:r>
      <w:r>
        <w:rPr>
          <w:rFonts w:hint="eastAsia" w:ascii="宋体" w:hAnsi="宋体" w:eastAsia="宋体" w:cs="宋体"/>
          <w:color w:val="auto"/>
          <w:sz w:val="24"/>
          <w:szCs w:val="24"/>
          <w:highlight w:val="none"/>
        </w:rPr>
        <w:t xml:space="preserve">》将作为授予合同资格的合法依据，是合同的一个组成部分。 </w:t>
      </w:r>
    </w:p>
    <w:p w14:paraId="1BBB3D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30.4 </w:t>
      </w:r>
      <w:r>
        <w:rPr>
          <w:rFonts w:hint="eastAsia" w:ascii="宋体" w:hAnsi="宋体" w:eastAsia="宋体" w:cs="宋体"/>
          <w:color w:val="auto"/>
          <w:sz w:val="24"/>
          <w:szCs w:val="24"/>
          <w:highlight w:val="none"/>
        </w:rPr>
        <w:t>成交供应商为享受中小企业扶持政策的小微企业及视同小微企业的残疾人福利性单位的，</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随成交结果同时公告其《中小企业声明函》、《残疾人福利性单位声明函》，接受社会监督。 </w:t>
      </w:r>
    </w:p>
    <w:p w14:paraId="6C589A8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31 </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 xml:space="preserve"> </w:t>
      </w:r>
    </w:p>
    <w:p w14:paraId="3D32A93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 </w:t>
      </w:r>
      <w:r>
        <w:rPr>
          <w:rFonts w:hint="eastAsia" w:ascii="宋体" w:hAnsi="宋体" w:eastAsia="宋体" w:cs="宋体"/>
          <w:color w:val="auto"/>
          <w:sz w:val="24"/>
          <w:szCs w:val="24"/>
          <w:highlight w:val="none"/>
        </w:rPr>
        <w:t xml:space="preserve">在采购活动中，出现下列情形之一的，应予废标： </w:t>
      </w:r>
    </w:p>
    <w:p w14:paraId="42BCDF3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31.1.1 </w:t>
      </w:r>
      <w:r>
        <w:rPr>
          <w:rFonts w:hint="eastAsia" w:ascii="宋体" w:hAnsi="宋体" w:eastAsia="宋体" w:cs="宋体"/>
          <w:color w:val="auto"/>
          <w:sz w:val="24"/>
          <w:szCs w:val="24"/>
          <w:highlight w:val="none"/>
        </w:rPr>
        <w:t xml:space="preserve">因情况变化，不再符合规定的竞争性磋商采购方式适用情形的； </w:t>
      </w:r>
    </w:p>
    <w:p w14:paraId="77310B2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31.1.2 </w:t>
      </w:r>
      <w:r>
        <w:rPr>
          <w:rFonts w:hint="eastAsia" w:ascii="宋体" w:hAnsi="宋体" w:eastAsia="宋体" w:cs="宋体"/>
          <w:color w:val="auto"/>
          <w:sz w:val="24"/>
          <w:szCs w:val="24"/>
          <w:highlight w:val="none"/>
        </w:rPr>
        <w:t xml:space="preserve">出现影响采购公正的违法、违规行为的； </w:t>
      </w:r>
    </w:p>
    <w:p w14:paraId="1758E38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31.1.3 </w:t>
      </w:r>
      <w:r>
        <w:rPr>
          <w:rFonts w:hint="eastAsia" w:ascii="宋体" w:hAnsi="宋体" w:eastAsia="宋体" w:cs="宋体"/>
          <w:color w:val="auto"/>
          <w:sz w:val="24"/>
          <w:szCs w:val="24"/>
          <w:highlight w:val="none"/>
        </w:rPr>
        <w:t>除本须知2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.2.8规定的情形外，在采购过程中符合要求的供应商或者报价未超过采购预算的供应商不足3家的。 </w:t>
      </w:r>
    </w:p>
    <w:p w14:paraId="4C97840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32 </w:t>
      </w:r>
      <w:r>
        <w:rPr>
          <w:rFonts w:hint="eastAsia" w:ascii="宋体" w:hAnsi="宋体" w:eastAsia="宋体" w:cs="宋体"/>
          <w:b/>
          <w:bCs/>
          <w:color w:val="auto"/>
          <w:sz w:val="24"/>
          <w:szCs w:val="24"/>
          <w:highlight w:val="none"/>
        </w:rPr>
        <w:t>询问、质疑、投诉</w:t>
      </w:r>
      <w:r>
        <w:rPr>
          <w:rFonts w:hint="eastAsia" w:ascii="宋体" w:hAnsi="宋体" w:eastAsia="宋体" w:cs="宋体"/>
          <w:color w:val="auto"/>
          <w:sz w:val="24"/>
          <w:szCs w:val="24"/>
          <w:highlight w:val="none"/>
        </w:rPr>
        <w:t xml:space="preserve"> </w:t>
      </w:r>
    </w:p>
    <w:p w14:paraId="6A1D81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 </w:t>
      </w:r>
      <w:r>
        <w:rPr>
          <w:rFonts w:hint="eastAsia" w:ascii="宋体" w:hAnsi="宋体" w:eastAsia="宋体" w:cs="宋体"/>
          <w:color w:val="auto"/>
          <w:sz w:val="24"/>
          <w:szCs w:val="24"/>
          <w:highlight w:val="none"/>
        </w:rPr>
        <w:t xml:space="preserve">询问 </w:t>
      </w:r>
    </w:p>
    <w:p w14:paraId="2809627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32.1.1 </w:t>
      </w:r>
      <w:r>
        <w:rPr>
          <w:rFonts w:hint="eastAsia" w:ascii="宋体" w:hAnsi="宋体" w:eastAsia="宋体" w:cs="宋体"/>
          <w:color w:val="auto"/>
          <w:sz w:val="24"/>
          <w:szCs w:val="24"/>
          <w:highlight w:val="none"/>
        </w:rPr>
        <w:t>供应商对政府采购活动事项（磋商文件、采购过程、成交或者成交结果）有疑问的，可以向采购人或者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eastAsia="zh-CN"/>
        </w:rPr>
        <w:t>心</w:t>
      </w:r>
      <w:r>
        <w:rPr>
          <w:rFonts w:hint="eastAsia" w:ascii="宋体" w:hAnsi="宋体" w:eastAsia="宋体" w:cs="宋体"/>
          <w:color w:val="auto"/>
          <w:sz w:val="24"/>
          <w:szCs w:val="24"/>
          <w:highlight w:val="none"/>
        </w:rPr>
        <w:t xml:space="preserve">提出询问，询问可以口头方式提出，也可以书面方式提出。 </w:t>
      </w:r>
    </w:p>
    <w:p w14:paraId="378922A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32.1.2 </w:t>
      </w:r>
      <w:r>
        <w:rPr>
          <w:rFonts w:hint="eastAsia" w:ascii="宋体" w:hAnsi="宋体" w:eastAsia="宋体" w:cs="宋体"/>
          <w:color w:val="auto"/>
          <w:sz w:val="24"/>
          <w:szCs w:val="24"/>
          <w:highlight w:val="none"/>
        </w:rPr>
        <w:t>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在三个工作日内对供应商依法提出的询问作出答复。 </w:t>
      </w:r>
    </w:p>
    <w:p w14:paraId="333BE03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32.2 </w:t>
      </w:r>
      <w:r>
        <w:rPr>
          <w:rFonts w:hint="eastAsia" w:ascii="宋体" w:hAnsi="宋体" w:eastAsia="宋体" w:cs="宋体"/>
          <w:color w:val="auto"/>
          <w:sz w:val="24"/>
          <w:szCs w:val="24"/>
          <w:highlight w:val="none"/>
        </w:rPr>
        <w:t>质疑</w:t>
      </w:r>
    </w:p>
    <w:p w14:paraId="7F59EC98">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.1 提出质疑的供应商应当是参与所质疑项目采购活动的供应商。潜在供应商依法获取其可质疑的采购文件的，可以对采购文件提出质疑。</w:t>
      </w:r>
    </w:p>
    <w:p w14:paraId="33CF9823">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.2供应商认为采购文件、采购过程和采购结果使自己的权益受到损害的，可以在知道或应知其权益受到损害之日起七个工作日内，以书面形式向</w:t>
      </w:r>
      <w:r>
        <w:rPr>
          <w:rFonts w:hint="eastAsia"/>
          <w:color w:val="auto"/>
          <w:sz w:val="24"/>
          <w:szCs w:val="24"/>
          <w:highlight w:val="none"/>
          <w:lang w:val="en-US" w:eastAsia="zh-CN"/>
        </w:rPr>
        <w:t>招标代理公司</w:t>
      </w:r>
      <w:r>
        <w:rPr>
          <w:rFonts w:hint="eastAsia" w:ascii="宋体" w:hAnsi="宋体"/>
          <w:color w:val="auto"/>
          <w:sz w:val="24"/>
          <w:szCs w:val="24"/>
          <w:highlight w:val="none"/>
        </w:rPr>
        <w:t>及采购人提出质疑。上述应知其权益受到损害之日，是指：</w:t>
      </w:r>
    </w:p>
    <w:p w14:paraId="526CC966">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.2.1</w:t>
      </w:r>
      <w:r>
        <w:rPr>
          <w:rFonts w:hint="eastAsia" w:hAnsi="宋体" w:cs="宋体"/>
          <w:color w:val="auto"/>
          <w:kern w:val="0"/>
          <w:sz w:val="24"/>
          <w:szCs w:val="24"/>
          <w:highlight w:val="none"/>
        </w:rPr>
        <w:t>对可以质疑的采购文件提出质疑的，为收到采购文件之日或者采购文件公告期限届满之日；</w:t>
      </w:r>
    </w:p>
    <w:p w14:paraId="638E22ED">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.2.2</w:t>
      </w:r>
      <w:r>
        <w:rPr>
          <w:rFonts w:hint="eastAsia" w:hAnsi="宋体" w:cs="宋体"/>
          <w:color w:val="auto"/>
          <w:kern w:val="0"/>
          <w:sz w:val="24"/>
          <w:szCs w:val="24"/>
          <w:highlight w:val="none"/>
        </w:rPr>
        <w:t>对采购过程提出质疑的，为各采购程序环节结束之日；</w:t>
      </w:r>
    </w:p>
    <w:p w14:paraId="0A0C9854">
      <w:pPr>
        <w:snapToGrid w:val="0"/>
        <w:spacing w:line="480" w:lineRule="exact"/>
        <w:ind w:firstLine="480" w:firstLineChars="200"/>
        <w:rPr>
          <w:rFonts w:hint="eastAsia" w:hAnsi="宋体" w:cs="宋体"/>
          <w:color w:val="auto"/>
          <w:kern w:val="0"/>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.2.3</w:t>
      </w:r>
      <w:r>
        <w:rPr>
          <w:rFonts w:hint="eastAsia" w:hAnsi="宋体" w:cs="宋体"/>
          <w:color w:val="auto"/>
          <w:kern w:val="0"/>
          <w:sz w:val="24"/>
          <w:szCs w:val="24"/>
          <w:highlight w:val="none"/>
        </w:rPr>
        <w:t>对中标或者成交结果提出质疑的，为中标或者成交结果公告期限届满之日。</w:t>
      </w:r>
    </w:p>
    <w:p w14:paraId="4C659776">
      <w:pPr>
        <w:snapToGrid w:val="0"/>
        <w:spacing w:line="48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供应商应当在法定质疑期内一次性提出针对同一采购程序环节的质疑。供应商如在法定期限内对同一采购程序环节提出多次质疑的，</w:t>
      </w:r>
      <w:r>
        <w:rPr>
          <w:rFonts w:hint="eastAsia" w:cs="宋体"/>
          <w:b/>
          <w:color w:val="auto"/>
          <w:kern w:val="0"/>
          <w:sz w:val="24"/>
          <w:szCs w:val="24"/>
          <w:highlight w:val="none"/>
          <w:lang w:val="en-US" w:eastAsia="zh-CN"/>
        </w:rPr>
        <w:t>招标代理公司</w:t>
      </w:r>
      <w:r>
        <w:rPr>
          <w:rFonts w:hint="eastAsia" w:hAnsi="宋体" w:cs="宋体"/>
          <w:b/>
          <w:color w:val="auto"/>
          <w:kern w:val="0"/>
          <w:sz w:val="24"/>
          <w:szCs w:val="24"/>
          <w:highlight w:val="none"/>
        </w:rPr>
        <w:t>、采购人将只对供应商第一次质疑作出答复。</w:t>
      </w:r>
    </w:p>
    <w:p w14:paraId="2A6EFB04">
      <w:pPr>
        <w:snapToGrid w:val="0"/>
        <w:spacing w:line="480" w:lineRule="exact"/>
        <w:ind w:firstLine="480" w:firstLineChars="200"/>
        <w:rPr>
          <w:rFonts w:ascii="宋体" w:hAnsi="宋体"/>
          <w:color w:val="auto"/>
          <w:sz w:val="24"/>
          <w:szCs w:val="24"/>
          <w:highlight w:val="none"/>
        </w:rPr>
      </w:pPr>
      <w:r>
        <w:rPr>
          <w:rFonts w:hint="eastAsia"/>
          <w:color w:val="auto"/>
          <w:sz w:val="24"/>
          <w:szCs w:val="24"/>
          <w:highlight w:val="none"/>
          <w:lang w:val="en-US" w:eastAsia="zh-CN"/>
        </w:rPr>
        <w:t>32</w:t>
      </w:r>
      <w:r>
        <w:rPr>
          <w:rFonts w:hint="eastAsia" w:ascii="宋体" w:hAnsi="宋体"/>
          <w:color w:val="auto"/>
          <w:sz w:val="24"/>
          <w:szCs w:val="24"/>
          <w:highlight w:val="none"/>
        </w:rPr>
        <w:t>.</w:t>
      </w:r>
      <w:r>
        <w:rPr>
          <w:rFonts w:hint="eastAsia"/>
          <w:color w:val="auto"/>
          <w:sz w:val="24"/>
          <w:szCs w:val="24"/>
          <w:highlight w:val="none"/>
          <w:lang w:val="en-US" w:eastAsia="zh-CN"/>
        </w:rPr>
        <w:t>2.</w:t>
      </w:r>
      <w:r>
        <w:rPr>
          <w:rFonts w:hint="eastAsia" w:ascii="宋体" w:hAnsi="宋体"/>
          <w:color w:val="auto"/>
          <w:sz w:val="24"/>
          <w:szCs w:val="24"/>
          <w:highlight w:val="none"/>
        </w:rPr>
        <w:t>3质疑函必须按照本</w:t>
      </w:r>
      <w:r>
        <w:rPr>
          <w:rFonts w:hint="eastAsia"/>
          <w:color w:val="auto"/>
          <w:sz w:val="24"/>
          <w:szCs w:val="24"/>
          <w:highlight w:val="none"/>
          <w:lang w:eastAsia="zh-CN"/>
        </w:rPr>
        <w:t>磋商文件</w:t>
      </w:r>
      <w:r>
        <w:rPr>
          <w:rFonts w:hint="eastAsia" w:ascii="宋体" w:hAnsi="宋体"/>
          <w:color w:val="auto"/>
          <w:sz w:val="24"/>
          <w:szCs w:val="24"/>
          <w:highlight w:val="none"/>
        </w:rPr>
        <w:t>中《质疑函范本》要求的格式和内容进行填写。供应商如组成联合体参加投标，则《质疑函范本》中要求签字、盖章、加盖公章之处，联合体各方均须按要求签字、盖章、加盖公章。</w:t>
      </w:r>
    </w:p>
    <w:p w14:paraId="5B008063">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w:t>
      </w:r>
      <w:r>
        <w:rPr>
          <w:rFonts w:hint="eastAsia"/>
          <w:color w:val="auto"/>
          <w:sz w:val="24"/>
          <w:szCs w:val="24"/>
          <w:highlight w:val="none"/>
          <w:lang w:val="en-US" w:eastAsia="zh-CN"/>
        </w:rPr>
        <w:t>2.</w:t>
      </w:r>
      <w:r>
        <w:rPr>
          <w:rFonts w:hint="eastAsia" w:ascii="宋体" w:hAnsi="宋体"/>
          <w:color w:val="auto"/>
          <w:sz w:val="24"/>
          <w:szCs w:val="24"/>
          <w:highlight w:val="none"/>
        </w:rPr>
        <w:t>4 采购</w:t>
      </w:r>
      <w:r>
        <w:rPr>
          <w:rFonts w:hint="eastAsia"/>
          <w:color w:val="auto"/>
          <w:sz w:val="24"/>
          <w:szCs w:val="24"/>
          <w:highlight w:val="none"/>
          <w:lang w:val="en-US" w:eastAsia="zh-CN"/>
        </w:rPr>
        <w:t>代理机构</w:t>
      </w:r>
      <w:r>
        <w:rPr>
          <w:rFonts w:hint="eastAsia" w:ascii="宋体" w:hAnsi="宋体"/>
          <w:color w:val="auto"/>
          <w:sz w:val="24"/>
          <w:szCs w:val="24"/>
          <w:highlight w:val="none"/>
        </w:rPr>
        <w:t>只接收以</w:t>
      </w:r>
      <w:r>
        <w:rPr>
          <w:rFonts w:hint="eastAsia"/>
          <w:color w:val="auto"/>
          <w:sz w:val="24"/>
          <w:szCs w:val="24"/>
          <w:highlight w:val="none"/>
          <w:lang w:val="en-US" w:eastAsia="zh-CN"/>
        </w:rPr>
        <w:t>书面</w:t>
      </w:r>
      <w:r>
        <w:rPr>
          <w:rFonts w:hint="eastAsia" w:ascii="宋体" w:hAnsi="宋体"/>
          <w:color w:val="auto"/>
          <w:sz w:val="24"/>
          <w:szCs w:val="24"/>
          <w:highlight w:val="none"/>
        </w:rPr>
        <w:t>形式送达的质疑。</w:t>
      </w:r>
    </w:p>
    <w:p w14:paraId="43EC61A4">
      <w:pPr>
        <w:snapToGrid w:val="0"/>
        <w:spacing w:line="480" w:lineRule="exact"/>
        <w:ind w:firstLine="468" w:firstLineChars="195"/>
        <w:rPr>
          <w:rFonts w:hint="eastAsia"/>
          <w:color w:val="auto"/>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w:t>
      </w:r>
      <w:r>
        <w:rPr>
          <w:rFonts w:hint="eastAsia"/>
          <w:color w:val="auto"/>
          <w:sz w:val="24"/>
          <w:szCs w:val="24"/>
          <w:highlight w:val="none"/>
          <w:lang w:val="en-US" w:eastAsia="zh-CN"/>
        </w:rPr>
        <w:t>2.5</w:t>
      </w:r>
      <w:r>
        <w:rPr>
          <w:rFonts w:hint="eastAsia" w:ascii="宋体" w:hAnsi="宋体"/>
          <w:color w:val="auto"/>
          <w:sz w:val="24"/>
          <w:szCs w:val="24"/>
          <w:highlight w:val="none"/>
        </w:rPr>
        <w:t xml:space="preserve"> </w:t>
      </w:r>
      <w:r>
        <w:rPr>
          <w:rFonts w:hint="eastAsia" w:ascii="宋体" w:hAnsi="宋体"/>
          <w:b/>
          <w:color w:val="auto"/>
          <w:sz w:val="24"/>
          <w:szCs w:val="24"/>
          <w:highlight w:val="none"/>
        </w:rPr>
        <w:t>供应商提出书面质疑必须有理、有据，不得捏造事实、提供虚假材料进行恶意质疑。否则，一经查实，</w:t>
      </w:r>
      <w:r>
        <w:rPr>
          <w:rFonts w:hint="eastAsia"/>
          <w:b/>
          <w:color w:val="auto"/>
          <w:sz w:val="24"/>
          <w:szCs w:val="24"/>
          <w:highlight w:val="none"/>
          <w:lang w:val="en-US" w:eastAsia="zh-CN"/>
        </w:rPr>
        <w:t>招标代理公司</w:t>
      </w:r>
      <w:r>
        <w:rPr>
          <w:rFonts w:hint="eastAsia" w:ascii="宋体" w:hAnsi="宋体"/>
          <w:b/>
          <w:color w:val="auto"/>
          <w:sz w:val="24"/>
          <w:szCs w:val="24"/>
          <w:highlight w:val="none"/>
        </w:rPr>
        <w:t>有权依据政府采购的有关规定，报请政府采购监管部门对该供应商进行相应的行政处罚和记录该供应商的失信信息。</w:t>
      </w:r>
    </w:p>
    <w:p w14:paraId="70A19E1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 </w:t>
      </w:r>
      <w:r>
        <w:rPr>
          <w:rFonts w:hint="eastAsia" w:ascii="宋体" w:hAnsi="宋体" w:eastAsia="宋体" w:cs="宋体"/>
          <w:color w:val="auto"/>
          <w:sz w:val="24"/>
          <w:szCs w:val="24"/>
          <w:highlight w:val="none"/>
        </w:rPr>
        <w:t xml:space="preserve">投诉 </w:t>
      </w:r>
    </w:p>
    <w:p w14:paraId="491358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32.3.1 </w:t>
      </w:r>
      <w:r>
        <w:rPr>
          <w:rFonts w:hint="eastAsia" w:ascii="宋体" w:hAnsi="宋体" w:eastAsia="宋体" w:cs="宋体"/>
          <w:color w:val="auto"/>
          <w:sz w:val="24"/>
          <w:szCs w:val="24"/>
          <w:highlight w:val="none"/>
        </w:rPr>
        <w:t>质疑供应商对</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的答复不满意，或者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未在规定时间内作出答复的，可以在答复期满后十五个工作日内向同级财政部门提起投诉。 入不良行为记录名单，禁止其1至3年内参加政府采购活动： </w:t>
      </w:r>
    </w:p>
    <w:p w14:paraId="792ACE6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32.3.3.1 </w:t>
      </w:r>
      <w:r>
        <w:rPr>
          <w:rFonts w:hint="eastAsia" w:ascii="宋体" w:hAnsi="宋体" w:eastAsia="宋体" w:cs="宋体"/>
          <w:color w:val="auto"/>
          <w:sz w:val="24"/>
          <w:szCs w:val="24"/>
          <w:highlight w:val="none"/>
        </w:rPr>
        <w:t xml:space="preserve">捏造事实； </w:t>
      </w:r>
    </w:p>
    <w:p w14:paraId="5DEFE96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32.3.3.2 </w:t>
      </w:r>
      <w:r>
        <w:rPr>
          <w:rFonts w:hint="eastAsia" w:ascii="宋体" w:hAnsi="宋体" w:eastAsia="宋体" w:cs="宋体"/>
          <w:color w:val="auto"/>
          <w:sz w:val="24"/>
          <w:szCs w:val="24"/>
          <w:highlight w:val="none"/>
        </w:rPr>
        <w:t xml:space="preserve">提供虚假材料； </w:t>
      </w:r>
    </w:p>
    <w:p w14:paraId="1011BB5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32.3.3.3 </w:t>
      </w:r>
      <w:r>
        <w:rPr>
          <w:rFonts w:hint="eastAsia" w:ascii="宋体" w:hAnsi="宋体" w:eastAsia="宋体" w:cs="宋体"/>
          <w:color w:val="auto"/>
          <w:sz w:val="24"/>
          <w:szCs w:val="24"/>
          <w:highlight w:val="none"/>
        </w:rPr>
        <w:t xml:space="preserve">以非法手段取得证明材料。证据来源的合法性存在明显疑问，投诉人无法证明其取得方式合法的，视为以非法手段取得证明材料。 </w:t>
      </w:r>
    </w:p>
    <w:p w14:paraId="3E4D028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33 </w:t>
      </w:r>
      <w:r>
        <w:rPr>
          <w:rFonts w:hint="eastAsia" w:ascii="宋体" w:hAnsi="宋体" w:eastAsia="宋体" w:cs="宋体"/>
          <w:b/>
          <w:bCs/>
          <w:color w:val="auto"/>
          <w:sz w:val="24"/>
          <w:szCs w:val="24"/>
          <w:highlight w:val="none"/>
        </w:rPr>
        <w:t>特别说明</w:t>
      </w:r>
      <w:r>
        <w:rPr>
          <w:rFonts w:hint="eastAsia" w:ascii="宋体" w:hAnsi="宋体" w:eastAsia="宋体" w:cs="宋体"/>
          <w:color w:val="auto"/>
          <w:sz w:val="24"/>
          <w:szCs w:val="24"/>
          <w:highlight w:val="none"/>
        </w:rPr>
        <w:t xml:space="preserve"> </w:t>
      </w:r>
    </w:p>
    <w:p w14:paraId="18EB28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 </w:t>
      </w:r>
      <w:r>
        <w:rPr>
          <w:rFonts w:hint="eastAsia" w:ascii="宋体" w:hAnsi="宋体" w:eastAsia="宋体" w:cs="宋体"/>
          <w:color w:val="auto"/>
          <w:sz w:val="24"/>
          <w:szCs w:val="24"/>
          <w:highlight w:val="none"/>
        </w:rPr>
        <w:t xml:space="preserve">有下列情形之一的，视为供应商串通投标，其响应无效： </w:t>
      </w:r>
    </w:p>
    <w:p w14:paraId="3F961F3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33.1.1 </w:t>
      </w:r>
      <w:r>
        <w:rPr>
          <w:rFonts w:hint="eastAsia" w:ascii="宋体" w:hAnsi="宋体" w:eastAsia="宋体" w:cs="宋体"/>
          <w:color w:val="auto"/>
          <w:sz w:val="24"/>
          <w:szCs w:val="24"/>
          <w:highlight w:val="none"/>
        </w:rPr>
        <w:t xml:space="preserve">不同供应商的响应文件由同一单位或者个人编制； </w:t>
      </w:r>
    </w:p>
    <w:p w14:paraId="78C2B1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33.1.2 </w:t>
      </w:r>
      <w:r>
        <w:rPr>
          <w:rFonts w:hint="eastAsia" w:ascii="宋体" w:hAnsi="宋体" w:eastAsia="宋体" w:cs="宋体"/>
          <w:color w:val="auto"/>
          <w:sz w:val="24"/>
          <w:szCs w:val="24"/>
          <w:highlight w:val="none"/>
        </w:rPr>
        <w:t xml:space="preserve">不同供应商委托同一单位或者个人办理投标事宜； </w:t>
      </w:r>
    </w:p>
    <w:p w14:paraId="28F3E7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33.1.3 </w:t>
      </w:r>
      <w:r>
        <w:rPr>
          <w:rFonts w:hint="eastAsia" w:ascii="宋体" w:hAnsi="宋体" w:eastAsia="宋体" w:cs="宋体"/>
          <w:color w:val="auto"/>
          <w:sz w:val="24"/>
          <w:szCs w:val="24"/>
          <w:highlight w:val="none"/>
        </w:rPr>
        <w:t xml:space="preserve">不同供应商的响应文件载明的项目管理成员或者联系人员为同一人； </w:t>
      </w:r>
    </w:p>
    <w:p w14:paraId="4555E8E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33.1.4 </w:t>
      </w:r>
      <w:r>
        <w:rPr>
          <w:rFonts w:hint="eastAsia" w:ascii="宋体" w:hAnsi="宋体" w:eastAsia="宋体" w:cs="宋体"/>
          <w:color w:val="auto"/>
          <w:sz w:val="24"/>
          <w:szCs w:val="24"/>
          <w:highlight w:val="none"/>
        </w:rPr>
        <w:t xml:space="preserve">不同供应商的响应文件异常一致或者磋商报价呈规律性差异； </w:t>
      </w:r>
    </w:p>
    <w:p w14:paraId="6543387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33.1.5 </w:t>
      </w:r>
      <w:r>
        <w:rPr>
          <w:rFonts w:hint="eastAsia" w:ascii="宋体" w:hAnsi="宋体" w:eastAsia="宋体" w:cs="宋体"/>
          <w:color w:val="auto"/>
          <w:sz w:val="24"/>
          <w:szCs w:val="24"/>
          <w:highlight w:val="none"/>
        </w:rPr>
        <w:t xml:space="preserve">不同供应商的响应文件相互混装； </w:t>
      </w:r>
    </w:p>
    <w:p w14:paraId="4EB4092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33.1.6 </w:t>
      </w:r>
      <w:r>
        <w:rPr>
          <w:rFonts w:hint="eastAsia" w:ascii="宋体" w:hAnsi="宋体" w:eastAsia="宋体" w:cs="宋体"/>
          <w:color w:val="auto"/>
          <w:sz w:val="24"/>
          <w:szCs w:val="24"/>
          <w:highlight w:val="none"/>
        </w:rPr>
        <w:t xml:space="preserve">不同供应商的磋商保证金从同一单位或者个人的账户转出。 </w:t>
      </w:r>
    </w:p>
    <w:p w14:paraId="3655409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 </w:t>
      </w:r>
      <w:r>
        <w:rPr>
          <w:rFonts w:hint="eastAsia" w:ascii="宋体" w:hAnsi="宋体" w:eastAsia="宋体" w:cs="宋体"/>
          <w:color w:val="auto"/>
          <w:sz w:val="24"/>
          <w:szCs w:val="24"/>
          <w:highlight w:val="none"/>
        </w:rPr>
        <w:t xml:space="preserve">供应商存在下列情况之一的，其响应无效: </w:t>
      </w:r>
    </w:p>
    <w:p w14:paraId="30A821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33.2.1 </w:t>
      </w:r>
      <w:r>
        <w:rPr>
          <w:rFonts w:hint="eastAsia" w:ascii="宋体" w:hAnsi="宋体" w:eastAsia="宋体" w:cs="宋体"/>
          <w:color w:val="auto"/>
          <w:sz w:val="24"/>
          <w:szCs w:val="24"/>
          <w:highlight w:val="none"/>
        </w:rPr>
        <w:t xml:space="preserve">未按照磋商文件的规定提交磋商保证金的； </w:t>
      </w:r>
    </w:p>
    <w:p w14:paraId="494C371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33.2.2 </w:t>
      </w:r>
      <w:r>
        <w:rPr>
          <w:rFonts w:hint="eastAsia" w:ascii="宋体" w:hAnsi="宋体" w:eastAsia="宋体" w:cs="宋体"/>
          <w:color w:val="auto"/>
          <w:sz w:val="24"/>
          <w:szCs w:val="24"/>
          <w:highlight w:val="none"/>
        </w:rPr>
        <w:t xml:space="preserve">响应文件未按磋商文件要求签署、盖章及响应文件的份数、编制不符合磋商文件要求的； </w:t>
      </w:r>
    </w:p>
    <w:p w14:paraId="083339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33.2.3 </w:t>
      </w:r>
      <w:r>
        <w:rPr>
          <w:rFonts w:hint="eastAsia" w:ascii="宋体" w:hAnsi="宋体" w:eastAsia="宋体" w:cs="宋体"/>
          <w:color w:val="auto"/>
          <w:sz w:val="24"/>
          <w:szCs w:val="24"/>
          <w:highlight w:val="none"/>
        </w:rPr>
        <w:t xml:space="preserve">不具备磋商文件中规定的资格要求的； </w:t>
      </w:r>
    </w:p>
    <w:p w14:paraId="711408A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33.2.4 </w:t>
      </w:r>
      <w:r>
        <w:rPr>
          <w:rFonts w:hint="eastAsia" w:ascii="宋体" w:hAnsi="宋体" w:eastAsia="宋体" w:cs="宋体"/>
          <w:color w:val="auto"/>
          <w:sz w:val="24"/>
          <w:szCs w:val="24"/>
          <w:highlight w:val="none"/>
        </w:rPr>
        <w:t xml:space="preserve">报价超过磋商文件中规定的预算金额或者最高限价的； </w:t>
      </w:r>
    </w:p>
    <w:p w14:paraId="0138EF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33.2.5 </w:t>
      </w:r>
      <w:r>
        <w:rPr>
          <w:rFonts w:hint="eastAsia" w:ascii="宋体" w:hAnsi="宋体" w:eastAsia="宋体" w:cs="宋体"/>
          <w:color w:val="auto"/>
          <w:sz w:val="24"/>
          <w:szCs w:val="24"/>
          <w:highlight w:val="none"/>
        </w:rPr>
        <w:t xml:space="preserve">响应文件含有采购人不能接受的附加条件的； </w:t>
      </w:r>
    </w:p>
    <w:p w14:paraId="7BFDC18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33.2.6 </w:t>
      </w:r>
      <w:r>
        <w:rPr>
          <w:rFonts w:hint="eastAsia" w:ascii="宋体" w:hAnsi="宋体" w:eastAsia="宋体" w:cs="宋体"/>
          <w:color w:val="auto"/>
          <w:sz w:val="24"/>
          <w:szCs w:val="24"/>
          <w:highlight w:val="none"/>
        </w:rPr>
        <w:t>法律、法规和磋商文件规定的其他无效情形。</w:t>
      </w:r>
    </w:p>
    <w:p w14:paraId="18F69E50">
      <w:pPr>
        <w:pStyle w:val="7"/>
        <w:rPr>
          <w:rFonts w:hint="eastAsia" w:ascii="宋体" w:hAnsi="宋体" w:eastAsia="宋体" w:cs="宋体"/>
          <w:color w:val="auto"/>
          <w:sz w:val="24"/>
          <w:szCs w:val="24"/>
          <w:highlight w:val="none"/>
        </w:rPr>
      </w:pPr>
    </w:p>
    <w:p w14:paraId="535C6643">
      <w:pPr>
        <w:rPr>
          <w:rFonts w:hint="eastAsia" w:ascii="宋体" w:hAnsi="宋体" w:eastAsia="宋体" w:cs="宋体"/>
          <w:color w:val="auto"/>
          <w:sz w:val="24"/>
          <w:szCs w:val="24"/>
          <w:highlight w:val="none"/>
        </w:rPr>
      </w:pPr>
    </w:p>
    <w:p w14:paraId="10F52E4C">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308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授予合同</w:t>
      </w:r>
      <w:r>
        <w:rPr>
          <w:rFonts w:hint="eastAsia" w:ascii="宋体" w:hAnsi="宋体" w:eastAsia="宋体" w:cs="宋体"/>
          <w:color w:val="auto"/>
          <w:sz w:val="24"/>
          <w:szCs w:val="24"/>
          <w:highlight w:val="none"/>
        </w:rPr>
        <w:t xml:space="preserve"> </w:t>
      </w:r>
    </w:p>
    <w:p w14:paraId="23B81AA9">
      <w:pPr>
        <w:pStyle w:val="7"/>
        <w:numPr>
          <w:ilvl w:val="0"/>
          <w:numId w:val="0"/>
        </w:numPr>
        <w:ind w:left="3080" w:leftChars="0" w:right="0" w:rightChars="0"/>
        <w:rPr>
          <w:rFonts w:hint="eastAsia"/>
          <w:color w:val="auto"/>
          <w:highlight w:val="none"/>
        </w:rPr>
      </w:pPr>
    </w:p>
    <w:p w14:paraId="28937D40">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34 </w:t>
      </w:r>
      <w:r>
        <w:rPr>
          <w:rFonts w:hint="eastAsia" w:ascii="宋体" w:hAnsi="宋体" w:eastAsia="宋体" w:cs="宋体"/>
          <w:b/>
          <w:bCs/>
          <w:color w:val="auto"/>
          <w:sz w:val="24"/>
          <w:szCs w:val="24"/>
          <w:highlight w:val="none"/>
        </w:rPr>
        <w:t>合同的订立</w:t>
      </w:r>
      <w:r>
        <w:rPr>
          <w:rFonts w:hint="eastAsia" w:ascii="宋体" w:hAnsi="宋体" w:eastAsia="宋体" w:cs="宋体"/>
          <w:color w:val="auto"/>
          <w:sz w:val="24"/>
          <w:szCs w:val="24"/>
          <w:highlight w:val="none"/>
        </w:rPr>
        <w:t xml:space="preserve"> </w:t>
      </w:r>
    </w:p>
    <w:p w14:paraId="1405571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34.1 </w:t>
      </w:r>
      <w:r>
        <w:rPr>
          <w:rFonts w:hint="eastAsia" w:ascii="宋体" w:hAnsi="宋体" w:eastAsia="宋体" w:cs="宋体"/>
          <w:color w:val="auto"/>
          <w:sz w:val="24"/>
          <w:szCs w:val="24"/>
          <w:highlight w:val="none"/>
        </w:rPr>
        <w:t>采购人应当自</w:t>
      </w:r>
      <w:r>
        <w:rPr>
          <w:rFonts w:hint="eastAsia" w:cs="宋体"/>
          <w:color w:val="auto"/>
          <w:sz w:val="24"/>
          <w:szCs w:val="24"/>
          <w:highlight w:val="none"/>
          <w:lang w:eastAsia="zh-CN"/>
        </w:rPr>
        <w:t>中标通知书</w:t>
      </w:r>
      <w:r>
        <w:rPr>
          <w:rFonts w:hint="eastAsia" w:ascii="宋体" w:hAnsi="宋体" w:eastAsia="宋体" w:cs="宋体"/>
          <w:color w:val="auto"/>
          <w:sz w:val="24"/>
          <w:szCs w:val="24"/>
          <w:highlight w:val="none"/>
        </w:rPr>
        <w:t xml:space="preserve">发出之日起三十日内，按照磋商文件和成交供应商响应文件的约定，与成交供应商签订书面合同。所签订的合同不得对磋商文件和成交供应商响应文件作实质性修改。 </w:t>
      </w:r>
    </w:p>
    <w:p w14:paraId="410B49A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34.2 </w:t>
      </w:r>
      <w:r>
        <w:rPr>
          <w:rFonts w:hint="eastAsia" w:ascii="宋体" w:hAnsi="宋体" w:eastAsia="宋体" w:cs="宋体"/>
          <w:color w:val="auto"/>
          <w:sz w:val="24"/>
          <w:szCs w:val="24"/>
          <w:highlight w:val="none"/>
        </w:rPr>
        <w:t xml:space="preserve">采购人不得向成交供应商提出任何不合理的要求，作为签订合同的条件，不得与成交供应商私下订立背离合同实质性内容的协议。 </w:t>
      </w:r>
    </w:p>
    <w:p w14:paraId="469A152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34.3 </w:t>
      </w:r>
      <w:r>
        <w:rPr>
          <w:rFonts w:hint="eastAsia" w:ascii="宋体" w:hAnsi="宋体" w:eastAsia="宋体" w:cs="宋体"/>
          <w:color w:val="auto"/>
          <w:sz w:val="24"/>
          <w:szCs w:val="24"/>
          <w:highlight w:val="none"/>
        </w:rPr>
        <w:t xml:space="preserve">自政府采购合同签订之日起两个工作日内，采购人应将政府采购合同在省级以上人民政府财政部门指定的媒体上公告，但政府采购合同中涉及国家秘密、商业秘密的内容除外。 </w:t>
      </w:r>
    </w:p>
    <w:p w14:paraId="1B55E74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34.4 </w:t>
      </w:r>
      <w:r>
        <w:rPr>
          <w:rFonts w:hint="eastAsia" w:ascii="宋体" w:hAnsi="宋体" w:eastAsia="宋体" w:cs="宋体"/>
          <w:color w:val="auto"/>
          <w:sz w:val="24"/>
          <w:szCs w:val="24"/>
          <w:highlight w:val="none"/>
        </w:rPr>
        <w:t xml:space="preserve">政府采购合同签订之日起七个工作日内，采购人应将政府采购合同副本报同级监管部门备案和有关部门备案。 </w:t>
      </w:r>
    </w:p>
    <w:p w14:paraId="7A210B3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35 </w:t>
      </w:r>
      <w:r>
        <w:rPr>
          <w:rFonts w:hint="eastAsia" w:ascii="宋体" w:hAnsi="宋体" w:eastAsia="宋体" w:cs="宋体"/>
          <w:b/>
          <w:bCs/>
          <w:color w:val="auto"/>
          <w:sz w:val="24"/>
          <w:szCs w:val="24"/>
          <w:highlight w:val="none"/>
        </w:rPr>
        <w:t>合同的履行</w:t>
      </w:r>
      <w:r>
        <w:rPr>
          <w:rFonts w:hint="eastAsia" w:ascii="宋体" w:hAnsi="宋体" w:eastAsia="宋体" w:cs="宋体"/>
          <w:color w:val="auto"/>
          <w:sz w:val="24"/>
          <w:szCs w:val="24"/>
          <w:highlight w:val="none"/>
        </w:rPr>
        <w:t xml:space="preserve"> </w:t>
      </w:r>
    </w:p>
    <w:p w14:paraId="6BE3576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35.1 </w:t>
      </w:r>
      <w:r>
        <w:rPr>
          <w:rFonts w:hint="eastAsia" w:ascii="宋体" w:hAnsi="宋体" w:eastAsia="宋体" w:cs="宋体"/>
          <w:color w:val="auto"/>
          <w:sz w:val="24"/>
          <w:szCs w:val="24"/>
          <w:highlight w:val="none"/>
        </w:rPr>
        <w:t>政府采购合同订立后，合同各方不得擅自变更、中止或者终止合同。政府采购合同需要变更的，采购人应将有关合同变更内容，以书面形式报同级监管部门备案；因特殊情况需要中止或终止合同的， 采购人应将中止或终止合同的理由以及相应措施，以书面形式报同级监管部门备案。</w:t>
      </w:r>
    </w:p>
    <w:p w14:paraId="2E59F6D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35.2 </w:t>
      </w:r>
      <w:r>
        <w:rPr>
          <w:rFonts w:hint="eastAsia" w:ascii="宋体" w:hAnsi="宋体" w:eastAsia="宋体" w:cs="宋体"/>
          <w:color w:val="auto"/>
          <w:sz w:val="24"/>
          <w:szCs w:val="24"/>
          <w:highlight w:val="none"/>
        </w:rPr>
        <w:t xml:space="preserve">政府采购合同履行中，采购人需追加与合同标的相同的货物、工程或者服务的，在不改变合同其他条款的前提下，可以与供应商签订补充合同，但所有补充合同的采购金额不得超过原合同采购金额的百分之十。签订补充合同的必须按规定备案。 </w:t>
      </w:r>
    </w:p>
    <w:p w14:paraId="1E5077D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35.3 </w:t>
      </w:r>
      <w:r>
        <w:rPr>
          <w:rFonts w:hint="eastAsia" w:ascii="宋体" w:hAnsi="宋体" w:eastAsia="宋体" w:cs="宋体"/>
          <w:color w:val="auto"/>
          <w:sz w:val="24"/>
          <w:szCs w:val="24"/>
          <w:highlight w:val="none"/>
        </w:rPr>
        <w:t xml:space="preserve">成交供应商如为依据《政府采购促进中小企业发展管理办法》规定享受扶持政策获得政府采购合同的，小微企业不得将合同分包给大中型企业，中型企业不得将合同分包给大型企业。 </w:t>
      </w:r>
    </w:p>
    <w:p w14:paraId="07769716">
      <w:pPr>
        <w:pStyle w:val="7"/>
        <w:rPr>
          <w:rFonts w:hint="eastAsia"/>
          <w:color w:val="auto"/>
          <w:highlight w:val="none"/>
        </w:rPr>
      </w:pPr>
    </w:p>
    <w:p w14:paraId="1D9BA49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36 </w:t>
      </w:r>
      <w:r>
        <w:rPr>
          <w:rFonts w:hint="eastAsia" w:ascii="宋体" w:hAnsi="宋体" w:eastAsia="宋体" w:cs="宋体"/>
          <w:b/>
          <w:bCs/>
          <w:color w:val="auto"/>
          <w:sz w:val="24"/>
          <w:szCs w:val="24"/>
          <w:highlight w:val="none"/>
        </w:rPr>
        <w:t>验收</w:t>
      </w:r>
      <w:r>
        <w:rPr>
          <w:rFonts w:hint="eastAsia" w:ascii="宋体" w:hAnsi="宋体" w:eastAsia="宋体" w:cs="宋体"/>
          <w:color w:val="auto"/>
          <w:sz w:val="24"/>
          <w:szCs w:val="24"/>
          <w:highlight w:val="none"/>
        </w:rPr>
        <w:t xml:space="preserve"> </w:t>
      </w:r>
    </w:p>
    <w:p w14:paraId="31F83D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36.1 </w:t>
      </w:r>
      <w:r>
        <w:rPr>
          <w:rFonts w:hint="eastAsia" w:ascii="宋体" w:hAnsi="宋体" w:eastAsia="宋体" w:cs="宋体"/>
          <w:color w:val="auto"/>
          <w:sz w:val="24"/>
          <w:szCs w:val="24"/>
          <w:highlight w:val="none"/>
        </w:rPr>
        <w:t xml:space="preserve">采购人应当及时对采购项目进行验收。采购人可以邀请参加本项目的其他供应商或者第三方机构参与验收。参与验收的供应商或者第三方机构的意见作为验收书的参考资料一并存档。 </w:t>
      </w:r>
    </w:p>
    <w:p w14:paraId="450373C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36.2 </w:t>
      </w:r>
      <w:r>
        <w:rPr>
          <w:rFonts w:hint="eastAsia" w:ascii="宋体" w:hAnsi="宋体" w:eastAsia="宋体" w:cs="宋体"/>
          <w:color w:val="auto"/>
          <w:sz w:val="24"/>
          <w:szCs w:val="24"/>
          <w:highlight w:val="none"/>
        </w:rPr>
        <w:t>在验收时，供应商应向采购人提供</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的相关资料，按采购人提出的方式验收。 </w:t>
      </w:r>
    </w:p>
    <w:p w14:paraId="7B120B6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36.3 </w:t>
      </w:r>
      <w:r>
        <w:rPr>
          <w:rFonts w:hint="eastAsia" w:ascii="宋体" w:hAnsi="宋体" w:eastAsia="宋体" w:cs="宋体"/>
          <w:color w:val="auto"/>
          <w:sz w:val="24"/>
          <w:szCs w:val="24"/>
          <w:highlight w:val="none"/>
        </w:rPr>
        <w:t>由采购人对</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的质量、规格和数量及其他进行检验。如发现质量、规格和数量等任何一项与磋商文件要求规定不符，采购人有权拒绝接受。 </w:t>
      </w:r>
    </w:p>
    <w:p w14:paraId="426562F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36.4 </w:t>
      </w:r>
      <w:r>
        <w:rPr>
          <w:rFonts w:hint="eastAsia" w:ascii="宋体" w:hAnsi="宋体" w:eastAsia="宋体" w:cs="宋体"/>
          <w:color w:val="auto"/>
          <w:sz w:val="24"/>
          <w:szCs w:val="24"/>
          <w:highlight w:val="none"/>
        </w:rPr>
        <w:t>采购人应当加强对成交供应商的履约管理，并按照采购合同约定，及时向成交供应商支付采购资金。对于成交供应商违反采购合同约定的行为，采购人应当及时处理，依法追究其违约责任。</w:t>
      </w:r>
    </w:p>
    <w:p w14:paraId="708FED09">
      <w:pPr>
        <w:rPr>
          <w:rFonts w:hint="eastAsia"/>
          <w:color w:val="auto"/>
          <w:highlight w:val="none"/>
          <w:lang w:val="zh-CN" w:eastAsia="zh-CN"/>
        </w:rPr>
      </w:pPr>
    </w:p>
    <w:p w14:paraId="6BCEA5A5">
      <w:pPr>
        <w:rPr>
          <w:rFonts w:hint="eastAsia"/>
          <w:color w:val="auto"/>
          <w:highlight w:val="none"/>
          <w:lang w:val="zh-CN" w:eastAsia="zh-CN"/>
        </w:rPr>
      </w:pPr>
    </w:p>
    <w:p w14:paraId="1DD6B360">
      <w:pPr>
        <w:pStyle w:val="7"/>
        <w:ind w:firstLine="1405" w:firstLineChars="500"/>
        <w:rPr>
          <w:rFonts w:hint="eastAsia" w:ascii="宋体" w:hAnsi="宋体" w:eastAsia="宋体" w:cs="宋体"/>
          <w:b/>
          <w:bCs/>
          <w:color w:val="auto"/>
          <w:sz w:val="28"/>
          <w:szCs w:val="28"/>
          <w:highlight w:val="none"/>
          <w:lang w:val="en-US" w:eastAsia="zh-CN"/>
        </w:rPr>
      </w:pPr>
    </w:p>
    <w:p w14:paraId="5BFF31A5">
      <w:pPr>
        <w:pStyle w:val="7"/>
        <w:ind w:firstLine="1405" w:firstLineChars="500"/>
        <w:rPr>
          <w:rFonts w:hint="eastAsia"/>
          <w:color w:val="auto"/>
          <w:highlight w:val="none"/>
          <w:lang w:val="zh-CN" w:eastAsia="zh-CN"/>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评</w:t>
      </w:r>
      <w:r>
        <w:rPr>
          <w:rFonts w:hint="eastAsia" w:ascii="宋体" w:hAnsi="宋体" w:eastAsia="宋体" w:cs="宋体"/>
          <w:b/>
          <w:bCs/>
          <w:color w:val="auto"/>
          <w:sz w:val="28"/>
          <w:szCs w:val="28"/>
          <w:highlight w:val="none"/>
          <w:lang w:val="en-US" w:eastAsia="zh-CN"/>
        </w:rPr>
        <w:t>审</w:t>
      </w:r>
      <w:r>
        <w:rPr>
          <w:rFonts w:hint="eastAsia" w:ascii="宋体" w:hAnsi="宋体" w:eastAsia="宋体" w:cs="宋体"/>
          <w:b/>
          <w:bCs/>
          <w:color w:val="auto"/>
          <w:sz w:val="28"/>
          <w:szCs w:val="28"/>
          <w:highlight w:val="none"/>
        </w:rPr>
        <w:t>标准</w:t>
      </w:r>
    </w:p>
    <w:p w14:paraId="4AF39D38">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left"/>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bidi="zh-CN"/>
        </w:rPr>
        <w:t>3</w:t>
      </w:r>
      <w:r>
        <w:rPr>
          <w:rFonts w:hint="eastAsia" w:cs="宋体"/>
          <w:b/>
          <w:bCs/>
          <w:color w:val="auto"/>
          <w:sz w:val="30"/>
          <w:szCs w:val="30"/>
          <w:highlight w:val="none"/>
          <w:lang w:val="en-US" w:eastAsia="zh-CN" w:bidi="zh-CN"/>
        </w:rPr>
        <w:t>7</w:t>
      </w:r>
      <w:r>
        <w:rPr>
          <w:rFonts w:hint="eastAsia" w:ascii="宋体" w:hAnsi="宋体" w:eastAsia="宋体" w:cs="宋体"/>
          <w:b/>
          <w:bCs/>
          <w:color w:val="auto"/>
          <w:sz w:val="30"/>
          <w:szCs w:val="30"/>
          <w:highlight w:val="none"/>
          <w:lang w:val="en-US" w:eastAsia="zh-CN" w:bidi="zh-CN"/>
        </w:rPr>
        <w:t xml:space="preserve"> </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资格</w:t>
      </w:r>
      <w:r>
        <w:rPr>
          <w:rFonts w:hint="eastAsia" w:cs="宋体"/>
          <w:b/>
          <w:bCs/>
          <w:color w:val="auto"/>
          <w:sz w:val="30"/>
          <w:szCs w:val="30"/>
          <w:highlight w:val="none"/>
          <w:lang w:val="en-US" w:eastAsia="zh-CN"/>
        </w:rPr>
        <w:t>性</w:t>
      </w:r>
      <w:r>
        <w:rPr>
          <w:rFonts w:hint="eastAsia" w:ascii="宋体" w:hAnsi="宋体" w:eastAsia="宋体" w:cs="宋体"/>
          <w:b/>
          <w:bCs/>
          <w:color w:val="auto"/>
          <w:sz w:val="30"/>
          <w:szCs w:val="30"/>
          <w:highlight w:val="none"/>
        </w:rPr>
        <w:t xml:space="preserve">审查表 </w:t>
      </w:r>
    </w:p>
    <w:tbl>
      <w:tblPr>
        <w:tblStyle w:val="20"/>
        <w:tblpPr w:leftFromText="180" w:rightFromText="180" w:vertAnchor="text" w:horzAnchor="page" w:tblpXSpec="center" w:tblpY="286"/>
        <w:tblOverlap w:val="never"/>
        <w:tblW w:w="54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1041"/>
        <w:gridCol w:w="4507"/>
        <w:gridCol w:w="4123"/>
        <w:gridCol w:w="673"/>
        <w:gridCol w:w="666"/>
      </w:tblGrid>
      <w:tr w14:paraId="59FA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restart"/>
            <w:shd w:val="clear" w:color="auto" w:fill="FFFFFF"/>
            <w:noWrap w:val="0"/>
            <w:vAlign w:val="center"/>
          </w:tcPr>
          <w:p w14:paraId="2D3420D5">
            <w:pPr>
              <w:pStyle w:val="59"/>
              <w:keepNext w:val="0"/>
              <w:keepLines w:val="0"/>
              <w:pageBreakBefore w:val="0"/>
              <w:kinsoku/>
              <w:wordWrap/>
              <w:overflowPunct/>
              <w:topLinePunct w:val="0"/>
              <w:autoSpaceDE/>
              <w:autoSpaceDN/>
              <w:bidi w:val="0"/>
              <w:snapToGrid/>
              <w:spacing w:line="48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类型</w:t>
            </w:r>
          </w:p>
        </w:tc>
        <w:tc>
          <w:tcPr>
            <w:tcW w:w="2046" w:type="pct"/>
            <w:vMerge w:val="restart"/>
            <w:shd w:val="clear" w:color="auto" w:fill="FFFFFF"/>
            <w:noWrap w:val="0"/>
            <w:vAlign w:val="center"/>
          </w:tcPr>
          <w:p w14:paraId="6A69E7E7">
            <w:pPr>
              <w:pStyle w:val="59"/>
              <w:keepNext w:val="0"/>
              <w:keepLines w:val="0"/>
              <w:pageBreakBefore w:val="0"/>
              <w:kinsoku/>
              <w:wordWrap/>
              <w:overflowPunct/>
              <w:topLinePunct w:val="0"/>
              <w:autoSpaceDE/>
              <w:autoSpaceDN/>
              <w:bidi w:val="0"/>
              <w:snapToGrid/>
              <w:spacing w:line="48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审查要求</w:t>
            </w:r>
          </w:p>
        </w:tc>
        <w:tc>
          <w:tcPr>
            <w:tcW w:w="1872" w:type="pct"/>
            <w:vMerge w:val="restart"/>
            <w:shd w:val="clear" w:color="auto" w:fill="FFFFFF"/>
            <w:noWrap w:val="0"/>
            <w:vAlign w:val="center"/>
          </w:tcPr>
          <w:p w14:paraId="1E0C1146">
            <w:pPr>
              <w:pStyle w:val="59"/>
              <w:keepNext w:val="0"/>
              <w:keepLines w:val="0"/>
              <w:pageBreakBefore w:val="0"/>
              <w:kinsoku/>
              <w:wordWrap/>
              <w:overflowPunct/>
              <w:topLinePunct w:val="0"/>
              <w:autoSpaceDE/>
              <w:autoSpaceDN/>
              <w:bidi w:val="0"/>
              <w:snapToGrid/>
              <w:spacing w:line="48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要求说明</w:t>
            </w:r>
          </w:p>
        </w:tc>
        <w:tc>
          <w:tcPr>
            <w:tcW w:w="608" w:type="pct"/>
            <w:gridSpan w:val="2"/>
            <w:shd w:val="clear" w:color="auto" w:fill="FFFFFF"/>
            <w:noWrap w:val="0"/>
            <w:vAlign w:val="center"/>
          </w:tcPr>
          <w:p w14:paraId="70E5AE95">
            <w:pPr>
              <w:pStyle w:val="59"/>
              <w:keepNext w:val="0"/>
              <w:keepLines w:val="0"/>
              <w:pageBreakBefore w:val="0"/>
              <w:kinsoku/>
              <w:wordWrap/>
              <w:overflowPunct/>
              <w:topLinePunct w:val="0"/>
              <w:autoSpaceDE/>
              <w:autoSpaceDN/>
              <w:bidi w:val="0"/>
              <w:snapToGrid/>
              <w:spacing w:line="48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评审意见</w:t>
            </w:r>
          </w:p>
        </w:tc>
      </w:tr>
      <w:tr w14:paraId="51F2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25" w:hRule="atLeast"/>
        </w:trPr>
        <w:tc>
          <w:tcPr>
            <w:tcW w:w="472" w:type="pct"/>
            <w:vMerge w:val="continue"/>
            <w:shd w:val="clear" w:color="auto" w:fill="FFFDFA"/>
            <w:noWrap w:val="0"/>
            <w:vAlign w:val="center"/>
          </w:tcPr>
          <w:p w14:paraId="1D825071">
            <w:pPr>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2046" w:type="pct"/>
            <w:vMerge w:val="continue"/>
            <w:shd w:val="clear" w:color="auto" w:fill="FFFDFA"/>
            <w:noWrap w:val="0"/>
            <w:vAlign w:val="center"/>
          </w:tcPr>
          <w:p w14:paraId="34662A58">
            <w:pPr>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1872" w:type="pct"/>
            <w:vMerge w:val="continue"/>
            <w:shd w:val="clear" w:color="auto" w:fill="FFFDFA"/>
            <w:noWrap w:val="0"/>
            <w:vAlign w:val="center"/>
          </w:tcPr>
          <w:p w14:paraId="34989412">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lang w:val="en-US" w:eastAsia="zh-CN" w:bidi="ar-SA"/>
              </w:rPr>
            </w:pPr>
          </w:p>
        </w:tc>
        <w:tc>
          <w:tcPr>
            <w:tcW w:w="305" w:type="pct"/>
            <w:shd w:val="clear" w:color="auto" w:fill="FFFDFA"/>
            <w:noWrap w:val="0"/>
            <w:vAlign w:val="center"/>
          </w:tcPr>
          <w:p w14:paraId="0375E83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符合</w:t>
            </w:r>
          </w:p>
        </w:tc>
        <w:tc>
          <w:tcPr>
            <w:tcW w:w="302" w:type="pct"/>
            <w:shd w:val="clear" w:color="auto" w:fill="FFFDFA"/>
            <w:noWrap w:val="0"/>
            <w:vAlign w:val="center"/>
          </w:tcPr>
          <w:p w14:paraId="456103D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不符合</w:t>
            </w:r>
          </w:p>
        </w:tc>
      </w:tr>
      <w:tr w14:paraId="2FE1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restart"/>
            <w:shd w:val="clear" w:color="auto" w:fill="FFFFFF"/>
            <w:noWrap w:val="0"/>
            <w:vAlign w:val="center"/>
          </w:tcPr>
          <w:p w14:paraId="505CCBDC">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基本资质</w:t>
            </w:r>
          </w:p>
        </w:tc>
        <w:tc>
          <w:tcPr>
            <w:tcW w:w="2046" w:type="pct"/>
            <w:vMerge w:val="restart"/>
            <w:shd w:val="clear" w:color="auto" w:fill="FFFFFF"/>
            <w:noWrap w:val="0"/>
            <w:vAlign w:val="center"/>
          </w:tcPr>
          <w:p w14:paraId="35651D4D">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highlight w:val="yellow"/>
                <w:lang w:val="en-US" w:eastAsia="zh-CN" w:bidi="ar-SA"/>
              </w:rPr>
            </w:pPr>
            <w:r>
              <w:rPr>
                <w:rFonts w:hint="eastAsia" w:ascii="宋体" w:hAnsi="宋体" w:eastAsia="宋体" w:cs="宋体"/>
                <w:spacing w:val="-2"/>
                <w:sz w:val="21"/>
                <w:szCs w:val="21"/>
                <w:lang w:val="en-US" w:eastAsia="zh-CN" w:bidi="ar-SA"/>
              </w:rPr>
              <w:t>符合中华人民共和国政府采购法第二十二条规定</w:t>
            </w:r>
          </w:p>
        </w:tc>
        <w:tc>
          <w:tcPr>
            <w:tcW w:w="1872" w:type="pct"/>
            <w:shd w:val="clear" w:color="auto" w:fill="FFFFFF"/>
            <w:noWrap w:val="0"/>
            <w:vAlign w:val="center"/>
          </w:tcPr>
          <w:p w14:paraId="033DAC31">
            <w:pPr>
              <w:keepNext w:val="0"/>
              <w:keepLines w:val="0"/>
              <w:pageBreakBefore w:val="0"/>
              <w:widowControl/>
              <w:kinsoku/>
              <w:wordWrap/>
              <w:overflowPunct/>
              <w:topLinePunct w:val="0"/>
              <w:bidi w:val="0"/>
              <w:adjustRightInd/>
              <w:snapToGrid/>
              <w:spacing w:line="300" w:lineRule="exact"/>
              <w:ind w:left="0" w:leftChars="0" w:right="0" w:rightChars="0"/>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具有独立承担民事责任的能力，须提供相关证明材料，详见响应文件格式。</w:t>
            </w:r>
          </w:p>
        </w:tc>
        <w:tc>
          <w:tcPr>
            <w:tcW w:w="305" w:type="pct"/>
            <w:shd w:val="clear" w:color="auto" w:fill="FFFFFF"/>
            <w:noWrap w:val="0"/>
            <w:vAlign w:val="center"/>
          </w:tcPr>
          <w:p w14:paraId="417C0247">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034D136F">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3D3A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continue"/>
            <w:shd w:val="clear" w:color="auto" w:fill="FFFFFF"/>
            <w:noWrap w:val="0"/>
            <w:vAlign w:val="center"/>
          </w:tcPr>
          <w:p w14:paraId="04F9D98B">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p>
        </w:tc>
        <w:tc>
          <w:tcPr>
            <w:tcW w:w="2046" w:type="pct"/>
            <w:vMerge w:val="continue"/>
            <w:shd w:val="clear" w:color="auto" w:fill="FFFFFF"/>
            <w:noWrap w:val="0"/>
            <w:vAlign w:val="center"/>
          </w:tcPr>
          <w:p w14:paraId="7F0BCF26">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4"/>
                <w:szCs w:val="24"/>
                <w:lang w:val="en-US" w:eastAsia="zh-CN" w:bidi="ar-SA"/>
              </w:rPr>
            </w:pPr>
          </w:p>
        </w:tc>
        <w:tc>
          <w:tcPr>
            <w:tcW w:w="1872" w:type="pct"/>
            <w:shd w:val="clear" w:color="auto" w:fill="FFFFFF"/>
            <w:noWrap w:val="0"/>
            <w:vAlign w:val="center"/>
          </w:tcPr>
          <w:p w14:paraId="15A21375">
            <w:pPr>
              <w:keepNext w:val="0"/>
              <w:keepLines w:val="0"/>
              <w:pageBreakBefore w:val="0"/>
              <w:widowControl/>
              <w:kinsoku/>
              <w:wordWrap/>
              <w:overflowPunct/>
              <w:topLinePunct w:val="0"/>
              <w:bidi w:val="0"/>
              <w:adjustRightInd/>
              <w:snapToGrid/>
              <w:spacing w:line="300" w:lineRule="exact"/>
              <w:ind w:left="0" w:leftChars="0" w:right="0" w:rightChars="0"/>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具有良好的商业信誉和健全的财务会计制度，须提供相关证明材料，详见响应文件格式。</w:t>
            </w:r>
          </w:p>
        </w:tc>
        <w:tc>
          <w:tcPr>
            <w:tcW w:w="305" w:type="pct"/>
            <w:shd w:val="clear" w:color="auto" w:fill="FFFFFF"/>
            <w:noWrap w:val="0"/>
            <w:vAlign w:val="center"/>
          </w:tcPr>
          <w:p w14:paraId="638123B0">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75E0C61E">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62C5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continue"/>
            <w:shd w:val="clear" w:color="auto" w:fill="FFFFFF"/>
            <w:noWrap w:val="0"/>
            <w:vAlign w:val="center"/>
          </w:tcPr>
          <w:p w14:paraId="4AD3EDD3">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p>
        </w:tc>
        <w:tc>
          <w:tcPr>
            <w:tcW w:w="2046" w:type="pct"/>
            <w:vMerge w:val="continue"/>
            <w:shd w:val="clear" w:color="auto" w:fill="FFFFFF"/>
            <w:noWrap w:val="0"/>
            <w:vAlign w:val="center"/>
          </w:tcPr>
          <w:p w14:paraId="793738E9">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4"/>
                <w:szCs w:val="24"/>
                <w:lang w:val="en-US" w:eastAsia="zh-CN" w:bidi="ar-SA"/>
              </w:rPr>
            </w:pPr>
          </w:p>
        </w:tc>
        <w:tc>
          <w:tcPr>
            <w:tcW w:w="1872" w:type="pct"/>
            <w:shd w:val="clear" w:color="auto" w:fill="FFFFFF"/>
            <w:noWrap w:val="0"/>
            <w:vAlign w:val="center"/>
          </w:tcPr>
          <w:p w14:paraId="054342DC">
            <w:pPr>
              <w:keepNext w:val="0"/>
              <w:keepLines w:val="0"/>
              <w:pageBreakBefore w:val="0"/>
              <w:widowControl/>
              <w:kinsoku/>
              <w:wordWrap/>
              <w:overflowPunct/>
              <w:topLinePunct w:val="0"/>
              <w:bidi w:val="0"/>
              <w:adjustRightInd/>
              <w:snapToGrid/>
              <w:spacing w:line="300" w:lineRule="exact"/>
              <w:ind w:left="0" w:leftChars="0" w:right="0" w:rightChars="0"/>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zh-CN" w:eastAsia="zh-CN" w:bidi="ar-SA"/>
              </w:rPr>
              <w:t>具有履行合同所必须的设备和专业技术能力，</w:t>
            </w:r>
            <w:r>
              <w:rPr>
                <w:rFonts w:hint="eastAsia" w:ascii="宋体" w:hAnsi="宋体" w:eastAsia="宋体" w:cs="宋体"/>
                <w:spacing w:val="-2"/>
                <w:sz w:val="21"/>
                <w:szCs w:val="21"/>
                <w:lang w:val="en-US" w:eastAsia="zh-CN" w:bidi="ar-SA"/>
              </w:rPr>
              <w:t>须提供相关证明材料，详见响应文件格式。</w:t>
            </w:r>
          </w:p>
        </w:tc>
        <w:tc>
          <w:tcPr>
            <w:tcW w:w="305" w:type="pct"/>
            <w:shd w:val="clear" w:color="auto" w:fill="FFFFFF"/>
            <w:noWrap w:val="0"/>
            <w:vAlign w:val="center"/>
          </w:tcPr>
          <w:p w14:paraId="199D8FDD">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7F941350">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1449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continue"/>
            <w:shd w:val="clear" w:color="auto" w:fill="FFFFFF"/>
            <w:noWrap w:val="0"/>
            <w:vAlign w:val="center"/>
          </w:tcPr>
          <w:p w14:paraId="32E681A7">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p>
        </w:tc>
        <w:tc>
          <w:tcPr>
            <w:tcW w:w="2046" w:type="pct"/>
            <w:vMerge w:val="continue"/>
            <w:shd w:val="clear" w:color="auto" w:fill="FFFFFF"/>
            <w:noWrap w:val="0"/>
            <w:vAlign w:val="center"/>
          </w:tcPr>
          <w:p w14:paraId="53293740">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4"/>
                <w:szCs w:val="24"/>
                <w:lang w:val="en-US" w:eastAsia="zh-CN" w:bidi="ar-SA"/>
              </w:rPr>
            </w:pPr>
          </w:p>
        </w:tc>
        <w:tc>
          <w:tcPr>
            <w:tcW w:w="1872" w:type="pct"/>
            <w:shd w:val="clear" w:color="auto" w:fill="FFFFFF"/>
            <w:noWrap w:val="0"/>
            <w:vAlign w:val="center"/>
          </w:tcPr>
          <w:p w14:paraId="76C27FE4">
            <w:pPr>
              <w:keepNext w:val="0"/>
              <w:keepLines w:val="0"/>
              <w:pageBreakBefore w:val="0"/>
              <w:widowControl/>
              <w:kinsoku/>
              <w:wordWrap/>
              <w:overflowPunct/>
              <w:topLinePunct w:val="0"/>
              <w:bidi w:val="0"/>
              <w:adjustRightInd/>
              <w:snapToGrid/>
              <w:spacing w:line="300" w:lineRule="exact"/>
              <w:ind w:left="0" w:leftChars="0" w:right="0" w:rightChars="0"/>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zh-CN" w:eastAsia="zh-CN" w:bidi="ar-SA"/>
              </w:rPr>
              <w:t>有依法缴纳税收和社会保障金的良好记录，</w:t>
            </w:r>
            <w:r>
              <w:rPr>
                <w:rFonts w:hint="eastAsia" w:ascii="宋体" w:hAnsi="宋体" w:eastAsia="宋体" w:cs="宋体"/>
                <w:spacing w:val="-2"/>
                <w:sz w:val="21"/>
                <w:szCs w:val="21"/>
                <w:lang w:val="en-US" w:eastAsia="zh-CN" w:bidi="ar-SA"/>
              </w:rPr>
              <w:t>须提供相关证明材料，详见响应文件格式。</w:t>
            </w:r>
          </w:p>
        </w:tc>
        <w:tc>
          <w:tcPr>
            <w:tcW w:w="305" w:type="pct"/>
            <w:shd w:val="clear" w:color="auto" w:fill="FFFFFF"/>
            <w:noWrap w:val="0"/>
            <w:vAlign w:val="center"/>
          </w:tcPr>
          <w:p w14:paraId="4AA2523A">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7201C0E8">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6A93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continue"/>
            <w:shd w:val="clear" w:color="auto" w:fill="FFFFFF"/>
            <w:noWrap w:val="0"/>
            <w:vAlign w:val="center"/>
          </w:tcPr>
          <w:p w14:paraId="55E8E69A">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p>
        </w:tc>
        <w:tc>
          <w:tcPr>
            <w:tcW w:w="2046" w:type="pct"/>
            <w:vMerge w:val="continue"/>
            <w:shd w:val="clear" w:color="auto" w:fill="FFFFFF"/>
            <w:noWrap w:val="0"/>
            <w:vAlign w:val="center"/>
          </w:tcPr>
          <w:p w14:paraId="69DAEF44">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highlight w:val="yellow"/>
                <w:lang w:val="en-US" w:eastAsia="zh-CN" w:bidi="ar-SA"/>
              </w:rPr>
            </w:pPr>
          </w:p>
        </w:tc>
        <w:tc>
          <w:tcPr>
            <w:tcW w:w="1872" w:type="pct"/>
            <w:shd w:val="clear" w:color="auto" w:fill="FFFFFF"/>
            <w:noWrap w:val="0"/>
            <w:vAlign w:val="center"/>
          </w:tcPr>
          <w:p w14:paraId="3FB2E686">
            <w:pPr>
              <w:keepNext w:val="0"/>
              <w:keepLines w:val="0"/>
              <w:pageBreakBefore w:val="0"/>
              <w:widowControl/>
              <w:kinsoku/>
              <w:wordWrap/>
              <w:overflowPunct/>
              <w:topLinePunct w:val="0"/>
              <w:bidi w:val="0"/>
              <w:adjustRightInd/>
              <w:snapToGrid/>
              <w:spacing w:line="300" w:lineRule="exact"/>
              <w:ind w:left="0" w:leftChars="0" w:right="0" w:rightChars="0"/>
              <w:jc w:val="lef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zh-CN" w:eastAsia="zh-CN" w:bidi="ar-SA"/>
              </w:rPr>
              <w:t>参加政府采购活动近3年内，在经营活动中没有重大违法记录，</w:t>
            </w:r>
            <w:r>
              <w:rPr>
                <w:rFonts w:hint="eastAsia" w:ascii="宋体" w:hAnsi="宋体" w:eastAsia="宋体" w:cs="宋体"/>
                <w:spacing w:val="-2"/>
                <w:sz w:val="21"/>
                <w:szCs w:val="21"/>
                <w:lang w:val="en-US" w:eastAsia="zh-CN" w:bidi="ar-SA"/>
              </w:rPr>
              <w:t>须提供相关证明材料，详见响应文件格式。</w:t>
            </w:r>
          </w:p>
        </w:tc>
        <w:tc>
          <w:tcPr>
            <w:tcW w:w="305" w:type="pct"/>
            <w:shd w:val="clear" w:color="auto" w:fill="FFFFFF"/>
            <w:noWrap w:val="0"/>
            <w:vAlign w:val="center"/>
          </w:tcPr>
          <w:p w14:paraId="4061F53D">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3036A227">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3CC9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075" w:hRule="atLeast"/>
        </w:trPr>
        <w:tc>
          <w:tcPr>
            <w:tcW w:w="472" w:type="pct"/>
            <w:shd w:val="clear" w:color="auto" w:fill="FFFDFA"/>
            <w:noWrap w:val="0"/>
            <w:vAlign w:val="center"/>
          </w:tcPr>
          <w:p w14:paraId="6A699847">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采购政策</w:t>
            </w:r>
          </w:p>
        </w:tc>
        <w:tc>
          <w:tcPr>
            <w:tcW w:w="2046" w:type="pct"/>
            <w:shd w:val="clear" w:color="auto" w:fill="FFFDFA"/>
            <w:noWrap w:val="0"/>
            <w:vAlign w:val="center"/>
          </w:tcPr>
          <w:p w14:paraId="367DCE93">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本项目专门面向为中小企业</w:t>
            </w:r>
          </w:p>
        </w:tc>
        <w:tc>
          <w:tcPr>
            <w:tcW w:w="1872" w:type="pct"/>
            <w:shd w:val="clear" w:color="auto" w:fill="FFFDFA"/>
            <w:noWrap w:val="0"/>
            <w:vAlign w:val="center"/>
          </w:tcPr>
          <w:p w14:paraId="6D30C055">
            <w:pPr>
              <w:pStyle w:val="59"/>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请根据要求单独上传《中小企业声明函》。格式以采购文件要求为准。否则按不符合处理。</w:t>
            </w:r>
          </w:p>
        </w:tc>
        <w:tc>
          <w:tcPr>
            <w:tcW w:w="305" w:type="pct"/>
            <w:shd w:val="clear" w:color="auto" w:fill="FFFDFA"/>
            <w:noWrap w:val="0"/>
            <w:vAlign w:val="center"/>
          </w:tcPr>
          <w:p w14:paraId="6E8818C7">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DFA"/>
            <w:noWrap w:val="0"/>
            <w:vAlign w:val="center"/>
          </w:tcPr>
          <w:p w14:paraId="5E0223C4">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4E93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06" w:hRule="atLeast"/>
        </w:trPr>
        <w:tc>
          <w:tcPr>
            <w:tcW w:w="472" w:type="pct"/>
            <w:shd w:val="clear" w:color="auto" w:fill="FFFDFA"/>
            <w:noWrap w:val="0"/>
            <w:vAlign w:val="center"/>
          </w:tcPr>
          <w:p w14:paraId="6B7B58E8">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特定资质</w:t>
            </w:r>
          </w:p>
        </w:tc>
        <w:tc>
          <w:tcPr>
            <w:tcW w:w="2046" w:type="pct"/>
            <w:shd w:val="clear" w:color="auto" w:fill="FFFDFA"/>
            <w:noWrap w:val="0"/>
            <w:vAlign w:val="center"/>
          </w:tcPr>
          <w:p w14:paraId="026FB946">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highlight w:val="none"/>
                <w:lang w:val="en-US" w:eastAsia="zh-CN" w:bidi="ar-SA"/>
              </w:rPr>
            </w:pPr>
            <w:r>
              <w:rPr>
                <w:rFonts w:hint="eastAsia" w:ascii="宋体" w:hAnsi="宋体" w:eastAsia="宋体" w:cs="宋体"/>
                <w:spacing w:val="-2"/>
                <w:sz w:val="21"/>
                <w:szCs w:val="21"/>
                <w:highlight w:val="none"/>
                <w:lang w:val="en-US" w:eastAsia="zh-CN" w:bidi="ar-SA"/>
              </w:rPr>
              <w:t>(1)须具有有效的建筑工程施工总承包三级及以上资质、具有有效的安全生产许可证，并在人员、设备、资金等方面具有相应的施工能力；（2）项目负责人要求：应具备合格有效期内的建筑工程专业贰级以上（含）注册建造师执业资格、有效的安全生产考核合格证（B类），且未担任其他在施建设工程项目的项目负责人。</w:t>
            </w:r>
          </w:p>
        </w:tc>
        <w:tc>
          <w:tcPr>
            <w:tcW w:w="1872" w:type="pct"/>
            <w:shd w:val="clear" w:color="auto" w:fill="FFFDFA"/>
            <w:noWrap w:val="0"/>
            <w:vAlign w:val="center"/>
          </w:tcPr>
          <w:p w14:paraId="6E6748A3">
            <w:pPr>
              <w:pStyle w:val="59"/>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pacing w:val="-2"/>
                <w:sz w:val="21"/>
                <w:szCs w:val="21"/>
                <w:highlight w:val="none"/>
                <w:lang w:val="en-US" w:eastAsia="zh-CN" w:bidi="ar-SA"/>
              </w:rPr>
            </w:pPr>
            <w:r>
              <w:rPr>
                <w:rFonts w:hint="eastAsia" w:ascii="宋体" w:hAnsi="宋体" w:eastAsia="宋体" w:cs="宋体"/>
                <w:spacing w:val="-2"/>
                <w:sz w:val="21"/>
                <w:szCs w:val="21"/>
                <w:highlight w:val="none"/>
                <w:lang w:val="en-US" w:eastAsia="zh-CN" w:bidi="ar-SA"/>
              </w:rPr>
              <w:t>(1)须具有有效的建筑工程施工总承包三级及以上资质、具有有效的安全生产许可证，并在人员、设备、资金等方面具有相应的施工能力；（2）项目负责人要求：应具备合格有效期内的建筑工程专业贰级以上（含）注册建造师执业资格、有效的安全生产考核合格证（B类），且未担任其他在施建设工程项目的项目负责人。加盖企业公章</w:t>
            </w:r>
          </w:p>
        </w:tc>
        <w:tc>
          <w:tcPr>
            <w:tcW w:w="305" w:type="pct"/>
            <w:shd w:val="clear" w:color="auto" w:fill="FFFDFA"/>
            <w:noWrap w:val="0"/>
            <w:vAlign w:val="center"/>
          </w:tcPr>
          <w:p w14:paraId="2BE43237">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DFA"/>
            <w:noWrap w:val="0"/>
            <w:vAlign w:val="center"/>
          </w:tcPr>
          <w:p w14:paraId="1C31EC15">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4358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67" w:hRule="atLeast"/>
        </w:trPr>
        <w:tc>
          <w:tcPr>
            <w:tcW w:w="472" w:type="pct"/>
            <w:shd w:val="clear" w:color="auto" w:fill="FFFDFA"/>
            <w:noWrap w:val="0"/>
            <w:vAlign w:val="center"/>
          </w:tcPr>
          <w:p w14:paraId="661D10E1">
            <w:pPr>
              <w:pStyle w:val="33"/>
              <w:keepNext w:val="0"/>
              <w:keepLines w:val="0"/>
              <w:pageBreakBefore w:val="0"/>
              <w:widowControl/>
              <w:kinsoku/>
              <w:wordWrap/>
              <w:overflowPunct/>
              <w:topLinePunct w:val="0"/>
              <w:autoSpaceDE/>
              <w:autoSpaceDN/>
              <w:bidi w:val="0"/>
              <w:snapToGrid/>
              <w:spacing w:line="480" w:lineRule="exact"/>
              <w:jc w:val="left"/>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其他</w:t>
            </w:r>
          </w:p>
        </w:tc>
        <w:tc>
          <w:tcPr>
            <w:tcW w:w="2046" w:type="pct"/>
            <w:shd w:val="clear" w:color="auto" w:fill="FFFDFA"/>
            <w:noWrap w:val="0"/>
            <w:vAlign w:val="center"/>
          </w:tcPr>
          <w:p w14:paraId="31F842C3">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法定代表人投标的，提供法定代表人身份证明；授权人投标的，提供法定代表人身份证明及授权书、被授权人身份证；(法定代表人投标需提供法定代表人身份证及法定代表人资格证明书)。</w:t>
            </w:r>
          </w:p>
        </w:tc>
        <w:tc>
          <w:tcPr>
            <w:tcW w:w="1872" w:type="pct"/>
            <w:shd w:val="clear" w:color="auto" w:fill="FFFDFA"/>
            <w:noWrap w:val="0"/>
            <w:vAlign w:val="center"/>
          </w:tcPr>
          <w:p w14:paraId="3C8DF226">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法定代表人投标的，提供法定代表人身份证明；授权人投标的，提供法定代表人身份证明及授权书、被授权人身份证；(法定代表人投标需提供法定代表人身份证及法定代表人资格证明书)。</w:t>
            </w:r>
          </w:p>
        </w:tc>
        <w:tc>
          <w:tcPr>
            <w:tcW w:w="305" w:type="pct"/>
            <w:shd w:val="clear" w:color="auto" w:fill="FFFDFA"/>
            <w:noWrap w:val="0"/>
            <w:vAlign w:val="center"/>
          </w:tcPr>
          <w:p w14:paraId="1C7A88D1">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DFA"/>
            <w:noWrap w:val="0"/>
            <w:vAlign w:val="center"/>
          </w:tcPr>
          <w:p w14:paraId="3CFC7507">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6D82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25" w:hRule="atLeast"/>
        </w:trPr>
        <w:tc>
          <w:tcPr>
            <w:tcW w:w="472" w:type="pct"/>
            <w:shd w:val="clear" w:color="auto" w:fill="FFFFFF"/>
            <w:noWrap w:val="0"/>
            <w:vAlign w:val="center"/>
          </w:tcPr>
          <w:p w14:paraId="43D6CB5B">
            <w:pPr>
              <w:pStyle w:val="33"/>
              <w:keepNext w:val="0"/>
              <w:keepLines w:val="0"/>
              <w:pageBreakBefore w:val="0"/>
              <w:widowControl/>
              <w:kinsoku/>
              <w:wordWrap/>
              <w:overflowPunct/>
              <w:topLinePunct w:val="0"/>
              <w:autoSpaceDE/>
              <w:autoSpaceDN/>
              <w:bidi w:val="0"/>
              <w:snapToGrid/>
              <w:spacing w:line="480" w:lineRule="exact"/>
              <w:jc w:val="left"/>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其他</w:t>
            </w:r>
          </w:p>
        </w:tc>
        <w:tc>
          <w:tcPr>
            <w:tcW w:w="2046" w:type="pct"/>
            <w:shd w:val="clear" w:color="auto" w:fill="FFFFFF"/>
            <w:noWrap w:val="0"/>
            <w:vAlign w:val="center"/>
          </w:tcPr>
          <w:p w14:paraId="0C44D786">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投标保证金：按规定提交投标保证金或保函</w:t>
            </w:r>
          </w:p>
        </w:tc>
        <w:tc>
          <w:tcPr>
            <w:tcW w:w="1872" w:type="pct"/>
            <w:shd w:val="clear" w:color="auto" w:fill="FFFFFF"/>
            <w:noWrap w:val="0"/>
            <w:vAlign w:val="center"/>
          </w:tcPr>
          <w:p w14:paraId="3107A782">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提供保证金汇款凭证或保函。加盖企业公章。</w:t>
            </w:r>
          </w:p>
        </w:tc>
        <w:tc>
          <w:tcPr>
            <w:tcW w:w="305" w:type="pct"/>
            <w:shd w:val="clear" w:color="auto" w:fill="FFFFFF"/>
            <w:noWrap w:val="0"/>
            <w:vAlign w:val="center"/>
          </w:tcPr>
          <w:p w14:paraId="75D2504C">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028833F1">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bl>
    <w:p w14:paraId="7A65CFF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监督</w:t>
      </w:r>
      <w:r>
        <w:rPr>
          <w:rFonts w:hint="eastAsia" w:ascii="宋体" w:hAnsi="宋体" w:eastAsia="宋体" w:cs="宋体"/>
          <w:color w:val="auto"/>
          <w:sz w:val="24"/>
          <w:szCs w:val="24"/>
          <w:highlight w:val="none"/>
        </w:rPr>
        <w:t>人对</w:t>
      </w:r>
      <w:r>
        <w:rPr>
          <w:rFonts w:hint="eastAsia" w:ascii="宋体" w:hAnsi="宋体" w:eastAsia="宋体" w:cs="宋体"/>
          <w:color w:val="auto"/>
          <w:sz w:val="24"/>
          <w:szCs w:val="24"/>
          <w:highlight w:val="none"/>
          <w:lang w:val="en-US" w:eastAsia="zh-CN"/>
        </w:rPr>
        <w:t>资格性</w:t>
      </w:r>
      <w:r>
        <w:rPr>
          <w:rFonts w:hint="eastAsia" w:ascii="宋体" w:hAnsi="宋体" w:eastAsia="宋体" w:cs="宋体"/>
          <w:color w:val="auto"/>
          <w:sz w:val="24"/>
          <w:szCs w:val="24"/>
          <w:highlight w:val="none"/>
        </w:rPr>
        <w:t>审查的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按评审标准对上述内容评审，资格审查内容有一项不合格视为资格审查不通过。2、通过资格审查的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不足三家的，将重新招标。</w:t>
      </w:r>
      <w:r>
        <w:rPr>
          <w:rFonts w:hint="eastAsia" w:ascii="宋体" w:hAnsi="宋体" w:eastAsia="宋体" w:cs="宋体"/>
          <w:color w:val="auto"/>
          <w:sz w:val="24"/>
          <w:szCs w:val="24"/>
          <w:highlight w:val="none"/>
          <w:lang w:val="en-US" w:eastAsia="zh-CN"/>
        </w:rPr>
        <w:t>3、供应商在递交响应文件的同时，应逐项对照上述资格性检查要求提交相应的加盖公章原件扫描件和加盖公章资格证明文件供资格审查小组核查，否则资格审查小组将不寻求其他资格性检查以外的证据将按照无效标响应处理。4、资格审查表内容如有不一致的以线上政府采购云平台中的资格审查要求为准。5、供应商有一项未通过不得参与下阶段评审，视为废标。</w:t>
      </w:r>
    </w:p>
    <w:p w14:paraId="14F949A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注：未通过</w:t>
      </w:r>
      <w:r>
        <w:rPr>
          <w:rFonts w:hint="eastAsia" w:ascii="宋体" w:hAnsi="宋体" w:eastAsia="宋体" w:cs="宋体"/>
          <w:b/>
          <w:bCs/>
          <w:color w:val="auto"/>
          <w:sz w:val="24"/>
          <w:szCs w:val="24"/>
          <w:highlight w:val="none"/>
          <w:lang w:val="en-US" w:eastAsia="zh-CN"/>
        </w:rPr>
        <w:t>资格性</w:t>
      </w:r>
      <w:r>
        <w:rPr>
          <w:rFonts w:hint="eastAsia" w:ascii="宋体" w:hAnsi="宋体" w:eastAsia="宋体" w:cs="宋体"/>
          <w:b/>
          <w:bCs/>
          <w:color w:val="auto"/>
          <w:sz w:val="24"/>
          <w:szCs w:val="24"/>
          <w:highlight w:val="none"/>
        </w:rPr>
        <w:t>审查的</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，其</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作为无效</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，不进入下一步评审。</w:t>
      </w:r>
    </w:p>
    <w:p w14:paraId="48EF4C01">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rPr>
      </w:pPr>
    </w:p>
    <w:p w14:paraId="7BB6462B">
      <w:pPr>
        <w:pStyle w:val="8"/>
        <w:rPr>
          <w:rFonts w:hint="eastAsia" w:ascii="宋体" w:hAnsi="宋体" w:eastAsia="宋体" w:cs="宋体"/>
          <w:b/>
          <w:bCs/>
          <w:color w:val="auto"/>
          <w:sz w:val="30"/>
          <w:szCs w:val="30"/>
          <w:highlight w:val="none"/>
        </w:rPr>
      </w:pPr>
    </w:p>
    <w:p w14:paraId="0E11D598">
      <w:pPr>
        <w:pStyle w:val="8"/>
        <w:rPr>
          <w:rFonts w:hint="eastAsia" w:ascii="宋体" w:hAnsi="宋体" w:eastAsia="宋体" w:cs="宋体"/>
          <w:b/>
          <w:bCs/>
          <w:color w:val="auto"/>
          <w:sz w:val="30"/>
          <w:szCs w:val="30"/>
          <w:highlight w:val="none"/>
        </w:rPr>
      </w:pPr>
    </w:p>
    <w:p w14:paraId="69D73997">
      <w:pPr>
        <w:pStyle w:val="7"/>
        <w:ind w:left="560" w:leftChars="0" w:firstLine="0" w:firstLineChars="0"/>
        <w:rPr>
          <w:rFonts w:hint="eastAsia" w:ascii="宋体" w:hAnsi="宋体" w:eastAsia="宋体" w:cs="宋体"/>
          <w:b/>
          <w:bCs/>
          <w:color w:val="auto"/>
          <w:sz w:val="30"/>
          <w:szCs w:val="30"/>
          <w:highlight w:val="none"/>
        </w:rPr>
      </w:pPr>
      <w:r>
        <w:rPr>
          <w:rFonts w:hint="eastAsia" w:cs="宋体"/>
          <w:b/>
          <w:bCs/>
          <w:color w:val="auto"/>
          <w:sz w:val="30"/>
          <w:szCs w:val="30"/>
          <w:highlight w:val="none"/>
          <w:lang w:val="en-US" w:eastAsia="zh-CN"/>
        </w:rPr>
        <w:t xml:space="preserve">38 </w:t>
      </w:r>
      <w:r>
        <w:rPr>
          <w:rFonts w:hint="eastAsia" w:ascii="宋体" w:hAnsi="宋体" w:eastAsia="宋体" w:cs="宋体"/>
          <w:b/>
          <w:bCs/>
          <w:color w:val="auto"/>
          <w:sz w:val="30"/>
          <w:szCs w:val="30"/>
          <w:highlight w:val="none"/>
        </w:rPr>
        <w:t>符合性审查表</w:t>
      </w:r>
    </w:p>
    <w:p w14:paraId="644CEC87">
      <w:pPr>
        <w:pStyle w:val="8"/>
        <w:rPr>
          <w:rFonts w:hint="eastAsia" w:ascii="宋体" w:hAnsi="宋体" w:eastAsia="宋体" w:cs="宋体"/>
          <w:b/>
          <w:bCs/>
          <w:color w:val="auto"/>
          <w:sz w:val="30"/>
          <w:szCs w:val="30"/>
          <w:highlight w:val="none"/>
        </w:rPr>
      </w:pPr>
    </w:p>
    <w:p w14:paraId="03192654">
      <w:pPr>
        <w:pStyle w:val="8"/>
        <w:rPr>
          <w:rFonts w:hint="eastAsia" w:ascii="宋体" w:hAnsi="宋体" w:eastAsia="宋体" w:cs="宋体"/>
          <w:b/>
          <w:bCs/>
          <w:color w:val="auto"/>
          <w:sz w:val="30"/>
          <w:szCs w:val="30"/>
          <w:highlight w:val="none"/>
        </w:rPr>
      </w:pPr>
    </w:p>
    <w:p w14:paraId="20ED9BAC">
      <w:pPr>
        <w:pStyle w:val="8"/>
        <w:rPr>
          <w:rFonts w:hint="eastAsia" w:ascii="宋体" w:hAnsi="宋体" w:eastAsia="宋体" w:cs="宋体"/>
          <w:b/>
          <w:bCs/>
          <w:color w:val="auto"/>
          <w:sz w:val="30"/>
          <w:szCs w:val="30"/>
          <w:highlight w:val="none"/>
        </w:rPr>
      </w:pPr>
    </w:p>
    <w:p w14:paraId="729718A5">
      <w:pPr>
        <w:pStyle w:val="8"/>
        <w:rPr>
          <w:rFonts w:hint="eastAsia" w:ascii="宋体" w:hAnsi="宋体" w:eastAsia="宋体" w:cs="宋体"/>
          <w:b/>
          <w:bCs/>
          <w:color w:val="auto"/>
          <w:sz w:val="30"/>
          <w:szCs w:val="30"/>
          <w:highlight w:val="none"/>
        </w:rPr>
      </w:pPr>
    </w:p>
    <w:p w14:paraId="159BA60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zh-CN" w:eastAsia="zh-CN"/>
        </w:rPr>
      </w:pPr>
      <w:r>
        <w:rPr>
          <w:rFonts w:hint="eastAsia" w:cs="宋体"/>
          <w:b/>
          <w:bCs/>
          <w:color w:val="auto"/>
          <w:sz w:val="24"/>
          <w:szCs w:val="24"/>
          <w:highlight w:val="none"/>
          <w:lang w:val="en-US" w:eastAsia="zh-CN"/>
        </w:rPr>
        <w:t>注</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zh-CN" w:eastAsia="zh-CN"/>
        </w:rPr>
        <w:t>1.</w:t>
      </w:r>
      <w:r>
        <w:rPr>
          <w:rFonts w:hint="eastAsia" w:ascii="宋体" w:hAnsi="宋体" w:eastAsia="宋体" w:cs="宋体"/>
          <w:b/>
          <w:bCs/>
          <w:color w:val="auto"/>
          <w:sz w:val="24"/>
          <w:szCs w:val="24"/>
          <w:highlight w:val="none"/>
          <w:lang w:val="en-US" w:eastAsia="zh-CN"/>
        </w:rPr>
        <w:t>符合性审查表内容如有不一致的以线上政府采购云平台中的符合性要求为准。</w:t>
      </w:r>
    </w:p>
    <w:p w14:paraId="590F67B3">
      <w:pPr>
        <w:keepNext w:val="0"/>
        <w:keepLines w:val="0"/>
        <w:pageBreakBefore w:val="0"/>
        <w:widowControl w:val="0"/>
        <w:kinsoku/>
        <w:wordWrap/>
        <w:overflowPunct/>
        <w:topLinePunct w:val="0"/>
        <w:autoSpaceDE w:val="0"/>
        <w:autoSpaceDN w:val="0"/>
        <w:bidi w:val="0"/>
        <w:adjustRightInd/>
        <w:snapToGrid/>
        <w:spacing w:line="440" w:lineRule="exact"/>
        <w:ind w:firstLine="1205" w:firstLineChars="500"/>
        <w:textAlignment w:val="auto"/>
        <w:rPr>
          <w:rFonts w:hint="eastAsia" w:ascii="宋体" w:hAnsi="宋体" w:eastAsia="宋体" w:cs="宋体"/>
          <w:b/>
          <w:bCs/>
          <w:color w:val="auto"/>
          <w:sz w:val="24"/>
          <w:szCs w:val="24"/>
          <w:highlight w:val="none"/>
        </w:rPr>
      </w:pPr>
      <w:r>
        <w:rPr>
          <w:rFonts w:hint="eastAsia"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未</w:t>
      </w:r>
      <w:r>
        <w:rPr>
          <w:rFonts w:hint="eastAsia" w:ascii="宋体" w:hAnsi="宋体" w:eastAsia="宋体" w:cs="宋体"/>
          <w:b/>
          <w:bCs/>
          <w:color w:val="auto"/>
          <w:sz w:val="24"/>
          <w:szCs w:val="24"/>
          <w:highlight w:val="none"/>
          <w:lang w:eastAsia="zh-CN"/>
        </w:rPr>
        <w:t>通过</w:t>
      </w:r>
      <w:r>
        <w:rPr>
          <w:rFonts w:hint="eastAsia" w:ascii="宋体" w:hAnsi="宋体" w:eastAsia="宋体" w:cs="宋体"/>
          <w:b/>
          <w:bCs/>
          <w:color w:val="auto"/>
          <w:sz w:val="24"/>
          <w:szCs w:val="24"/>
          <w:highlight w:val="none"/>
          <w:lang w:val="en-US" w:eastAsia="zh-CN"/>
        </w:rPr>
        <w:t>符合性</w:t>
      </w:r>
      <w:r>
        <w:rPr>
          <w:rFonts w:hint="eastAsia" w:ascii="宋体" w:hAnsi="宋体" w:eastAsia="宋体" w:cs="宋体"/>
          <w:b/>
          <w:bCs/>
          <w:color w:val="auto"/>
          <w:sz w:val="24"/>
          <w:szCs w:val="24"/>
          <w:highlight w:val="none"/>
          <w:lang w:eastAsia="zh-CN"/>
        </w:rPr>
        <w:t>审</w:t>
      </w:r>
      <w:r>
        <w:rPr>
          <w:rFonts w:hint="eastAsia" w:ascii="宋体" w:hAnsi="宋体" w:eastAsia="宋体" w:cs="宋体"/>
          <w:b/>
          <w:bCs/>
          <w:color w:val="auto"/>
          <w:sz w:val="24"/>
          <w:szCs w:val="24"/>
          <w:highlight w:val="none"/>
        </w:rPr>
        <w:t>查的</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，其</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作为无效</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，不进入下一步评审。</w:t>
      </w:r>
    </w:p>
    <w:p w14:paraId="4328A1D3">
      <w:pPr>
        <w:pStyle w:val="8"/>
        <w:rPr>
          <w:rFonts w:hint="eastAsia" w:cs="宋体"/>
          <w:b/>
          <w:bCs/>
          <w:color w:val="auto"/>
          <w:sz w:val="30"/>
          <w:szCs w:val="30"/>
          <w:highlight w:val="none"/>
          <w:lang w:val="en-US" w:eastAsia="zh-CN"/>
        </w:rPr>
      </w:pPr>
    </w:p>
    <w:p w14:paraId="2089DEC8">
      <w:pPr>
        <w:pStyle w:val="8"/>
        <w:rPr>
          <w:rFonts w:hint="eastAsia" w:cs="宋体"/>
          <w:b/>
          <w:bCs/>
          <w:color w:val="auto"/>
          <w:sz w:val="30"/>
          <w:szCs w:val="30"/>
          <w:highlight w:val="none"/>
          <w:lang w:val="en-US" w:eastAsia="zh-CN"/>
        </w:rPr>
      </w:pPr>
    </w:p>
    <w:p w14:paraId="35AAC9F2">
      <w:pPr>
        <w:pStyle w:val="8"/>
        <w:rPr>
          <w:rFonts w:hint="eastAsia" w:cs="宋体"/>
          <w:b/>
          <w:bCs/>
          <w:color w:val="auto"/>
          <w:sz w:val="30"/>
          <w:szCs w:val="30"/>
          <w:highlight w:val="none"/>
          <w:lang w:val="en-US" w:eastAsia="zh-CN"/>
        </w:rPr>
      </w:pPr>
    </w:p>
    <w:p w14:paraId="193FB983">
      <w:pPr>
        <w:rPr>
          <w:rFonts w:hint="eastAsia"/>
          <w:lang w:val="en-US" w:eastAsia="zh-CN"/>
        </w:rPr>
      </w:pPr>
    </w:p>
    <w:tbl>
      <w:tblPr>
        <w:tblStyle w:val="20"/>
        <w:tblpPr w:leftFromText="180" w:rightFromText="180" w:vertAnchor="page" w:horzAnchor="page" w:tblpX="1332" w:tblpY="2525"/>
        <w:tblOverlap w:val="never"/>
        <w:tblW w:w="9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
        <w:gridCol w:w="6806"/>
        <w:gridCol w:w="1962"/>
      </w:tblGrid>
      <w:tr w14:paraId="2C39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center"/>
          </w:tcPr>
          <w:p w14:paraId="1105A462">
            <w:pPr>
              <w:pStyle w:val="34"/>
              <w:spacing w:before="94" w:line="600" w:lineRule="auto"/>
              <w:ind w:left="181" w:right="68"/>
              <w:jc w:val="center"/>
              <w:rPr>
                <w:b/>
                <w:bCs/>
                <w:color w:val="auto"/>
                <w:sz w:val="21"/>
                <w:highlight w:val="none"/>
              </w:rPr>
            </w:pPr>
            <w:r>
              <w:rPr>
                <w:b/>
                <w:bCs/>
                <w:color w:val="auto"/>
                <w:sz w:val="21"/>
                <w:highlight w:val="none"/>
              </w:rPr>
              <w:t>序号</w:t>
            </w:r>
          </w:p>
        </w:tc>
        <w:tc>
          <w:tcPr>
            <w:tcW w:w="6806" w:type="dxa"/>
            <w:noWrap w:val="0"/>
            <w:vAlign w:val="center"/>
          </w:tcPr>
          <w:p w14:paraId="201A66DF">
            <w:pPr>
              <w:pStyle w:val="34"/>
              <w:keepNext w:val="0"/>
              <w:keepLines w:val="0"/>
              <w:pageBreakBefore w:val="0"/>
              <w:widowControl w:val="0"/>
              <w:kinsoku/>
              <w:wordWrap/>
              <w:overflowPunct/>
              <w:topLinePunct w:val="0"/>
              <w:autoSpaceDE w:val="0"/>
              <w:autoSpaceDN w:val="0"/>
              <w:bidi w:val="0"/>
              <w:adjustRightInd/>
              <w:snapToGrid/>
              <w:spacing w:before="0" w:line="600" w:lineRule="auto"/>
              <w:ind w:right="0"/>
              <w:jc w:val="center"/>
              <w:textAlignment w:val="auto"/>
              <w:rPr>
                <w:rFonts w:ascii="宋体" w:hAnsi="宋体" w:eastAsia="宋体" w:cs="宋体"/>
                <w:spacing w:val="-2"/>
                <w:sz w:val="21"/>
                <w:szCs w:val="21"/>
                <w:lang w:val="en-US" w:eastAsia="en-US" w:bidi="ar-SA"/>
              </w:rPr>
            </w:pPr>
            <w:r>
              <w:rPr>
                <w:rFonts w:hint="eastAsia" w:ascii="宋体" w:hAnsi="宋体" w:eastAsia="宋体" w:cs="宋体"/>
                <w:spacing w:val="-2"/>
                <w:sz w:val="21"/>
                <w:szCs w:val="21"/>
                <w:lang w:val="en-US" w:eastAsia="zh-CN" w:bidi="ar-SA"/>
              </w:rPr>
              <w:t>评审</w:t>
            </w:r>
            <w:r>
              <w:rPr>
                <w:rFonts w:ascii="宋体" w:hAnsi="宋体" w:eastAsia="宋体" w:cs="宋体"/>
                <w:spacing w:val="-2"/>
                <w:sz w:val="21"/>
                <w:szCs w:val="21"/>
                <w:lang w:val="en-US" w:eastAsia="en-US" w:bidi="ar-SA"/>
              </w:rPr>
              <w:t>内容</w:t>
            </w:r>
          </w:p>
        </w:tc>
        <w:tc>
          <w:tcPr>
            <w:tcW w:w="1962" w:type="dxa"/>
            <w:noWrap w:val="0"/>
            <w:vAlign w:val="center"/>
          </w:tcPr>
          <w:p w14:paraId="2962E15A">
            <w:pPr>
              <w:pStyle w:val="34"/>
              <w:keepNext w:val="0"/>
              <w:keepLines w:val="0"/>
              <w:pageBreakBefore w:val="0"/>
              <w:widowControl w:val="0"/>
              <w:kinsoku/>
              <w:wordWrap/>
              <w:overflowPunct/>
              <w:topLinePunct w:val="0"/>
              <w:autoSpaceDE w:val="0"/>
              <w:autoSpaceDN w:val="0"/>
              <w:bidi w:val="0"/>
              <w:adjustRightInd/>
              <w:snapToGrid/>
              <w:spacing w:before="0" w:line="600" w:lineRule="auto"/>
              <w:ind w:right="0"/>
              <w:jc w:val="center"/>
              <w:textAlignment w:val="auto"/>
              <w:rPr>
                <w:rFonts w:hint="default"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要求说明</w:t>
            </w:r>
          </w:p>
        </w:tc>
      </w:tr>
      <w:tr w14:paraId="6692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822" w:type="dxa"/>
            <w:noWrap w:val="0"/>
            <w:vAlign w:val="top"/>
          </w:tcPr>
          <w:p w14:paraId="0BEB5F6F">
            <w:pPr>
              <w:pStyle w:val="34"/>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1</w:t>
            </w:r>
          </w:p>
        </w:tc>
        <w:tc>
          <w:tcPr>
            <w:tcW w:w="6806" w:type="dxa"/>
            <w:noWrap w:val="0"/>
            <w:vAlign w:val="top"/>
          </w:tcPr>
          <w:p w14:paraId="31A05BA0">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响应文件的编制、签</w:t>
            </w:r>
            <w:r>
              <w:rPr>
                <w:rFonts w:hint="eastAsia" w:ascii="宋体" w:hAnsi="宋体" w:eastAsia="宋体" w:cs="宋体"/>
                <w:spacing w:val="-2"/>
                <w:sz w:val="21"/>
                <w:szCs w:val="21"/>
                <w:lang w:val="en-US" w:eastAsia="zh-CN"/>
              </w:rPr>
              <w:t>字</w:t>
            </w:r>
            <w:r>
              <w:rPr>
                <w:rFonts w:ascii="宋体" w:hAnsi="宋体" w:eastAsia="宋体" w:cs="宋体"/>
                <w:spacing w:val="-2"/>
                <w:sz w:val="21"/>
                <w:szCs w:val="21"/>
              </w:rPr>
              <w:t>及盖章是否符合磋商文件的要求。</w:t>
            </w:r>
          </w:p>
        </w:tc>
        <w:tc>
          <w:tcPr>
            <w:tcW w:w="1962" w:type="dxa"/>
            <w:noWrap w:val="0"/>
            <w:vAlign w:val="center"/>
          </w:tcPr>
          <w:p w14:paraId="701DAD8B">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32B5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1B5E239E">
            <w:pPr>
              <w:pStyle w:val="34"/>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2</w:t>
            </w:r>
          </w:p>
        </w:tc>
        <w:tc>
          <w:tcPr>
            <w:tcW w:w="6806" w:type="dxa"/>
            <w:noWrap w:val="0"/>
            <w:vAlign w:val="top"/>
          </w:tcPr>
          <w:p w14:paraId="474354B2">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磋商报价（首次报价或最后报价）是否</w:t>
            </w:r>
            <w:r>
              <w:rPr>
                <w:rFonts w:hint="eastAsia" w:ascii="宋体" w:hAnsi="宋体" w:eastAsia="宋体" w:cs="宋体"/>
                <w:spacing w:val="-2"/>
                <w:sz w:val="21"/>
                <w:szCs w:val="21"/>
                <w:lang w:val="en-US" w:eastAsia="zh-CN"/>
              </w:rPr>
              <w:t>未</w:t>
            </w:r>
            <w:r>
              <w:rPr>
                <w:rFonts w:ascii="宋体" w:hAnsi="宋体" w:eastAsia="宋体" w:cs="宋体"/>
                <w:spacing w:val="-2"/>
                <w:sz w:val="21"/>
                <w:szCs w:val="21"/>
              </w:rPr>
              <w:t>超过磋商文件中规定的控制价的。</w:t>
            </w:r>
          </w:p>
        </w:tc>
        <w:tc>
          <w:tcPr>
            <w:tcW w:w="1962" w:type="dxa"/>
            <w:noWrap w:val="0"/>
            <w:vAlign w:val="center"/>
          </w:tcPr>
          <w:p w14:paraId="28455960">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62E8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shd w:val="clear" w:color="auto" w:fill="auto"/>
            <w:noWrap w:val="0"/>
            <w:vAlign w:val="top"/>
          </w:tcPr>
          <w:p w14:paraId="566B86EE">
            <w:pPr>
              <w:pStyle w:val="34"/>
              <w:spacing w:before="106" w:line="600" w:lineRule="auto"/>
              <w:ind w:left="10" w:leftChars="0" w:right="0" w:rightChars="0"/>
              <w:jc w:val="center"/>
              <w:rPr>
                <w:rFonts w:hint="eastAsia" w:ascii="Times New Roman" w:hAnsi="宋体" w:eastAsia="宋体" w:cs="宋体"/>
                <w:color w:val="auto"/>
                <w:sz w:val="21"/>
                <w:szCs w:val="22"/>
                <w:highlight w:val="none"/>
                <w:lang w:val="en-US" w:eastAsia="zh-CN" w:bidi="zh-CN"/>
              </w:rPr>
            </w:pPr>
            <w:r>
              <w:rPr>
                <w:rFonts w:hint="eastAsia" w:ascii="Times New Roman"/>
                <w:color w:val="auto"/>
                <w:w w:val="100"/>
                <w:sz w:val="21"/>
                <w:highlight w:val="none"/>
                <w:lang w:val="en-US" w:eastAsia="zh-CN"/>
              </w:rPr>
              <w:t>3</w:t>
            </w:r>
          </w:p>
        </w:tc>
        <w:tc>
          <w:tcPr>
            <w:tcW w:w="6806" w:type="dxa"/>
            <w:noWrap w:val="0"/>
            <w:vAlign w:val="top"/>
          </w:tcPr>
          <w:p w14:paraId="78686C4C">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响应文件</w:t>
            </w:r>
            <w:r>
              <w:rPr>
                <w:rFonts w:hint="eastAsia" w:ascii="宋体" w:hAnsi="宋体" w:eastAsia="宋体" w:cs="宋体"/>
                <w:spacing w:val="-2"/>
                <w:sz w:val="21"/>
                <w:szCs w:val="21"/>
                <w:lang w:val="en-US" w:eastAsia="zh-CN"/>
              </w:rPr>
              <w:t>的完整性响应</w:t>
            </w:r>
            <w:r>
              <w:rPr>
                <w:rFonts w:hint="eastAsia" w:cs="宋体"/>
                <w:spacing w:val="-2"/>
                <w:sz w:val="21"/>
                <w:szCs w:val="21"/>
                <w:lang w:val="en-US" w:eastAsia="zh-CN"/>
              </w:rPr>
              <w:t>磋商</w:t>
            </w:r>
            <w:r>
              <w:rPr>
                <w:rFonts w:hint="eastAsia" w:ascii="宋体" w:hAnsi="宋体" w:eastAsia="宋体" w:cs="宋体"/>
                <w:spacing w:val="-2"/>
                <w:sz w:val="21"/>
                <w:szCs w:val="21"/>
                <w:lang w:val="en-US" w:eastAsia="zh-CN"/>
              </w:rPr>
              <w:t>文件要求，对</w:t>
            </w:r>
            <w:r>
              <w:rPr>
                <w:rFonts w:hint="eastAsia" w:cs="宋体"/>
                <w:spacing w:val="-2"/>
                <w:sz w:val="21"/>
                <w:szCs w:val="21"/>
                <w:lang w:val="en-US" w:eastAsia="zh-CN"/>
              </w:rPr>
              <w:t>磋商文件</w:t>
            </w:r>
            <w:r>
              <w:rPr>
                <w:rFonts w:hint="eastAsia" w:ascii="宋体" w:hAnsi="宋体" w:eastAsia="宋体" w:cs="宋体"/>
                <w:spacing w:val="-2"/>
                <w:sz w:val="21"/>
                <w:szCs w:val="21"/>
                <w:lang w:val="en-US" w:eastAsia="zh-CN"/>
              </w:rPr>
              <w:t>的实质性要求作出响应</w:t>
            </w:r>
            <w:r>
              <w:rPr>
                <w:rFonts w:hint="eastAsia" w:cs="宋体"/>
                <w:spacing w:val="-2"/>
                <w:sz w:val="21"/>
                <w:szCs w:val="21"/>
                <w:lang w:val="en-US" w:eastAsia="zh-CN"/>
              </w:rPr>
              <w:t>。</w:t>
            </w:r>
          </w:p>
        </w:tc>
        <w:tc>
          <w:tcPr>
            <w:tcW w:w="1962" w:type="dxa"/>
            <w:noWrap w:val="0"/>
            <w:vAlign w:val="center"/>
          </w:tcPr>
          <w:p w14:paraId="70E25EE8">
            <w:pPr>
              <w:pStyle w:val="55"/>
              <w:spacing w:before="122" w:line="219" w:lineRule="auto"/>
              <w:ind w:left="124" w:leftChars="0" w:right="0" w:rightChars="0"/>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不满足将不通过符合性审查</w:t>
            </w:r>
          </w:p>
        </w:tc>
      </w:tr>
      <w:tr w14:paraId="6E3C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shd w:val="clear" w:color="auto" w:fill="auto"/>
            <w:noWrap w:val="0"/>
            <w:vAlign w:val="top"/>
          </w:tcPr>
          <w:p w14:paraId="34A6E64F">
            <w:pPr>
              <w:pStyle w:val="34"/>
              <w:spacing w:before="106" w:line="600" w:lineRule="auto"/>
              <w:ind w:left="10" w:leftChars="0" w:right="0" w:rightChars="0"/>
              <w:jc w:val="center"/>
              <w:rPr>
                <w:rFonts w:hint="eastAsia" w:ascii="Times New Roman" w:hAnsi="宋体" w:eastAsia="宋体" w:cs="宋体"/>
                <w:color w:val="auto"/>
                <w:sz w:val="21"/>
                <w:szCs w:val="22"/>
                <w:highlight w:val="none"/>
                <w:lang w:val="zh-CN" w:eastAsia="zh-CN" w:bidi="zh-CN"/>
              </w:rPr>
            </w:pPr>
            <w:r>
              <w:rPr>
                <w:rFonts w:hint="eastAsia" w:ascii="Times New Roman"/>
                <w:color w:val="auto"/>
                <w:w w:val="100"/>
                <w:sz w:val="21"/>
                <w:highlight w:val="none"/>
                <w:lang w:val="en-US" w:eastAsia="zh-CN"/>
              </w:rPr>
              <w:t>4</w:t>
            </w:r>
          </w:p>
        </w:tc>
        <w:tc>
          <w:tcPr>
            <w:tcW w:w="6806" w:type="dxa"/>
            <w:noWrap w:val="0"/>
            <w:vAlign w:val="top"/>
          </w:tcPr>
          <w:p w14:paraId="6F90065C">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响应文件是否</w:t>
            </w:r>
            <w:r>
              <w:rPr>
                <w:rFonts w:hint="eastAsia" w:ascii="宋体" w:hAnsi="宋体" w:eastAsia="宋体" w:cs="宋体"/>
                <w:spacing w:val="-2"/>
                <w:sz w:val="21"/>
                <w:szCs w:val="21"/>
                <w:lang w:val="en-US" w:eastAsia="zh-CN"/>
              </w:rPr>
              <w:t>未</w:t>
            </w:r>
            <w:r>
              <w:rPr>
                <w:rFonts w:ascii="宋体" w:hAnsi="宋体" w:eastAsia="宋体" w:cs="宋体"/>
                <w:spacing w:val="-2"/>
                <w:sz w:val="21"/>
                <w:szCs w:val="21"/>
              </w:rPr>
              <w:t>含有采购人不能接受的附加条件的。</w:t>
            </w:r>
          </w:p>
        </w:tc>
        <w:tc>
          <w:tcPr>
            <w:tcW w:w="1962" w:type="dxa"/>
            <w:noWrap w:val="0"/>
            <w:vAlign w:val="center"/>
          </w:tcPr>
          <w:p w14:paraId="74BADBD1">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081E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shd w:val="clear" w:color="auto" w:fill="auto"/>
            <w:noWrap w:val="0"/>
            <w:vAlign w:val="top"/>
          </w:tcPr>
          <w:p w14:paraId="3BB8B580">
            <w:pPr>
              <w:pStyle w:val="34"/>
              <w:spacing w:before="106" w:line="600" w:lineRule="auto"/>
              <w:ind w:left="10" w:leftChars="0" w:right="0" w:rightChars="0"/>
              <w:jc w:val="center"/>
              <w:rPr>
                <w:rFonts w:hint="eastAsia" w:ascii="Times New Roman" w:hAnsi="宋体" w:eastAsia="宋体" w:cs="宋体"/>
                <w:color w:val="auto"/>
                <w:w w:val="100"/>
                <w:sz w:val="21"/>
                <w:szCs w:val="22"/>
                <w:highlight w:val="none"/>
                <w:lang w:val="en-US" w:eastAsia="zh-CN" w:bidi="zh-CN"/>
              </w:rPr>
            </w:pPr>
            <w:r>
              <w:rPr>
                <w:rFonts w:hint="eastAsia" w:ascii="Times New Roman"/>
                <w:color w:val="auto"/>
                <w:w w:val="100"/>
                <w:sz w:val="21"/>
                <w:highlight w:val="none"/>
                <w:lang w:val="en-US" w:eastAsia="zh-CN"/>
              </w:rPr>
              <w:t>5</w:t>
            </w:r>
          </w:p>
        </w:tc>
        <w:tc>
          <w:tcPr>
            <w:tcW w:w="6806" w:type="dxa"/>
            <w:noWrap w:val="0"/>
            <w:vAlign w:val="top"/>
          </w:tcPr>
          <w:p w14:paraId="5F11BE46">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磋商响应有效期是否满足磋商文件要求。</w:t>
            </w:r>
          </w:p>
        </w:tc>
        <w:tc>
          <w:tcPr>
            <w:tcW w:w="1962" w:type="dxa"/>
            <w:noWrap w:val="0"/>
            <w:vAlign w:val="center"/>
          </w:tcPr>
          <w:p w14:paraId="0CDB8D20">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44F4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shd w:val="clear" w:color="auto" w:fill="auto"/>
            <w:noWrap w:val="0"/>
            <w:vAlign w:val="top"/>
          </w:tcPr>
          <w:p w14:paraId="02FCAF5C">
            <w:pPr>
              <w:pStyle w:val="34"/>
              <w:spacing w:before="106" w:line="600" w:lineRule="auto"/>
              <w:ind w:left="10" w:leftChars="0" w:right="0" w:rightChars="0"/>
              <w:jc w:val="center"/>
              <w:rPr>
                <w:rFonts w:hint="eastAsia" w:ascii="Times New Roman" w:hAnsi="宋体" w:eastAsia="宋体" w:cs="宋体"/>
                <w:color w:val="auto"/>
                <w:sz w:val="21"/>
                <w:szCs w:val="22"/>
                <w:highlight w:val="none"/>
                <w:lang w:val="en-US" w:eastAsia="zh-CN" w:bidi="zh-CN"/>
              </w:rPr>
            </w:pPr>
            <w:r>
              <w:rPr>
                <w:rFonts w:hint="eastAsia" w:ascii="Times New Roman"/>
                <w:color w:val="auto"/>
                <w:w w:val="100"/>
                <w:sz w:val="21"/>
                <w:highlight w:val="none"/>
                <w:lang w:val="en-US" w:eastAsia="zh-CN"/>
              </w:rPr>
              <w:t>6</w:t>
            </w:r>
          </w:p>
        </w:tc>
        <w:tc>
          <w:tcPr>
            <w:tcW w:w="6806" w:type="dxa"/>
            <w:noWrap w:val="0"/>
            <w:vAlign w:val="top"/>
          </w:tcPr>
          <w:p w14:paraId="362F14A8">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报价合理，或投标人的报价明显低于其他通过符合性审查投标人的报价，有可能影响产品质量或者不能诚信履约的，能够应评标委员会要求在规定时间内证明其报价合理性的。</w:t>
            </w:r>
          </w:p>
        </w:tc>
        <w:tc>
          <w:tcPr>
            <w:tcW w:w="1962" w:type="dxa"/>
            <w:noWrap w:val="0"/>
            <w:vAlign w:val="center"/>
          </w:tcPr>
          <w:p w14:paraId="4BC3C6E2">
            <w:pPr>
              <w:pStyle w:val="55"/>
              <w:spacing w:before="122" w:line="219" w:lineRule="auto"/>
              <w:ind w:left="124" w:leftChars="0" w:right="0" w:rightChars="0"/>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不满足将不通过符合性审查</w:t>
            </w:r>
          </w:p>
        </w:tc>
      </w:tr>
      <w:tr w14:paraId="1EDE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shd w:val="clear" w:color="auto" w:fill="auto"/>
            <w:noWrap w:val="0"/>
            <w:vAlign w:val="top"/>
          </w:tcPr>
          <w:p w14:paraId="7EAF4163">
            <w:pPr>
              <w:pStyle w:val="34"/>
              <w:spacing w:before="113" w:line="600" w:lineRule="auto"/>
              <w:ind w:left="10" w:leftChars="0" w:right="0" w:rightChars="0"/>
              <w:jc w:val="center"/>
              <w:rPr>
                <w:rFonts w:hint="eastAsia" w:ascii="Times New Roman" w:hAnsi="宋体" w:eastAsia="宋体" w:cs="宋体"/>
                <w:color w:val="auto"/>
                <w:sz w:val="21"/>
                <w:szCs w:val="22"/>
                <w:highlight w:val="none"/>
                <w:lang w:val="en-US" w:eastAsia="zh-CN" w:bidi="zh-CN"/>
              </w:rPr>
            </w:pPr>
            <w:r>
              <w:rPr>
                <w:rFonts w:hint="eastAsia" w:ascii="Times New Roman"/>
                <w:color w:val="auto"/>
                <w:w w:val="100"/>
                <w:sz w:val="21"/>
                <w:highlight w:val="none"/>
                <w:lang w:val="en-US" w:eastAsia="zh-CN"/>
              </w:rPr>
              <w:t>7</w:t>
            </w:r>
          </w:p>
        </w:tc>
        <w:tc>
          <w:tcPr>
            <w:tcW w:w="6806" w:type="dxa"/>
            <w:noWrap w:val="0"/>
            <w:vAlign w:val="top"/>
          </w:tcPr>
          <w:p w14:paraId="55907E7E">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施工招标项目工程量清单封面</w:t>
            </w:r>
            <w:r>
              <w:rPr>
                <w:rFonts w:hint="eastAsia" w:ascii="宋体" w:hAnsi="宋体" w:eastAsia="宋体" w:cs="宋体"/>
                <w:spacing w:val="-2"/>
                <w:sz w:val="21"/>
                <w:szCs w:val="21"/>
                <w:lang w:val="en-US" w:eastAsia="zh-CN"/>
              </w:rPr>
              <w:t>是否</w:t>
            </w:r>
            <w:r>
              <w:rPr>
                <w:rFonts w:ascii="宋体" w:hAnsi="宋体" w:eastAsia="宋体" w:cs="宋体"/>
                <w:spacing w:val="-2"/>
                <w:sz w:val="21"/>
                <w:szCs w:val="21"/>
              </w:rPr>
              <w:t>有</w:t>
            </w:r>
            <w:r>
              <w:rPr>
                <w:rFonts w:hint="eastAsia" w:ascii="宋体" w:hAnsi="宋体" w:eastAsia="宋体" w:cs="宋体"/>
                <w:spacing w:val="-2"/>
                <w:sz w:val="21"/>
                <w:szCs w:val="21"/>
                <w:lang w:val="en-US" w:eastAsia="zh-CN"/>
              </w:rPr>
              <w:t>注册造价师</w:t>
            </w:r>
            <w:r>
              <w:rPr>
                <w:rFonts w:ascii="宋体" w:hAnsi="宋体" w:eastAsia="宋体" w:cs="宋体"/>
                <w:spacing w:val="-2"/>
                <w:sz w:val="21"/>
                <w:szCs w:val="21"/>
              </w:rPr>
              <w:t>签字和印章</w:t>
            </w:r>
          </w:p>
          <w:p w14:paraId="1140C3AD">
            <w:pPr>
              <w:pStyle w:val="55"/>
              <w:spacing w:before="122" w:line="219" w:lineRule="auto"/>
              <w:ind w:left="124" w:leftChars="0" w:right="0" w:rightChars="0"/>
              <w:rPr>
                <w:rFonts w:hint="default" w:ascii="宋体" w:hAnsi="宋体" w:eastAsia="宋体" w:cs="宋体"/>
                <w:spacing w:val="-2"/>
                <w:sz w:val="21"/>
                <w:szCs w:val="21"/>
                <w:lang w:val="en-US" w:eastAsia="zh-CN"/>
              </w:rPr>
            </w:pPr>
            <w:r>
              <w:rPr>
                <w:rFonts w:ascii="宋体" w:hAnsi="宋体" w:eastAsia="宋体" w:cs="宋体"/>
                <w:spacing w:val="-2"/>
                <w:sz w:val="21"/>
                <w:szCs w:val="21"/>
              </w:rPr>
              <w:t>（由</w:t>
            </w:r>
            <w:r>
              <w:rPr>
                <w:rFonts w:hint="eastAsia" w:ascii="宋体" w:hAnsi="宋体" w:eastAsia="宋体" w:cs="宋体"/>
                <w:spacing w:val="-2"/>
                <w:sz w:val="21"/>
                <w:szCs w:val="21"/>
                <w:lang w:val="en-US" w:eastAsia="zh-CN"/>
              </w:rPr>
              <w:t>注册造价工程师</w:t>
            </w:r>
            <w:r>
              <w:rPr>
                <w:rFonts w:ascii="宋体" w:hAnsi="宋体" w:eastAsia="宋体" w:cs="宋体"/>
                <w:spacing w:val="-2"/>
                <w:sz w:val="21"/>
                <w:szCs w:val="21"/>
              </w:rPr>
              <w:t>在工程量清单封面签字并加盖执业印章）。</w:t>
            </w:r>
          </w:p>
        </w:tc>
        <w:tc>
          <w:tcPr>
            <w:tcW w:w="1962" w:type="dxa"/>
            <w:noWrap w:val="0"/>
            <w:vAlign w:val="center"/>
          </w:tcPr>
          <w:p w14:paraId="7916105F">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1CFD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shd w:val="clear" w:color="auto" w:fill="auto"/>
            <w:noWrap w:val="0"/>
            <w:vAlign w:val="top"/>
          </w:tcPr>
          <w:p w14:paraId="223E7AA4">
            <w:pPr>
              <w:pStyle w:val="34"/>
              <w:spacing w:before="113" w:line="600" w:lineRule="auto"/>
              <w:ind w:left="10" w:leftChars="0" w:right="0" w:rightChars="0"/>
              <w:jc w:val="center"/>
              <w:rPr>
                <w:rFonts w:hint="eastAsia" w:ascii="Times New Roman" w:hAnsi="宋体" w:eastAsia="宋体" w:cs="宋体"/>
                <w:color w:val="auto"/>
                <w:sz w:val="21"/>
                <w:szCs w:val="22"/>
                <w:highlight w:val="none"/>
                <w:lang w:val="zh-CN" w:eastAsia="zh-CN" w:bidi="zh-CN"/>
              </w:rPr>
            </w:pPr>
            <w:r>
              <w:rPr>
                <w:rFonts w:hint="eastAsia" w:ascii="Times New Roman"/>
                <w:color w:val="auto"/>
                <w:sz w:val="21"/>
                <w:highlight w:val="none"/>
                <w:lang w:val="en-US" w:eastAsia="zh-CN"/>
              </w:rPr>
              <w:t>8</w:t>
            </w:r>
          </w:p>
        </w:tc>
        <w:tc>
          <w:tcPr>
            <w:tcW w:w="6806" w:type="dxa"/>
            <w:noWrap w:val="0"/>
            <w:vAlign w:val="top"/>
          </w:tcPr>
          <w:p w14:paraId="0637BF3D">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响应文件是否完全满足磋商文件的实质性条款</w:t>
            </w:r>
            <w:r>
              <w:rPr>
                <w:rFonts w:ascii="宋体" w:hAnsi="宋体" w:eastAsia="宋体" w:cs="宋体"/>
                <w:spacing w:val="-2"/>
                <w:sz w:val="21"/>
                <w:szCs w:val="21"/>
                <w:highlight w:val="none"/>
              </w:rPr>
              <w:t>（即标注★部分条款）</w:t>
            </w:r>
            <w:r>
              <w:rPr>
                <w:rFonts w:ascii="宋体" w:hAnsi="宋体" w:eastAsia="宋体" w:cs="宋体"/>
                <w:spacing w:val="-2"/>
                <w:sz w:val="21"/>
                <w:szCs w:val="21"/>
              </w:rPr>
              <w:t>且无负偏离的。（包括计划工期符合</w:t>
            </w:r>
            <w:r>
              <w:rPr>
                <w:rFonts w:hint="eastAsia" w:cs="宋体"/>
                <w:spacing w:val="-2"/>
                <w:sz w:val="21"/>
                <w:szCs w:val="21"/>
                <w:lang w:eastAsia="zh-CN"/>
              </w:rPr>
              <w:t>磋商文件</w:t>
            </w:r>
            <w:r>
              <w:rPr>
                <w:rFonts w:ascii="宋体" w:hAnsi="宋体" w:eastAsia="宋体" w:cs="宋体"/>
                <w:spacing w:val="-2"/>
                <w:sz w:val="21"/>
                <w:szCs w:val="21"/>
              </w:rPr>
              <w:t>规定、投标范围及内容符合</w:t>
            </w:r>
            <w:r>
              <w:rPr>
                <w:rFonts w:hint="eastAsia" w:cs="宋体"/>
                <w:spacing w:val="-2"/>
                <w:sz w:val="21"/>
                <w:szCs w:val="21"/>
                <w:lang w:val="en-US" w:eastAsia="zh-CN"/>
              </w:rPr>
              <w:t>磋商文件</w:t>
            </w:r>
            <w:r>
              <w:rPr>
                <w:rFonts w:ascii="宋体" w:hAnsi="宋体" w:eastAsia="宋体" w:cs="宋体"/>
                <w:spacing w:val="-2"/>
                <w:sz w:val="21"/>
                <w:szCs w:val="21"/>
              </w:rPr>
              <w:t>规定）</w:t>
            </w:r>
          </w:p>
        </w:tc>
        <w:tc>
          <w:tcPr>
            <w:tcW w:w="1962" w:type="dxa"/>
            <w:noWrap w:val="0"/>
            <w:vAlign w:val="center"/>
          </w:tcPr>
          <w:p w14:paraId="2E9F4333">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480B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3C7DACC4">
            <w:pPr>
              <w:pStyle w:val="34"/>
              <w:spacing w:before="113" w:line="600" w:lineRule="auto"/>
              <w:ind w:left="10"/>
              <w:jc w:val="center"/>
              <w:rPr>
                <w:rFonts w:hint="default" w:ascii="Times New Roman" w:eastAsia="宋体"/>
                <w:color w:val="auto"/>
                <w:sz w:val="21"/>
                <w:highlight w:val="none"/>
                <w:lang w:val="en-US" w:eastAsia="zh-CN"/>
              </w:rPr>
            </w:pPr>
            <w:r>
              <w:rPr>
                <w:rFonts w:hint="eastAsia" w:ascii="Times New Roman"/>
                <w:color w:val="auto"/>
                <w:sz w:val="21"/>
                <w:highlight w:val="none"/>
                <w:lang w:val="en-US" w:eastAsia="zh-CN"/>
              </w:rPr>
              <w:t>9</w:t>
            </w:r>
          </w:p>
        </w:tc>
        <w:tc>
          <w:tcPr>
            <w:tcW w:w="6806" w:type="dxa"/>
            <w:noWrap w:val="0"/>
            <w:vAlign w:val="top"/>
          </w:tcPr>
          <w:p w14:paraId="71A49810">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响应文件是否</w:t>
            </w:r>
            <w:r>
              <w:rPr>
                <w:rFonts w:hint="eastAsia" w:ascii="宋体" w:hAnsi="宋体" w:eastAsia="宋体" w:cs="宋体"/>
                <w:spacing w:val="-2"/>
                <w:sz w:val="21"/>
                <w:szCs w:val="21"/>
                <w:lang w:val="en-US" w:eastAsia="zh-CN"/>
              </w:rPr>
              <w:t>不</w:t>
            </w:r>
            <w:r>
              <w:rPr>
                <w:rFonts w:ascii="宋体" w:hAnsi="宋体" w:eastAsia="宋体" w:cs="宋体"/>
                <w:spacing w:val="-2"/>
                <w:sz w:val="21"/>
                <w:szCs w:val="21"/>
              </w:rPr>
              <w:t>存在法律、法规和磋商文件规定的其他无效情形。</w:t>
            </w:r>
          </w:p>
        </w:tc>
        <w:tc>
          <w:tcPr>
            <w:tcW w:w="1962" w:type="dxa"/>
            <w:noWrap w:val="0"/>
            <w:vAlign w:val="center"/>
          </w:tcPr>
          <w:p w14:paraId="19BA0942">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78C6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590" w:type="dxa"/>
            <w:gridSpan w:val="3"/>
            <w:noWrap w:val="0"/>
            <w:vAlign w:val="top"/>
          </w:tcPr>
          <w:p w14:paraId="15F1E1D3">
            <w:pPr>
              <w:pStyle w:val="34"/>
              <w:spacing w:before="94" w:line="600" w:lineRule="auto"/>
              <w:ind w:left="107"/>
              <w:rPr>
                <w:color w:val="auto"/>
                <w:sz w:val="21"/>
                <w:highlight w:val="none"/>
              </w:rPr>
            </w:pPr>
            <w:r>
              <w:rPr>
                <w:b/>
                <w:bCs/>
                <w:color w:val="auto"/>
                <w:sz w:val="21"/>
                <w:highlight w:val="none"/>
              </w:rPr>
              <w:t xml:space="preserve">说明：供应商必须满足符合性审查表内所有条款，否则被认定为无效响应。 </w:t>
            </w:r>
          </w:p>
        </w:tc>
      </w:tr>
    </w:tbl>
    <w:p w14:paraId="4C356E19">
      <w:pPr>
        <w:rPr>
          <w:rFonts w:hint="eastAsia"/>
        </w:rPr>
      </w:pPr>
    </w:p>
    <w:p w14:paraId="76DEE1E0">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cs="宋体"/>
          <w:b/>
          <w:bCs/>
          <w:color w:val="auto"/>
          <w:sz w:val="30"/>
          <w:szCs w:val="30"/>
          <w:highlight w:val="none"/>
          <w:lang w:val="en-US" w:eastAsia="zh-CN"/>
        </w:rPr>
      </w:pPr>
    </w:p>
    <w:p w14:paraId="7F169D3E">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cs="宋体"/>
          <w:b/>
          <w:bCs/>
          <w:color w:val="auto"/>
          <w:sz w:val="30"/>
          <w:szCs w:val="30"/>
          <w:highlight w:val="none"/>
          <w:lang w:val="en-US" w:eastAsia="zh-CN"/>
        </w:rPr>
        <w:t>39</w:t>
      </w:r>
      <w:r>
        <w:rPr>
          <w:rFonts w:hint="eastAsia" w:ascii="宋体" w:hAnsi="宋体" w:eastAsia="宋体" w:cs="宋体"/>
          <w:b/>
          <w:bCs/>
          <w:color w:val="auto"/>
          <w:sz w:val="30"/>
          <w:szCs w:val="30"/>
          <w:highlight w:val="none"/>
          <w:lang w:val="en-US" w:eastAsia="zh-CN"/>
        </w:rPr>
        <w:t xml:space="preserve"> 评分标准</w:t>
      </w:r>
    </w:p>
    <w:p w14:paraId="75E6B86C">
      <w:pPr>
        <w:pStyle w:val="51"/>
        <w:shd w:val="clear" w:color="auto" w:fill="FFFFFF"/>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满足招磋商文件要求且最后投标价格最低的投标报价为磋商基准价，磋商报价得分=（磋商基准价／最后磋商报价）×价格权值×100，计算分数时四舍五入取小数点后两位</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7288C31A">
      <w:pPr>
        <w:pStyle w:val="51"/>
        <w:shd w:val="clear" w:color="auto" w:fill="FFFFFF"/>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14:textFill>
            <w14:solidFill>
              <w14:schemeClr w14:val="tx1"/>
            </w14:solidFill>
          </w14:textFill>
        </w:rPr>
        <w:t>说明：</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商务</w:t>
      </w:r>
      <w:r>
        <w:rPr>
          <w:rFonts w:hint="eastAsia" w:asciiTheme="minorEastAsia" w:hAnsiTheme="minorEastAsia" w:eastAsiaTheme="minorEastAsia" w:cstheme="minorEastAsia"/>
          <w:b/>
          <w:color w:val="000000" w:themeColor="text1"/>
          <w:sz w:val="24"/>
          <w:szCs w:val="24"/>
          <w14:textFill>
            <w14:solidFill>
              <w14:schemeClr w14:val="tx1"/>
            </w14:solidFill>
          </w14:textFill>
        </w:rPr>
        <w:t>技术标部分满分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70</w:t>
      </w:r>
      <w:r>
        <w:rPr>
          <w:rFonts w:hint="eastAsia" w:asciiTheme="minorEastAsia" w:hAnsiTheme="minorEastAsia" w:eastAsiaTheme="minorEastAsia" w:cstheme="minorEastAsia"/>
          <w:b/>
          <w:color w:val="000000" w:themeColor="text1"/>
          <w:sz w:val="24"/>
          <w:szCs w:val="24"/>
          <w14:textFill>
            <w14:solidFill>
              <w14:schemeClr w14:val="tx1"/>
            </w14:solidFill>
          </w14:textFill>
        </w:rPr>
        <w:t>分，经济标部分满分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4"/>
          <w:szCs w:val="24"/>
          <w14:textFill>
            <w14:solidFill>
              <w14:schemeClr w14:val="tx1"/>
            </w14:solidFill>
          </w14:textFill>
        </w:rPr>
        <w:t>0分</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tbl>
      <w:tblPr>
        <w:tblStyle w:val="56"/>
        <w:tblW w:w="9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1315"/>
        <w:gridCol w:w="6761"/>
        <w:gridCol w:w="858"/>
      </w:tblGrid>
      <w:tr w14:paraId="67F6D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996" w:type="dxa"/>
            <w:vAlign w:val="top"/>
          </w:tcPr>
          <w:p w14:paraId="3CE846DE">
            <w:pPr>
              <w:pStyle w:val="55"/>
              <w:keepNext w:val="0"/>
              <w:keepLines w:val="0"/>
              <w:pageBreakBefore w:val="0"/>
              <w:wordWrap/>
              <w:overflowPunct/>
              <w:topLinePunct w:val="0"/>
              <w:autoSpaceDE w:val="0"/>
              <w:autoSpaceDN w:val="0"/>
              <w:bidi w:val="0"/>
              <w:spacing w:before="122" w:line="360" w:lineRule="exact"/>
              <w:ind w:left="124" w:leftChars="0" w:right="0" w:rightChars="0"/>
              <w:rPr>
                <w:rFonts w:hint="eastAsia" w:ascii="宋体" w:hAnsi="宋体" w:eastAsia="宋体" w:cs="宋体"/>
                <w:spacing w:val="-2"/>
                <w:sz w:val="24"/>
                <w:szCs w:val="24"/>
              </w:rPr>
            </w:pPr>
            <w:r>
              <w:rPr>
                <w:rFonts w:hint="eastAsia" w:ascii="宋体" w:hAnsi="宋体" w:eastAsia="宋体" w:cs="宋体"/>
                <w:spacing w:val="-2"/>
                <w:sz w:val="24"/>
                <w:szCs w:val="24"/>
              </w:rPr>
              <w:t>评分项目</w:t>
            </w:r>
          </w:p>
        </w:tc>
        <w:tc>
          <w:tcPr>
            <w:tcW w:w="1315" w:type="dxa"/>
            <w:vAlign w:val="top"/>
          </w:tcPr>
          <w:p w14:paraId="1A6C9E91">
            <w:pPr>
              <w:pStyle w:val="55"/>
              <w:keepNext w:val="0"/>
              <w:keepLines w:val="0"/>
              <w:pageBreakBefore w:val="0"/>
              <w:wordWrap/>
              <w:overflowPunct/>
              <w:topLinePunct w:val="0"/>
              <w:autoSpaceDE w:val="0"/>
              <w:autoSpaceDN w:val="0"/>
              <w:bidi w:val="0"/>
              <w:spacing w:before="122" w:line="360" w:lineRule="exact"/>
              <w:ind w:left="124" w:leftChars="0" w:right="0" w:rightChars="0"/>
              <w:rPr>
                <w:rFonts w:hint="eastAsia" w:ascii="宋体" w:hAnsi="宋体" w:eastAsia="宋体" w:cs="宋体"/>
                <w:spacing w:val="-2"/>
                <w:sz w:val="24"/>
                <w:szCs w:val="24"/>
              </w:rPr>
            </w:pPr>
            <w:r>
              <w:rPr>
                <w:rFonts w:hint="eastAsia" w:ascii="宋体" w:hAnsi="宋体" w:eastAsia="宋体" w:cs="宋体"/>
                <w:spacing w:val="-2"/>
                <w:sz w:val="24"/>
                <w:szCs w:val="24"/>
              </w:rPr>
              <w:t>评分因素</w:t>
            </w:r>
          </w:p>
        </w:tc>
        <w:tc>
          <w:tcPr>
            <w:tcW w:w="6761" w:type="dxa"/>
            <w:vAlign w:val="top"/>
          </w:tcPr>
          <w:p w14:paraId="5148BF60">
            <w:pPr>
              <w:pStyle w:val="55"/>
              <w:keepNext w:val="0"/>
              <w:keepLines w:val="0"/>
              <w:pageBreakBefore w:val="0"/>
              <w:wordWrap/>
              <w:overflowPunct/>
              <w:topLinePunct w:val="0"/>
              <w:autoSpaceDE w:val="0"/>
              <w:autoSpaceDN w:val="0"/>
              <w:bidi w:val="0"/>
              <w:spacing w:before="122" w:line="360" w:lineRule="exact"/>
              <w:ind w:left="124" w:leftChars="0" w:right="0" w:rightChars="0"/>
              <w:rPr>
                <w:rFonts w:hint="eastAsia" w:ascii="宋体" w:hAnsi="宋体" w:eastAsia="宋体" w:cs="宋体"/>
                <w:spacing w:val="-2"/>
                <w:sz w:val="24"/>
                <w:szCs w:val="24"/>
              </w:rPr>
            </w:pPr>
            <w:r>
              <w:rPr>
                <w:rFonts w:hint="eastAsia" w:ascii="宋体" w:hAnsi="宋体" w:eastAsia="宋体" w:cs="宋体"/>
                <w:spacing w:val="-2"/>
                <w:sz w:val="24"/>
                <w:szCs w:val="24"/>
              </w:rPr>
              <w:t>评审内容</w:t>
            </w:r>
          </w:p>
        </w:tc>
        <w:tc>
          <w:tcPr>
            <w:tcW w:w="858" w:type="dxa"/>
            <w:vAlign w:val="top"/>
          </w:tcPr>
          <w:p w14:paraId="64962619">
            <w:pPr>
              <w:pStyle w:val="55"/>
              <w:keepNext w:val="0"/>
              <w:keepLines w:val="0"/>
              <w:pageBreakBefore w:val="0"/>
              <w:wordWrap/>
              <w:overflowPunct/>
              <w:topLinePunct w:val="0"/>
              <w:autoSpaceDE w:val="0"/>
              <w:autoSpaceDN w:val="0"/>
              <w:bidi w:val="0"/>
              <w:spacing w:before="122" w:line="360" w:lineRule="exact"/>
              <w:ind w:left="124" w:leftChars="0" w:right="0" w:rightChars="0"/>
              <w:rPr>
                <w:rFonts w:hint="eastAsia" w:ascii="宋体" w:hAnsi="宋体" w:eastAsia="宋体" w:cs="宋体"/>
                <w:spacing w:val="-2"/>
                <w:sz w:val="24"/>
                <w:szCs w:val="24"/>
              </w:rPr>
            </w:pPr>
            <w:r>
              <w:rPr>
                <w:rFonts w:hint="eastAsia" w:ascii="宋体" w:hAnsi="宋体" w:eastAsia="宋体" w:cs="宋体"/>
                <w:spacing w:val="-2"/>
                <w:sz w:val="24"/>
                <w:szCs w:val="24"/>
              </w:rPr>
              <w:t>分值</w:t>
            </w:r>
          </w:p>
        </w:tc>
      </w:tr>
      <w:tr w14:paraId="661A9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9" w:hRule="atLeast"/>
        </w:trPr>
        <w:tc>
          <w:tcPr>
            <w:tcW w:w="996" w:type="dxa"/>
            <w:vAlign w:val="top"/>
          </w:tcPr>
          <w:p w14:paraId="24BE58EA">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p w14:paraId="693A6500">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p w14:paraId="77716DE2">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p w14:paraId="04530616">
            <w:pPr>
              <w:pStyle w:val="55"/>
              <w:keepNext w:val="0"/>
              <w:keepLines w:val="0"/>
              <w:pageBreakBefore w:val="0"/>
              <w:wordWrap/>
              <w:overflowPunct/>
              <w:topLinePunct w:val="0"/>
              <w:autoSpaceDE w:val="0"/>
              <w:autoSpaceDN w:val="0"/>
              <w:bidi w:val="0"/>
              <w:spacing w:before="78" w:line="360" w:lineRule="exact"/>
              <w:ind w:left="36" w:right="15" w:hanging="4"/>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价格部分 （30分）</w:t>
            </w:r>
          </w:p>
        </w:tc>
        <w:tc>
          <w:tcPr>
            <w:tcW w:w="1315" w:type="dxa"/>
            <w:vAlign w:val="top"/>
          </w:tcPr>
          <w:p w14:paraId="3241395B">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p w14:paraId="25E28593">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p w14:paraId="43E5BA01">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p w14:paraId="610CCAD9">
            <w:pPr>
              <w:pStyle w:val="55"/>
              <w:keepNext w:val="0"/>
              <w:keepLines w:val="0"/>
              <w:pageBreakBefore w:val="0"/>
              <w:wordWrap/>
              <w:overflowPunct/>
              <w:topLinePunct w:val="0"/>
              <w:autoSpaceDE w:val="0"/>
              <w:autoSpaceDN w:val="0"/>
              <w:bidi w:val="0"/>
              <w:spacing w:before="78" w:line="360" w:lineRule="exact"/>
              <w:ind w:left="189"/>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磋商报价</w:t>
            </w:r>
          </w:p>
        </w:tc>
        <w:tc>
          <w:tcPr>
            <w:tcW w:w="6761" w:type="dxa"/>
            <w:vAlign w:val="top"/>
          </w:tcPr>
          <w:p w14:paraId="6C90515B">
            <w:pPr>
              <w:pStyle w:val="55"/>
              <w:keepNext w:val="0"/>
              <w:keepLines w:val="0"/>
              <w:pageBreakBefore w:val="0"/>
              <w:wordWrap/>
              <w:overflowPunct/>
              <w:topLinePunct w:val="0"/>
              <w:autoSpaceDE w:val="0"/>
              <w:autoSpaceDN w:val="0"/>
              <w:bidi w:val="0"/>
              <w:spacing w:before="34" w:line="360" w:lineRule="exact"/>
              <w:ind w:left="16" w:firstLine="3"/>
              <w:jc w:val="both"/>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综合评分法中的价格分统一采用低价优先法计算，即满足磋商文件要求（通过资格、符合性审查）且最后报价最低的供应商的价格（指价格核准后的价格，下同）为磋商基准价，其价格得分为满分。其他供应商的价格得分统一按照下列公式计算：</w:t>
            </w:r>
          </w:p>
          <w:p w14:paraId="61BAD8BB">
            <w:pPr>
              <w:pStyle w:val="55"/>
              <w:keepNext w:val="0"/>
              <w:keepLines w:val="0"/>
              <w:pageBreakBefore w:val="0"/>
              <w:wordWrap/>
              <w:overflowPunct/>
              <w:topLinePunct w:val="0"/>
              <w:autoSpaceDE w:val="0"/>
              <w:autoSpaceDN w:val="0"/>
              <w:bidi w:val="0"/>
              <w:spacing w:before="24" w:line="360" w:lineRule="exact"/>
              <w:ind w:left="18" w:right="154" w:hanging="2"/>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磋商基准价=满足磋商文件要求（通过资格、符合性审查）且最后报价最低的供应商的价格（指价格核准后的价格，下同）</w:t>
            </w:r>
          </w:p>
          <w:p w14:paraId="4BEBCC9A">
            <w:pPr>
              <w:pStyle w:val="55"/>
              <w:keepNext w:val="0"/>
              <w:keepLines w:val="0"/>
              <w:pageBreakBefore w:val="0"/>
              <w:wordWrap/>
              <w:overflowPunct/>
              <w:topLinePunct w:val="0"/>
              <w:autoSpaceDE w:val="0"/>
              <w:autoSpaceDN w:val="0"/>
              <w:bidi w:val="0"/>
              <w:spacing w:before="20" w:line="360" w:lineRule="exact"/>
              <w:ind w:left="16"/>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磋商报价得分=(磋商基准价/最后磋商报价)×价格权重× 100</w:t>
            </w:r>
          </w:p>
        </w:tc>
        <w:tc>
          <w:tcPr>
            <w:tcW w:w="858" w:type="dxa"/>
            <w:vAlign w:val="top"/>
          </w:tcPr>
          <w:p w14:paraId="1775F833">
            <w:pPr>
              <w:keepNext w:val="0"/>
              <w:keepLines w:val="0"/>
              <w:pageBreakBefore w:val="0"/>
              <w:wordWrap/>
              <w:overflowPunct/>
              <w:topLinePunct w:val="0"/>
              <w:autoSpaceDE w:val="0"/>
              <w:autoSpaceDN w:val="0"/>
              <w:bidi w:val="0"/>
              <w:spacing w:line="360" w:lineRule="exact"/>
              <w:jc w:val="both"/>
              <w:rPr>
                <w:rFonts w:hint="eastAsia" w:ascii="宋体" w:hAnsi="宋体" w:eastAsia="宋体" w:cs="宋体"/>
                <w:snapToGrid w:val="0"/>
                <w:color w:val="000000"/>
                <w:spacing w:val="-2"/>
                <w:kern w:val="0"/>
                <w:sz w:val="24"/>
                <w:szCs w:val="24"/>
                <w:lang w:val="en-US" w:eastAsia="en-US" w:bidi="ar-SA"/>
              </w:rPr>
            </w:pPr>
          </w:p>
          <w:p w14:paraId="2B4DC2A9">
            <w:pPr>
              <w:keepNext w:val="0"/>
              <w:keepLines w:val="0"/>
              <w:pageBreakBefore w:val="0"/>
              <w:wordWrap/>
              <w:overflowPunct/>
              <w:topLinePunct w:val="0"/>
              <w:autoSpaceDE w:val="0"/>
              <w:autoSpaceDN w:val="0"/>
              <w:bidi w:val="0"/>
              <w:spacing w:line="360" w:lineRule="exact"/>
              <w:jc w:val="both"/>
              <w:rPr>
                <w:rFonts w:hint="eastAsia" w:ascii="宋体" w:hAnsi="宋体" w:eastAsia="宋体" w:cs="宋体"/>
                <w:snapToGrid w:val="0"/>
                <w:color w:val="000000"/>
                <w:spacing w:val="-2"/>
                <w:kern w:val="0"/>
                <w:sz w:val="24"/>
                <w:szCs w:val="24"/>
                <w:lang w:val="en-US" w:eastAsia="en-US" w:bidi="ar-SA"/>
              </w:rPr>
            </w:pPr>
          </w:p>
          <w:p w14:paraId="029CF283">
            <w:pPr>
              <w:keepNext w:val="0"/>
              <w:keepLines w:val="0"/>
              <w:pageBreakBefore w:val="0"/>
              <w:wordWrap/>
              <w:overflowPunct/>
              <w:topLinePunct w:val="0"/>
              <w:autoSpaceDE w:val="0"/>
              <w:autoSpaceDN w:val="0"/>
              <w:bidi w:val="0"/>
              <w:spacing w:line="360" w:lineRule="exact"/>
              <w:jc w:val="both"/>
              <w:rPr>
                <w:rFonts w:hint="eastAsia" w:ascii="宋体" w:hAnsi="宋体" w:eastAsia="宋体" w:cs="宋体"/>
                <w:snapToGrid w:val="0"/>
                <w:color w:val="000000"/>
                <w:spacing w:val="-2"/>
                <w:kern w:val="0"/>
                <w:sz w:val="24"/>
                <w:szCs w:val="24"/>
                <w:lang w:val="en-US" w:eastAsia="en-US" w:bidi="ar-SA"/>
              </w:rPr>
            </w:pPr>
          </w:p>
          <w:p w14:paraId="60D60E3F">
            <w:pPr>
              <w:keepNext w:val="0"/>
              <w:keepLines w:val="0"/>
              <w:pageBreakBefore w:val="0"/>
              <w:wordWrap/>
              <w:overflowPunct/>
              <w:topLinePunct w:val="0"/>
              <w:autoSpaceDE w:val="0"/>
              <w:autoSpaceDN w:val="0"/>
              <w:bidi w:val="0"/>
              <w:spacing w:line="360" w:lineRule="exact"/>
              <w:jc w:val="both"/>
              <w:rPr>
                <w:rFonts w:hint="eastAsia" w:ascii="宋体" w:hAnsi="宋体" w:eastAsia="宋体" w:cs="宋体"/>
                <w:snapToGrid w:val="0"/>
                <w:color w:val="000000"/>
                <w:spacing w:val="-2"/>
                <w:kern w:val="0"/>
                <w:sz w:val="24"/>
                <w:szCs w:val="24"/>
                <w:lang w:val="en-US" w:eastAsia="en-US" w:bidi="ar-SA"/>
              </w:rPr>
            </w:pPr>
          </w:p>
          <w:p w14:paraId="676D3B6D">
            <w:pPr>
              <w:pStyle w:val="55"/>
              <w:keepNext w:val="0"/>
              <w:keepLines w:val="0"/>
              <w:pageBreakBefore w:val="0"/>
              <w:wordWrap/>
              <w:overflowPunct/>
              <w:topLinePunct w:val="0"/>
              <w:autoSpaceDE w:val="0"/>
              <w:autoSpaceDN w:val="0"/>
              <w:bidi w:val="0"/>
              <w:spacing w:before="78" w:line="360" w:lineRule="exact"/>
              <w:ind w:left="319"/>
              <w:jc w:val="both"/>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30</w:t>
            </w:r>
          </w:p>
        </w:tc>
      </w:tr>
      <w:tr w14:paraId="75A17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 w:hRule="atLeast"/>
        </w:trPr>
        <w:tc>
          <w:tcPr>
            <w:tcW w:w="996" w:type="dxa"/>
            <w:vMerge w:val="restart"/>
            <w:tcBorders>
              <w:bottom w:val="nil"/>
            </w:tcBorders>
            <w:vAlign w:val="top"/>
          </w:tcPr>
          <w:p w14:paraId="7DE263AD">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p w14:paraId="707BADD9">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p w14:paraId="229046EA">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p w14:paraId="61556FBA">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p w14:paraId="77BEACD7">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p w14:paraId="0193B8AF">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p w14:paraId="0BC79659">
            <w:pPr>
              <w:pStyle w:val="55"/>
              <w:keepNext w:val="0"/>
              <w:keepLines w:val="0"/>
              <w:pageBreakBefore w:val="0"/>
              <w:wordWrap/>
              <w:overflowPunct/>
              <w:topLinePunct w:val="0"/>
              <w:autoSpaceDE w:val="0"/>
              <w:autoSpaceDN w:val="0"/>
              <w:bidi w:val="0"/>
              <w:spacing w:before="78" w:line="360" w:lineRule="exact"/>
              <w:ind w:right="15"/>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商务部分 （</w:t>
            </w:r>
            <w:r>
              <w:rPr>
                <w:rFonts w:hint="eastAsia" w:ascii="宋体" w:hAnsi="宋体" w:eastAsia="宋体" w:cs="宋体"/>
                <w:snapToGrid w:val="0"/>
                <w:color w:val="000000"/>
                <w:spacing w:val="-2"/>
                <w:kern w:val="0"/>
                <w:sz w:val="24"/>
                <w:szCs w:val="24"/>
                <w:lang w:val="en-US" w:eastAsia="zh-CN" w:bidi="ar-SA"/>
              </w:rPr>
              <w:t>21</w:t>
            </w:r>
            <w:r>
              <w:rPr>
                <w:rFonts w:hint="eastAsia" w:ascii="宋体" w:hAnsi="宋体" w:eastAsia="宋体" w:cs="宋体"/>
                <w:snapToGrid w:val="0"/>
                <w:color w:val="000000"/>
                <w:spacing w:val="-2"/>
                <w:kern w:val="0"/>
                <w:sz w:val="24"/>
                <w:szCs w:val="24"/>
                <w:lang w:val="en-US" w:eastAsia="en-US" w:bidi="ar-SA"/>
              </w:rPr>
              <w:t>分）</w:t>
            </w:r>
          </w:p>
        </w:tc>
        <w:tc>
          <w:tcPr>
            <w:tcW w:w="1315" w:type="dxa"/>
            <w:vAlign w:val="top"/>
          </w:tcPr>
          <w:p w14:paraId="787DE5CB">
            <w:pPr>
              <w:pStyle w:val="55"/>
              <w:keepNext w:val="0"/>
              <w:keepLines w:val="0"/>
              <w:pageBreakBefore w:val="0"/>
              <w:wordWrap/>
              <w:overflowPunct/>
              <w:topLinePunct w:val="0"/>
              <w:autoSpaceDE w:val="0"/>
              <w:autoSpaceDN w:val="0"/>
              <w:bidi w:val="0"/>
              <w:spacing w:before="78" w:line="360" w:lineRule="exact"/>
              <w:ind w:left="70" w:right="55" w:firstLine="29"/>
              <w:jc w:val="center"/>
              <w:rPr>
                <w:rFonts w:hint="eastAsia" w:ascii="宋体" w:hAnsi="宋体" w:eastAsia="宋体" w:cs="宋体"/>
                <w:snapToGrid w:val="0"/>
                <w:color w:val="000000"/>
                <w:spacing w:val="-2"/>
                <w:kern w:val="0"/>
                <w:sz w:val="24"/>
                <w:szCs w:val="24"/>
                <w:lang w:val="en-US" w:eastAsia="zh-CN" w:bidi="ar-SA"/>
              </w:rPr>
            </w:pPr>
          </w:p>
          <w:p w14:paraId="1CEFB128">
            <w:pPr>
              <w:pStyle w:val="55"/>
              <w:keepNext w:val="0"/>
              <w:keepLines w:val="0"/>
              <w:pageBreakBefore w:val="0"/>
              <w:wordWrap/>
              <w:overflowPunct/>
              <w:topLinePunct w:val="0"/>
              <w:autoSpaceDE w:val="0"/>
              <w:autoSpaceDN w:val="0"/>
              <w:bidi w:val="0"/>
              <w:spacing w:before="78" w:line="360" w:lineRule="exact"/>
              <w:ind w:left="70" w:right="55" w:firstLine="29"/>
              <w:jc w:val="cente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企业业绩</w:t>
            </w:r>
          </w:p>
        </w:tc>
        <w:tc>
          <w:tcPr>
            <w:tcW w:w="6761" w:type="dxa"/>
            <w:vAlign w:val="top"/>
          </w:tcPr>
          <w:p w14:paraId="1AC5D7E7">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zh-CN" w:bidi="ar-SA"/>
              </w:rPr>
            </w:pPr>
          </w:p>
          <w:p w14:paraId="58F9EAB3">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zh-CN" w:bidi="ar-SA"/>
              </w:rPr>
              <w:t>投标企业</w:t>
            </w:r>
            <w:r>
              <w:rPr>
                <w:rFonts w:hint="eastAsia" w:ascii="宋体" w:hAnsi="宋体" w:eastAsia="宋体" w:cs="宋体"/>
                <w:snapToGrid w:val="0"/>
                <w:color w:val="000000"/>
                <w:spacing w:val="-2"/>
                <w:kern w:val="0"/>
                <w:sz w:val="24"/>
                <w:szCs w:val="24"/>
                <w:lang w:val="zh-CN" w:eastAsia="en-US" w:bidi="ar-SA"/>
              </w:rPr>
              <w:t>具有近三年（20</w:t>
            </w:r>
            <w:r>
              <w:rPr>
                <w:rFonts w:hint="eastAsia" w:ascii="宋体" w:hAnsi="宋体" w:eastAsia="宋体" w:cs="宋体"/>
                <w:snapToGrid w:val="0"/>
                <w:color w:val="000000"/>
                <w:spacing w:val="-2"/>
                <w:kern w:val="0"/>
                <w:sz w:val="24"/>
                <w:szCs w:val="24"/>
                <w:lang w:val="en-US" w:eastAsia="zh-CN" w:bidi="ar-SA"/>
              </w:rPr>
              <w:t>23</w:t>
            </w:r>
            <w:r>
              <w:rPr>
                <w:rFonts w:hint="eastAsia" w:ascii="宋体" w:hAnsi="宋体" w:eastAsia="宋体" w:cs="宋体"/>
                <w:snapToGrid w:val="0"/>
                <w:color w:val="000000"/>
                <w:spacing w:val="-2"/>
                <w:kern w:val="0"/>
                <w:sz w:val="24"/>
                <w:szCs w:val="24"/>
                <w:lang w:val="zh-CN" w:eastAsia="en-US" w:bidi="ar-SA"/>
              </w:rPr>
              <w:t>年</w:t>
            </w:r>
            <w:r>
              <w:rPr>
                <w:rFonts w:hint="eastAsia" w:ascii="宋体" w:hAnsi="宋体" w:eastAsia="宋体" w:cs="宋体"/>
                <w:snapToGrid w:val="0"/>
                <w:color w:val="000000"/>
                <w:spacing w:val="-2"/>
                <w:kern w:val="0"/>
                <w:sz w:val="24"/>
                <w:szCs w:val="24"/>
                <w:lang w:val="en-US" w:eastAsia="zh-CN" w:bidi="ar-SA"/>
              </w:rPr>
              <w:t>0</w:t>
            </w:r>
            <w:r>
              <w:rPr>
                <w:rFonts w:hint="eastAsia" w:cs="宋体"/>
                <w:snapToGrid w:val="0"/>
                <w:color w:val="000000"/>
                <w:spacing w:val="-2"/>
                <w:kern w:val="0"/>
                <w:sz w:val="24"/>
                <w:szCs w:val="24"/>
                <w:lang w:val="en-US" w:eastAsia="zh-CN" w:bidi="ar-SA"/>
              </w:rPr>
              <w:t>1</w:t>
            </w:r>
            <w:r>
              <w:rPr>
                <w:rFonts w:hint="eastAsia" w:ascii="宋体" w:hAnsi="宋体" w:eastAsia="宋体" w:cs="宋体"/>
                <w:snapToGrid w:val="0"/>
                <w:color w:val="000000"/>
                <w:spacing w:val="-2"/>
                <w:kern w:val="0"/>
                <w:sz w:val="24"/>
                <w:szCs w:val="24"/>
                <w:lang w:val="zh-CN" w:eastAsia="en-US" w:bidi="ar-SA"/>
              </w:rPr>
              <w:t>月</w:t>
            </w:r>
            <w:r>
              <w:rPr>
                <w:rFonts w:hint="eastAsia" w:ascii="宋体" w:hAnsi="宋体" w:eastAsia="宋体" w:cs="宋体"/>
                <w:snapToGrid w:val="0"/>
                <w:color w:val="000000"/>
                <w:spacing w:val="-2"/>
                <w:kern w:val="0"/>
                <w:sz w:val="24"/>
                <w:szCs w:val="24"/>
                <w:lang w:val="en-US" w:eastAsia="zh-CN" w:bidi="ar-SA"/>
              </w:rPr>
              <w:t>0</w:t>
            </w:r>
            <w:r>
              <w:rPr>
                <w:rFonts w:hint="eastAsia" w:ascii="宋体" w:hAnsi="宋体" w:eastAsia="宋体" w:cs="宋体"/>
                <w:snapToGrid w:val="0"/>
                <w:color w:val="000000"/>
                <w:spacing w:val="-2"/>
                <w:kern w:val="0"/>
                <w:sz w:val="24"/>
                <w:szCs w:val="24"/>
                <w:lang w:val="zh-CN" w:eastAsia="en-US" w:bidi="ar-SA"/>
              </w:rPr>
              <w:t>1日至今）类似项目业绩，提供一个得</w:t>
            </w:r>
            <w:r>
              <w:rPr>
                <w:rFonts w:hint="eastAsia" w:ascii="宋体" w:hAnsi="宋体" w:eastAsia="宋体" w:cs="宋体"/>
                <w:snapToGrid w:val="0"/>
                <w:color w:val="000000"/>
                <w:spacing w:val="-2"/>
                <w:kern w:val="0"/>
                <w:sz w:val="24"/>
                <w:szCs w:val="24"/>
                <w:lang w:val="en-US" w:eastAsia="zh-CN" w:bidi="ar-SA"/>
              </w:rPr>
              <w:t>2</w:t>
            </w:r>
            <w:r>
              <w:rPr>
                <w:rFonts w:hint="eastAsia" w:ascii="宋体" w:hAnsi="宋体" w:eastAsia="宋体" w:cs="宋体"/>
                <w:snapToGrid w:val="0"/>
                <w:color w:val="000000"/>
                <w:spacing w:val="-2"/>
                <w:kern w:val="0"/>
                <w:sz w:val="24"/>
                <w:szCs w:val="24"/>
                <w:lang w:val="zh-CN" w:eastAsia="en-US" w:bidi="ar-SA"/>
              </w:rPr>
              <w:t>分，</w:t>
            </w:r>
            <w:r>
              <w:rPr>
                <w:rFonts w:hint="eastAsia" w:ascii="宋体" w:hAnsi="宋体" w:eastAsia="宋体" w:cs="宋体"/>
                <w:snapToGrid w:val="0"/>
                <w:color w:val="000000"/>
                <w:spacing w:val="-2"/>
                <w:kern w:val="0"/>
                <w:sz w:val="24"/>
                <w:szCs w:val="24"/>
                <w:lang w:val="en-US" w:eastAsia="zh-CN" w:bidi="ar-SA"/>
              </w:rPr>
              <w:t>满分6分</w:t>
            </w:r>
            <w:r>
              <w:rPr>
                <w:rFonts w:hint="eastAsia" w:ascii="宋体" w:hAnsi="宋体" w:eastAsia="宋体" w:cs="宋体"/>
                <w:snapToGrid w:val="0"/>
                <w:color w:val="000000"/>
                <w:spacing w:val="-2"/>
                <w:kern w:val="0"/>
                <w:sz w:val="24"/>
                <w:szCs w:val="24"/>
                <w:lang w:val="zh-CN" w:eastAsia="en-US" w:bidi="ar-SA"/>
              </w:rPr>
              <w:t>。（提供中标通知书</w:t>
            </w:r>
            <w:r>
              <w:rPr>
                <w:rFonts w:hint="eastAsia" w:ascii="宋体" w:hAnsi="宋体" w:eastAsia="宋体" w:cs="宋体"/>
                <w:snapToGrid w:val="0"/>
                <w:color w:val="000000"/>
                <w:spacing w:val="-2"/>
                <w:kern w:val="0"/>
                <w:sz w:val="24"/>
                <w:szCs w:val="24"/>
                <w:lang w:val="en-US" w:eastAsia="zh-CN" w:bidi="ar-SA"/>
              </w:rPr>
              <w:t>及</w:t>
            </w:r>
            <w:r>
              <w:rPr>
                <w:rFonts w:hint="eastAsia" w:ascii="宋体" w:hAnsi="宋体" w:eastAsia="宋体" w:cs="宋体"/>
                <w:snapToGrid w:val="0"/>
                <w:color w:val="000000"/>
                <w:spacing w:val="-2"/>
                <w:kern w:val="0"/>
                <w:sz w:val="24"/>
                <w:szCs w:val="24"/>
                <w:lang w:val="zh-CN" w:eastAsia="en-US" w:bidi="ar-SA"/>
              </w:rPr>
              <w:t>施工合同</w:t>
            </w:r>
            <w:r>
              <w:rPr>
                <w:rFonts w:hint="eastAsia" w:ascii="宋体" w:hAnsi="宋体" w:eastAsia="宋体" w:cs="宋体"/>
                <w:snapToGrid w:val="0"/>
                <w:color w:val="000000"/>
                <w:spacing w:val="-2"/>
                <w:kern w:val="0"/>
                <w:sz w:val="24"/>
                <w:szCs w:val="24"/>
                <w:lang w:val="en-US" w:eastAsia="zh-CN" w:bidi="ar-SA"/>
              </w:rPr>
              <w:t>复印件加盖公章</w:t>
            </w:r>
            <w:r>
              <w:rPr>
                <w:rFonts w:hint="eastAsia" w:ascii="宋体" w:hAnsi="宋体" w:eastAsia="宋体" w:cs="宋体"/>
                <w:snapToGrid w:val="0"/>
                <w:color w:val="000000"/>
                <w:spacing w:val="-2"/>
                <w:kern w:val="0"/>
                <w:sz w:val="24"/>
                <w:szCs w:val="24"/>
                <w:lang w:val="zh-CN" w:eastAsia="en-US" w:bidi="ar-SA"/>
              </w:rPr>
              <w:t>）</w:t>
            </w:r>
          </w:p>
        </w:tc>
        <w:tc>
          <w:tcPr>
            <w:tcW w:w="858" w:type="dxa"/>
            <w:vAlign w:val="top"/>
          </w:tcPr>
          <w:p w14:paraId="2E7194F6">
            <w:pPr>
              <w:keepNext w:val="0"/>
              <w:keepLines w:val="0"/>
              <w:pageBreakBefore w:val="0"/>
              <w:wordWrap/>
              <w:overflowPunct/>
              <w:topLinePunct w:val="0"/>
              <w:autoSpaceDE w:val="0"/>
              <w:autoSpaceDN w:val="0"/>
              <w:bidi w:val="0"/>
              <w:spacing w:line="360" w:lineRule="exact"/>
              <w:jc w:val="both"/>
              <w:rPr>
                <w:rFonts w:hint="eastAsia" w:ascii="宋体" w:hAnsi="宋体" w:eastAsia="宋体" w:cs="宋体"/>
                <w:snapToGrid w:val="0"/>
                <w:color w:val="000000"/>
                <w:spacing w:val="-2"/>
                <w:kern w:val="0"/>
                <w:sz w:val="24"/>
                <w:szCs w:val="24"/>
                <w:lang w:val="en-US" w:eastAsia="en-US" w:bidi="ar-SA"/>
              </w:rPr>
            </w:pPr>
          </w:p>
          <w:p w14:paraId="479656C9">
            <w:pPr>
              <w:pStyle w:val="55"/>
              <w:keepNext w:val="0"/>
              <w:keepLines w:val="0"/>
              <w:pageBreakBefore w:val="0"/>
              <w:wordWrap/>
              <w:overflowPunct/>
              <w:topLinePunct w:val="0"/>
              <w:autoSpaceDE w:val="0"/>
              <w:autoSpaceDN w:val="0"/>
              <w:bidi w:val="0"/>
              <w:spacing w:before="78" w:line="360" w:lineRule="exact"/>
              <w:ind w:left="377"/>
              <w:jc w:val="both"/>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6</w:t>
            </w:r>
          </w:p>
        </w:tc>
      </w:tr>
      <w:tr w14:paraId="490C4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96" w:type="dxa"/>
            <w:vMerge w:val="continue"/>
            <w:tcBorders>
              <w:top w:val="nil"/>
              <w:bottom w:val="nil"/>
            </w:tcBorders>
            <w:vAlign w:val="top"/>
          </w:tcPr>
          <w:p w14:paraId="7D044FAC">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tc>
        <w:tc>
          <w:tcPr>
            <w:tcW w:w="1315" w:type="dxa"/>
            <w:vAlign w:val="top"/>
          </w:tcPr>
          <w:p w14:paraId="66685457">
            <w:pPr>
              <w:pStyle w:val="55"/>
              <w:keepNext w:val="0"/>
              <w:keepLines w:val="0"/>
              <w:pageBreakBefore w:val="0"/>
              <w:wordWrap/>
              <w:overflowPunct/>
              <w:topLinePunct w:val="0"/>
              <w:autoSpaceDE w:val="0"/>
              <w:autoSpaceDN w:val="0"/>
              <w:bidi w:val="0"/>
              <w:spacing w:before="78" w:line="360" w:lineRule="exact"/>
              <w:ind w:right="55"/>
              <w:jc w:val="center"/>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项目经理业绩</w:t>
            </w:r>
          </w:p>
        </w:tc>
        <w:tc>
          <w:tcPr>
            <w:tcW w:w="6761" w:type="dxa"/>
            <w:vAlign w:val="top"/>
          </w:tcPr>
          <w:p w14:paraId="6EBF5322">
            <w:pPr>
              <w:pStyle w:val="55"/>
              <w:keepNext w:val="0"/>
              <w:keepLines w:val="0"/>
              <w:pageBreakBefore w:val="0"/>
              <w:wordWrap/>
              <w:overflowPunct/>
              <w:topLinePunct w:val="0"/>
              <w:autoSpaceDE w:val="0"/>
              <w:autoSpaceDN w:val="0"/>
              <w:bidi w:val="0"/>
              <w:spacing w:before="34" w:line="360" w:lineRule="exact"/>
              <w:ind w:left="16" w:firstLine="3"/>
              <w:jc w:val="both"/>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zh-CN" w:bidi="ar-SA"/>
              </w:rPr>
              <w:t>项目经理</w:t>
            </w:r>
            <w:r>
              <w:rPr>
                <w:rFonts w:hint="eastAsia" w:ascii="宋体" w:hAnsi="宋体" w:eastAsia="宋体" w:cs="宋体"/>
                <w:snapToGrid w:val="0"/>
                <w:color w:val="000000"/>
                <w:spacing w:val="-2"/>
                <w:kern w:val="0"/>
                <w:sz w:val="24"/>
                <w:szCs w:val="24"/>
                <w:lang w:val="en-US" w:eastAsia="en-US" w:bidi="ar-SA"/>
              </w:rPr>
              <w:t>担任过类似工程项目经理的，</w:t>
            </w:r>
            <w:r>
              <w:rPr>
                <w:rFonts w:hint="eastAsia" w:ascii="宋体" w:hAnsi="宋体" w:eastAsia="宋体" w:cs="宋体"/>
                <w:snapToGrid w:val="0"/>
                <w:color w:val="000000"/>
                <w:spacing w:val="-2"/>
                <w:kern w:val="0"/>
                <w:sz w:val="24"/>
                <w:szCs w:val="24"/>
                <w:lang w:val="zh-CN" w:eastAsia="en-US" w:bidi="ar-SA"/>
              </w:rPr>
              <w:t>提供一个得</w:t>
            </w:r>
            <w:r>
              <w:rPr>
                <w:rFonts w:hint="eastAsia" w:ascii="宋体" w:hAnsi="宋体" w:eastAsia="宋体" w:cs="宋体"/>
                <w:snapToGrid w:val="0"/>
                <w:color w:val="000000"/>
                <w:spacing w:val="-2"/>
                <w:kern w:val="0"/>
                <w:sz w:val="24"/>
                <w:szCs w:val="24"/>
                <w:lang w:val="en-US" w:eastAsia="zh-CN" w:bidi="ar-SA"/>
              </w:rPr>
              <w:t>3</w:t>
            </w:r>
            <w:r>
              <w:rPr>
                <w:rFonts w:hint="eastAsia" w:ascii="宋体" w:hAnsi="宋体" w:eastAsia="宋体" w:cs="宋体"/>
                <w:snapToGrid w:val="0"/>
                <w:color w:val="000000"/>
                <w:spacing w:val="-2"/>
                <w:kern w:val="0"/>
                <w:sz w:val="24"/>
                <w:szCs w:val="24"/>
                <w:lang w:val="zh-CN" w:eastAsia="en-US" w:bidi="ar-SA"/>
              </w:rPr>
              <w:t>分，</w:t>
            </w:r>
            <w:r>
              <w:rPr>
                <w:rFonts w:hint="eastAsia" w:ascii="宋体" w:hAnsi="宋体" w:eastAsia="宋体" w:cs="宋体"/>
                <w:snapToGrid w:val="0"/>
                <w:color w:val="000000"/>
                <w:spacing w:val="-2"/>
                <w:kern w:val="0"/>
                <w:sz w:val="24"/>
                <w:szCs w:val="24"/>
                <w:lang w:val="en-US" w:eastAsia="zh-CN" w:bidi="ar-SA"/>
              </w:rPr>
              <w:t>满分3分</w:t>
            </w:r>
            <w:r>
              <w:rPr>
                <w:rFonts w:hint="eastAsia" w:ascii="宋体" w:hAnsi="宋体" w:eastAsia="宋体" w:cs="宋体"/>
                <w:snapToGrid w:val="0"/>
                <w:color w:val="000000"/>
                <w:spacing w:val="-2"/>
                <w:kern w:val="0"/>
                <w:sz w:val="24"/>
                <w:szCs w:val="24"/>
                <w:lang w:val="zh-CN" w:eastAsia="en-US" w:bidi="ar-SA"/>
              </w:rPr>
              <w:t>。（提供中标通知书</w:t>
            </w:r>
            <w:r>
              <w:rPr>
                <w:rFonts w:hint="eastAsia" w:ascii="宋体" w:hAnsi="宋体" w:eastAsia="宋体" w:cs="宋体"/>
                <w:snapToGrid w:val="0"/>
                <w:color w:val="000000"/>
                <w:spacing w:val="-2"/>
                <w:kern w:val="0"/>
                <w:sz w:val="24"/>
                <w:szCs w:val="24"/>
                <w:lang w:val="en-US" w:eastAsia="zh-CN" w:bidi="ar-SA"/>
              </w:rPr>
              <w:t>及</w:t>
            </w:r>
            <w:r>
              <w:rPr>
                <w:rFonts w:hint="eastAsia" w:ascii="宋体" w:hAnsi="宋体" w:eastAsia="宋体" w:cs="宋体"/>
                <w:snapToGrid w:val="0"/>
                <w:color w:val="000000"/>
                <w:spacing w:val="-2"/>
                <w:kern w:val="0"/>
                <w:sz w:val="24"/>
                <w:szCs w:val="24"/>
                <w:lang w:val="zh-CN" w:eastAsia="en-US" w:bidi="ar-SA"/>
              </w:rPr>
              <w:t>施工合同</w:t>
            </w:r>
            <w:r>
              <w:rPr>
                <w:rFonts w:hint="eastAsia" w:ascii="宋体" w:hAnsi="宋体" w:eastAsia="宋体" w:cs="宋体"/>
                <w:snapToGrid w:val="0"/>
                <w:color w:val="000000"/>
                <w:spacing w:val="-2"/>
                <w:kern w:val="0"/>
                <w:sz w:val="24"/>
                <w:szCs w:val="24"/>
                <w:lang w:val="en-US" w:eastAsia="zh-CN" w:bidi="ar-SA"/>
              </w:rPr>
              <w:t>复印件加盖公章</w:t>
            </w:r>
            <w:r>
              <w:rPr>
                <w:rFonts w:hint="eastAsia" w:ascii="宋体" w:hAnsi="宋体" w:eastAsia="宋体" w:cs="宋体"/>
                <w:snapToGrid w:val="0"/>
                <w:color w:val="000000"/>
                <w:spacing w:val="-2"/>
                <w:kern w:val="0"/>
                <w:sz w:val="24"/>
                <w:szCs w:val="24"/>
                <w:lang w:val="zh-CN" w:eastAsia="en-US" w:bidi="ar-SA"/>
              </w:rPr>
              <w:t>）</w:t>
            </w:r>
          </w:p>
        </w:tc>
        <w:tc>
          <w:tcPr>
            <w:tcW w:w="858" w:type="dxa"/>
            <w:vAlign w:val="top"/>
          </w:tcPr>
          <w:p w14:paraId="7F6A1128">
            <w:pPr>
              <w:keepNext w:val="0"/>
              <w:keepLines w:val="0"/>
              <w:pageBreakBefore w:val="0"/>
              <w:wordWrap/>
              <w:overflowPunct/>
              <w:topLinePunct w:val="0"/>
              <w:autoSpaceDE w:val="0"/>
              <w:autoSpaceDN w:val="0"/>
              <w:bidi w:val="0"/>
              <w:spacing w:line="360" w:lineRule="exact"/>
              <w:jc w:val="both"/>
              <w:rPr>
                <w:rFonts w:hint="eastAsia" w:ascii="宋体" w:hAnsi="宋体" w:eastAsia="宋体" w:cs="宋体"/>
                <w:snapToGrid w:val="0"/>
                <w:color w:val="000000"/>
                <w:spacing w:val="-2"/>
                <w:kern w:val="0"/>
                <w:sz w:val="24"/>
                <w:szCs w:val="24"/>
                <w:lang w:val="en-US" w:eastAsia="en-US" w:bidi="ar-SA"/>
              </w:rPr>
            </w:pPr>
          </w:p>
          <w:p w14:paraId="4BDAC264">
            <w:pPr>
              <w:pStyle w:val="55"/>
              <w:keepNext w:val="0"/>
              <w:keepLines w:val="0"/>
              <w:pageBreakBefore w:val="0"/>
              <w:wordWrap/>
              <w:overflowPunct/>
              <w:topLinePunct w:val="0"/>
              <w:autoSpaceDE w:val="0"/>
              <w:autoSpaceDN w:val="0"/>
              <w:bidi w:val="0"/>
              <w:spacing w:before="78" w:line="360" w:lineRule="exact"/>
              <w:ind w:left="332"/>
              <w:jc w:val="both"/>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3</w:t>
            </w:r>
          </w:p>
        </w:tc>
      </w:tr>
      <w:tr w14:paraId="44673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996" w:type="dxa"/>
            <w:vMerge w:val="continue"/>
            <w:tcBorders>
              <w:top w:val="nil"/>
              <w:bottom w:val="nil"/>
            </w:tcBorders>
            <w:vAlign w:val="top"/>
          </w:tcPr>
          <w:p w14:paraId="4EA517D2">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tc>
        <w:tc>
          <w:tcPr>
            <w:tcW w:w="1315" w:type="dxa"/>
            <w:vAlign w:val="top"/>
          </w:tcPr>
          <w:p w14:paraId="614E634D">
            <w:pPr>
              <w:pStyle w:val="55"/>
              <w:keepNext w:val="0"/>
              <w:keepLines w:val="0"/>
              <w:pageBreakBefore w:val="0"/>
              <w:wordWrap/>
              <w:overflowPunct/>
              <w:topLinePunct w:val="0"/>
              <w:autoSpaceDE w:val="0"/>
              <w:autoSpaceDN w:val="0"/>
              <w:bidi w:val="0"/>
              <w:spacing w:before="113" w:line="360" w:lineRule="exact"/>
              <w:ind w:left="89" w:right="55" w:hanging="17"/>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其他主要人员配置情况</w:t>
            </w:r>
          </w:p>
        </w:tc>
        <w:tc>
          <w:tcPr>
            <w:tcW w:w="6761" w:type="dxa"/>
            <w:vAlign w:val="top"/>
          </w:tcPr>
          <w:p w14:paraId="7E1C3DEE">
            <w:pPr>
              <w:pStyle w:val="55"/>
              <w:keepNext w:val="0"/>
              <w:keepLines w:val="0"/>
              <w:pageBreakBefore w:val="0"/>
              <w:wordWrap/>
              <w:overflowPunct/>
              <w:topLinePunct w:val="0"/>
              <w:autoSpaceDE w:val="0"/>
              <w:autoSpaceDN w:val="0"/>
              <w:bidi w:val="0"/>
              <w:spacing w:before="34" w:line="360" w:lineRule="exact"/>
              <w:ind w:left="16" w:firstLine="3"/>
              <w:jc w:val="both"/>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zh-CN" w:bidi="ar-SA"/>
              </w:rPr>
              <w:t>技术负责人</w:t>
            </w:r>
            <w:r>
              <w:rPr>
                <w:rFonts w:hint="eastAsia" w:ascii="宋体" w:hAnsi="宋体" w:eastAsia="宋体" w:cs="宋体"/>
                <w:snapToGrid w:val="0"/>
                <w:color w:val="000000"/>
                <w:spacing w:val="-2"/>
                <w:kern w:val="0"/>
                <w:sz w:val="24"/>
                <w:szCs w:val="24"/>
                <w:lang w:val="en-US" w:eastAsia="en-US" w:bidi="ar-SA"/>
              </w:rPr>
              <w:t>职称证书、</w:t>
            </w:r>
            <w:r>
              <w:rPr>
                <w:rFonts w:hint="eastAsia" w:ascii="宋体" w:hAnsi="宋体" w:eastAsia="宋体" w:cs="宋体"/>
                <w:snapToGrid w:val="0"/>
                <w:color w:val="000000"/>
                <w:spacing w:val="-2"/>
                <w:kern w:val="0"/>
                <w:sz w:val="24"/>
                <w:szCs w:val="24"/>
                <w:lang w:val="en-US" w:eastAsia="zh-CN" w:bidi="ar-SA"/>
              </w:rPr>
              <w:t>施工员岗位证、质检员岗位证</w:t>
            </w:r>
            <w:r>
              <w:rPr>
                <w:rFonts w:hint="eastAsia" w:ascii="宋体" w:hAnsi="宋体" w:eastAsia="宋体" w:cs="宋体"/>
                <w:snapToGrid w:val="0"/>
                <w:color w:val="000000"/>
                <w:spacing w:val="-2"/>
                <w:kern w:val="0"/>
                <w:sz w:val="24"/>
                <w:szCs w:val="24"/>
                <w:lang w:val="en-US" w:eastAsia="en-US" w:bidi="ar-SA"/>
              </w:rPr>
              <w:t>、安全员</w:t>
            </w:r>
            <w:r>
              <w:rPr>
                <w:rFonts w:hint="eastAsia" w:ascii="宋体" w:hAnsi="宋体" w:eastAsia="宋体" w:cs="宋体"/>
                <w:snapToGrid w:val="0"/>
                <w:color w:val="000000"/>
                <w:spacing w:val="-2"/>
                <w:kern w:val="0"/>
                <w:sz w:val="24"/>
                <w:szCs w:val="24"/>
                <w:lang w:val="en-US" w:eastAsia="zh-CN" w:bidi="ar-SA"/>
              </w:rPr>
              <w:t>岗位证及安全生产考核合格证书</w:t>
            </w:r>
            <w:r>
              <w:rPr>
                <w:rFonts w:hint="eastAsia" w:ascii="宋体" w:hAnsi="宋体" w:eastAsia="宋体" w:cs="宋体"/>
                <w:snapToGrid w:val="0"/>
                <w:color w:val="000000"/>
                <w:spacing w:val="-2"/>
                <w:kern w:val="0"/>
                <w:sz w:val="24"/>
                <w:szCs w:val="24"/>
                <w:lang w:val="en-US" w:eastAsia="en-US" w:bidi="ar-SA"/>
              </w:rPr>
              <w:t>、材料员</w:t>
            </w:r>
            <w:r>
              <w:rPr>
                <w:rFonts w:hint="eastAsia" w:ascii="宋体" w:hAnsi="宋体" w:eastAsia="宋体" w:cs="宋体"/>
                <w:snapToGrid w:val="0"/>
                <w:color w:val="000000"/>
                <w:spacing w:val="-2"/>
                <w:kern w:val="0"/>
                <w:sz w:val="24"/>
                <w:szCs w:val="24"/>
                <w:lang w:val="en-US" w:eastAsia="zh-CN" w:bidi="ar-SA"/>
              </w:rPr>
              <w:t>岗位证</w:t>
            </w:r>
            <w:r>
              <w:rPr>
                <w:rFonts w:hint="eastAsia" w:ascii="宋体" w:hAnsi="宋体" w:eastAsia="宋体" w:cs="宋体"/>
                <w:snapToGrid w:val="0"/>
                <w:color w:val="000000"/>
                <w:spacing w:val="-2"/>
                <w:kern w:val="0"/>
                <w:sz w:val="24"/>
                <w:szCs w:val="24"/>
                <w:lang w:val="en-US" w:eastAsia="en-US" w:bidi="ar-SA"/>
              </w:rPr>
              <w:t>、资料员</w:t>
            </w:r>
            <w:r>
              <w:rPr>
                <w:rFonts w:hint="eastAsia" w:ascii="宋体" w:hAnsi="宋体" w:eastAsia="宋体" w:cs="宋体"/>
                <w:snapToGrid w:val="0"/>
                <w:color w:val="000000"/>
                <w:spacing w:val="-2"/>
                <w:kern w:val="0"/>
                <w:sz w:val="24"/>
                <w:szCs w:val="24"/>
                <w:lang w:val="en-US" w:eastAsia="zh-CN" w:bidi="ar-SA"/>
              </w:rPr>
              <w:t>岗位证</w:t>
            </w:r>
            <w:r>
              <w:rPr>
                <w:rFonts w:hint="eastAsia" w:ascii="宋体" w:hAnsi="宋体" w:eastAsia="宋体" w:cs="宋体"/>
                <w:snapToGrid w:val="0"/>
                <w:color w:val="000000"/>
                <w:spacing w:val="-2"/>
                <w:kern w:val="0"/>
                <w:sz w:val="24"/>
                <w:szCs w:val="24"/>
                <w:lang w:val="en-US" w:eastAsia="en-US" w:bidi="ar-SA"/>
              </w:rPr>
              <w:t>等要配备齐全，证件齐全得</w:t>
            </w:r>
            <w:r>
              <w:rPr>
                <w:rFonts w:hint="eastAsia" w:ascii="宋体" w:hAnsi="宋体" w:eastAsia="宋体" w:cs="宋体"/>
                <w:snapToGrid w:val="0"/>
                <w:color w:val="000000"/>
                <w:spacing w:val="-2"/>
                <w:kern w:val="0"/>
                <w:sz w:val="24"/>
                <w:szCs w:val="24"/>
                <w:lang w:val="en-US" w:eastAsia="zh-CN" w:bidi="ar-SA"/>
              </w:rPr>
              <w:t>7</w:t>
            </w:r>
            <w:r>
              <w:rPr>
                <w:rFonts w:hint="eastAsia" w:ascii="宋体" w:hAnsi="宋体" w:eastAsia="宋体" w:cs="宋体"/>
                <w:snapToGrid w:val="0"/>
                <w:color w:val="000000"/>
                <w:spacing w:val="-2"/>
                <w:kern w:val="0"/>
                <w:sz w:val="24"/>
                <w:szCs w:val="24"/>
                <w:lang w:val="en-US" w:eastAsia="en-US" w:bidi="ar-SA"/>
              </w:rPr>
              <w:t>分，缺少一项则减</w:t>
            </w:r>
            <w:r>
              <w:rPr>
                <w:rFonts w:hint="eastAsia" w:ascii="宋体" w:hAnsi="宋体" w:eastAsia="宋体" w:cs="宋体"/>
                <w:snapToGrid w:val="0"/>
                <w:color w:val="000000"/>
                <w:spacing w:val="-2"/>
                <w:kern w:val="0"/>
                <w:sz w:val="24"/>
                <w:szCs w:val="24"/>
                <w:lang w:val="en-US" w:eastAsia="zh-CN" w:bidi="ar-SA"/>
              </w:rPr>
              <w:t>1</w:t>
            </w:r>
            <w:r>
              <w:rPr>
                <w:rFonts w:hint="eastAsia" w:ascii="宋体" w:hAnsi="宋体" w:eastAsia="宋体" w:cs="宋体"/>
                <w:snapToGrid w:val="0"/>
                <w:color w:val="000000"/>
                <w:spacing w:val="-2"/>
                <w:kern w:val="0"/>
                <w:sz w:val="24"/>
                <w:szCs w:val="24"/>
                <w:lang w:val="en-US" w:eastAsia="en-US" w:bidi="ar-SA"/>
              </w:rPr>
              <w:t>分，扣完为止。</w:t>
            </w:r>
          </w:p>
        </w:tc>
        <w:tc>
          <w:tcPr>
            <w:tcW w:w="858" w:type="dxa"/>
            <w:vAlign w:val="top"/>
          </w:tcPr>
          <w:p w14:paraId="2CA43910">
            <w:pPr>
              <w:pStyle w:val="55"/>
              <w:keepNext w:val="0"/>
              <w:keepLines w:val="0"/>
              <w:pageBreakBefore w:val="0"/>
              <w:wordWrap/>
              <w:overflowPunct/>
              <w:topLinePunct w:val="0"/>
              <w:autoSpaceDE w:val="0"/>
              <w:autoSpaceDN w:val="0"/>
              <w:bidi w:val="0"/>
              <w:spacing w:before="310" w:line="360" w:lineRule="exact"/>
              <w:ind w:left="375"/>
              <w:jc w:val="both"/>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7</w:t>
            </w:r>
          </w:p>
        </w:tc>
      </w:tr>
      <w:tr w14:paraId="601E7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1" w:hRule="atLeast"/>
        </w:trPr>
        <w:tc>
          <w:tcPr>
            <w:tcW w:w="996" w:type="dxa"/>
            <w:vMerge w:val="continue"/>
            <w:tcBorders>
              <w:top w:val="nil"/>
              <w:bottom w:val="single" w:color="auto" w:sz="4" w:space="0"/>
            </w:tcBorders>
            <w:vAlign w:val="top"/>
          </w:tcPr>
          <w:p w14:paraId="248221AE">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tc>
        <w:tc>
          <w:tcPr>
            <w:tcW w:w="1315" w:type="dxa"/>
            <w:tcBorders>
              <w:bottom w:val="single" w:color="auto" w:sz="4" w:space="0"/>
            </w:tcBorders>
            <w:vAlign w:val="top"/>
          </w:tcPr>
          <w:p w14:paraId="2E631361">
            <w:pPr>
              <w:pStyle w:val="55"/>
              <w:keepNext w:val="0"/>
              <w:keepLines w:val="0"/>
              <w:pageBreakBefore w:val="0"/>
              <w:wordWrap/>
              <w:overflowPunct/>
              <w:topLinePunct w:val="0"/>
              <w:autoSpaceDE w:val="0"/>
              <w:autoSpaceDN w:val="0"/>
              <w:bidi w:val="0"/>
              <w:spacing w:before="174" w:line="360" w:lineRule="exact"/>
              <w:ind w:left="71" w:right="55" w:firstLine="4"/>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不随意更换项目经理、技术负责人及“五大员 ”的承诺</w:t>
            </w:r>
          </w:p>
        </w:tc>
        <w:tc>
          <w:tcPr>
            <w:tcW w:w="6761" w:type="dxa"/>
            <w:tcBorders>
              <w:bottom w:val="single" w:color="auto" w:sz="4" w:space="0"/>
            </w:tcBorders>
            <w:vAlign w:val="top"/>
          </w:tcPr>
          <w:p w14:paraId="5B78C9F6">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p w14:paraId="45FFB9F9">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p w14:paraId="01D9F26D">
            <w:pPr>
              <w:pStyle w:val="55"/>
              <w:keepNext w:val="0"/>
              <w:keepLines w:val="0"/>
              <w:pageBreakBefore w:val="0"/>
              <w:wordWrap/>
              <w:overflowPunct/>
              <w:topLinePunct w:val="0"/>
              <w:autoSpaceDE w:val="0"/>
              <w:autoSpaceDN w:val="0"/>
              <w:bidi w:val="0"/>
              <w:spacing w:before="78" w:line="360" w:lineRule="exact"/>
              <w:ind w:left="19" w:hanging="4"/>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有不随意更换项目经理、技术负责人及“五大员 ”的承诺，且有相应经济处罚措施的，得5分，否则得0分。</w:t>
            </w:r>
          </w:p>
        </w:tc>
        <w:tc>
          <w:tcPr>
            <w:tcW w:w="858" w:type="dxa"/>
            <w:tcBorders>
              <w:bottom w:val="single" w:color="auto" w:sz="4" w:space="0"/>
            </w:tcBorders>
            <w:vAlign w:val="top"/>
          </w:tcPr>
          <w:p w14:paraId="70A911A3">
            <w:pPr>
              <w:keepNext w:val="0"/>
              <w:keepLines w:val="0"/>
              <w:pageBreakBefore w:val="0"/>
              <w:wordWrap/>
              <w:overflowPunct/>
              <w:topLinePunct w:val="0"/>
              <w:autoSpaceDE w:val="0"/>
              <w:autoSpaceDN w:val="0"/>
              <w:bidi w:val="0"/>
              <w:spacing w:line="360" w:lineRule="exact"/>
              <w:jc w:val="both"/>
              <w:rPr>
                <w:rFonts w:hint="eastAsia" w:ascii="宋体" w:hAnsi="宋体" w:eastAsia="宋体" w:cs="宋体"/>
                <w:snapToGrid w:val="0"/>
                <w:color w:val="000000"/>
                <w:spacing w:val="-2"/>
                <w:kern w:val="0"/>
                <w:sz w:val="24"/>
                <w:szCs w:val="24"/>
                <w:lang w:val="en-US" w:eastAsia="en-US" w:bidi="ar-SA"/>
              </w:rPr>
            </w:pPr>
          </w:p>
          <w:p w14:paraId="3C2F05E8">
            <w:pPr>
              <w:keepNext w:val="0"/>
              <w:keepLines w:val="0"/>
              <w:pageBreakBefore w:val="0"/>
              <w:wordWrap/>
              <w:overflowPunct/>
              <w:topLinePunct w:val="0"/>
              <w:autoSpaceDE w:val="0"/>
              <w:autoSpaceDN w:val="0"/>
              <w:bidi w:val="0"/>
              <w:spacing w:line="360" w:lineRule="exact"/>
              <w:jc w:val="both"/>
              <w:rPr>
                <w:rFonts w:hint="eastAsia" w:ascii="宋体" w:hAnsi="宋体" w:eastAsia="宋体" w:cs="宋体"/>
                <w:snapToGrid w:val="0"/>
                <w:color w:val="000000"/>
                <w:spacing w:val="-2"/>
                <w:kern w:val="0"/>
                <w:sz w:val="24"/>
                <w:szCs w:val="24"/>
                <w:lang w:val="en-US" w:eastAsia="en-US" w:bidi="ar-SA"/>
              </w:rPr>
            </w:pPr>
          </w:p>
          <w:p w14:paraId="34E0A751">
            <w:pPr>
              <w:keepNext w:val="0"/>
              <w:keepLines w:val="0"/>
              <w:pageBreakBefore w:val="0"/>
              <w:wordWrap/>
              <w:overflowPunct/>
              <w:topLinePunct w:val="0"/>
              <w:autoSpaceDE w:val="0"/>
              <w:autoSpaceDN w:val="0"/>
              <w:bidi w:val="0"/>
              <w:spacing w:line="360" w:lineRule="exact"/>
              <w:jc w:val="both"/>
              <w:rPr>
                <w:rFonts w:hint="eastAsia" w:ascii="宋体" w:hAnsi="宋体" w:eastAsia="宋体" w:cs="宋体"/>
                <w:snapToGrid w:val="0"/>
                <w:color w:val="000000"/>
                <w:spacing w:val="-2"/>
                <w:kern w:val="0"/>
                <w:sz w:val="24"/>
                <w:szCs w:val="24"/>
                <w:lang w:val="en-US" w:eastAsia="en-US" w:bidi="ar-SA"/>
              </w:rPr>
            </w:pPr>
          </w:p>
          <w:p w14:paraId="0A11F3B5">
            <w:pPr>
              <w:pStyle w:val="55"/>
              <w:keepNext w:val="0"/>
              <w:keepLines w:val="0"/>
              <w:pageBreakBefore w:val="0"/>
              <w:wordWrap/>
              <w:overflowPunct/>
              <w:topLinePunct w:val="0"/>
              <w:autoSpaceDE w:val="0"/>
              <w:autoSpaceDN w:val="0"/>
              <w:bidi w:val="0"/>
              <w:spacing w:before="78" w:line="360" w:lineRule="exact"/>
              <w:ind w:left="379"/>
              <w:jc w:val="both"/>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5</w:t>
            </w:r>
          </w:p>
        </w:tc>
      </w:tr>
      <w:tr w14:paraId="6766E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trPr>
        <w:tc>
          <w:tcPr>
            <w:tcW w:w="996" w:type="dxa"/>
            <w:vMerge w:val="restart"/>
            <w:tcBorders>
              <w:top w:val="single" w:color="auto" w:sz="4" w:space="0"/>
              <w:left w:val="single" w:color="auto" w:sz="4" w:space="0"/>
              <w:bottom w:val="single" w:color="auto" w:sz="4" w:space="0"/>
              <w:right w:val="single" w:color="auto" w:sz="4" w:space="0"/>
            </w:tcBorders>
            <w:vAlign w:val="top"/>
          </w:tcPr>
          <w:p w14:paraId="472A6893">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p w14:paraId="41749193">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p w14:paraId="0BC4BAA9">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p w14:paraId="53397BD2">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p w14:paraId="0486C7E9">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p w14:paraId="5F5A9063">
            <w:pPr>
              <w:pStyle w:val="55"/>
              <w:keepNext w:val="0"/>
              <w:keepLines w:val="0"/>
              <w:pageBreakBefore w:val="0"/>
              <w:wordWrap/>
              <w:overflowPunct/>
              <w:topLinePunct w:val="0"/>
              <w:autoSpaceDE w:val="0"/>
              <w:autoSpaceDN w:val="0"/>
              <w:bidi w:val="0"/>
              <w:spacing w:before="78" w:line="360" w:lineRule="exact"/>
              <w:ind w:left="36" w:right="15" w:hanging="4"/>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技术部分 （</w:t>
            </w:r>
            <w:r>
              <w:rPr>
                <w:rFonts w:hint="eastAsia" w:ascii="宋体" w:hAnsi="宋体" w:eastAsia="宋体" w:cs="宋体"/>
                <w:snapToGrid w:val="0"/>
                <w:color w:val="000000"/>
                <w:spacing w:val="-2"/>
                <w:kern w:val="0"/>
                <w:sz w:val="24"/>
                <w:szCs w:val="24"/>
                <w:lang w:val="en-US" w:eastAsia="zh-CN" w:bidi="ar-SA"/>
              </w:rPr>
              <w:t>49</w:t>
            </w:r>
            <w:r>
              <w:rPr>
                <w:rFonts w:hint="eastAsia" w:ascii="宋体" w:hAnsi="宋体" w:eastAsia="宋体" w:cs="宋体"/>
                <w:snapToGrid w:val="0"/>
                <w:color w:val="000000"/>
                <w:spacing w:val="-2"/>
                <w:kern w:val="0"/>
                <w:sz w:val="24"/>
                <w:szCs w:val="24"/>
                <w:lang w:val="en-US" w:eastAsia="en-US" w:bidi="ar-SA"/>
              </w:rPr>
              <w:t>分）</w:t>
            </w:r>
          </w:p>
        </w:tc>
        <w:tc>
          <w:tcPr>
            <w:tcW w:w="1315" w:type="dxa"/>
            <w:tcBorders>
              <w:top w:val="single" w:color="auto" w:sz="4" w:space="0"/>
              <w:left w:val="single" w:color="auto" w:sz="4" w:space="0"/>
              <w:bottom w:val="single" w:color="auto" w:sz="4" w:space="0"/>
              <w:right w:val="single" w:color="auto" w:sz="4" w:space="0"/>
            </w:tcBorders>
            <w:vAlign w:val="top"/>
          </w:tcPr>
          <w:p w14:paraId="24485F87">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p w14:paraId="1BA471B7">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p w14:paraId="5D0E9490">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p w14:paraId="528504E5">
            <w:pPr>
              <w:pStyle w:val="55"/>
              <w:keepNext w:val="0"/>
              <w:keepLines w:val="0"/>
              <w:pageBreakBefore w:val="0"/>
              <w:wordWrap/>
              <w:overflowPunct/>
              <w:topLinePunct w:val="0"/>
              <w:autoSpaceDE w:val="0"/>
              <w:autoSpaceDN w:val="0"/>
              <w:bidi w:val="0"/>
              <w:spacing w:before="78" w:line="360" w:lineRule="exact"/>
              <w:ind w:left="190" w:right="55" w:hanging="121"/>
              <w:jc w:val="center"/>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施工方案与技术措施</w:t>
            </w:r>
          </w:p>
        </w:tc>
        <w:tc>
          <w:tcPr>
            <w:tcW w:w="6761" w:type="dxa"/>
            <w:tcBorders>
              <w:top w:val="single" w:color="auto" w:sz="4" w:space="0"/>
              <w:left w:val="single" w:color="auto" w:sz="4" w:space="0"/>
              <w:bottom w:val="single" w:color="auto" w:sz="4" w:space="0"/>
              <w:right w:val="single" w:color="auto" w:sz="4" w:space="0"/>
            </w:tcBorders>
            <w:vAlign w:val="top"/>
          </w:tcPr>
          <w:p w14:paraId="03A26FB1">
            <w:pPr>
              <w:pStyle w:val="55"/>
              <w:keepNext w:val="0"/>
              <w:keepLines w:val="0"/>
              <w:pageBreakBefore w:val="0"/>
              <w:wordWrap/>
              <w:overflowPunct/>
              <w:topLinePunct w:val="0"/>
              <w:autoSpaceDE w:val="0"/>
              <w:autoSpaceDN w:val="0"/>
              <w:bidi w:val="0"/>
              <w:spacing w:before="23" w:line="360" w:lineRule="exact"/>
              <w:ind w:left="20" w:right="34" w:firstLine="2"/>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（1）</w:t>
            </w:r>
            <w:r>
              <w:rPr>
                <w:rFonts w:hint="eastAsia" w:ascii="宋体" w:hAnsi="宋体" w:eastAsia="宋体" w:cs="宋体"/>
                <w:snapToGrid w:val="0"/>
                <w:color w:val="000000"/>
                <w:spacing w:val="-2"/>
                <w:kern w:val="0"/>
                <w:sz w:val="24"/>
                <w:szCs w:val="24"/>
                <w:lang w:val="en-US" w:eastAsia="zh-CN" w:bidi="ar-SA"/>
              </w:rPr>
              <w:t>施工方案符合工程实际情况，部署及措施先进、可靠，以提高生产率、缩短工期、提高质量、降低消耗为目标，针对项目的重点、难点分析应透彻，解决方案切实可行，</w:t>
            </w:r>
            <w:r>
              <w:rPr>
                <w:rFonts w:hint="eastAsia" w:ascii="宋体" w:hAnsi="宋体" w:eastAsia="宋体" w:cs="宋体"/>
                <w:snapToGrid w:val="0"/>
                <w:color w:val="000000"/>
                <w:spacing w:val="-2"/>
                <w:kern w:val="0"/>
                <w:sz w:val="24"/>
                <w:szCs w:val="24"/>
                <w:lang w:val="en-US" w:eastAsia="en-US" w:bidi="ar-SA"/>
              </w:rPr>
              <w:t>工程特点及施工重点和难点分析准确、全面的，得</w:t>
            </w:r>
            <w:r>
              <w:rPr>
                <w:rFonts w:hint="eastAsia" w:ascii="宋体" w:hAnsi="宋体" w:eastAsia="宋体" w:cs="宋体"/>
                <w:snapToGrid w:val="0"/>
                <w:color w:val="000000"/>
                <w:spacing w:val="-2"/>
                <w:kern w:val="0"/>
                <w:sz w:val="24"/>
                <w:szCs w:val="24"/>
                <w:lang w:val="en-US" w:eastAsia="zh-CN" w:bidi="ar-SA"/>
              </w:rPr>
              <w:t>3</w:t>
            </w:r>
            <w:r>
              <w:rPr>
                <w:rFonts w:hint="eastAsia" w:ascii="宋体" w:hAnsi="宋体" w:eastAsia="宋体" w:cs="宋体"/>
                <w:snapToGrid w:val="0"/>
                <w:color w:val="000000"/>
                <w:spacing w:val="-2"/>
                <w:kern w:val="0"/>
                <w:sz w:val="24"/>
                <w:szCs w:val="24"/>
                <w:lang w:val="en-US" w:eastAsia="en-US" w:bidi="ar-SA"/>
              </w:rPr>
              <w:t>分，</w:t>
            </w:r>
            <w:r>
              <w:rPr>
                <w:rFonts w:hint="eastAsia" w:ascii="宋体" w:hAnsi="宋体" w:eastAsia="宋体" w:cs="宋体"/>
                <w:snapToGrid w:val="0"/>
                <w:color w:val="000000"/>
                <w:spacing w:val="-2"/>
                <w:kern w:val="0"/>
                <w:sz w:val="24"/>
                <w:szCs w:val="24"/>
                <w:lang w:val="en-US" w:eastAsia="zh-CN" w:bidi="ar-SA"/>
              </w:rPr>
              <w:t>内容存在缺陷</w:t>
            </w:r>
            <w:r>
              <w:rPr>
                <w:rFonts w:hint="eastAsia" w:ascii="宋体" w:hAnsi="宋体" w:eastAsia="宋体" w:cs="宋体"/>
                <w:snapToGrid w:val="0"/>
                <w:color w:val="000000"/>
                <w:spacing w:val="-2"/>
                <w:kern w:val="0"/>
                <w:sz w:val="24"/>
                <w:szCs w:val="24"/>
                <w:lang w:val="en-US" w:eastAsia="en-US" w:bidi="ar-SA"/>
              </w:rPr>
              <w:t>的得1</w:t>
            </w:r>
            <w:r>
              <w:rPr>
                <w:rFonts w:hint="eastAsia" w:ascii="宋体" w:hAnsi="宋体" w:eastAsia="宋体" w:cs="宋体"/>
                <w:snapToGrid w:val="0"/>
                <w:color w:val="000000"/>
                <w:spacing w:val="-2"/>
                <w:kern w:val="0"/>
                <w:sz w:val="24"/>
                <w:szCs w:val="24"/>
                <w:lang w:val="en-US" w:eastAsia="zh-CN" w:bidi="ar-SA"/>
              </w:rPr>
              <w:t>.5</w:t>
            </w:r>
            <w:r>
              <w:rPr>
                <w:rFonts w:hint="eastAsia" w:ascii="宋体" w:hAnsi="宋体" w:eastAsia="宋体" w:cs="宋体"/>
                <w:snapToGrid w:val="0"/>
                <w:color w:val="000000"/>
                <w:spacing w:val="-2"/>
                <w:kern w:val="0"/>
                <w:sz w:val="24"/>
                <w:szCs w:val="24"/>
                <w:lang w:val="en-US" w:eastAsia="en-US" w:bidi="ar-SA"/>
              </w:rPr>
              <w:t>分，</w:t>
            </w:r>
            <w:r>
              <w:rPr>
                <w:rFonts w:hint="eastAsia" w:ascii="宋体" w:hAnsi="宋体" w:eastAsia="宋体" w:cs="宋体"/>
                <w:snapToGrid w:val="0"/>
                <w:color w:val="000000"/>
                <w:spacing w:val="-2"/>
                <w:kern w:val="0"/>
                <w:sz w:val="24"/>
                <w:szCs w:val="24"/>
                <w:lang w:val="en-US" w:eastAsia="zh-CN" w:bidi="ar-SA"/>
              </w:rPr>
              <w:t>未提供</w:t>
            </w:r>
            <w:r>
              <w:rPr>
                <w:rFonts w:hint="eastAsia" w:ascii="宋体" w:hAnsi="宋体" w:eastAsia="宋体" w:cs="宋体"/>
                <w:snapToGrid w:val="0"/>
                <w:color w:val="000000"/>
                <w:spacing w:val="-2"/>
                <w:kern w:val="0"/>
                <w:sz w:val="24"/>
                <w:szCs w:val="24"/>
                <w:lang w:val="en-US" w:eastAsia="en-US" w:bidi="ar-SA"/>
              </w:rPr>
              <w:t>得0分；</w:t>
            </w:r>
          </w:p>
          <w:p w14:paraId="06879B31">
            <w:pPr>
              <w:pStyle w:val="55"/>
              <w:keepNext w:val="0"/>
              <w:keepLines w:val="0"/>
              <w:pageBreakBefore w:val="0"/>
              <w:wordWrap/>
              <w:overflowPunct/>
              <w:topLinePunct w:val="0"/>
              <w:autoSpaceDE w:val="0"/>
              <w:autoSpaceDN w:val="0"/>
              <w:bidi w:val="0"/>
              <w:spacing w:before="23" w:line="360" w:lineRule="exact"/>
              <w:ind w:right="34"/>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（2）施工程序、工艺符合工程实际和有关施工规程规范,且投入的设备和人力计划安排合理的，得</w:t>
            </w:r>
            <w:r>
              <w:rPr>
                <w:rFonts w:hint="eastAsia" w:ascii="宋体" w:hAnsi="宋体" w:eastAsia="宋体" w:cs="宋体"/>
                <w:snapToGrid w:val="0"/>
                <w:color w:val="000000"/>
                <w:spacing w:val="-2"/>
                <w:kern w:val="0"/>
                <w:sz w:val="24"/>
                <w:szCs w:val="24"/>
                <w:lang w:val="en-US" w:eastAsia="zh-CN" w:bidi="ar-SA"/>
              </w:rPr>
              <w:t>3</w:t>
            </w:r>
            <w:r>
              <w:rPr>
                <w:rFonts w:hint="eastAsia" w:ascii="宋体" w:hAnsi="宋体" w:eastAsia="宋体" w:cs="宋体"/>
                <w:snapToGrid w:val="0"/>
                <w:color w:val="000000"/>
                <w:spacing w:val="-2"/>
                <w:kern w:val="0"/>
                <w:sz w:val="24"/>
                <w:szCs w:val="24"/>
                <w:lang w:val="en-US" w:eastAsia="en-US" w:bidi="ar-SA"/>
              </w:rPr>
              <w:t>分，基本合理的，</w:t>
            </w:r>
            <w:r>
              <w:rPr>
                <w:rFonts w:hint="eastAsia" w:ascii="宋体" w:hAnsi="宋体" w:eastAsia="宋体" w:cs="宋体"/>
                <w:snapToGrid w:val="0"/>
                <w:color w:val="000000"/>
                <w:spacing w:val="-2"/>
                <w:kern w:val="0"/>
                <w:sz w:val="24"/>
                <w:szCs w:val="24"/>
                <w:lang w:val="en-US" w:eastAsia="zh-CN" w:bidi="ar-SA"/>
              </w:rPr>
              <w:t>内容存在缺陷</w:t>
            </w:r>
            <w:r>
              <w:rPr>
                <w:rFonts w:hint="eastAsia" w:ascii="宋体" w:hAnsi="宋体" w:eastAsia="宋体" w:cs="宋体"/>
                <w:snapToGrid w:val="0"/>
                <w:color w:val="000000"/>
                <w:spacing w:val="-2"/>
                <w:kern w:val="0"/>
                <w:sz w:val="24"/>
                <w:szCs w:val="24"/>
                <w:lang w:val="en-US" w:eastAsia="en-US" w:bidi="ar-SA"/>
              </w:rPr>
              <w:t>的得1</w:t>
            </w:r>
            <w:r>
              <w:rPr>
                <w:rFonts w:hint="eastAsia" w:ascii="宋体" w:hAnsi="宋体" w:eastAsia="宋体" w:cs="宋体"/>
                <w:snapToGrid w:val="0"/>
                <w:color w:val="000000"/>
                <w:spacing w:val="-2"/>
                <w:kern w:val="0"/>
                <w:sz w:val="24"/>
                <w:szCs w:val="24"/>
                <w:lang w:val="en-US" w:eastAsia="zh-CN" w:bidi="ar-SA"/>
              </w:rPr>
              <w:t>.5</w:t>
            </w:r>
            <w:r>
              <w:rPr>
                <w:rFonts w:hint="eastAsia" w:ascii="宋体" w:hAnsi="宋体" w:eastAsia="宋体" w:cs="宋体"/>
                <w:snapToGrid w:val="0"/>
                <w:color w:val="000000"/>
                <w:spacing w:val="-2"/>
                <w:kern w:val="0"/>
                <w:sz w:val="24"/>
                <w:szCs w:val="24"/>
                <w:lang w:val="en-US" w:eastAsia="en-US" w:bidi="ar-SA"/>
              </w:rPr>
              <w:t>分，</w:t>
            </w:r>
            <w:r>
              <w:rPr>
                <w:rFonts w:hint="eastAsia" w:ascii="宋体" w:hAnsi="宋体" w:eastAsia="宋体" w:cs="宋体"/>
                <w:snapToGrid w:val="0"/>
                <w:color w:val="000000"/>
                <w:spacing w:val="-2"/>
                <w:kern w:val="0"/>
                <w:sz w:val="24"/>
                <w:szCs w:val="24"/>
                <w:lang w:val="en-US" w:eastAsia="zh-CN" w:bidi="ar-SA"/>
              </w:rPr>
              <w:t>未提供</w:t>
            </w:r>
            <w:r>
              <w:rPr>
                <w:rFonts w:hint="eastAsia" w:ascii="宋体" w:hAnsi="宋体" w:eastAsia="宋体" w:cs="宋体"/>
                <w:snapToGrid w:val="0"/>
                <w:color w:val="000000"/>
                <w:spacing w:val="-2"/>
                <w:kern w:val="0"/>
                <w:sz w:val="24"/>
                <w:szCs w:val="24"/>
                <w:lang w:val="en-US" w:eastAsia="en-US" w:bidi="ar-SA"/>
              </w:rPr>
              <w:t>得0分；</w:t>
            </w:r>
          </w:p>
          <w:p w14:paraId="483134BA">
            <w:pPr>
              <w:pStyle w:val="55"/>
              <w:keepNext w:val="0"/>
              <w:keepLines w:val="0"/>
              <w:pageBreakBefore w:val="0"/>
              <w:wordWrap/>
              <w:overflowPunct/>
              <w:topLinePunct w:val="0"/>
              <w:autoSpaceDE w:val="0"/>
              <w:autoSpaceDN w:val="0"/>
              <w:bidi w:val="0"/>
              <w:spacing w:before="23" w:line="360" w:lineRule="exact"/>
              <w:ind w:right="34"/>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（3）各工序工作历时安排合理且有详细计算说明的，得2分，</w:t>
            </w:r>
            <w:r>
              <w:rPr>
                <w:rFonts w:hint="eastAsia" w:ascii="宋体" w:hAnsi="宋体" w:eastAsia="宋体" w:cs="宋体"/>
                <w:snapToGrid w:val="0"/>
                <w:color w:val="000000"/>
                <w:spacing w:val="-2"/>
                <w:kern w:val="0"/>
                <w:sz w:val="24"/>
                <w:szCs w:val="24"/>
                <w:lang w:val="en-US" w:eastAsia="zh-CN" w:bidi="ar-SA"/>
              </w:rPr>
              <w:t>内容存在缺陷</w:t>
            </w:r>
            <w:r>
              <w:rPr>
                <w:rFonts w:hint="eastAsia" w:ascii="宋体" w:hAnsi="宋体" w:eastAsia="宋体" w:cs="宋体"/>
                <w:snapToGrid w:val="0"/>
                <w:color w:val="000000"/>
                <w:spacing w:val="-2"/>
                <w:kern w:val="0"/>
                <w:sz w:val="24"/>
                <w:szCs w:val="24"/>
                <w:lang w:val="en-US" w:eastAsia="en-US" w:bidi="ar-SA"/>
              </w:rPr>
              <w:t>的得1分，</w:t>
            </w:r>
            <w:r>
              <w:rPr>
                <w:rFonts w:hint="eastAsia" w:ascii="宋体" w:hAnsi="宋体" w:eastAsia="宋体" w:cs="宋体"/>
                <w:snapToGrid w:val="0"/>
                <w:color w:val="000000"/>
                <w:spacing w:val="-2"/>
                <w:kern w:val="0"/>
                <w:sz w:val="24"/>
                <w:szCs w:val="24"/>
                <w:lang w:val="en-US" w:eastAsia="zh-CN" w:bidi="ar-SA"/>
              </w:rPr>
              <w:t>未提供</w:t>
            </w:r>
            <w:r>
              <w:rPr>
                <w:rFonts w:hint="eastAsia" w:ascii="宋体" w:hAnsi="宋体" w:eastAsia="宋体" w:cs="宋体"/>
                <w:snapToGrid w:val="0"/>
                <w:color w:val="000000"/>
                <w:spacing w:val="-2"/>
                <w:kern w:val="0"/>
                <w:sz w:val="24"/>
                <w:szCs w:val="24"/>
                <w:lang w:val="en-US" w:eastAsia="en-US" w:bidi="ar-SA"/>
              </w:rPr>
              <w:t>得0分；</w:t>
            </w:r>
          </w:p>
          <w:p w14:paraId="07A15697">
            <w:pPr>
              <w:pStyle w:val="55"/>
              <w:keepNext w:val="0"/>
              <w:keepLines w:val="0"/>
              <w:pageBreakBefore w:val="0"/>
              <w:wordWrap/>
              <w:overflowPunct/>
              <w:topLinePunct w:val="0"/>
              <w:autoSpaceDE w:val="0"/>
              <w:autoSpaceDN w:val="0"/>
              <w:bidi w:val="0"/>
              <w:spacing w:before="21" w:line="360" w:lineRule="exact"/>
              <w:ind w:left="20" w:right="34" w:firstLine="2"/>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zh-CN" w:bidi="ar-SA"/>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tcBorders>
              <w:top w:val="single" w:color="auto" w:sz="4" w:space="0"/>
              <w:left w:val="single" w:color="auto" w:sz="4" w:space="0"/>
              <w:bottom w:val="single" w:color="auto" w:sz="4" w:space="0"/>
              <w:right w:val="single" w:color="auto" w:sz="4" w:space="0"/>
            </w:tcBorders>
            <w:vAlign w:val="top"/>
          </w:tcPr>
          <w:p w14:paraId="6970D076">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p w14:paraId="202BD853">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p w14:paraId="71EA0FA2">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p w14:paraId="75A026BF">
            <w:pPr>
              <w:pStyle w:val="55"/>
              <w:keepNext w:val="0"/>
              <w:keepLines w:val="0"/>
              <w:pageBreakBefore w:val="0"/>
              <w:wordWrap/>
              <w:overflowPunct/>
              <w:topLinePunct w:val="0"/>
              <w:autoSpaceDE w:val="0"/>
              <w:autoSpaceDN w:val="0"/>
              <w:bidi w:val="0"/>
              <w:spacing w:before="78" w:line="360" w:lineRule="exact"/>
              <w:ind w:left="376"/>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8</w:t>
            </w:r>
          </w:p>
        </w:tc>
      </w:tr>
      <w:tr w14:paraId="70227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tcBorders>
              <w:top w:val="single" w:color="auto" w:sz="4" w:space="0"/>
              <w:left w:val="single" w:color="auto" w:sz="4" w:space="0"/>
              <w:bottom w:val="single" w:color="auto" w:sz="4" w:space="0"/>
              <w:right w:val="single" w:color="auto" w:sz="4" w:space="0"/>
            </w:tcBorders>
            <w:vAlign w:val="top"/>
          </w:tcPr>
          <w:p w14:paraId="7805D0E0">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tc>
        <w:tc>
          <w:tcPr>
            <w:tcW w:w="1315" w:type="dxa"/>
            <w:tcBorders>
              <w:top w:val="single" w:color="auto" w:sz="4" w:space="0"/>
              <w:left w:val="single" w:color="auto" w:sz="4" w:space="0"/>
              <w:bottom w:val="single" w:color="auto" w:sz="4" w:space="0"/>
              <w:right w:val="single" w:color="auto" w:sz="4" w:space="0"/>
            </w:tcBorders>
            <w:vAlign w:val="top"/>
          </w:tcPr>
          <w:p w14:paraId="54F7AC72">
            <w:pPr>
              <w:pStyle w:val="55"/>
              <w:keepNext w:val="0"/>
              <w:keepLines w:val="0"/>
              <w:pageBreakBefore w:val="0"/>
              <w:wordWrap/>
              <w:overflowPunct/>
              <w:topLinePunct w:val="0"/>
              <w:autoSpaceDE w:val="0"/>
              <w:autoSpaceDN w:val="0"/>
              <w:bidi w:val="0"/>
              <w:spacing w:before="100" w:line="360" w:lineRule="exact"/>
              <w:rPr>
                <w:rFonts w:hint="eastAsia" w:ascii="宋体" w:hAnsi="宋体" w:eastAsia="宋体" w:cs="宋体"/>
                <w:snapToGrid w:val="0"/>
                <w:color w:val="000000"/>
                <w:spacing w:val="-2"/>
                <w:kern w:val="0"/>
                <w:sz w:val="24"/>
                <w:szCs w:val="24"/>
                <w:lang w:val="en-US" w:eastAsia="en-US" w:bidi="ar-SA"/>
              </w:rPr>
            </w:pPr>
          </w:p>
          <w:p w14:paraId="0C239673">
            <w:pPr>
              <w:pStyle w:val="55"/>
              <w:keepNext w:val="0"/>
              <w:keepLines w:val="0"/>
              <w:pageBreakBefore w:val="0"/>
              <w:wordWrap/>
              <w:overflowPunct/>
              <w:topLinePunct w:val="0"/>
              <w:autoSpaceDE w:val="0"/>
              <w:autoSpaceDN w:val="0"/>
              <w:bidi w:val="0"/>
              <w:spacing w:before="100" w:line="360" w:lineRule="exact"/>
              <w:ind w:left="76"/>
              <w:rPr>
                <w:rFonts w:hint="eastAsia" w:ascii="宋体" w:hAnsi="宋体" w:eastAsia="宋体" w:cs="宋体"/>
                <w:snapToGrid w:val="0"/>
                <w:color w:val="000000"/>
                <w:spacing w:val="-2"/>
                <w:kern w:val="0"/>
                <w:sz w:val="24"/>
                <w:szCs w:val="24"/>
                <w:lang w:val="en-US" w:eastAsia="en-US" w:bidi="ar-SA"/>
              </w:rPr>
            </w:pPr>
          </w:p>
          <w:p w14:paraId="621AD1F8">
            <w:pPr>
              <w:pStyle w:val="55"/>
              <w:keepNext w:val="0"/>
              <w:keepLines w:val="0"/>
              <w:pageBreakBefore w:val="0"/>
              <w:wordWrap/>
              <w:overflowPunct/>
              <w:topLinePunct w:val="0"/>
              <w:autoSpaceDE w:val="0"/>
              <w:autoSpaceDN w:val="0"/>
              <w:bidi w:val="0"/>
              <w:spacing w:before="100" w:line="360" w:lineRule="exact"/>
              <w:ind w:left="76"/>
              <w:rPr>
                <w:rFonts w:hint="eastAsia" w:ascii="宋体" w:hAnsi="宋体" w:eastAsia="宋体" w:cs="宋体"/>
                <w:snapToGrid w:val="0"/>
                <w:color w:val="000000"/>
                <w:spacing w:val="-2"/>
                <w:kern w:val="0"/>
                <w:sz w:val="24"/>
                <w:szCs w:val="24"/>
                <w:lang w:val="en-US" w:eastAsia="en-US" w:bidi="ar-SA"/>
              </w:rPr>
            </w:pPr>
          </w:p>
          <w:p w14:paraId="017CBEFD">
            <w:pPr>
              <w:pStyle w:val="55"/>
              <w:keepNext w:val="0"/>
              <w:keepLines w:val="0"/>
              <w:pageBreakBefore w:val="0"/>
              <w:wordWrap/>
              <w:overflowPunct/>
              <w:topLinePunct w:val="0"/>
              <w:autoSpaceDE w:val="0"/>
              <w:autoSpaceDN w:val="0"/>
              <w:bidi w:val="0"/>
              <w:spacing w:before="100" w:line="360" w:lineRule="exact"/>
              <w:ind w:left="76"/>
              <w:rPr>
                <w:rFonts w:hint="eastAsia" w:ascii="宋体" w:hAnsi="宋体" w:eastAsia="宋体" w:cs="宋体"/>
                <w:snapToGrid w:val="0"/>
                <w:color w:val="000000"/>
                <w:spacing w:val="-2"/>
                <w:kern w:val="0"/>
                <w:sz w:val="24"/>
                <w:szCs w:val="24"/>
                <w:lang w:val="en-US" w:eastAsia="en-US" w:bidi="ar-SA"/>
              </w:rPr>
            </w:pPr>
          </w:p>
          <w:p w14:paraId="1CDE5495">
            <w:pPr>
              <w:pStyle w:val="55"/>
              <w:keepNext w:val="0"/>
              <w:keepLines w:val="0"/>
              <w:pageBreakBefore w:val="0"/>
              <w:wordWrap/>
              <w:overflowPunct/>
              <w:topLinePunct w:val="0"/>
              <w:autoSpaceDE w:val="0"/>
              <w:autoSpaceDN w:val="0"/>
              <w:bidi w:val="0"/>
              <w:spacing w:before="100" w:line="360" w:lineRule="exact"/>
              <w:ind w:left="76"/>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en-US" w:bidi="ar-SA"/>
              </w:rPr>
              <w:t>质量</w:t>
            </w:r>
            <w:r>
              <w:rPr>
                <w:rFonts w:hint="eastAsia" w:ascii="宋体" w:hAnsi="宋体" w:eastAsia="宋体" w:cs="宋体"/>
                <w:snapToGrid w:val="0"/>
                <w:color w:val="000000"/>
                <w:spacing w:val="-2"/>
                <w:kern w:val="0"/>
                <w:sz w:val="24"/>
                <w:szCs w:val="24"/>
                <w:lang w:val="en-US" w:eastAsia="zh-CN" w:bidi="ar-SA"/>
              </w:rPr>
              <w:t>保证措施和体系</w:t>
            </w:r>
          </w:p>
        </w:tc>
        <w:tc>
          <w:tcPr>
            <w:tcW w:w="6761" w:type="dxa"/>
            <w:tcBorders>
              <w:top w:val="single" w:color="auto" w:sz="4" w:space="0"/>
              <w:left w:val="single" w:color="auto" w:sz="4" w:space="0"/>
              <w:bottom w:val="single" w:color="auto" w:sz="4" w:space="0"/>
              <w:right w:val="single" w:color="auto" w:sz="4" w:space="0"/>
            </w:tcBorders>
            <w:vAlign w:val="top"/>
          </w:tcPr>
          <w:p w14:paraId="0F366C23">
            <w:pPr>
              <w:keepNext w:val="0"/>
              <w:keepLines w:val="0"/>
              <w:pageBreakBefore w:val="0"/>
              <w:widowControl/>
              <w:numPr>
                <w:ilvl w:val="0"/>
                <w:numId w:val="6"/>
              </w:numPr>
              <w:suppressLineNumbers w:val="0"/>
              <w:wordWrap/>
              <w:overflowPunct/>
              <w:topLinePunct w:val="0"/>
              <w:autoSpaceDE w:val="0"/>
              <w:autoSpaceDN w:val="0"/>
              <w:bidi w:val="0"/>
              <w:spacing w:line="360" w:lineRule="exact"/>
              <w:jc w:val="left"/>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zh-CN" w:bidi="ar-SA"/>
              </w:rPr>
              <w:t>保证措施应符合科学的施工规律、国家规定的强制性标准并有针对性，同时要符合实际情况，切实可行。质量目标明确，管理机构健全，职责分工明确；管理制度齐全；实施措施全面、有效。</w:t>
            </w:r>
            <w:r>
              <w:rPr>
                <w:rFonts w:hint="eastAsia" w:ascii="宋体" w:hAnsi="宋体" w:eastAsia="宋体" w:cs="宋体"/>
                <w:snapToGrid w:val="0"/>
                <w:color w:val="000000"/>
                <w:spacing w:val="-2"/>
                <w:kern w:val="0"/>
                <w:sz w:val="24"/>
                <w:szCs w:val="24"/>
                <w:lang w:val="en-US" w:eastAsia="en-US" w:bidi="ar-SA"/>
              </w:rPr>
              <w:t>质量保证体系健全、职责明确的，得</w:t>
            </w:r>
            <w:r>
              <w:rPr>
                <w:rFonts w:hint="eastAsia" w:ascii="宋体" w:hAnsi="宋体" w:eastAsia="宋体" w:cs="宋体"/>
                <w:snapToGrid w:val="0"/>
                <w:color w:val="000000"/>
                <w:spacing w:val="-2"/>
                <w:kern w:val="0"/>
                <w:sz w:val="24"/>
                <w:szCs w:val="24"/>
                <w:lang w:val="en-US" w:eastAsia="zh-CN" w:bidi="ar-SA"/>
              </w:rPr>
              <w:t>3</w:t>
            </w:r>
            <w:r>
              <w:rPr>
                <w:rFonts w:hint="eastAsia" w:ascii="宋体" w:hAnsi="宋体" w:eastAsia="宋体" w:cs="宋体"/>
                <w:snapToGrid w:val="0"/>
                <w:color w:val="000000"/>
                <w:spacing w:val="-2"/>
                <w:kern w:val="0"/>
                <w:sz w:val="24"/>
                <w:szCs w:val="24"/>
                <w:lang w:val="en-US" w:eastAsia="en-US" w:bidi="ar-SA"/>
              </w:rPr>
              <w:t>分，</w:t>
            </w:r>
            <w:r>
              <w:rPr>
                <w:rFonts w:hint="eastAsia" w:ascii="宋体" w:hAnsi="宋体" w:eastAsia="宋体" w:cs="宋体"/>
                <w:snapToGrid w:val="0"/>
                <w:color w:val="000000"/>
                <w:spacing w:val="-2"/>
                <w:kern w:val="0"/>
                <w:sz w:val="24"/>
                <w:szCs w:val="24"/>
                <w:lang w:val="en-US" w:eastAsia="zh-CN" w:bidi="ar-SA"/>
              </w:rPr>
              <w:t>内容存在缺陷</w:t>
            </w:r>
            <w:r>
              <w:rPr>
                <w:rFonts w:hint="eastAsia" w:ascii="宋体" w:hAnsi="宋体" w:eastAsia="宋体" w:cs="宋体"/>
                <w:snapToGrid w:val="0"/>
                <w:color w:val="000000"/>
                <w:spacing w:val="-2"/>
                <w:kern w:val="0"/>
                <w:sz w:val="24"/>
                <w:szCs w:val="24"/>
                <w:lang w:val="en-US" w:eastAsia="en-US" w:bidi="ar-SA"/>
              </w:rPr>
              <w:t>的，得1</w:t>
            </w:r>
            <w:r>
              <w:rPr>
                <w:rFonts w:hint="eastAsia" w:ascii="宋体" w:hAnsi="宋体" w:eastAsia="宋体" w:cs="宋体"/>
                <w:snapToGrid w:val="0"/>
                <w:color w:val="000000"/>
                <w:spacing w:val="-2"/>
                <w:kern w:val="0"/>
                <w:sz w:val="24"/>
                <w:szCs w:val="24"/>
                <w:lang w:val="en-US" w:eastAsia="zh-CN" w:bidi="ar-SA"/>
              </w:rPr>
              <w:t>.5</w:t>
            </w:r>
            <w:r>
              <w:rPr>
                <w:rFonts w:hint="eastAsia" w:ascii="宋体" w:hAnsi="宋体" w:eastAsia="宋体" w:cs="宋体"/>
                <w:snapToGrid w:val="0"/>
                <w:color w:val="000000"/>
                <w:spacing w:val="-2"/>
                <w:kern w:val="0"/>
                <w:sz w:val="24"/>
                <w:szCs w:val="24"/>
                <w:lang w:val="en-US" w:eastAsia="en-US" w:bidi="ar-SA"/>
              </w:rPr>
              <w:t>分，</w:t>
            </w:r>
            <w:r>
              <w:rPr>
                <w:rFonts w:hint="eastAsia" w:ascii="宋体" w:hAnsi="宋体" w:eastAsia="宋体" w:cs="宋体"/>
                <w:snapToGrid w:val="0"/>
                <w:color w:val="000000"/>
                <w:spacing w:val="-2"/>
                <w:kern w:val="0"/>
                <w:sz w:val="24"/>
                <w:szCs w:val="24"/>
                <w:lang w:val="en-US" w:eastAsia="zh-CN" w:bidi="ar-SA"/>
              </w:rPr>
              <w:t>未提供</w:t>
            </w:r>
            <w:r>
              <w:rPr>
                <w:rFonts w:hint="eastAsia" w:ascii="宋体" w:hAnsi="宋体" w:eastAsia="宋体" w:cs="宋体"/>
                <w:snapToGrid w:val="0"/>
                <w:color w:val="000000"/>
                <w:spacing w:val="-2"/>
                <w:kern w:val="0"/>
                <w:sz w:val="24"/>
                <w:szCs w:val="24"/>
                <w:lang w:val="en-US" w:eastAsia="en-US" w:bidi="ar-SA"/>
              </w:rPr>
              <w:t>得0分；</w:t>
            </w:r>
          </w:p>
          <w:p w14:paraId="3058EEE3">
            <w:pPr>
              <w:pStyle w:val="55"/>
              <w:keepNext w:val="0"/>
              <w:keepLines w:val="0"/>
              <w:pageBreakBefore w:val="0"/>
              <w:wordWrap/>
              <w:overflowPunct/>
              <w:topLinePunct w:val="0"/>
              <w:autoSpaceDE w:val="0"/>
              <w:autoSpaceDN w:val="0"/>
              <w:bidi w:val="0"/>
              <w:spacing w:before="41" w:line="360" w:lineRule="exact"/>
              <w:ind w:left="21" w:right="154" w:firstLine="1"/>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（2）工程所用原材料、中间产品、金属结构等检测的种类、数量符合相关规程规范的，得</w:t>
            </w:r>
            <w:r>
              <w:rPr>
                <w:rFonts w:hint="eastAsia" w:ascii="宋体" w:hAnsi="宋体" w:eastAsia="宋体" w:cs="宋体"/>
                <w:snapToGrid w:val="0"/>
                <w:color w:val="000000"/>
                <w:spacing w:val="-2"/>
                <w:kern w:val="0"/>
                <w:sz w:val="24"/>
                <w:szCs w:val="24"/>
                <w:lang w:val="en-US" w:eastAsia="zh-CN" w:bidi="ar-SA"/>
              </w:rPr>
              <w:t>3</w:t>
            </w:r>
            <w:r>
              <w:rPr>
                <w:rFonts w:hint="eastAsia" w:ascii="宋体" w:hAnsi="宋体" w:eastAsia="宋体" w:cs="宋体"/>
                <w:snapToGrid w:val="0"/>
                <w:color w:val="000000"/>
                <w:spacing w:val="-2"/>
                <w:kern w:val="0"/>
                <w:sz w:val="24"/>
                <w:szCs w:val="24"/>
                <w:lang w:val="en-US" w:eastAsia="en-US" w:bidi="ar-SA"/>
              </w:rPr>
              <w:t>分；</w:t>
            </w:r>
            <w:r>
              <w:rPr>
                <w:rFonts w:hint="eastAsia" w:ascii="宋体" w:hAnsi="宋体" w:eastAsia="宋体" w:cs="宋体"/>
                <w:snapToGrid w:val="0"/>
                <w:color w:val="000000"/>
                <w:spacing w:val="-2"/>
                <w:kern w:val="0"/>
                <w:sz w:val="24"/>
                <w:szCs w:val="24"/>
                <w:lang w:val="en-US" w:eastAsia="zh-CN" w:bidi="ar-SA"/>
              </w:rPr>
              <w:t>未提供</w:t>
            </w:r>
            <w:r>
              <w:rPr>
                <w:rFonts w:hint="eastAsia" w:ascii="宋体" w:hAnsi="宋体" w:eastAsia="宋体" w:cs="宋体"/>
                <w:snapToGrid w:val="0"/>
                <w:color w:val="000000"/>
                <w:spacing w:val="-2"/>
                <w:kern w:val="0"/>
                <w:sz w:val="24"/>
                <w:szCs w:val="24"/>
                <w:lang w:val="en-US" w:eastAsia="en-US" w:bidi="ar-SA"/>
              </w:rPr>
              <w:t>得0分；</w:t>
            </w:r>
          </w:p>
          <w:p w14:paraId="2DA8565F">
            <w:pPr>
              <w:keepNext w:val="0"/>
              <w:keepLines w:val="0"/>
              <w:pageBreakBefore w:val="0"/>
              <w:widowControl/>
              <w:numPr>
                <w:ilvl w:val="0"/>
                <w:numId w:val="0"/>
              </w:numPr>
              <w:suppressLineNumbers w:val="0"/>
              <w:wordWrap/>
              <w:overflowPunct/>
              <w:topLinePunct w:val="0"/>
              <w:autoSpaceDE w:val="0"/>
              <w:autoSpaceDN w:val="0"/>
              <w:bidi w:val="0"/>
              <w:spacing w:line="360" w:lineRule="exact"/>
              <w:jc w:val="left"/>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（3）自设工地实验室或者委托符合要求的质量检测单位的，得2分，</w:t>
            </w:r>
            <w:r>
              <w:rPr>
                <w:rFonts w:hint="eastAsia" w:ascii="宋体" w:hAnsi="宋体" w:eastAsia="宋体" w:cs="宋体"/>
                <w:snapToGrid w:val="0"/>
                <w:color w:val="000000"/>
                <w:spacing w:val="-2"/>
                <w:kern w:val="0"/>
                <w:sz w:val="24"/>
                <w:szCs w:val="24"/>
                <w:lang w:val="en-US" w:eastAsia="zh-CN" w:bidi="ar-SA"/>
              </w:rPr>
              <w:t>未提供</w:t>
            </w:r>
            <w:r>
              <w:rPr>
                <w:rFonts w:hint="eastAsia" w:ascii="宋体" w:hAnsi="宋体" w:eastAsia="宋体" w:cs="宋体"/>
                <w:snapToGrid w:val="0"/>
                <w:color w:val="000000"/>
                <w:spacing w:val="-2"/>
                <w:kern w:val="0"/>
                <w:sz w:val="24"/>
                <w:szCs w:val="24"/>
                <w:lang w:val="en-US" w:eastAsia="en-US" w:bidi="ar-SA"/>
              </w:rPr>
              <w:t>得0分。</w:t>
            </w:r>
          </w:p>
          <w:p w14:paraId="5B4DF1DB">
            <w:pPr>
              <w:keepNext w:val="0"/>
              <w:keepLines w:val="0"/>
              <w:pageBreakBefore w:val="0"/>
              <w:widowControl/>
              <w:numPr>
                <w:ilvl w:val="0"/>
                <w:numId w:val="0"/>
              </w:numPr>
              <w:suppressLineNumbers w:val="0"/>
              <w:wordWrap/>
              <w:overflowPunct/>
              <w:topLinePunct w:val="0"/>
              <w:autoSpaceDE w:val="0"/>
              <w:autoSpaceDN w:val="0"/>
              <w:bidi w:val="0"/>
              <w:spacing w:line="360" w:lineRule="exact"/>
              <w:jc w:val="left"/>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zh-CN" w:bidi="ar-SA"/>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tcBorders>
              <w:top w:val="single" w:color="auto" w:sz="4" w:space="0"/>
              <w:left w:val="single" w:color="auto" w:sz="4" w:space="0"/>
              <w:bottom w:val="single" w:color="auto" w:sz="4" w:space="0"/>
              <w:right w:val="single" w:color="auto" w:sz="4" w:space="0"/>
            </w:tcBorders>
            <w:vAlign w:val="top"/>
          </w:tcPr>
          <w:p w14:paraId="420717FD">
            <w:pPr>
              <w:pStyle w:val="55"/>
              <w:keepNext w:val="0"/>
              <w:keepLines w:val="0"/>
              <w:pageBreakBefore w:val="0"/>
              <w:wordWrap/>
              <w:overflowPunct/>
              <w:topLinePunct w:val="0"/>
              <w:autoSpaceDE w:val="0"/>
              <w:autoSpaceDN w:val="0"/>
              <w:bidi w:val="0"/>
              <w:spacing w:before="141" w:line="360" w:lineRule="exact"/>
              <w:ind w:left="376"/>
              <w:rPr>
                <w:rFonts w:hint="eastAsia" w:ascii="宋体" w:hAnsi="宋体" w:eastAsia="宋体" w:cs="宋体"/>
                <w:snapToGrid w:val="0"/>
                <w:color w:val="000000"/>
                <w:spacing w:val="-2"/>
                <w:kern w:val="0"/>
                <w:sz w:val="24"/>
                <w:szCs w:val="24"/>
                <w:lang w:val="en-US" w:eastAsia="zh-CN" w:bidi="ar-SA"/>
              </w:rPr>
            </w:pPr>
          </w:p>
          <w:p w14:paraId="4F2C3B71">
            <w:pPr>
              <w:pStyle w:val="55"/>
              <w:keepNext w:val="0"/>
              <w:keepLines w:val="0"/>
              <w:pageBreakBefore w:val="0"/>
              <w:wordWrap/>
              <w:overflowPunct/>
              <w:topLinePunct w:val="0"/>
              <w:autoSpaceDE w:val="0"/>
              <w:autoSpaceDN w:val="0"/>
              <w:bidi w:val="0"/>
              <w:spacing w:before="141" w:line="360" w:lineRule="exact"/>
              <w:ind w:left="376"/>
              <w:rPr>
                <w:rFonts w:hint="eastAsia" w:ascii="宋体" w:hAnsi="宋体" w:eastAsia="宋体" w:cs="宋体"/>
                <w:snapToGrid w:val="0"/>
                <w:color w:val="000000"/>
                <w:spacing w:val="-2"/>
                <w:kern w:val="0"/>
                <w:sz w:val="24"/>
                <w:szCs w:val="24"/>
                <w:lang w:val="en-US" w:eastAsia="zh-CN" w:bidi="ar-SA"/>
              </w:rPr>
            </w:pPr>
          </w:p>
          <w:p w14:paraId="6E545DE2">
            <w:pPr>
              <w:pStyle w:val="55"/>
              <w:keepNext w:val="0"/>
              <w:keepLines w:val="0"/>
              <w:pageBreakBefore w:val="0"/>
              <w:wordWrap/>
              <w:overflowPunct/>
              <w:topLinePunct w:val="0"/>
              <w:autoSpaceDE w:val="0"/>
              <w:autoSpaceDN w:val="0"/>
              <w:bidi w:val="0"/>
              <w:spacing w:before="141" w:line="360" w:lineRule="exact"/>
              <w:ind w:left="376"/>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8</w:t>
            </w:r>
          </w:p>
        </w:tc>
      </w:tr>
      <w:tr w14:paraId="37743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996" w:type="dxa"/>
            <w:vMerge w:val="continue"/>
            <w:tcBorders>
              <w:top w:val="single" w:color="auto" w:sz="4" w:space="0"/>
              <w:left w:val="single" w:color="auto" w:sz="4" w:space="0"/>
              <w:bottom w:val="nil"/>
            </w:tcBorders>
            <w:vAlign w:val="top"/>
          </w:tcPr>
          <w:p w14:paraId="76BF61C5">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tc>
        <w:tc>
          <w:tcPr>
            <w:tcW w:w="1315" w:type="dxa"/>
            <w:tcBorders>
              <w:top w:val="single" w:color="auto" w:sz="4" w:space="0"/>
            </w:tcBorders>
            <w:vAlign w:val="top"/>
          </w:tcPr>
          <w:p w14:paraId="380D44A3">
            <w:pPr>
              <w:pStyle w:val="55"/>
              <w:keepNext w:val="0"/>
              <w:keepLines w:val="0"/>
              <w:pageBreakBefore w:val="0"/>
              <w:wordWrap/>
              <w:overflowPunct/>
              <w:topLinePunct w:val="0"/>
              <w:autoSpaceDE w:val="0"/>
              <w:autoSpaceDN w:val="0"/>
              <w:bidi w:val="0"/>
              <w:spacing w:before="37" w:line="360" w:lineRule="exact"/>
              <w:ind w:left="70"/>
              <w:rPr>
                <w:rFonts w:hint="eastAsia" w:ascii="宋体" w:hAnsi="宋体" w:eastAsia="宋体" w:cs="宋体"/>
                <w:snapToGrid w:val="0"/>
                <w:color w:val="000000"/>
                <w:spacing w:val="-2"/>
                <w:kern w:val="0"/>
                <w:sz w:val="24"/>
                <w:szCs w:val="24"/>
                <w:lang w:val="en-US" w:eastAsia="en-US" w:bidi="ar-SA"/>
              </w:rPr>
            </w:pPr>
          </w:p>
          <w:p w14:paraId="46662E18">
            <w:pPr>
              <w:pStyle w:val="55"/>
              <w:keepNext w:val="0"/>
              <w:keepLines w:val="0"/>
              <w:pageBreakBefore w:val="0"/>
              <w:wordWrap/>
              <w:overflowPunct/>
              <w:topLinePunct w:val="0"/>
              <w:autoSpaceDE w:val="0"/>
              <w:autoSpaceDN w:val="0"/>
              <w:bidi w:val="0"/>
              <w:spacing w:before="37" w:line="360" w:lineRule="exact"/>
              <w:ind w:left="7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en-US" w:bidi="ar-SA"/>
              </w:rPr>
              <w:t>安全</w:t>
            </w:r>
            <w:r>
              <w:rPr>
                <w:rFonts w:hint="eastAsia" w:ascii="宋体" w:hAnsi="宋体" w:eastAsia="宋体" w:cs="宋体"/>
                <w:snapToGrid w:val="0"/>
                <w:color w:val="000000"/>
                <w:spacing w:val="-2"/>
                <w:kern w:val="0"/>
                <w:sz w:val="24"/>
                <w:szCs w:val="24"/>
                <w:lang w:val="en-US" w:eastAsia="zh-CN" w:bidi="ar-SA"/>
              </w:rPr>
              <w:t>保证措施和体系</w:t>
            </w:r>
          </w:p>
        </w:tc>
        <w:tc>
          <w:tcPr>
            <w:tcW w:w="6761" w:type="dxa"/>
            <w:tcBorders>
              <w:top w:val="single" w:color="auto" w:sz="4" w:space="0"/>
            </w:tcBorders>
            <w:vAlign w:val="top"/>
          </w:tcPr>
          <w:p w14:paraId="27101569">
            <w:pPr>
              <w:pStyle w:val="55"/>
              <w:keepNext w:val="0"/>
              <w:keepLines w:val="0"/>
              <w:pageBreakBefore w:val="0"/>
              <w:wordWrap/>
              <w:overflowPunct/>
              <w:topLinePunct w:val="0"/>
              <w:autoSpaceDE w:val="0"/>
              <w:autoSpaceDN w:val="0"/>
              <w:bidi w:val="0"/>
              <w:spacing w:before="41" w:line="360" w:lineRule="exact"/>
              <w:ind w:left="21" w:right="154" w:firstLine="1"/>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（1）</w:t>
            </w:r>
            <w:r>
              <w:rPr>
                <w:rFonts w:hint="eastAsia" w:ascii="宋体" w:hAnsi="宋体" w:eastAsia="宋体" w:cs="宋体"/>
                <w:snapToGrid w:val="0"/>
                <w:color w:val="000000"/>
                <w:spacing w:val="-2"/>
                <w:kern w:val="0"/>
                <w:sz w:val="24"/>
                <w:szCs w:val="24"/>
                <w:lang w:val="en-US" w:eastAsia="zh-CN" w:bidi="ar-SA"/>
              </w:rPr>
              <w:t>保证措施应符合国家及自治区规定的强制性标准并有针对性，同时要符合实际情况，切实可行。安全目标明确，优于招标文件要求；管理机构健全，职责分工明确；管理制度齐全；实施与监控措施全面、有效。</w:t>
            </w:r>
            <w:r>
              <w:rPr>
                <w:rFonts w:hint="eastAsia" w:ascii="宋体" w:hAnsi="宋体" w:eastAsia="宋体" w:cs="宋体"/>
                <w:snapToGrid w:val="0"/>
                <w:color w:val="000000"/>
                <w:spacing w:val="-2"/>
                <w:kern w:val="0"/>
                <w:sz w:val="24"/>
                <w:szCs w:val="24"/>
                <w:lang w:val="en-US" w:eastAsia="en-US" w:bidi="ar-SA"/>
              </w:rPr>
              <w:t>安全生产责任制健全、职责明确的，得</w:t>
            </w:r>
            <w:r>
              <w:rPr>
                <w:rFonts w:hint="eastAsia" w:ascii="宋体" w:hAnsi="宋体" w:eastAsia="宋体" w:cs="宋体"/>
                <w:snapToGrid w:val="0"/>
                <w:color w:val="000000"/>
                <w:spacing w:val="-2"/>
                <w:kern w:val="0"/>
                <w:sz w:val="24"/>
                <w:szCs w:val="24"/>
                <w:lang w:val="en-US" w:eastAsia="zh-CN" w:bidi="ar-SA"/>
              </w:rPr>
              <w:t>4</w:t>
            </w:r>
            <w:r>
              <w:rPr>
                <w:rFonts w:hint="eastAsia" w:ascii="宋体" w:hAnsi="宋体" w:eastAsia="宋体" w:cs="宋体"/>
                <w:snapToGrid w:val="0"/>
                <w:color w:val="000000"/>
                <w:spacing w:val="-2"/>
                <w:kern w:val="0"/>
                <w:sz w:val="24"/>
                <w:szCs w:val="24"/>
                <w:lang w:val="en-US" w:eastAsia="en-US" w:bidi="ar-SA"/>
              </w:rPr>
              <w:t>分，</w:t>
            </w:r>
            <w:r>
              <w:rPr>
                <w:rFonts w:hint="eastAsia" w:ascii="宋体" w:hAnsi="宋体" w:eastAsia="宋体" w:cs="宋体"/>
                <w:snapToGrid w:val="0"/>
                <w:color w:val="000000"/>
                <w:spacing w:val="-2"/>
                <w:kern w:val="0"/>
                <w:sz w:val="24"/>
                <w:szCs w:val="24"/>
                <w:lang w:val="en-US" w:eastAsia="zh-CN" w:bidi="ar-SA"/>
              </w:rPr>
              <w:t>未提供</w:t>
            </w:r>
            <w:r>
              <w:rPr>
                <w:rFonts w:hint="eastAsia" w:ascii="宋体" w:hAnsi="宋体" w:eastAsia="宋体" w:cs="宋体"/>
                <w:snapToGrid w:val="0"/>
                <w:color w:val="000000"/>
                <w:spacing w:val="-2"/>
                <w:kern w:val="0"/>
                <w:sz w:val="24"/>
                <w:szCs w:val="24"/>
                <w:lang w:val="en-US" w:eastAsia="en-US" w:bidi="ar-SA"/>
              </w:rPr>
              <w:t xml:space="preserve">得0分；  </w:t>
            </w:r>
          </w:p>
          <w:p w14:paraId="5A9E832B">
            <w:pPr>
              <w:pStyle w:val="55"/>
              <w:keepNext w:val="0"/>
              <w:keepLines w:val="0"/>
              <w:pageBreakBefore w:val="0"/>
              <w:wordWrap/>
              <w:overflowPunct/>
              <w:topLinePunct w:val="0"/>
              <w:autoSpaceDE w:val="0"/>
              <w:autoSpaceDN w:val="0"/>
              <w:bidi w:val="0"/>
              <w:spacing w:before="41" w:line="360" w:lineRule="exact"/>
              <w:ind w:left="21" w:right="154" w:firstLine="1"/>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（2）安全管理资源配置合理、措施符合相关安全技术（操作）规程的，得</w:t>
            </w:r>
            <w:r>
              <w:rPr>
                <w:rFonts w:hint="eastAsia" w:ascii="宋体" w:hAnsi="宋体" w:eastAsia="宋体" w:cs="宋体"/>
                <w:snapToGrid w:val="0"/>
                <w:color w:val="000000"/>
                <w:spacing w:val="-2"/>
                <w:kern w:val="0"/>
                <w:sz w:val="24"/>
                <w:szCs w:val="24"/>
                <w:lang w:val="en-US" w:eastAsia="zh-CN" w:bidi="ar-SA"/>
              </w:rPr>
              <w:t>4</w:t>
            </w:r>
            <w:r>
              <w:rPr>
                <w:rFonts w:hint="eastAsia" w:ascii="宋体" w:hAnsi="宋体" w:eastAsia="宋体" w:cs="宋体"/>
                <w:snapToGrid w:val="0"/>
                <w:color w:val="000000"/>
                <w:spacing w:val="-2"/>
                <w:kern w:val="0"/>
                <w:sz w:val="24"/>
                <w:szCs w:val="24"/>
                <w:lang w:val="en-US" w:eastAsia="en-US" w:bidi="ar-SA"/>
              </w:rPr>
              <w:t>分，</w:t>
            </w:r>
            <w:r>
              <w:rPr>
                <w:rFonts w:hint="eastAsia" w:ascii="宋体" w:hAnsi="宋体" w:eastAsia="宋体" w:cs="宋体"/>
                <w:snapToGrid w:val="0"/>
                <w:color w:val="000000"/>
                <w:spacing w:val="-2"/>
                <w:kern w:val="0"/>
                <w:sz w:val="24"/>
                <w:szCs w:val="24"/>
                <w:lang w:val="en-US" w:eastAsia="zh-CN" w:bidi="ar-SA"/>
              </w:rPr>
              <w:t>未提供</w:t>
            </w:r>
            <w:r>
              <w:rPr>
                <w:rFonts w:hint="eastAsia" w:ascii="宋体" w:hAnsi="宋体" w:eastAsia="宋体" w:cs="宋体"/>
                <w:snapToGrid w:val="0"/>
                <w:color w:val="000000"/>
                <w:spacing w:val="-2"/>
                <w:kern w:val="0"/>
                <w:sz w:val="24"/>
                <w:szCs w:val="24"/>
                <w:lang w:val="en-US" w:eastAsia="en-US" w:bidi="ar-SA"/>
              </w:rPr>
              <w:t>得0分。</w:t>
            </w:r>
          </w:p>
        </w:tc>
        <w:tc>
          <w:tcPr>
            <w:tcW w:w="858" w:type="dxa"/>
            <w:tcBorders>
              <w:top w:val="single" w:color="auto" w:sz="4" w:space="0"/>
            </w:tcBorders>
            <w:vAlign w:val="top"/>
          </w:tcPr>
          <w:p w14:paraId="62541753">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p w14:paraId="6A2E9C7D">
            <w:pPr>
              <w:pStyle w:val="55"/>
              <w:keepNext w:val="0"/>
              <w:keepLines w:val="0"/>
              <w:pageBreakBefore w:val="0"/>
              <w:wordWrap/>
              <w:overflowPunct/>
              <w:topLinePunct w:val="0"/>
              <w:autoSpaceDE w:val="0"/>
              <w:autoSpaceDN w:val="0"/>
              <w:bidi w:val="0"/>
              <w:spacing w:before="78" w:line="360" w:lineRule="exact"/>
              <w:ind w:left="376"/>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8</w:t>
            </w:r>
          </w:p>
        </w:tc>
      </w:tr>
      <w:tr w14:paraId="3B8E9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96" w:type="dxa"/>
            <w:vMerge w:val="continue"/>
            <w:tcBorders>
              <w:top w:val="nil"/>
              <w:left w:val="single" w:color="auto" w:sz="4" w:space="0"/>
              <w:bottom w:val="nil"/>
            </w:tcBorders>
            <w:vAlign w:val="top"/>
          </w:tcPr>
          <w:p w14:paraId="0F1EE14F">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tc>
        <w:tc>
          <w:tcPr>
            <w:tcW w:w="1315" w:type="dxa"/>
            <w:vAlign w:val="top"/>
          </w:tcPr>
          <w:p w14:paraId="7A5A8B7D">
            <w:pPr>
              <w:pStyle w:val="55"/>
              <w:keepNext w:val="0"/>
              <w:keepLines w:val="0"/>
              <w:pageBreakBefore w:val="0"/>
              <w:wordWrap/>
              <w:overflowPunct/>
              <w:topLinePunct w:val="0"/>
              <w:autoSpaceDE w:val="0"/>
              <w:autoSpaceDN w:val="0"/>
              <w:bidi w:val="0"/>
              <w:spacing w:before="37" w:line="360" w:lineRule="exact"/>
              <w:ind w:left="70"/>
              <w:rPr>
                <w:rFonts w:hint="eastAsia" w:ascii="宋体" w:hAnsi="宋体" w:eastAsia="宋体" w:cs="宋体"/>
                <w:snapToGrid w:val="0"/>
                <w:color w:val="000000"/>
                <w:spacing w:val="-2"/>
                <w:kern w:val="0"/>
                <w:sz w:val="24"/>
                <w:szCs w:val="24"/>
                <w:lang w:val="en-US" w:eastAsia="en-US" w:bidi="ar-SA"/>
              </w:rPr>
            </w:pPr>
          </w:p>
          <w:p w14:paraId="34AB4232">
            <w:pPr>
              <w:pStyle w:val="55"/>
              <w:keepNext w:val="0"/>
              <w:keepLines w:val="0"/>
              <w:pageBreakBefore w:val="0"/>
              <w:wordWrap/>
              <w:overflowPunct/>
              <w:topLinePunct w:val="0"/>
              <w:autoSpaceDE w:val="0"/>
              <w:autoSpaceDN w:val="0"/>
              <w:bidi w:val="0"/>
              <w:spacing w:before="37" w:line="360" w:lineRule="exact"/>
              <w:ind w:left="70"/>
              <w:rPr>
                <w:rFonts w:hint="eastAsia" w:ascii="宋体" w:hAnsi="宋体" w:eastAsia="宋体" w:cs="宋体"/>
                <w:snapToGrid w:val="0"/>
                <w:color w:val="000000"/>
                <w:spacing w:val="-2"/>
                <w:kern w:val="0"/>
                <w:sz w:val="24"/>
                <w:szCs w:val="24"/>
                <w:lang w:val="en-US" w:eastAsia="en-US" w:bidi="ar-SA"/>
              </w:rPr>
            </w:pPr>
          </w:p>
          <w:p w14:paraId="79BE8197">
            <w:pPr>
              <w:pStyle w:val="55"/>
              <w:keepNext w:val="0"/>
              <w:keepLines w:val="0"/>
              <w:pageBreakBefore w:val="0"/>
              <w:wordWrap/>
              <w:overflowPunct/>
              <w:topLinePunct w:val="0"/>
              <w:autoSpaceDE w:val="0"/>
              <w:autoSpaceDN w:val="0"/>
              <w:bidi w:val="0"/>
              <w:spacing w:before="37" w:line="360" w:lineRule="exact"/>
              <w:ind w:left="70"/>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环境保护管</w:t>
            </w:r>
          </w:p>
          <w:p w14:paraId="1EF41DDF">
            <w:pPr>
              <w:pStyle w:val="55"/>
              <w:keepNext w:val="0"/>
              <w:keepLines w:val="0"/>
              <w:pageBreakBefore w:val="0"/>
              <w:wordWrap/>
              <w:overflowPunct/>
              <w:topLinePunct w:val="0"/>
              <w:autoSpaceDE w:val="0"/>
              <w:autoSpaceDN w:val="0"/>
              <w:bidi w:val="0"/>
              <w:spacing w:before="37" w:line="360" w:lineRule="exact"/>
              <w:ind w:left="70"/>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理体系与措</w:t>
            </w:r>
          </w:p>
          <w:p w14:paraId="604B5FA3">
            <w:pPr>
              <w:pStyle w:val="55"/>
              <w:keepNext w:val="0"/>
              <w:keepLines w:val="0"/>
              <w:pageBreakBefore w:val="0"/>
              <w:wordWrap/>
              <w:overflowPunct/>
              <w:topLinePunct w:val="0"/>
              <w:autoSpaceDE w:val="0"/>
              <w:autoSpaceDN w:val="0"/>
              <w:bidi w:val="0"/>
              <w:spacing w:before="37" w:line="360" w:lineRule="exact"/>
              <w:ind w:left="70"/>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施</w:t>
            </w:r>
          </w:p>
        </w:tc>
        <w:tc>
          <w:tcPr>
            <w:tcW w:w="6761" w:type="dxa"/>
            <w:vAlign w:val="top"/>
          </w:tcPr>
          <w:p w14:paraId="4D09CF4F">
            <w:pPr>
              <w:pStyle w:val="55"/>
              <w:keepNext w:val="0"/>
              <w:keepLines w:val="0"/>
              <w:pageBreakBefore w:val="0"/>
              <w:widowControl w:val="0"/>
              <w:kinsoku/>
              <w:wordWrap/>
              <w:overflowPunct/>
              <w:topLinePunct w:val="0"/>
              <w:autoSpaceDE w:val="0"/>
              <w:autoSpaceDN w:val="0"/>
              <w:bidi w:val="0"/>
              <w:adjustRightInd/>
              <w:snapToGrid/>
              <w:spacing w:before="20" w:line="360" w:lineRule="exact"/>
              <w:ind w:left="22"/>
              <w:textAlignment w:val="auto"/>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环境保护管理资源配置合理、措施合理的，得</w:t>
            </w:r>
            <w:r>
              <w:rPr>
                <w:rFonts w:hint="eastAsia" w:ascii="宋体" w:hAnsi="宋体" w:eastAsia="宋体" w:cs="宋体"/>
                <w:snapToGrid w:val="0"/>
                <w:color w:val="000000"/>
                <w:spacing w:val="-2"/>
                <w:kern w:val="0"/>
                <w:sz w:val="24"/>
                <w:szCs w:val="24"/>
                <w:lang w:val="en-US" w:eastAsia="zh-CN" w:bidi="ar-SA"/>
              </w:rPr>
              <w:t>8</w:t>
            </w:r>
            <w:r>
              <w:rPr>
                <w:rFonts w:hint="eastAsia" w:ascii="宋体" w:hAnsi="宋体" w:eastAsia="宋体" w:cs="宋体"/>
                <w:snapToGrid w:val="0"/>
                <w:color w:val="000000"/>
                <w:spacing w:val="-2"/>
                <w:kern w:val="0"/>
                <w:sz w:val="24"/>
                <w:szCs w:val="24"/>
                <w:lang w:val="en-US" w:eastAsia="en-US" w:bidi="ar-SA"/>
              </w:rPr>
              <w:t>分，环境保护管理资源配置、措施</w:t>
            </w:r>
            <w:r>
              <w:rPr>
                <w:rFonts w:hint="eastAsia" w:ascii="宋体" w:hAnsi="宋体" w:eastAsia="宋体" w:cs="宋体"/>
                <w:snapToGrid w:val="0"/>
                <w:color w:val="000000"/>
                <w:spacing w:val="-2"/>
                <w:kern w:val="0"/>
                <w:sz w:val="24"/>
                <w:szCs w:val="24"/>
                <w:lang w:val="en-US" w:eastAsia="zh-CN" w:bidi="ar-SA"/>
              </w:rPr>
              <w:t>内容存在缺陷</w:t>
            </w:r>
            <w:r>
              <w:rPr>
                <w:rFonts w:hint="eastAsia" w:ascii="宋体" w:hAnsi="宋体" w:eastAsia="宋体" w:cs="宋体"/>
                <w:snapToGrid w:val="0"/>
                <w:color w:val="000000"/>
                <w:spacing w:val="-2"/>
                <w:kern w:val="0"/>
                <w:sz w:val="24"/>
                <w:szCs w:val="24"/>
                <w:lang w:val="en-US" w:eastAsia="en-US" w:bidi="ar-SA"/>
              </w:rPr>
              <w:t>的，得</w:t>
            </w:r>
            <w:r>
              <w:rPr>
                <w:rFonts w:hint="eastAsia" w:ascii="宋体" w:hAnsi="宋体" w:eastAsia="宋体" w:cs="宋体"/>
                <w:snapToGrid w:val="0"/>
                <w:color w:val="000000"/>
                <w:spacing w:val="-2"/>
                <w:kern w:val="0"/>
                <w:sz w:val="24"/>
                <w:szCs w:val="24"/>
                <w:lang w:val="en-US" w:eastAsia="zh-CN" w:bidi="ar-SA"/>
              </w:rPr>
              <w:t>5</w:t>
            </w:r>
            <w:r>
              <w:rPr>
                <w:rFonts w:hint="eastAsia" w:ascii="宋体" w:hAnsi="宋体" w:eastAsia="宋体" w:cs="宋体"/>
                <w:snapToGrid w:val="0"/>
                <w:color w:val="000000"/>
                <w:spacing w:val="-2"/>
                <w:kern w:val="0"/>
                <w:sz w:val="24"/>
                <w:szCs w:val="24"/>
                <w:lang w:val="en-US" w:eastAsia="en-US" w:bidi="ar-SA"/>
              </w:rPr>
              <w:t>分，</w:t>
            </w:r>
            <w:r>
              <w:rPr>
                <w:rFonts w:hint="eastAsia" w:ascii="宋体" w:hAnsi="宋体" w:eastAsia="宋体" w:cs="宋体"/>
                <w:snapToGrid w:val="0"/>
                <w:color w:val="000000"/>
                <w:spacing w:val="-2"/>
                <w:kern w:val="0"/>
                <w:sz w:val="24"/>
                <w:szCs w:val="24"/>
                <w:lang w:val="en-US" w:eastAsia="zh-CN" w:bidi="ar-SA"/>
              </w:rPr>
              <w:t>未提供的</w:t>
            </w:r>
            <w:r>
              <w:rPr>
                <w:rFonts w:hint="eastAsia" w:ascii="宋体" w:hAnsi="宋体" w:eastAsia="宋体" w:cs="宋体"/>
                <w:snapToGrid w:val="0"/>
                <w:color w:val="000000"/>
                <w:spacing w:val="-2"/>
                <w:kern w:val="0"/>
                <w:sz w:val="24"/>
                <w:szCs w:val="24"/>
                <w:lang w:val="en-US" w:eastAsia="en-US" w:bidi="ar-SA"/>
              </w:rPr>
              <w:t>得0分。</w:t>
            </w:r>
          </w:p>
          <w:p w14:paraId="01366A8A">
            <w:pPr>
              <w:pStyle w:val="55"/>
              <w:keepNext w:val="0"/>
              <w:keepLines w:val="0"/>
              <w:pageBreakBefore w:val="0"/>
              <w:widowControl w:val="0"/>
              <w:kinsoku/>
              <w:wordWrap/>
              <w:overflowPunct/>
              <w:topLinePunct w:val="0"/>
              <w:autoSpaceDE w:val="0"/>
              <w:autoSpaceDN w:val="0"/>
              <w:bidi w:val="0"/>
              <w:adjustRightInd/>
              <w:snapToGrid/>
              <w:spacing w:before="20" w:line="360" w:lineRule="exact"/>
              <w:ind w:left="22"/>
              <w:textAlignment w:val="auto"/>
              <w:rPr>
                <w:rFonts w:hint="eastAsia" w:ascii="宋体" w:hAnsi="宋体" w:eastAsia="宋体" w:cs="宋体"/>
                <w:b/>
                <w:bCs/>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zh-CN" w:bidi="ar-SA"/>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14FBBBB9">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p w14:paraId="27FE3124">
            <w:pPr>
              <w:pStyle w:val="55"/>
              <w:keepNext w:val="0"/>
              <w:keepLines w:val="0"/>
              <w:pageBreakBefore w:val="0"/>
              <w:wordWrap/>
              <w:overflowPunct/>
              <w:topLinePunct w:val="0"/>
              <w:autoSpaceDE w:val="0"/>
              <w:autoSpaceDN w:val="0"/>
              <w:bidi w:val="0"/>
              <w:spacing w:before="78" w:line="360" w:lineRule="exact"/>
              <w:ind w:left="376"/>
              <w:rPr>
                <w:rFonts w:hint="eastAsia" w:ascii="宋体" w:hAnsi="宋体" w:eastAsia="宋体" w:cs="宋体"/>
                <w:snapToGrid w:val="0"/>
                <w:color w:val="000000"/>
                <w:spacing w:val="-2"/>
                <w:kern w:val="0"/>
                <w:sz w:val="24"/>
                <w:szCs w:val="24"/>
                <w:lang w:val="en-US" w:eastAsia="zh-CN" w:bidi="ar-SA"/>
              </w:rPr>
            </w:pPr>
          </w:p>
          <w:p w14:paraId="041E43A1">
            <w:pPr>
              <w:pStyle w:val="55"/>
              <w:keepNext w:val="0"/>
              <w:keepLines w:val="0"/>
              <w:pageBreakBefore w:val="0"/>
              <w:wordWrap/>
              <w:overflowPunct/>
              <w:topLinePunct w:val="0"/>
              <w:autoSpaceDE w:val="0"/>
              <w:autoSpaceDN w:val="0"/>
              <w:bidi w:val="0"/>
              <w:spacing w:before="78" w:line="360" w:lineRule="exact"/>
              <w:ind w:left="376"/>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8</w:t>
            </w:r>
          </w:p>
        </w:tc>
      </w:tr>
      <w:tr w14:paraId="13066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996" w:type="dxa"/>
            <w:vMerge w:val="continue"/>
            <w:tcBorders>
              <w:top w:val="nil"/>
              <w:left w:val="single" w:color="auto" w:sz="4" w:space="0"/>
              <w:bottom w:val="nil"/>
            </w:tcBorders>
            <w:vAlign w:val="top"/>
          </w:tcPr>
          <w:p w14:paraId="5A3991D3">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tc>
        <w:tc>
          <w:tcPr>
            <w:tcW w:w="1315" w:type="dxa"/>
            <w:vAlign w:val="top"/>
          </w:tcPr>
          <w:p w14:paraId="6123832D">
            <w:pPr>
              <w:pStyle w:val="55"/>
              <w:keepNext w:val="0"/>
              <w:keepLines w:val="0"/>
              <w:pageBreakBefore w:val="0"/>
              <w:wordWrap/>
              <w:overflowPunct/>
              <w:topLinePunct w:val="0"/>
              <w:autoSpaceDE w:val="0"/>
              <w:autoSpaceDN w:val="0"/>
              <w:bidi w:val="0"/>
              <w:spacing w:before="37" w:line="360" w:lineRule="exact"/>
              <w:ind w:left="70"/>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工程进度计 划与措施</w:t>
            </w:r>
          </w:p>
        </w:tc>
        <w:tc>
          <w:tcPr>
            <w:tcW w:w="6761" w:type="dxa"/>
            <w:vAlign w:val="top"/>
          </w:tcPr>
          <w:p w14:paraId="64E04CF9">
            <w:pPr>
              <w:pStyle w:val="55"/>
              <w:keepNext w:val="0"/>
              <w:keepLines w:val="0"/>
              <w:pageBreakBefore w:val="0"/>
              <w:widowControl w:val="0"/>
              <w:kinsoku/>
              <w:wordWrap/>
              <w:overflowPunct/>
              <w:topLinePunct w:val="0"/>
              <w:autoSpaceDE w:val="0"/>
              <w:autoSpaceDN w:val="0"/>
              <w:bidi w:val="0"/>
              <w:adjustRightInd/>
              <w:snapToGrid/>
              <w:spacing w:before="20" w:line="360" w:lineRule="exact"/>
              <w:ind w:left="22"/>
              <w:textAlignment w:val="auto"/>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zh-CN" w:bidi="ar-SA"/>
              </w:rPr>
              <w:t>工程进度计划应在空间和时间上做合理的统筹安排且符合施工的科学规律，</w:t>
            </w:r>
            <w:r>
              <w:rPr>
                <w:rFonts w:hint="eastAsia" w:ascii="宋体" w:hAnsi="宋体" w:eastAsia="宋体" w:cs="宋体"/>
                <w:snapToGrid w:val="0"/>
                <w:color w:val="000000"/>
                <w:spacing w:val="-2"/>
                <w:kern w:val="0"/>
                <w:sz w:val="24"/>
                <w:szCs w:val="24"/>
                <w:lang w:val="en-US" w:eastAsia="en-US" w:bidi="ar-SA"/>
              </w:rPr>
              <w:t>工程施工流程、进度计划横道图（或者网络图）中关键线路以及措施合理的，得6分，</w:t>
            </w:r>
            <w:r>
              <w:rPr>
                <w:rFonts w:hint="eastAsia" w:ascii="宋体" w:hAnsi="宋体" w:eastAsia="宋体" w:cs="宋体"/>
                <w:snapToGrid w:val="0"/>
                <w:color w:val="000000"/>
                <w:spacing w:val="-2"/>
                <w:kern w:val="0"/>
                <w:sz w:val="24"/>
                <w:szCs w:val="24"/>
                <w:lang w:val="en-US" w:eastAsia="zh-CN" w:bidi="ar-SA"/>
              </w:rPr>
              <w:t>未提供</w:t>
            </w:r>
            <w:r>
              <w:rPr>
                <w:rFonts w:hint="eastAsia" w:ascii="宋体" w:hAnsi="宋体" w:eastAsia="宋体" w:cs="宋体"/>
                <w:snapToGrid w:val="0"/>
                <w:color w:val="000000"/>
                <w:spacing w:val="-2"/>
                <w:kern w:val="0"/>
                <w:sz w:val="24"/>
                <w:szCs w:val="24"/>
                <w:lang w:val="en-US" w:eastAsia="en-US" w:bidi="ar-SA"/>
              </w:rPr>
              <w:t>得0分。</w:t>
            </w:r>
          </w:p>
        </w:tc>
        <w:tc>
          <w:tcPr>
            <w:tcW w:w="858" w:type="dxa"/>
            <w:vAlign w:val="top"/>
          </w:tcPr>
          <w:p w14:paraId="5B6344B0">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p w14:paraId="675D0B54">
            <w:pPr>
              <w:pStyle w:val="55"/>
              <w:keepNext w:val="0"/>
              <w:keepLines w:val="0"/>
              <w:pageBreakBefore w:val="0"/>
              <w:wordWrap/>
              <w:overflowPunct/>
              <w:topLinePunct w:val="0"/>
              <w:autoSpaceDE w:val="0"/>
              <w:autoSpaceDN w:val="0"/>
              <w:bidi w:val="0"/>
              <w:spacing w:before="78" w:line="360" w:lineRule="exact"/>
              <w:ind w:left="376"/>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6</w:t>
            </w:r>
          </w:p>
        </w:tc>
      </w:tr>
      <w:tr w14:paraId="3E86C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996" w:type="dxa"/>
            <w:vMerge w:val="continue"/>
            <w:tcBorders>
              <w:top w:val="nil"/>
              <w:left w:val="single" w:color="auto" w:sz="4" w:space="0"/>
            </w:tcBorders>
            <w:vAlign w:val="top"/>
          </w:tcPr>
          <w:p w14:paraId="765F30F4">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tc>
        <w:tc>
          <w:tcPr>
            <w:tcW w:w="1315" w:type="dxa"/>
            <w:vAlign w:val="top"/>
          </w:tcPr>
          <w:p w14:paraId="21EE9ECC">
            <w:pPr>
              <w:pStyle w:val="55"/>
              <w:keepNext w:val="0"/>
              <w:keepLines w:val="0"/>
              <w:pageBreakBefore w:val="0"/>
              <w:wordWrap/>
              <w:overflowPunct/>
              <w:topLinePunct w:val="0"/>
              <w:autoSpaceDE w:val="0"/>
              <w:autoSpaceDN w:val="0"/>
              <w:bidi w:val="0"/>
              <w:spacing w:before="37" w:line="360" w:lineRule="exact"/>
              <w:ind w:left="70"/>
              <w:rPr>
                <w:rFonts w:hint="eastAsia" w:ascii="宋体" w:hAnsi="宋体" w:eastAsia="宋体" w:cs="宋体"/>
                <w:snapToGrid w:val="0"/>
                <w:color w:val="000000"/>
                <w:spacing w:val="-2"/>
                <w:kern w:val="0"/>
                <w:sz w:val="24"/>
                <w:szCs w:val="24"/>
                <w:lang w:val="en-US" w:eastAsia="en-US" w:bidi="ar-SA"/>
              </w:rPr>
            </w:pPr>
          </w:p>
          <w:p w14:paraId="716FDD98">
            <w:pPr>
              <w:pStyle w:val="55"/>
              <w:keepNext w:val="0"/>
              <w:keepLines w:val="0"/>
              <w:pageBreakBefore w:val="0"/>
              <w:wordWrap/>
              <w:overflowPunct/>
              <w:topLinePunct w:val="0"/>
              <w:autoSpaceDE w:val="0"/>
              <w:autoSpaceDN w:val="0"/>
              <w:bidi w:val="0"/>
              <w:spacing w:before="37" w:line="360" w:lineRule="exact"/>
              <w:ind w:left="70"/>
              <w:rPr>
                <w:rFonts w:hint="eastAsia" w:ascii="宋体" w:hAnsi="宋体" w:eastAsia="宋体" w:cs="宋体"/>
                <w:snapToGrid w:val="0"/>
                <w:color w:val="000000"/>
                <w:spacing w:val="-2"/>
                <w:kern w:val="0"/>
                <w:sz w:val="24"/>
                <w:szCs w:val="24"/>
                <w:lang w:val="en-US" w:eastAsia="en-US" w:bidi="ar-SA"/>
              </w:rPr>
            </w:pPr>
          </w:p>
          <w:p w14:paraId="5D89A995">
            <w:pPr>
              <w:pStyle w:val="55"/>
              <w:keepNext w:val="0"/>
              <w:keepLines w:val="0"/>
              <w:pageBreakBefore w:val="0"/>
              <w:wordWrap/>
              <w:overflowPunct/>
              <w:topLinePunct w:val="0"/>
              <w:autoSpaceDE w:val="0"/>
              <w:autoSpaceDN w:val="0"/>
              <w:bidi w:val="0"/>
              <w:spacing w:before="37" w:line="360" w:lineRule="exact"/>
              <w:ind w:left="70"/>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资源配备计 划</w:t>
            </w:r>
          </w:p>
        </w:tc>
        <w:tc>
          <w:tcPr>
            <w:tcW w:w="6761" w:type="dxa"/>
            <w:vAlign w:val="top"/>
          </w:tcPr>
          <w:p w14:paraId="6E30203A">
            <w:pPr>
              <w:pStyle w:val="55"/>
              <w:keepNext w:val="0"/>
              <w:keepLines w:val="0"/>
              <w:pageBreakBefore w:val="0"/>
              <w:wordWrap/>
              <w:overflowPunct/>
              <w:topLinePunct w:val="0"/>
              <w:autoSpaceDE w:val="0"/>
              <w:autoSpaceDN w:val="0"/>
              <w:bidi w:val="0"/>
              <w:spacing w:before="34" w:line="360" w:lineRule="exact"/>
              <w:ind w:left="16" w:leftChars="0" w:right="0" w:rightChars="0" w:firstLine="3" w:firstLineChars="0"/>
              <w:jc w:val="both"/>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（1）资金使用计划安排合理的，得2分</w:t>
            </w:r>
            <w:r>
              <w:rPr>
                <w:rFonts w:hint="eastAsia" w:ascii="宋体" w:hAnsi="宋体" w:eastAsia="宋体" w:cs="宋体"/>
                <w:snapToGrid w:val="0"/>
                <w:color w:val="000000"/>
                <w:spacing w:val="-2"/>
                <w:kern w:val="0"/>
                <w:sz w:val="24"/>
                <w:szCs w:val="24"/>
                <w:lang w:val="en-US" w:eastAsia="zh-CN" w:bidi="ar-SA"/>
              </w:rPr>
              <w:t>，内容存在缺陷</w:t>
            </w:r>
            <w:r>
              <w:rPr>
                <w:rFonts w:hint="eastAsia" w:ascii="宋体" w:hAnsi="宋体" w:eastAsia="宋体" w:cs="宋体"/>
                <w:snapToGrid w:val="0"/>
                <w:color w:val="000000"/>
                <w:spacing w:val="-2"/>
                <w:kern w:val="0"/>
                <w:sz w:val="24"/>
                <w:szCs w:val="24"/>
                <w:lang w:val="en-US" w:eastAsia="en-US" w:bidi="ar-SA"/>
              </w:rPr>
              <w:t>的，得1分</w:t>
            </w:r>
            <w:r>
              <w:rPr>
                <w:rFonts w:hint="eastAsia" w:ascii="宋体" w:hAnsi="宋体" w:eastAsia="宋体" w:cs="宋体"/>
                <w:snapToGrid w:val="0"/>
                <w:color w:val="000000"/>
                <w:spacing w:val="-2"/>
                <w:kern w:val="0"/>
                <w:sz w:val="24"/>
                <w:szCs w:val="24"/>
                <w:lang w:val="en-US" w:eastAsia="zh-CN" w:bidi="ar-SA"/>
              </w:rPr>
              <w:t>；未提供</w:t>
            </w:r>
            <w:r>
              <w:rPr>
                <w:rFonts w:hint="eastAsia" w:ascii="宋体" w:hAnsi="宋体" w:eastAsia="宋体" w:cs="宋体"/>
                <w:snapToGrid w:val="0"/>
                <w:color w:val="000000"/>
                <w:spacing w:val="-2"/>
                <w:kern w:val="0"/>
                <w:sz w:val="24"/>
                <w:szCs w:val="24"/>
                <w:lang w:val="en-US" w:eastAsia="en-US" w:bidi="ar-SA"/>
              </w:rPr>
              <w:t>的，得0分。</w:t>
            </w:r>
          </w:p>
          <w:p w14:paraId="779DBEE5">
            <w:pPr>
              <w:pStyle w:val="55"/>
              <w:keepNext w:val="0"/>
              <w:keepLines w:val="0"/>
              <w:pageBreakBefore w:val="0"/>
              <w:wordWrap/>
              <w:overflowPunct/>
              <w:topLinePunct w:val="0"/>
              <w:autoSpaceDE w:val="0"/>
              <w:autoSpaceDN w:val="0"/>
              <w:bidi w:val="0"/>
              <w:spacing w:before="34" w:line="360" w:lineRule="exact"/>
              <w:ind w:left="16" w:leftChars="0" w:right="0" w:rightChars="0" w:firstLine="3" w:firstLineChars="0"/>
              <w:jc w:val="both"/>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（2）劳动力安排计划合理且有计算说明的，得2分</w:t>
            </w:r>
            <w:r>
              <w:rPr>
                <w:rFonts w:hint="eastAsia" w:ascii="宋体" w:hAnsi="宋体" w:eastAsia="宋体" w:cs="宋体"/>
                <w:snapToGrid w:val="0"/>
                <w:color w:val="000000"/>
                <w:spacing w:val="-2"/>
                <w:kern w:val="0"/>
                <w:sz w:val="24"/>
                <w:szCs w:val="24"/>
                <w:lang w:val="en-US" w:eastAsia="zh-CN" w:bidi="ar-SA"/>
              </w:rPr>
              <w:t>，内容存在缺陷</w:t>
            </w:r>
            <w:r>
              <w:rPr>
                <w:rFonts w:hint="eastAsia" w:ascii="宋体" w:hAnsi="宋体" w:eastAsia="宋体" w:cs="宋体"/>
                <w:snapToGrid w:val="0"/>
                <w:color w:val="000000"/>
                <w:spacing w:val="-2"/>
                <w:kern w:val="0"/>
                <w:sz w:val="24"/>
                <w:szCs w:val="24"/>
                <w:lang w:val="en-US" w:eastAsia="en-US" w:bidi="ar-SA"/>
              </w:rPr>
              <w:t>的，得1分</w:t>
            </w:r>
            <w:r>
              <w:rPr>
                <w:rFonts w:hint="eastAsia" w:ascii="宋体" w:hAnsi="宋体" w:eastAsia="宋体" w:cs="宋体"/>
                <w:snapToGrid w:val="0"/>
                <w:color w:val="000000"/>
                <w:spacing w:val="-2"/>
                <w:kern w:val="0"/>
                <w:sz w:val="24"/>
                <w:szCs w:val="24"/>
                <w:lang w:val="en-US" w:eastAsia="zh-CN" w:bidi="ar-SA"/>
              </w:rPr>
              <w:t>；未提供</w:t>
            </w:r>
            <w:r>
              <w:rPr>
                <w:rFonts w:hint="eastAsia" w:ascii="宋体" w:hAnsi="宋体" w:eastAsia="宋体" w:cs="宋体"/>
                <w:snapToGrid w:val="0"/>
                <w:color w:val="000000"/>
                <w:spacing w:val="-2"/>
                <w:kern w:val="0"/>
                <w:sz w:val="24"/>
                <w:szCs w:val="24"/>
                <w:lang w:val="en-US" w:eastAsia="en-US" w:bidi="ar-SA"/>
              </w:rPr>
              <w:t>的，得0分。</w:t>
            </w:r>
          </w:p>
          <w:p w14:paraId="32A72669">
            <w:pPr>
              <w:pStyle w:val="55"/>
              <w:keepNext w:val="0"/>
              <w:keepLines w:val="0"/>
              <w:pageBreakBefore w:val="0"/>
              <w:wordWrap/>
              <w:overflowPunct/>
              <w:topLinePunct w:val="0"/>
              <w:autoSpaceDE w:val="0"/>
              <w:autoSpaceDN w:val="0"/>
              <w:bidi w:val="0"/>
              <w:spacing w:before="34" w:line="360" w:lineRule="exact"/>
              <w:ind w:left="16" w:leftChars="0" w:right="0" w:rightChars="0" w:firstLine="3" w:firstLineChars="0"/>
              <w:jc w:val="both"/>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（3）主要材料用量计划安排合理且有计算说明的，得2分</w:t>
            </w:r>
            <w:r>
              <w:rPr>
                <w:rFonts w:hint="eastAsia" w:ascii="宋体" w:hAnsi="宋体" w:eastAsia="宋体" w:cs="宋体"/>
                <w:snapToGrid w:val="0"/>
                <w:color w:val="000000"/>
                <w:spacing w:val="-2"/>
                <w:kern w:val="0"/>
                <w:sz w:val="24"/>
                <w:szCs w:val="24"/>
                <w:lang w:val="en-US" w:eastAsia="zh-CN" w:bidi="ar-SA"/>
              </w:rPr>
              <w:t>，内容存在缺陷</w:t>
            </w:r>
            <w:r>
              <w:rPr>
                <w:rFonts w:hint="eastAsia" w:ascii="宋体" w:hAnsi="宋体" w:eastAsia="宋体" w:cs="宋体"/>
                <w:snapToGrid w:val="0"/>
                <w:color w:val="000000"/>
                <w:spacing w:val="-2"/>
                <w:kern w:val="0"/>
                <w:sz w:val="24"/>
                <w:szCs w:val="24"/>
                <w:lang w:val="en-US" w:eastAsia="en-US" w:bidi="ar-SA"/>
              </w:rPr>
              <w:t>的，得1分</w:t>
            </w:r>
            <w:r>
              <w:rPr>
                <w:rFonts w:hint="eastAsia" w:ascii="宋体" w:hAnsi="宋体" w:eastAsia="宋体" w:cs="宋体"/>
                <w:snapToGrid w:val="0"/>
                <w:color w:val="000000"/>
                <w:spacing w:val="-2"/>
                <w:kern w:val="0"/>
                <w:sz w:val="24"/>
                <w:szCs w:val="24"/>
                <w:lang w:val="en-US" w:eastAsia="zh-CN" w:bidi="ar-SA"/>
              </w:rPr>
              <w:t>；未提供</w:t>
            </w:r>
            <w:r>
              <w:rPr>
                <w:rFonts w:hint="eastAsia" w:ascii="宋体" w:hAnsi="宋体" w:eastAsia="宋体" w:cs="宋体"/>
                <w:snapToGrid w:val="0"/>
                <w:color w:val="000000"/>
                <w:spacing w:val="-2"/>
                <w:kern w:val="0"/>
                <w:sz w:val="24"/>
                <w:szCs w:val="24"/>
                <w:lang w:val="en-US" w:eastAsia="en-US" w:bidi="ar-SA"/>
              </w:rPr>
              <w:t>的，得0分。</w:t>
            </w:r>
          </w:p>
          <w:p w14:paraId="0129B1D2">
            <w:pPr>
              <w:pStyle w:val="55"/>
              <w:keepNext w:val="0"/>
              <w:keepLines w:val="0"/>
              <w:pageBreakBefore w:val="0"/>
              <w:wordWrap/>
              <w:overflowPunct/>
              <w:topLinePunct w:val="0"/>
              <w:autoSpaceDE w:val="0"/>
              <w:autoSpaceDN w:val="0"/>
              <w:bidi w:val="0"/>
              <w:spacing w:before="34" w:line="360" w:lineRule="exact"/>
              <w:ind w:left="16" w:leftChars="0" w:right="0" w:rightChars="0" w:firstLine="3" w:firstLineChars="0"/>
              <w:jc w:val="both"/>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（4）主要施工机械设备使用计划合理且有计算说明的，得2分</w:t>
            </w:r>
            <w:r>
              <w:rPr>
                <w:rFonts w:hint="eastAsia" w:ascii="宋体" w:hAnsi="宋体" w:eastAsia="宋体" w:cs="宋体"/>
                <w:snapToGrid w:val="0"/>
                <w:color w:val="000000"/>
                <w:spacing w:val="-2"/>
                <w:kern w:val="0"/>
                <w:sz w:val="24"/>
                <w:szCs w:val="24"/>
                <w:lang w:val="en-US" w:eastAsia="zh-CN" w:bidi="ar-SA"/>
              </w:rPr>
              <w:t>，内容存在缺陷</w:t>
            </w:r>
            <w:r>
              <w:rPr>
                <w:rFonts w:hint="eastAsia" w:ascii="宋体" w:hAnsi="宋体" w:eastAsia="宋体" w:cs="宋体"/>
                <w:snapToGrid w:val="0"/>
                <w:color w:val="000000"/>
                <w:spacing w:val="-2"/>
                <w:kern w:val="0"/>
                <w:sz w:val="24"/>
                <w:szCs w:val="24"/>
                <w:lang w:val="en-US" w:eastAsia="en-US" w:bidi="ar-SA"/>
              </w:rPr>
              <w:t>的，得1分</w:t>
            </w:r>
            <w:r>
              <w:rPr>
                <w:rFonts w:hint="eastAsia" w:ascii="宋体" w:hAnsi="宋体" w:eastAsia="宋体" w:cs="宋体"/>
                <w:snapToGrid w:val="0"/>
                <w:color w:val="000000"/>
                <w:spacing w:val="-2"/>
                <w:kern w:val="0"/>
                <w:sz w:val="24"/>
                <w:szCs w:val="24"/>
                <w:lang w:val="en-US" w:eastAsia="zh-CN" w:bidi="ar-SA"/>
              </w:rPr>
              <w:t>；未提供</w:t>
            </w:r>
            <w:r>
              <w:rPr>
                <w:rFonts w:hint="eastAsia" w:ascii="宋体" w:hAnsi="宋体" w:eastAsia="宋体" w:cs="宋体"/>
                <w:snapToGrid w:val="0"/>
                <w:color w:val="000000"/>
                <w:spacing w:val="-2"/>
                <w:kern w:val="0"/>
                <w:sz w:val="24"/>
                <w:szCs w:val="24"/>
                <w:lang w:val="en-US" w:eastAsia="en-US" w:bidi="ar-SA"/>
              </w:rPr>
              <w:t>的，得0分。</w:t>
            </w:r>
          </w:p>
          <w:p w14:paraId="012AC950">
            <w:pPr>
              <w:pStyle w:val="55"/>
              <w:keepNext w:val="0"/>
              <w:keepLines w:val="0"/>
              <w:pageBreakBefore w:val="0"/>
              <w:widowControl w:val="0"/>
              <w:kinsoku/>
              <w:wordWrap/>
              <w:overflowPunct/>
              <w:topLinePunct w:val="0"/>
              <w:autoSpaceDE w:val="0"/>
              <w:autoSpaceDN w:val="0"/>
              <w:bidi w:val="0"/>
              <w:adjustRightInd/>
              <w:snapToGrid/>
              <w:spacing w:before="22" w:line="360" w:lineRule="exact"/>
              <w:jc w:val="both"/>
              <w:textAlignment w:val="auto"/>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zh-CN" w:bidi="ar-SA"/>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469CF624">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p w14:paraId="1EAE14C3">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p w14:paraId="2D624F30">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p w14:paraId="08210E6F">
            <w:pPr>
              <w:pStyle w:val="55"/>
              <w:keepNext w:val="0"/>
              <w:keepLines w:val="0"/>
              <w:pageBreakBefore w:val="0"/>
              <w:wordWrap/>
              <w:overflowPunct/>
              <w:topLinePunct w:val="0"/>
              <w:autoSpaceDE w:val="0"/>
              <w:autoSpaceDN w:val="0"/>
              <w:bidi w:val="0"/>
              <w:spacing w:before="78" w:line="360" w:lineRule="exact"/>
              <w:ind w:left="375"/>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8</w:t>
            </w:r>
          </w:p>
        </w:tc>
      </w:tr>
      <w:tr w14:paraId="06118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996" w:type="dxa"/>
            <w:tcBorders>
              <w:top w:val="nil"/>
            </w:tcBorders>
            <w:vAlign w:val="top"/>
          </w:tcPr>
          <w:p w14:paraId="3A533791">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2"/>
                <w:kern w:val="0"/>
                <w:sz w:val="24"/>
                <w:szCs w:val="24"/>
                <w:lang w:val="en-US" w:eastAsia="en-US" w:bidi="ar-SA"/>
              </w:rPr>
            </w:pPr>
          </w:p>
        </w:tc>
        <w:tc>
          <w:tcPr>
            <w:tcW w:w="1315" w:type="dxa"/>
            <w:vAlign w:val="top"/>
          </w:tcPr>
          <w:p w14:paraId="679930C6">
            <w:pPr>
              <w:pStyle w:val="55"/>
              <w:keepNext w:val="0"/>
              <w:keepLines w:val="0"/>
              <w:pageBreakBefore w:val="0"/>
              <w:wordWrap/>
              <w:overflowPunct/>
              <w:topLinePunct w:val="0"/>
              <w:autoSpaceDE w:val="0"/>
              <w:autoSpaceDN w:val="0"/>
              <w:bidi w:val="0"/>
              <w:spacing w:before="37" w:line="360" w:lineRule="exact"/>
              <w:ind w:left="70"/>
              <w:rPr>
                <w:rFonts w:hint="eastAsia" w:ascii="宋体" w:hAnsi="宋体" w:eastAsia="宋体" w:cs="宋体"/>
                <w:snapToGrid w:val="0"/>
                <w:color w:val="000000"/>
                <w:spacing w:val="-2"/>
                <w:kern w:val="0"/>
                <w:sz w:val="24"/>
                <w:szCs w:val="24"/>
                <w:lang w:val="en-US" w:eastAsia="en-US" w:bidi="ar-SA"/>
              </w:rPr>
            </w:pPr>
          </w:p>
          <w:p w14:paraId="53B9574B">
            <w:pPr>
              <w:pStyle w:val="55"/>
              <w:keepNext w:val="0"/>
              <w:keepLines w:val="0"/>
              <w:pageBreakBefore w:val="0"/>
              <w:wordWrap/>
              <w:overflowPunct/>
              <w:topLinePunct w:val="0"/>
              <w:autoSpaceDE w:val="0"/>
              <w:autoSpaceDN w:val="0"/>
              <w:bidi w:val="0"/>
              <w:spacing w:before="37" w:line="360" w:lineRule="exact"/>
              <w:ind w:left="70"/>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内容完整性 和编制水平</w:t>
            </w:r>
          </w:p>
        </w:tc>
        <w:tc>
          <w:tcPr>
            <w:tcW w:w="6761" w:type="dxa"/>
            <w:vAlign w:val="top"/>
          </w:tcPr>
          <w:p w14:paraId="5C031B68">
            <w:pPr>
              <w:pStyle w:val="55"/>
              <w:keepNext w:val="0"/>
              <w:keepLines w:val="0"/>
              <w:pageBreakBefore w:val="0"/>
              <w:wordWrap/>
              <w:overflowPunct/>
              <w:topLinePunct w:val="0"/>
              <w:autoSpaceDE w:val="0"/>
              <w:autoSpaceDN w:val="0"/>
              <w:bidi w:val="0"/>
              <w:spacing w:before="34" w:line="360" w:lineRule="exact"/>
              <w:ind w:left="16" w:leftChars="0" w:right="0" w:rightChars="0" w:firstLine="3" w:firstLineChars="0"/>
              <w:jc w:val="both"/>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施工组织包含施工条件、施工导流（如需要）、料场的选择与开采（如需要）、主体工程施工、施工交通运输、施工工厂设施 （如需要）、施工总布置、施工总进度、主要技术供应等章节，且内容完整、编制合理的，得</w:t>
            </w:r>
            <w:r>
              <w:rPr>
                <w:rFonts w:hint="eastAsia" w:ascii="宋体" w:hAnsi="宋体" w:eastAsia="宋体" w:cs="宋体"/>
                <w:snapToGrid w:val="0"/>
                <w:color w:val="000000"/>
                <w:spacing w:val="-2"/>
                <w:kern w:val="0"/>
                <w:sz w:val="24"/>
                <w:szCs w:val="24"/>
                <w:lang w:val="en-US" w:eastAsia="zh-CN" w:bidi="ar-SA"/>
              </w:rPr>
              <w:t>3</w:t>
            </w:r>
            <w:r>
              <w:rPr>
                <w:rFonts w:hint="eastAsia" w:ascii="宋体" w:hAnsi="宋体" w:eastAsia="宋体" w:cs="宋体"/>
                <w:snapToGrid w:val="0"/>
                <w:color w:val="000000"/>
                <w:spacing w:val="-2"/>
                <w:kern w:val="0"/>
                <w:sz w:val="24"/>
                <w:szCs w:val="24"/>
                <w:lang w:val="en-US" w:eastAsia="en-US" w:bidi="ar-SA"/>
              </w:rPr>
              <w:t>分</w:t>
            </w:r>
            <w:r>
              <w:rPr>
                <w:rFonts w:hint="eastAsia" w:ascii="宋体" w:hAnsi="宋体" w:eastAsia="宋体" w:cs="宋体"/>
                <w:snapToGrid w:val="0"/>
                <w:color w:val="000000"/>
                <w:spacing w:val="-2"/>
                <w:kern w:val="0"/>
                <w:sz w:val="24"/>
                <w:szCs w:val="24"/>
                <w:lang w:val="en-US" w:eastAsia="zh-CN" w:bidi="ar-SA"/>
              </w:rPr>
              <w:t>；内容存在缺陷</w:t>
            </w:r>
            <w:r>
              <w:rPr>
                <w:rFonts w:hint="eastAsia" w:ascii="宋体" w:hAnsi="宋体" w:eastAsia="宋体" w:cs="宋体"/>
                <w:snapToGrid w:val="0"/>
                <w:color w:val="000000"/>
                <w:spacing w:val="-2"/>
                <w:kern w:val="0"/>
                <w:sz w:val="24"/>
                <w:szCs w:val="24"/>
                <w:lang w:val="en-US" w:eastAsia="en-US" w:bidi="ar-SA"/>
              </w:rPr>
              <w:t>的，得1</w:t>
            </w:r>
            <w:r>
              <w:rPr>
                <w:rFonts w:hint="eastAsia" w:ascii="宋体" w:hAnsi="宋体" w:eastAsia="宋体" w:cs="宋体"/>
                <w:snapToGrid w:val="0"/>
                <w:color w:val="000000"/>
                <w:spacing w:val="-2"/>
                <w:kern w:val="0"/>
                <w:sz w:val="24"/>
                <w:szCs w:val="24"/>
                <w:lang w:val="en-US" w:eastAsia="zh-CN" w:bidi="ar-SA"/>
              </w:rPr>
              <w:t>.5</w:t>
            </w:r>
            <w:r>
              <w:rPr>
                <w:rFonts w:hint="eastAsia" w:ascii="宋体" w:hAnsi="宋体" w:eastAsia="宋体" w:cs="宋体"/>
                <w:snapToGrid w:val="0"/>
                <w:color w:val="000000"/>
                <w:spacing w:val="-2"/>
                <w:kern w:val="0"/>
                <w:sz w:val="24"/>
                <w:szCs w:val="24"/>
                <w:lang w:val="en-US" w:eastAsia="en-US" w:bidi="ar-SA"/>
              </w:rPr>
              <w:t>分</w:t>
            </w:r>
            <w:r>
              <w:rPr>
                <w:rFonts w:hint="eastAsia" w:ascii="宋体" w:hAnsi="宋体" w:eastAsia="宋体" w:cs="宋体"/>
                <w:snapToGrid w:val="0"/>
                <w:color w:val="000000"/>
                <w:spacing w:val="-2"/>
                <w:kern w:val="0"/>
                <w:sz w:val="24"/>
                <w:szCs w:val="24"/>
                <w:lang w:val="en-US" w:eastAsia="zh-CN" w:bidi="ar-SA"/>
              </w:rPr>
              <w:t>；未提供</w:t>
            </w:r>
            <w:r>
              <w:rPr>
                <w:rFonts w:hint="eastAsia" w:ascii="宋体" w:hAnsi="宋体" w:eastAsia="宋体" w:cs="宋体"/>
                <w:snapToGrid w:val="0"/>
                <w:color w:val="000000"/>
                <w:spacing w:val="-2"/>
                <w:kern w:val="0"/>
                <w:sz w:val="24"/>
                <w:szCs w:val="24"/>
                <w:lang w:val="en-US" w:eastAsia="en-US" w:bidi="ar-SA"/>
              </w:rPr>
              <w:t>的，得0分。</w:t>
            </w:r>
          </w:p>
          <w:p w14:paraId="6EB14930">
            <w:pPr>
              <w:pStyle w:val="55"/>
              <w:keepNext w:val="0"/>
              <w:keepLines w:val="0"/>
              <w:pageBreakBefore w:val="0"/>
              <w:wordWrap/>
              <w:overflowPunct/>
              <w:topLinePunct w:val="0"/>
              <w:autoSpaceDE w:val="0"/>
              <w:autoSpaceDN w:val="0"/>
              <w:bidi w:val="0"/>
              <w:spacing w:before="34" w:line="360" w:lineRule="exact"/>
              <w:ind w:left="16" w:leftChars="0" w:right="0" w:rightChars="0" w:firstLine="3" w:firstLineChars="0"/>
              <w:jc w:val="both"/>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zh-CN" w:bidi="ar-SA"/>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64DA508E">
            <w:pPr>
              <w:keepNext w:val="0"/>
              <w:keepLines w:val="0"/>
              <w:pageBreakBefore w:val="0"/>
              <w:wordWrap/>
              <w:overflowPunct/>
              <w:topLinePunct w:val="0"/>
              <w:autoSpaceDE w:val="0"/>
              <w:autoSpaceDN w:val="0"/>
              <w:bidi w:val="0"/>
              <w:spacing w:line="360" w:lineRule="exact"/>
              <w:jc w:val="both"/>
              <w:rPr>
                <w:rFonts w:hint="eastAsia" w:ascii="宋体" w:hAnsi="宋体" w:eastAsia="宋体" w:cs="宋体"/>
                <w:snapToGrid w:val="0"/>
                <w:color w:val="000000"/>
                <w:spacing w:val="-2"/>
                <w:kern w:val="0"/>
                <w:sz w:val="24"/>
                <w:szCs w:val="24"/>
                <w:lang w:val="en-US" w:eastAsia="en-US" w:bidi="ar-SA"/>
              </w:rPr>
            </w:pPr>
          </w:p>
          <w:p w14:paraId="23BDDFBC">
            <w:pPr>
              <w:keepNext w:val="0"/>
              <w:keepLines w:val="0"/>
              <w:pageBreakBefore w:val="0"/>
              <w:wordWrap/>
              <w:overflowPunct/>
              <w:topLinePunct w:val="0"/>
              <w:autoSpaceDE w:val="0"/>
              <w:autoSpaceDN w:val="0"/>
              <w:bidi w:val="0"/>
              <w:spacing w:line="360" w:lineRule="exact"/>
              <w:jc w:val="both"/>
              <w:rPr>
                <w:rFonts w:hint="eastAsia" w:ascii="宋体" w:hAnsi="宋体" w:eastAsia="宋体" w:cs="宋体"/>
                <w:snapToGrid w:val="0"/>
                <w:color w:val="000000"/>
                <w:spacing w:val="-2"/>
                <w:kern w:val="0"/>
                <w:sz w:val="24"/>
                <w:szCs w:val="24"/>
                <w:lang w:val="en-US" w:eastAsia="en-US" w:bidi="ar-SA"/>
              </w:rPr>
            </w:pPr>
          </w:p>
          <w:p w14:paraId="25B15B1F">
            <w:pPr>
              <w:pStyle w:val="55"/>
              <w:keepNext w:val="0"/>
              <w:keepLines w:val="0"/>
              <w:pageBreakBefore w:val="0"/>
              <w:wordWrap/>
              <w:overflowPunct/>
              <w:topLinePunct w:val="0"/>
              <w:autoSpaceDE w:val="0"/>
              <w:autoSpaceDN w:val="0"/>
              <w:bidi w:val="0"/>
              <w:spacing w:before="78" w:line="360" w:lineRule="exact"/>
              <w:ind w:left="379" w:leftChars="0" w:right="0" w:rightChars="0"/>
              <w:jc w:val="both"/>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zh-CN" w:bidi="ar-SA"/>
              </w:rPr>
              <w:t>3</w:t>
            </w:r>
          </w:p>
        </w:tc>
      </w:tr>
      <w:tr w14:paraId="1DB90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9072" w:type="dxa"/>
            <w:gridSpan w:val="3"/>
            <w:vAlign w:val="top"/>
          </w:tcPr>
          <w:p w14:paraId="72FC41D1">
            <w:pPr>
              <w:pStyle w:val="55"/>
              <w:keepNext w:val="0"/>
              <w:keepLines w:val="0"/>
              <w:pageBreakBefore w:val="0"/>
              <w:wordWrap/>
              <w:overflowPunct/>
              <w:topLinePunct w:val="0"/>
              <w:autoSpaceDE w:val="0"/>
              <w:autoSpaceDN w:val="0"/>
              <w:bidi w:val="0"/>
              <w:spacing w:before="122" w:line="360" w:lineRule="exact"/>
              <w:ind w:left="124" w:leftChars="0" w:right="0" w:rightChars="0"/>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合计</w:t>
            </w:r>
          </w:p>
        </w:tc>
        <w:tc>
          <w:tcPr>
            <w:tcW w:w="858" w:type="dxa"/>
            <w:vAlign w:val="top"/>
          </w:tcPr>
          <w:p w14:paraId="2F94CE32">
            <w:pPr>
              <w:pStyle w:val="55"/>
              <w:keepNext w:val="0"/>
              <w:keepLines w:val="0"/>
              <w:pageBreakBefore w:val="0"/>
              <w:wordWrap/>
              <w:overflowPunct/>
              <w:topLinePunct w:val="0"/>
              <w:autoSpaceDE w:val="0"/>
              <w:autoSpaceDN w:val="0"/>
              <w:bidi w:val="0"/>
              <w:spacing w:before="122" w:line="360" w:lineRule="exact"/>
              <w:ind w:left="124" w:leftChars="0" w:right="0" w:rightChars="0"/>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100</w:t>
            </w:r>
          </w:p>
        </w:tc>
      </w:tr>
    </w:tbl>
    <w:p w14:paraId="1820E0E7">
      <w:pPr>
        <w:pStyle w:val="51"/>
        <w:shd w:val="clear" w:color="auto" w:fill="FFFFFF"/>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A21A6C5">
      <w:pPr>
        <w:spacing w:line="53" w:lineRule="auto"/>
        <w:rPr>
          <w:rFonts w:hint="eastAsia" w:asciiTheme="minorEastAsia" w:hAnsiTheme="minorEastAsia" w:eastAsiaTheme="minorEastAsia" w:cstheme="minorEastAsia"/>
          <w:sz w:val="2"/>
        </w:rPr>
      </w:pPr>
    </w:p>
    <w:p w14:paraId="76E4AB94">
      <w:pPr>
        <w:pStyle w:val="55"/>
        <w:spacing w:before="34" w:line="235" w:lineRule="auto"/>
        <w:ind w:left="16" w:firstLine="3"/>
        <w:jc w:val="both"/>
        <w:rPr>
          <w:rFonts w:hint="eastAsia" w:asciiTheme="minorEastAsia" w:hAnsiTheme="minorEastAsia" w:eastAsiaTheme="minorEastAsia" w:cstheme="minorEastAsia"/>
        </w:rPr>
        <w:sectPr>
          <w:footerReference r:id="rId13" w:type="default"/>
          <w:pgSz w:w="11910" w:h="16840"/>
          <w:pgMar w:top="1134" w:right="1016" w:bottom="1134" w:left="958" w:header="0" w:footer="1041" w:gutter="0"/>
          <w:pgNumType w:fmt="decimal"/>
          <w:cols w:space="0" w:num="1"/>
          <w:rtlGutter w:val="0"/>
          <w:docGrid w:linePitch="0" w:charSpace="0"/>
        </w:sectPr>
      </w:pPr>
    </w:p>
    <w:p w14:paraId="383304FC">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bookmarkStart w:id="7" w:name="_Toc26743_WPSOffice_Level1"/>
      <w:r>
        <w:rPr>
          <w:rFonts w:hint="eastAsia" w:ascii="微软雅黑" w:hAnsi="微软雅黑" w:eastAsia="微软雅黑" w:cs="微软雅黑"/>
          <w:b/>
          <w:bCs/>
          <w:color w:val="auto"/>
          <w:sz w:val="32"/>
          <w:szCs w:val="32"/>
          <w:highlight w:val="none"/>
        </w:rPr>
        <w:t>第三部分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lang w:val="en-US" w:eastAsia="zh-CN"/>
        </w:rPr>
        <w:t>采购项目需求</w:t>
      </w:r>
      <w:bookmarkEnd w:id="7"/>
    </w:p>
    <w:p w14:paraId="7248BC7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采购项目需求</w:t>
      </w:r>
      <w:r>
        <w:rPr>
          <w:rFonts w:hint="eastAsia" w:ascii="宋体" w:hAnsi="宋体" w:eastAsia="宋体" w:cs="宋体"/>
          <w:b/>
          <w:bCs/>
          <w:color w:val="auto"/>
          <w:sz w:val="24"/>
          <w:szCs w:val="24"/>
          <w:highlight w:val="none"/>
        </w:rPr>
        <w:t>中标注“★部分”条款为实质性条款，供应商如在任何一条负偏离则导致响应无效。</w:t>
      </w:r>
      <w:r>
        <w:rPr>
          <w:rFonts w:hint="eastAsia" w:ascii="宋体" w:hAnsi="宋体" w:eastAsia="宋体" w:cs="宋体"/>
          <w:color w:val="auto"/>
          <w:sz w:val="24"/>
          <w:szCs w:val="24"/>
          <w:highlight w:val="none"/>
        </w:rPr>
        <w:t xml:space="preserve"> </w:t>
      </w:r>
    </w:p>
    <w:p w14:paraId="65F9148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p>
    <w:p w14:paraId="644C297C">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I 商务要求</w:t>
      </w:r>
    </w:p>
    <w:p w14:paraId="269B178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tbl>
      <w:tblPr>
        <w:tblStyle w:val="20"/>
        <w:tblW w:w="98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6"/>
        <w:gridCol w:w="1471"/>
        <w:gridCol w:w="7549"/>
      </w:tblGrid>
      <w:tr w14:paraId="5107A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3E9CA0C0">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序号 </w:t>
            </w:r>
          </w:p>
        </w:tc>
        <w:tc>
          <w:tcPr>
            <w:tcW w:w="1471" w:type="dxa"/>
            <w:noWrap w:val="0"/>
            <w:vAlign w:val="top"/>
          </w:tcPr>
          <w:p w14:paraId="4A495FEB">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条款名称 </w:t>
            </w:r>
          </w:p>
        </w:tc>
        <w:tc>
          <w:tcPr>
            <w:tcW w:w="7549" w:type="dxa"/>
            <w:noWrap w:val="0"/>
            <w:vAlign w:val="top"/>
          </w:tcPr>
          <w:p w14:paraId="5E60575B">
            <w:pPr>
              <w:keepNext w:val="0"/>
              <w:keepLines w:val="0"/>
              <w:pageBreakBefore w:val="0"/>
              <w:widowControl w:val="0"/>
              <w:kinsoku/>
              <w:wordWrap/>
              <w:overflowPunct/>
              <w:topLinePunct w:val="0"/>
              <w:autoSpaceDE w:val="0"/>
              <w:autoSpaceDN w:val="0"/>
              <w:bidi w:val="0"/>
              <w:adjustRightInd/>
              <w:snapToGrid/>
              <w:spacing w:line="440" w:lineRule="exact"/>
              <w:ind w:firstLine="2891" w:firstLineChars="1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说   明 </w:t>
            </w:r>
          </w:p>
        </w:tc>
      </w:tr>
      <w:tr w14:paraId="0978B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836" w:type="dxa"/>
            <w:noWrap w:val="0"/>
            <w:vAlign w:val="top"/>
          </w:tcPr>
          <w:p w14:paraId="50A0EC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  </w:t>
            </w:r>
          </w:p>
        </w:tc>
        <w:tc>
          <w:tcPr>
            <w:tcW w:w="1471" w:type="dxa"/>
            <w:noWrap w:val="0"/>
            <w:vAlign w:val="top"/>
          </w:tcPr>
          <w:p w14:paraId="4E97D10D">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资格要求</w:t>
            </w:r>
          </w:p>
        </w:tc>
        <w:tc>
          <w:tcPr>
            <w:tcW w:w="7549" w:type="dxa"/>
            <w:noWrap w:val="0"/>
            <w:vAlign w:val="top"/>
          </w:tcPr>
          <w:p w14:paraId="1074461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详见本项目</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第一部分</w:t>
            </w:r>
            <w:r>
              <w:rPr>
                <w:rFonts w:hint="eastAsia" w:cs="宋体"/>
                <w:color w:val="000000" w:themeColor="text1"/>
                <w:sz w:val="24"/>
                <w:szCs w:val="24"/>
                <w:highlight w:val="none"/>
                <w:lang w:val="en-US" w:eastAsia="zh-CN"/>
                <w14:textFill>
                  <w14:solidFill>
                    <w14:schemeClr w14:val="tx1"/>
                  </w14:solidFill>
                </w14:textFill>
              </w:rPr>
              <w:t>招标公告</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 xml:space="preserve">资格要求”。 </w:t>
            </w:r>
          </w:p>
        </w:tc>
      </w:tr>
      <w:tr w14:paraId="5DC95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4D6F21E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  </w:t>
            </w:r>
          </w:p>
        </w:tc>
        <w:tc>
          <w:tcPr>
            <w:tcW w:w="1471" w:type="dxa"/>
            <w:noWrap w:val="0"/>
            <w:vAlign w:val="top"/>
          </w:tcPr>
          <w:p w14:paraId="457341C7">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履约期限</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7549" w:type="dxa"/>
            <w:noWrap w:val="0"/>
            <w:vAlign w:val="top"/>
          </w:tcPr>
          <w:p w14:paraId="0C4CD0C6">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合同签订之日起</w:t>
            </w:r>
            <w:r>
              <w:rPr>
                <w:rFonts w:hint="eastAsia" w:cs="宋体"/>
                <w:color w:val="000000" w:themeColor="text1"/>
                <w:sz w:val="24"/>
                <w:szCs w:val="24"/>
                <w:highlight w:val="none"/>
                <w:lang w:val="en-US" w:eastAsia="zh-CN"/>
                <w14:textFill>
                  <w14:solidFill>
                    <w14:schemeClr w14:val="tx1"/>
                  </w14:solidFill>
                </w14:textFill>
              </w:rPr>
              <w:t>90日历天</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r>
      <w:tr w14:paraId="6580E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206C2EA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  </w:t>
            </w:r>
          </w:p>
        </w:tc>
        <w:tc>
          <w:tcPr>
            <w:tcW w:w="1471" w:type="dxa"/>
            <w:noWrap w:val="0"/>
            <w:vAlign w:val="top"/>
          </w:tcPr>
          <w:p w14:paraId="15D48332">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★质保期 </w:t>
            </w:r>
          </w:p>
        </w:tc>
        <w:tc>
          <w:tcPr>
            <w:tcW w:w="7549" w:type="dxa"/>
            <w:noWrap w:val="0"/>
            <w:vAlign w:val="top"/>
          </w:tcPr>
          <w:p w14:paraId="48846A2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二年</w:t>
            </w:r>
          </w:p>
        </w:tc>
      </w:tr>
      <w:tr w14:paraId="5601B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36" w:type="dxa"/>
            <w:noWrap w:val="0"/>
            <w:vAlign w:val="top"/>
          </w:tcPr>
          <w:p w14:paraId="44FDAD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  </w:t>
            </w:r>
          </w:p>
        </w:tc>
        <w:tc>
          <w:tcPr>
            <w:tcW w:w="1471" w:type="dxa"/>
            <w:noWrap w:val="0"/>
            <w:vAlign w:val="top"/>
          </w:tcPr>
          <w:p w14:paraId="64F9687C">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施工地点 </w:t>
            </w:r>
          </w:p>
        </w:tc>
        <w:tc>
          <w:tcPr>
            <w:tcW w:w="7549" w:type="dxa"/>
            <w:noWrap w:val="0"/>
            <w:vAlign w:val="top"/>
          </w:tcPr>
          <w:p w14:paraId="0545D581">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高昌区火焰山镇古城村</w:t>
            </w:r>
          </w:p>
        </w:tc>
      </w:tr>
      <w:tr w14:paraId="6E5D9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36" w:type="dxa"/>
            <w:noWrap w:val="0"/>
            <w:vAlign w:val="top"/>
          </w:tcPr>
          <w:p w14:paraId="3477865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46C066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65FC22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005B17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A19B50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6909A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E4DD7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w:t>
            </w:r>
          </w:p>
        </w:tc>
        <w:tc>
          <w:tcPr>
            <w:tcW w:w="1471" w:type="dxa"/>
            <w:noWrap w:val="0"/>
            <w:vAlign w:val="top"/>
          </w:tcPr>
          <w:p w14:paraId="582142B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943A9D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AC922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5DF684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1B74E6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9E67A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D5DCE4D">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报价要求 </w:t>
            </w:r>
          </w:p>
        </w:tc>
        <w:tc>
          <w:tcPr>
            <w:tcW w:w="7549" w:type="dxa"/>
            <w:noWrap w:val="0"/>
            <w:vAlign w:val="top"/>
          </w:tcPr>
          <w:p w14:paraId="7CD461F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1、本项目的报价和结算支付均以人民币为货币单位。 </w:t>
            </w:r>
          </w:p>
          <w:p w14:paraId="66E4381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2、供应商报价应包括设计、采购、运输、安装、相关部门验收及保修期内的维护保养等所有含税费用，以及供应商认为必要的其他货物、材料、工程、服务。</w:t>
            </w:r>
          </w:p>
          <w:p w14:paraId="46BA5AB9">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3、如出现任何遗漏内容需产生额外费用，均由成交供应商自行承担，采购人将不再另支付任何费用。 </w:t>
            </w:r>
          </w:p>
          <w:p w14:paraId="18AD7D4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4、供应商的报价文件应包括单价和总价，总价是对采购的所有内容所计算的总价，为合同总价；其填报的明细单价则应是供应商对本采购项目所包含的具体的服务进行详细列示的计算单价。 </w:t>
            </w:r>
          </w:p>
          <w:p w14:paraId="6697E7E0">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5、供应商应被认为在填报报价之前，已经仔细阅读了本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文件的所有有关章节以及审查了所有相关资料，已确保本次</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的所有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范围内的各种价格风险均已包含在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 xml:space="preserve">的报价内。 </w:t>
            </w:r>
          </w:p>
        </w:tc>
      </w:tr>
      <w:tr w14:paraId="36814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jc w:val="center"/>
        </w:trPr>
        <w:tc>
          <w:tcPr>
            <w:tcW w:w="836" w:type="dxa"/>
            <w:noWrap w:val="0"/>
            <w:vAlign w:val="top"/>
          </w:tcPr>
          <w:p w14:paraId="3487F25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2ED936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640AAA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823E1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426B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AF2D86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  </w:t>
            </w:r>
          </w:p>
        </w:tc>
        <w:tc>
          <w:tcPr>
            <w:tcW w:w="1471" w:type="dxa"/>
            <w:noWrap w:val="0"/>
            <w:vAlign w:val="top"/>
          </w:tcPr>
          <w:p w14:paraId="7189BB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CF0B71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44ED3FC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2EC8CE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4958ECF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质量要求和质量保修期 </w:t>
            </w:r>
          </w:p>
        </w:tc>
        <w:tc>
          <w:tcPr>
            <w:tcW w:w="7549" w:type="dxa"/>
            <w:noWrap w:val="0"/>
            <w:vAlign w:val="top"/>
          </w:tcPr>
          <w:p w14:paraId="6D93B0A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1、质量：符合国家有关施工质量验收标准的合格工程或合同约定。工程规范以现行的或承担具体施工任务期间国家和行业新颁布施行的规范、规程为准。</w:t>
            </w:r>
          </w:p>
          <w:p w14:paraId="176D159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2、材料、设备、施工须达到现行中华人民共和国以及省、自治区、直辖市或行业的工程建设标准、规范的要求及验收标准及有关规范为质量评定验收标准。 </w:t>
            </w:r>
          </w:p>
          <w:p w14:paraId="368F92B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3、质量保修期：</w:t>
            </w: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highlight w:val="none"/>
              </w:rPr>
              <w:t>国务院《建设工程质量管理条例》第四十</w:t>
            </w:r>
            <w:r>
              <w:rPr>
                <w:rFonts w:hint="eastAsia" w:ascii="宋体" w:hAnsi="宋体" w:eastAsia="宋体" w:cs="宋体"/>
                <w:color w:val="auto"/>
                <w:sz w:val="24"/>
                <w:szCs w:val="24"/>
                <w:highlight w:val="none"/>
                <w:lang w:val="en-US" w:eastAsia="zh-CN"/>
              </w:rPr>
              <w:t>条相关</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val="en-US" w:eastAsia="zh-CN"/>
              </w:rPr>
              <w:t>执行。</w:t>
            </w:r>
          </w:p>
          <w:p w14:paraId="2CCC521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4、质量保修响应时间：属于保修范围的项目，应在接到采购人通知后的 24 小时内内派人保修。如未能在规定时间内派人保修的，采购人可自行或委托第三方保修，费用由成交供应商支付。发生紧急抢修事故的，成交供应商在接到通知后，应立即到达事故现场抢修。</w:t>
            </w:r>
          </w:p>
        </w:tc>
      </w:tr>
      <w:tr w14:paraId="4D990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jc w:val="center"/>
        </w:trPr>
        <w:tc>
          <w:tcPr>
            <w:tcW w:w="836" w:type="dxa"/>
            <w:noWrap w:val="0"/>
            <w:vAlign w:val="top"/>
          </w:tcPr>
          <w:p w14:paraId="6D3909C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A8DF6E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D1AB4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  </w:t>
            </w:r>
          </w:p>
        </w:tc>
        <w:tc>
          <w:tcPr>
            <w:tcW w:w="1471" w:type="dxa"/>
            <w:noWrap w:val="0"/>
            <w:vAlign w:val="top"/>
          </w:tcPr>
          <w:p w14:paraId="7F8951B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12526A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4CA4E9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验收 </w:t>
            </w:r>
          </w:p>
        </w:tc>
        <w:tc>
          <w:tcPr>
            <w:tcW w:w="7549" w:type="dxa"/>
            <w:noWrap w:val="0"/>
            <w:vAlign w:val="top"/>
          </w:tcPr>
          <w:p w14:paraId="5D73F038">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1、采购人在收到成交供应商提交的竣工报告后组织验收，并在验收后 14 天内予以认可或提出修改意见。验收不合格，成交供应商应按要求修改后再次提请采购人验收，并承担因自身原因造成修改的费用。 </w:t>
            </w:r>
          </w:p>
          <w:p w14:paraId="6FC06388">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2、采购人在收到成交供应商提交的竣工报告后不组织验收，或验收后不提出修改意见，视为竣工报告已被认可。 </w:t>
            </w:r>
          </w:p>
          <w:p w14:paraId="22342E49">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验收时如发现所交付的设备有短装、次品、损坏或其它不符合竞价文件规定之情形者，采购人应做出详尽的现场记录，或由用户和成交供应商双方签署备忘录。此现场记录或备忘录可用作补充、缺失和更换损坏部件的有效证据。由此产生的有关费用由成交供应商承担。 </w:t>
            </w:r>
          </w:p>
          <w:p w14:paraId="607B9113">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4、竣工报告被认可，则表明已完成合同工程，并视为通过竣工验收，采购人应向成交供应商颁发工程竣工验收证书。 </w:t>
            </w:r>
          </w:p>
        </w:tc>
      </w:tr>
      <w:tr w14:paraId="74DD8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36" w:type="dxa"/>
            <w:noWrap w:val="0"/>
            <w:vAlign w:val="top"/>
          </w:tcPr>
          <w:p w14:paraId="351A0545">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8</w:t>
            </w:r>
          </w:p>
        </w:tc>
        <w:tc>
          <w:tcPr>
            <w:tcW w:w="1471" w:type="dxa"/>
            <w:noWrap w:val="0"/>
            <w:vAlign w:val="center"/>
          </w:tcPr>
          <w:p w14:paraId="55F36840">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付款方式</w:t>
            </w:r>
          </w:p>
        </w:tc>
        <w:tc>
          <w:tcPr>
            <w:tcW w:w="7549" w:type="dxa"/>
            <w:noWrap w:val="0"/>
            <w:vAlign w:val="top"/>
          </w:tcPr>
          <w:p w14:paraId="0057D07C">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施工合同签订开工后先支付合同价的30%，工程进度达到80%以上支付合同价的40%，竣工验收完成后支付合同价的30%同时扣留合同价的3%作为项目质保金，质保期满项目承包方提请返还保证金申请，经双方验收无误并签署一致意见后一次性结清。</w:t>
            </w:r>
          </w:p>
        </w:tc>
      </w:tr>
      <w:tr w14:paraId="79E0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836" w:type="dxa"/>
            <w:noWrap w:val="0"/>
            <w:vAlign w:val="top"/>
          </w:tcPr>
          <w:p w14:paraId="235B64F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F6290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CE32A0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DDE76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C9E7F3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9  </w:t>
            </w:r>
          </w:p>
        </w:tc>
        <w:tc>
          <w:tcPr>
            <w:tcW w:w="1471" w:type="dxa"/>
            <w:noWrap w:val="0"/>
            <w:vAlign w:val="top"/>
          </w:tcPr>
          <w:p w14:paraId="335B312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DA0C0C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7838BB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52C437D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7F80428">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项目要求 </w:t>
            </w:r>
          </w:p>
        </w:tc>
        <w:tc>
          <w:tcPr>
            <w:tcW w:w="7549" w:type="dxa"/>
            <w:noWrap w:val="0"/>
            <w:vAlign w:val="top"/>
          </w:tcPr>
          <w:p w14:paraId="762CDA8E">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1、成交人必须遵照采购人的管理及安排，按采购人的内容、质量、时间要求制作,所有的服务必须达到采购人的要求。 </w:t>
            </w:r>
          </w:p>
          <w:p w14:paraId="23B5784C">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2、项目建设工作完成后应按要求及时清理现场工作。 </w:t>
            </w:r>
          </w:p>
          <w:p w14:paraId="70A07424">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3、★成交供应商必须在施工过程中注意自身及周边安全，负责施工过程中的所有事故处理和费用。 </w:t>
            </w:r>
          </w:p>
          <w:p w14:paraId="1B2ED42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4、为便于与采购人就活动细节等方面进行适时沟通联系、及时处理和反馈,并使项目按质、按量、按时、有序实施，成交人应保证有固定专人负责联络工作。本项目必须有一个完善且固定的策划和组织管理团队，供应商须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 xml:space="preserve">中详细列出参与本项目的人员名单。 </w:t>
            </w:r>
          </w:p>
        </w:tc>
      </w:tr>
      <w:tr w14:paraId="1C32D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2" w:hRule="atLeast"/>
          <w:jc w:val="center"/>
        </w:trPr>
        <w:tc>
          <w:tcPr>
            <w:tcW w:w="836" w:type="dxa"/>
            <w:noWrap w:val="0"/>
            <w:vAlign w:val="top"/>
          </w:tcPr>
          <w:p w14:paraId="09A5DA6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17E2D7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CF0E66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10.  </w:t>
            </w:r>
          </w:p>
        </w:tc>
        <w:tc>
          <w:tcPr>
            <w:tcW w:w="1471" w:type="dxa"/>
            <w:noWrap w:val="0"/>
            <w:vAlign w:val="top"/>
          </w:tcPr>
          <w:p w14:paraId="550304C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541FFF4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64BD970">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其它要求 </w:t>
            </w:r>
          </w:p>
        </w:tc>
        <w:tc>
          <w:tcPr>
            <w:tcW w:w="7549" w:type="dxa"/>
            <w:noWrap w:val="0"/>
            <w:vAlign w:val="top"/>
          </w:tcPr>
          <w:p w14:paraId="21E4A9BC">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1、成交供应商施工前后，需负责原有地面拆旧，杂物清理及外运； </w:t>
            </w:r>
          </w:p>
          <w:p w14:paraId="3D01BA83">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2、成交供应商需严格按照采购人需求及设计效果图保质保量施工，不得偷工减料； </w:t>
            </w:r>
          </w:p>
          <w:p w14:paraId="32C0C8E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3、施工中使用的原材料必须为原厂全新材料，不得翻旧利旧，保证设计效果质量。 </w:t>
            </w:r>
          </w:p>
        </w:tc>
      </w:tr>
    </w:tbl>
    <w:p w14:paraId="4E179783">
      <w:pPr>
        <w:tabs>
          <w:tab w:val="left" w:pos="562"/>
        </w:tabs>
        <w:bidi w:val="0"/>
        <w:jc w:val="left"/>
        <w:rPr>
          <w:rFonts w:hint="eastAsia"/>
          <w:color w:val="auto"/>
          <w:highlight w:val="none"/>
          <w:lang w:val="zh-CN" w:eastAsia="zh-CN"/>
        </w:rPr>
        <w:sectPr>
          <w:footerReference r:id="rId14" w:type="default"/>
          <w:pgSz w:w="11910" w:h="16840"/>
          <w:pgMar w:top="1134" w:right="1531" w:bottom="1134" w:left="1531" w:header="670" w:footer="1041" w:gutter="0"/>
          <w:pgNumType w:fmt="decimal"/>
          <w:cols w:space="0" w:num="1"/>
          <w:rtlGutter w:val="0"/>
          <w:docGrid w:linePitch="1" w:charSpace="0"/>
        </w:sectPr>
      </w:pPr>
    </w:p>
    <w:p w14:paraId="42BE51B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II  技术要求 </w:t>
      </w:r>
    </w:p>
    <w:p w14:paraId="31853F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1095FD8">
      <w:pPr>
        <w:keepNext w:val="0"/>
        <w:keepLines w:val="0"/>
        <w:pageBreakBefore w:val="0"/>
        <w:widowControl w:val="0"/>
        <w:numPr>
          <w:ilvl w:val="0"/>
          <w:numId w:val="7"/>
        </w:numPr>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工程量清单 </w:t>
      </w:r>
    </w:p>
    <w:p w14:paraId="0AA44945">
      <w:pPr>
        <w:pStyle w:val="15"/>
        <w:numPr>
          <w:ilvl w:val="0"/>
          <w:numId w:val="0"/>
        </w:numPr>
        <w:ind w:right="0" w:rightChars="0"/>
        <w:rPr>
          <w:rFonts w:hint="eastAsia"/>
          <w:color w:val="auto"/>
          <w:highlight w:val="none"/>
        </w:rPr>
      </w:pPr>
    </w:p>
    <w:p w14:paraId="03930D38">
      <w:pPr>
        <w:pStyle w:val="2"/>
        <w:spacing w:line="360" w:lineRule="exact"/>
        <w:ind w:left="0" w:leftChars="0" w:firstLine="0" w:firstLineChars="0"/>
        <w:rPr>
          <w:rFonts w:hint="eastAsia"/>
          <w:color w:val="auto"/>
          <w:sz w:val="24"/>
          <w:szCs w:val="24"/>
          <w:highlight w:val="none"/>
        </w:rPr>
      </w:pPr>
      <w:bookmarkStart w:id="8" w:name="_Toc246996341"/>
      <w:bookmarkStart w:id="9" w:name="_Toc144974835"/>
      <w:bookmarkStart w:id="10" w:name="_Toc152045773"/>
      <w:bookmarkStart w:id="11" w:name="_Toc247085856"/>
      <w:bookmarkStart w:id="12" w:name="_Toc418164814"/>
      <w:bookmarkStart w:id="13" w:name="_Toc152042555"/>
      <w:bookmarkStart w:id="14" w:name="_Toc495501809"/>
      <w:bookmarkStart w:id="15" w:name="_Toc179632790"/>
      <w:bookmarkStart w:id="16" w:name="_Toc246997084"/>
      <w:r>
        <w:rPr>
          <w:rFonts w:hint="eastAsia"/>
          <w:color w:val="auto"/>
          <w:sz w:val="24"/>
          <w:szCs w:val="24"/>
          <w:highlight w:val="none"/>
        </w:rPr>
        <w:t>1. 工程量清单说明</w:t>
      </w:r>
      <w:bookmarkEnd w:id="8"/>
      <w:bookmarkEnd w:id="9"/>
      <w:bookmarkEnd w:id="10"/>
      <w:bookmarkEnd w:id="11"/>
      <w:bookmarkEnd w:id="12"/>
      <w:bookmarkEnd w:id="13"/>
      <w:bookmarkEnd w:id="14"/>
      <w:bookmarkEnd w:id="15"/>
      <w:bookmarkEnd w:id="16"/>
    </w:p>
    <w:p w14:paraId="473A9996">
      <w:pPr>
        <w:spacing w:line="360" w:lineRule="exact"/>
        <w:rPr>
          <w:rFonts w:hint="eastAsia"/>
          <w:color w:val="auto"/>
          <w:highlight w:val="none"/>
        </w:rPr>
      </w:pPr>
      <w:r>
        <w:rPr>
          <w:rFonts w:hint="eastAsia"/>
          <w:color w:val="auto"/>
          <w:highlight w:val="none"/>
        </w:rPr>
        <w:t>1.1 本工程量清单是根据</w:t>
      </w:r>
      <w:r>
        <w:rPr>
          <w:rFonts w:hint="eastAsia"/>
          <w:color w:val="auto"/>
          <w:highlight w:val="none"/>
          <w:lang w:eastAsia="zh-CN"/>
        </w:rPr>
        <w:t>谈判文件</w:t>
      </w:r>
      <w:r>
        <w:rPr>
          <w:rFonts w:hint="eastAsia"/>
          <w:color w:val="auto"/>
          <w:highlight w:val="none"/>
        </w:rPr>
        <w:t>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57677849">
      <w:pPr>
        <w:spacing w:line="360" w:lineRule="exact"/>
        <w:rPr>
          <w:rFonts w:hint="eastAsia"/>
          <w:color w:val="auto"/>
          <w:highlight w:val="none"/>
        </w:rPr>
      </w:pPr>
      <w:r>
        <w:rPr>
          <w:rFonts w:hint="eastAsia"/>
          <w:color w:val="auto"/>
          <w:highlight w:val="none"/>
        </w:rPr>
        <w:t>1.2 本工程量清单应与</w:t>
      </w:r>
      <w:r>
        <w:rPr>
          <w:rFonts w:hint="eastAsia"/>
          <w:color w:val="auto"/>
          <w:highlight w:val="none"/>
          <w:lang w:eastAsia="zh-CN"/>
        </w:rPr>
        <w:t>谈判文件</w:t>
      </w:r>
      <w:r>
        <w:rPr>
          <w:rFonts w:hint="eastAsia"/>
          <w:color w:val="auto"/>
          <w:highlight w:val="none"/>
        </w:rPr>
        <w:t>中的</w:t>
      </w:r>
      <w:r>
        <w:rPr>
          <w:rFonts w:hint="eastAsia"/>
          <w:color w:val="auto"/>
          <w:highlight w:val="none"/>
          <w:lang w:eastAsia="zh-CN"/>
        </w:rPr>
        <w:t>供应商</w:t>
      </w:r>
      <w:r>
        <w:rPr>
          <w:rFonts w:hint="eastAsia"/>
          <w:color w:val="auto"/>
          <w:highlight w:val="none"/>
        </w:rPr>
        <w:t>须知、通用合同条款、专用合同条款、技术标准和要求及图纸等一起阅读和理解。</w:t>
      </w:r>
    </w:p>
    <w:p w14:paraId="7191C17A">
      <w:pPr>
        <w:spacing w:line="360" w:lineRule="exact"/>
        <w:rPr>
          <w:rFonts w:hint="eastAsia"/>
          <w:color w:val="auto"/>
          <w:highlight w:val="none"/>
        </w:rPr>
      </w:pPr>
      <w:r>
        <w:rPr>
          <w:rFonts w:hint="eastAsia"/>
          <w:color w:val="auto"/>
          <w:highlight w:val="none"/>
        </w:rPr>
        <w:t>1.3 本工程量清单仅是投标报价的共同基础，实际工程计量和工程价款的支付应遵循合同条款的约定和第七章“技术标准和要求”的有关规定。</w:t>
      </w:r>
    </w:p>
    <w:p w14:paraId="7DC272F1">
      <w:pPr>
        <w:spacing w:line="360" w:lineRule="exact"/>
        <w:rPr>
          <w:rFonts w:hint="eastAsia"/>
          <w:color w:val="auto"/>
          <w:highlight w:val="none"/>
        </w:rPr>
      </w:pPr>
      <w:r>
        <w:rPr>
          <w:rFonts w:hint="eastAsia"/>
          <w:color w:val="auto"/>
          <w:highlight w:val="none"/>
        </w:rPr>
        <w:t>1.4 补充子目工程量计算规则及子目工作内容说明：</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73217800">
      <w:pPr>
        <w:pStyle w:val="2"/>
        <w:spacing w:line="360" w:lineRule="exact"/>
        <w:ind w:left="0" w:leftChars="0" w:firstLine="0" w:firstLineChars="0"/>
        <w:rPr>
          <w:rFonts w:hint="eastAsia"/>
          <w:color w:val="auto"/>
          <w:sz w:val="24"/>
          <w:szCs w:val="24"/>
          <w:highlight w:val="none"/>
        </w:rPr>
      </w:pPr>
      <w:bookmarkStart w:id="17" w:name="_Toc246996342"/>
      <w:bookmarkStart w:id="18" w:name="_Toc179632791"/>
      <w:bookmarkStart w:id="19" w:name="_Toc418164815"/>
      <w:bookmarkStart w:id="20" w:name="_Toc495501810"/>
      <w:bookmarkStart w:id="21" w:name="_Toc152042556"/>
      <w:bookmarkStart w:id="22" w:name="_Toc247085857"/>
      <w:bookmarkStart w:id="23" w:name="_Toc246997085"/>
      <w:bookmarkStart w:id="24" w:name="_Toc144974836"/>
      <w:bookmarkStart w:id="25" w:name="_Toc152045774"/>
      <w:r>
        <w:rPr>
          <w:rFonts w:hint="eastAsia"/>
          <w:color w:val="auto"/>
          <w:sz w:val="24"/>
          <w:szCs w:val="24"/>
          <w:highlight w:val="none"/>
        </w:rPr>
        <w:t>2. 投标报价说明</w:t>
      </w:r>
      <w:bookmarkEnd w:id="17"/>
      <w:bookmarkEnd w:id="18"/>
      <w:bookmarkEnd w:id="19"/>
      <w:bookmarkEnd w:id="20"/>
      <w:bookmarkEnd w:id="21"/>
      <w:bookmarkEnd w:id="22"/>
      <w:bookmarkEnd w:id="23"/>
      <w:bookmarkEnd w:id="24"/>
      <w:bookmarkEnd w:id="25"/>
    </w:p>
    <w:p w14:paraId="4731003C">
      <w:pPr>
        <w:spacing w:line="360" w:lineRule="exact"/>
        <w:rPr>
          <w:rFonts w:hint="eastAsia"/>
          <w:color w:val="auto"/>
          <w:highlight w:val="none"/>
        </w:rPr>
      </w:pPr>
      <w:bookmarkStart w:id="26" w:name="_Toc152045775"/>
      <w:bookmarkStart w:id="27" w:name="_Toc246996344"/>
      <w:bookmarkStart w:id="28" w:name="_Toc152045776"/>
      <w:bookmarkStart w:id="29" w:name="_Toc179632793"/>
      <w:bookmarkStart w:id="30" w:name="_Toc246997087"/>
      <w:bookmarkStart w:id="31" w:name="_Toc152042558"/>
      <w:bookmarkStart w:id="32" w:name="_Toc152042557"/>
      <w:bookmarkStart w:id="33" w:name="_Toc144974837"/>
      <w:bookmarkStart w:id="34" w:name="_Toc144974838"/>
      <w:bookmarkStart w:id="35" w:name="_Toc247085859"/>
      <w:r>
        <w:rPr>
          <w:rFonts w:hint="eastAsia"/>
          <w:color w:val="auto"/>
          <w:highlight w:val="none"/>
        </w:rPr>
        <w:t>2.1</w:t>
      </w:r>
      <w:r>
        <w:rPr>
          <w:rFonts w:hint="eastAsia"/>
          <w:color w:val="auto"/>
          <w:highlight w:val="none"/>
          <w:lang w:val="en-US" w:eastAsia="zh-CN"/>
        </w:rPr>
        <w:t xml:space="preserve"> </w:t>
      </w:r>
      <w:r>
        <w:rPr>
          <w:rFonts w:hint="eastAsia"/>
          <w:color w:val="auto"/>
          <w:highlight w:val="none"/>
        </w:rPr>
        <w:t>投标报价应根据</w:t>
      </w:r>
      <w:r>
        <w:rPr>
          <w:rFonts w:hint="eastAsia"/>
          <w:color w:val="auto"/>
          <w:highlight w:val="none"/>
          <w:lang w:eastAsia="zh-CN"/>
        </w:rPr>
        <w:t>谈判文件</w:t>
      </w:r>
      <w:r>
        <w:rPr>
          <w:rFonts w:hint="eastAsia"/>
          <w:color w:val="auto"/>
          <w:highlight w:val="none"/>
        </w:rPr>
        <w:t>中的有关计价要求，并按照下列依据自主报价（另附）</w:t>
      </w:r>
    </w:p>
    <w:p w14:paraId="0699BB24">
      <w:pPr>
        <w:spacing w:line="360" w:lineRule="exact"/>
        <w:rPr>
          <w:rFonts w:hint="eastAsia"/>
          <w:color w:val="auto"/>
          <w:highlight w:val="none"/>
        </w:rPr>
      </w:pPr>
      <w:r>
        <w:rPr>
          <w:rFonts w:hint="eastAsia"/>
          <w:color w:val="auto"/>
          <w:highlight w:val="none"/>
        </w:rPr>
        <w:t>2.2 工程量清单中的每一子目须填入单价或价格，且只允许有一个报价。工程量清单中</w:t>
      </w:r>
      <w:r>
        <w:rPr>
          <w:rFonts w:hint="eastAsia"/>
          <w:color w:val="auto"/>
          <w:highlight w:val="none"/>
          <w:lang w:eastAsia="zh-CN"/>
        </w:rPr>
        <w:t>供应商</w:t>
      </w:r>
      <w:r>
        <w:rPr>
          <w:rFonts w:hint="eastAsia"/>
          <w:color w:val="auto"/>
          <w:highlight w:val="none"/>
        </w:rPr>
        <w:t>没有填入单价或价格的子目，其费用视为已分摊在工程量清单中其他相关子目的单价或价格之中。</w:t>
      </w:r>
    </w:p>
    <w:p w14:paraId="5557403F">
      <w:pPr>
        <w:spacing w:line="360" w:lineRule="exact"/>
        <w:rPr>
          <w:rFonts w:hint="eastAsia"/>
          <w:color w:val="auto"/>
          <w:highlight w:val="none"/>
        </w:rPr>
      </w:pPr>
      <w:r>
        <w:rPr>
          <w:rFonts w:hint="eastAsia"/>
          <w:color w:val="auto"/>
          <w:highlight w:val="none"/>
        </w:rPr>
        <w:t>2.3 工程量清单中标价的单价或金额，应包括所需的人工费、材料和施工机具使用费和企业管理费、利润以及一定范围内的风险费用等。</w:t>
      </w:r>
    </w:p>
    <w:p w14:paraId="132A8982">
      <w:pPr>
        <w:spacing w:line="360" w:lineRule="exact"/>
        <w:rPr>
          <w:rFonts w:hint="eastAsia"/>
          <w:color w:val="auto"/>
          <w:highlight w:val="none"/>
        </w:rPr>
      </w:pPr>
      <w:r>
        <w:rPr>
          <w:rFonts w:hint="eastAsia"/>
          <w:color w:val="auto"/>
          <w:highlight w:val="none"/>
        </w:rPr>
        <w:t>2.4</w:t>
      </w:r>
      <w:r>
        <w:rPr>
          <w:rFonts w:hint="eastAsia"/>
          <w:color w:val="auto"/>
          <w:highlight w:val="none"/>
          <w:lang w:val="en-US" w:eastAsia="zh-CN"/>
        </w:rPr>
        <w:t xml:space="preserve"> </w:t>
      </w:r>
      <w:r>
        <w:rPr>
          <w:rFonts w:hint="eastAsia"/>
          <w:color w:val="auto"/>
          <w:highlight w:val="none"/>
        </w:rPr>
        <w:t>投标总报价为</w:t>
      </w:r>
      <w:r>
        <w:rPr>
          <w:rFonts w:hint="eastAsia"/>
          <w:color w:val="auto"/>
          <w:highlight w:val="none"/>
          <w:lang w:eastAsia="zh-CN"/>
        </w:rPr>
        <w:t>供应商</w:t>
      </w:r>
      <w:r>
        <w:rPr>
          <w:rFonts w:hint="eastAsia"/>
          <w:color w:val="auto"/>
          <w:highlight w:val="none"/>
        </w:rPr>
        <w:t>完成招标范围所述的全部工程内容的体现和完成该工程项目的成本、管理费、技术措施费、利润、风险费及政策性文件规定的不可竞争费用、规费和税金等所有费用，以及所有根据合同或其它原因由</w:t>
      </w:r>
      <w:r>
        <w:rPr>
          <w:rFonts w:hint="eastAsia"/>
          <w:color w:val="auto"/>
          <w:highlight w:val="none"/>
          <w:lang w:eastAsia="zh-CN"/>
        </w:rPr>
        <w:t>供应商</w:t>
      </w:r>
      <w:r>
        <w:rPr>
          <w:rFonts w:hint="eastAsia"/>
          <w:color w:val="auto"/>
          <w:highlight w:val="none"/>
        </w:rPr>
        <w:t>支付的税金和其它应缴纳的费用。</w:t>
      </w:r>
    </w:p>
    <w:p w14:paraId="0448E806">
      <w:pPr>
        <w:spacing w:line="360" w:lineRule="exact"/>
        <w:rPr>
          <w:rFonts w:hint="eastAsia"/>
          <w:color w:val="auto"/>
          <w:highlight w:val="none"/>
        </w:rPr>
      </w:pPr>
      <w:r>
        <w:rPr>
          <w:rFonts w:hint="eastAsia"/>
          <w:color w:val="auto"/>
          <w:highlight w:val="none"/>
        </w:rPr>
        <w:t xml:space="preserve">2.5 </w:t>
      </w:r>
      <w:r>
        <w:rPr>
          <w:rFonts w:hint="eastAsia"/>
          <w:color w:val="auto"/>
          <w:highlight w:val="none"/>
          <w:lang w:val="en-US" w:eastAsia="zh-CN"/>
        </w:rPr>
        <w:t xml:space="preserve"> </w:t>
      </w:r>
      <w:r>
        <w:rPr>
          <w:rFonts w:hint="eastAsia"/>
          <w:color w:val="auto"/>
          <w:highlight w:val="none"/>
        </w:rPr>
        <w:t>暂列金额的数量及拟用子目的说明：（另附）</w:t>
      </w:r>
    </w:p>
    <w:p w14:paraId="066F273E">
      <w:pPr>
        <w:pStyle w:val="2"/>
        <w:spacing w:line="360" w:lineRule="exact"/>
        <w:ind w:left="0" w:leftChars="0" w:firstLine="0" w:firstLineChars="0"/>
        <w:rPr>
          <w:rFonts w:hint="eastAsia"/>
          <w:color w:val="auto"/>
          <w:sz w:val="24"/>
          <w:szCs w:val="24"/>
          <w:highlight w:val="none"/>
        </w:rPr>
      </w:pPr>
      <w:bookmarkStart w:id="36" w:name="_Toc246996343"/>
      <w:bookmarkStart w:id="37" w:name="_Toc179632792"/>
      <w:bookmarkStart w:id="38" w:name="_Toc246997086"/>
      <w:bookmarkStart w:id="39" w:name="_Toc247085858"/>
      <w:bookmarkStart w:id="40" w:name="_Toc495501811"/>
      <w:bookmarkStart w:id="41" w:name="_Toc411795051"/>
      <w:bookmarkStart w:id="42" w:name="_Toc418164816"/>
      <w:r>
        <w:rPr>
          <w:rFonts w:hint="eastAsia"/>
          <w:color w:val="auto"/>
          <w:sz w:val="24"/>
          <w:szCs w:val="24"/>
          <w:highlight w:val="none"/>
        </w:rPr>
        <w:t>3. 其他说明</w:t>
      </w:r>
      <w:bookmarkEnd w:id="36"/>
      <w:bookmarkEnd w:id="37"/>
      <w:bookmarkEnd w:id="38"/>
      <w:bookmarkEnd w:id="39"/>
      <w:bookmarkEnd w:id="40"/>
      <w:bookmarkEnd w:id="41"/>
      <w:bookmarkEnd w:id="42"/>
    </w:p>
    <w:p w14:paraId="29BFFACB">
      <w:pPr>
        <w:pStyle w:val="2"/>
        <w:spacing w:line="360" w:lineRule="exact"/>
        <w:ind w:left="0" w:leftChars="0" w:firstLine="0" w:firstLineChars="0"/>
        <w:rPr>
          <w:rFonts w:hint="eastAsia"/>
          <w:color w:val="auto"/>
          <w:sz w:val="24"/>
          <w:szCs w:val="24"/>
          <w:highlight w:val="none"/>
        </w:rPr>
      </w:pPr>
    </w:p>
    <w:p w14:paraId="5E1FF02E">
      <w:pPr>
        <w:pStyle w:val="2"/>
        <w:spacing w:line="360" w:lineRule="exact"/>
        <w:ind w:left="0" w:leftChars="0" w:firstLine="0" w:firstLineChars="0"/>
        <w:rPr>
          <w:rFonts w:hint="eastAsia"/>
          <w:color w:val="auto"/>
          <w:sz w:val="24"/>
          <w:szCs w:val="24"/>
          <w:highlight w:val="none"/>
        </w:rPr>
      </w:pPr>
      <w:bookmarkStart w:id="43" w:name="_Toc418164817"/>
      <w:bookmarkStart w:id="44" w:name="_Toc495501812"/>
      <w:r>
        <w:rPr>
          <w:rFonts w:hint="eastAsia"/>
          <w:color w:val="auto"/>
          <w:sz w:val="24"/>
          <w:szCs w:val="24"/>
          <w:highlight w:val="none"/>
        </w:rPr>
        <w:t>4. 工程量清单</w:t>
      </w:r>
      <w:bookmarkEnd w:id="26"/>
      <w:bookmarkEnd w:id="27"/>
      <w:bookmarkEnd w:id="28"/>
      <w:bookmarkEnd w:id="29"/>
      <w:bookmarkEnd w:id="30"/>
      <w:bookmarkEnd w:id="31"/>
      <w:bookmarkEnd w:id="32"/>
      <w:bookmarkEnd w:id="33"/>
      <w:bookmarkEnd w:id="34"/>
      <w:bookmarkEnd w:id="35"/>
      <w:bookmarkEnd w:id="43"/>
      <w:r>
        <w:rPr>
          <w:rFonts w:hint="eastAsia"/>
          <w:color w:val="auto"/>
          <w:sz w:val="24"/>
          <w:szCs w:val="24"/>
          <w:highlight w:val="none"/>
        </w:rPr>
        <w:t xml:space="preserve"> （另附）</w:t>
      </w:r>
      <w:bookmarkEnd w:id="44"/>
    </w:p>
    <w:p w14:paraId="17BD272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24209B1">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二、图纸（</w:t>
      </w:r>
      <w:r>
        <w:rPr>
          <w:rFonts w:hint="eastAsia" w:cs="宋体"/>
          <w:b/>
          <w:bCs/>
          <w:color w:val="auto"/>
          <w:sz w:val="24"/>
          <w:szCs w:val="24"/>
          <w:highlight w:val="none"/>
          <w:lang w:val="en-US" w:eastAsia="zh-CN"/>
        </w:rPr>
        <w:t>如有，</w:t>
      </w:r>
      <w:r>
        <w:rPr>
          <w:rFonts w:hint="eastAsia" w:ascii="宋体" w:hAnsi="宋体" w:eastAsia="宋体" w:cs="宋体"/>
          <w:b/>
          <w:bCs/>
          <w:color w:val="auto"/>
          <w:sz w:val="24"/>
          <w:szCs w:val="24"/>
          <w:highlight w:val="none"/>
        </w:rPr>
        <w:t>另附）</w:t>
      </w:r>
    </w:p>
    <w:p w14:paraId="01E49F2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15" w:type="default"/>
          <w:pgSz w:w="11910" w:h="16840"/>
          <w:pgMar w:top="1134" w:right="1531" w:bottom="1134" w:left="1531" w:header="670" w:footer="1041" w:gutter="0"/>
          <w:pgNumType w:fmt="decimal"/>
          <w:cols w:space="0" w:num="1"/>
          <w:rtlGutter w:val="0"/>
          <w:docGrid w:linePitch="1" w:charSpace="0"/>
        </w:sectPr>
      </w:pPr>
    </w:p>
    <w:p w14:paraId="08DE5039">
      <w:pPr>
        <w:keepNext w:val="0"/>
        <w:keepLines w:val="0"/>
        <w:pageBreakBefore w:val="0"/>
        <w:widowControl w:val="0"/>
        <w:numPr>
          <w:ilvl w:val="0"/>
          <w:numId w:val="8"/>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bookmarkStart w:id="45" w:name="_Toc2627_WPSOffice_Level1"/>
      <w:r>
        <w:rPr>
          <w:rFonts w:hint="eastAsia" w:ascii="微软雅黑" w:hAnsi="微软雅黑" w:eastAsia="微软雅黑" w:cs="微软雅黑"/>
          <w:b/>
          <w:bCs/>
          <w:color w:val="auto"/>
          <w:sz w:val="32"/>
          <w:szCs w:val="32"/>
          <w:highlight w:val="none"/>
        </w:rPr>
        <w:t>合同格式</w:t>
      </w:r>
      <w:bookmarkEnd w:id="45"/>
      <w:r>
        <w:rPr>
          <w:rFonts w:hint="eastAsia" w:ascii="微软雅黑" w:hAnsi="微软雅黑" w:eastAsia="微软雅黑" w:cs="微软雅黑"/>
          <w:b/>
          <w:bCs/>
          <w:color w:val="auto"/>
          <w:sz w:val="32"/>
          <w:szCs w:val="32"/>
          <w:highlight w:val="none"/>
        </w:rPr>
        <w:t xml:space="preserve"> </w:t>
      </w:r>
    </w:p>
    <w:p w14:paraId="2BAFEE61">
      <w:pPr>
        <w:pStyle w:val="15"/>
        <w:rPr>
          <w:rFonts w:hint="eastAsia"/>
          <w:color w:val="auto"/>
          <w:highlight w:val="none"/>
        </w:rPr>
      </w:pPr>
    </w:p>
    <w:p w14:paraId="6467CE77">
      <w:pPr>
        <w:pStyle w:val="7"/>
        <w:numPr>
          <w:ilvl w:val="0"/>
          <w:numId w:val="0"/>
        </w:numPr>
        <w:ind w:right="0" w:rightChars="0"/>
        <w:rPr>
          <w:rFonts w:hint="eastAsia"/>
          <w:color w:val="auto"/>
          <w:highlight w:val="none"/>
        </w:rPr>
      </w:pPr>
    </w:p>
    <w:p w14:paraId="642AB3D4">
      <w:pPr>
        <w:pStyle w:val="2"/>
        <w:numPr>
          <w:ilvl w:val="0"/>
          <w:numId w:val="0"/>
        </w:numPr>
        <w:spacing w:line="360" w:lineRule="exact"/>
        <w:ind w:right="0" w:rightChars="0" w:firstLine="3012" w:firstLineChars="1000"/>
        <w:jc w:val="both"/>
        <w:rPr>
          <w:rFonts w:hint="eastAsia" w:ascii="宋体" w:hAnsi="宋体" w:eastAsia="宋体" w:cs="宋体"/>
          <w:color w:val="auto"/>
          <w:sz w:val="30"/>
          <w:szCs w:val="30"/>
          <w:highlight w:val="none"/>
        </w:rPr>
      </w:pPr>
      <w:bookmarkStart w:id="46" w:name="_Toc418164810"/>
      <w:bookmarkStart w:id="47" w:name="_Toc495501805"/>
      <w:r>
        <w:rPr>
          <w:rFonts w:hint="eastAsia" w:ascii="宋体" w:hAnsi="宋体" w:eastAsia="宋体" w:cs="宋体"/>
          <w:color w:val="auto"/>
          <w:sz w:val="30"/>
          <w:szCs w:val="30"/>
          <w:highlight w:val="none"/>
          <w:lang w:val="en-US" w:eastAsia="zh-CN"/>
        </w:rPr>
        <w:t xml:space="preserve">第一节 </w:t>
      </w:r>
      <w:r>
        <w:rPr>
          <w:rFonts w:hint="eastAsia" w:ascii="宋体" w:hAnsi="宋体" w:eastAsia="宋体" w:cs="宋体"/>
          <w:color w:val="auto"/>
          <w:sz w:val="30"/>
          <w:szCs w:val="30"/>
          <w:highlight w:val="none"/>
        </w:rPr>
        <w:t xml:space="preserve"> 合同条款</w:t>
      </w:r>
      <w:bookmarkEnd w:id="46"/>
      <w:bookmarkEnd w:id="47"/>
    </w:p>
    <w:p w14:paraId="387945FF">
      <w:pPr>
        <w:numPr>
          <w:ilvl w:val="0"/>
          <w:numId w:val="0"/>
        </w:numPr>
        <w:ind w:right="0" w:rightChars="0"/>
        <w:rPr>
          <w:rFonts w:hint="eastAsia" w:ascii="宋体" w:hAnsi="宋体" w:eastAsia="宋体" w:cs="宋体"/>
          <w:color w:val="auto"/>
          <w:sz w:val="24"/>
          <w:szCs w:val="24"/>
          <w:highlight w:val="none"/>
        </w:rPr>
      </w:pPr>
    </w:p>
    <w:p w14:paraId="42D8F42D">
      <w:pPr>
        <w:spacing w:line="460" w:lineRule="exact"/>
        <w:ind w:firstLine="480" w:firstLineChars="200"/>
        <w:rPr>
          <w:rFonts w:hint="eastAsia" w:ascii="宋体" w:hAnsi="宋体" w:eastAsia="宋体" w:cs="宋体"/>
          <w:color w:val="auto"/>
          <w:sz w:val="24"/>
          <w:szCs w:val="24"/>
          <w:highlight w:val="none"/>
        </w:rPr>
      </w:pPr>
      <w:bookmarkStart w:id="48" w:name="_Toc179632785"/>
      <w:bookmarkStart w:id="49" w:name="_Toc152042546"/>
      <w:bookmarkStart w:id="50" w:name="_Toc144974826"/>
      <w:bookmarkStart w:id="51" w:name="_Toc152045767"/>
      <w:r>
        <w:rPr>
          <w:rFonts w:hint="eastAsia" w:ascii="宋体" w:hAnsi="宋体" w:eastAsia="宋体" w:cs="宋体"/>
          <w:color w:val="auto"/>
          <w:sz w:val="24"/>
          <w:szCs w:val="24"/>
          <w:highlight w:val="none"/>
        </w:rPr>
        <w:t>通用合同条款直接引用住房城乡建设部、国家工商行政管理总局</w:t>
      </w:r>
      <w:r>
        <w:rPr>
          <w:rFonts w:hint="eastAsia" w:cs="宋体"/>
          <w:color w:val="auto"/>
          <w:sz w:val="24"/>
          <w:szCs w:val="24"/>
          <w:highlight w:val="none"/>
          <w:lang w:val="en-US" w:eastAsia="zh-CN"/>
        </w:rPr>
        <w:t>修订的</w:t>
      </w:r>
      <w:r>
        <w:rPr>
          <w:rFonts w:hint="eastAsia" w:ascii="宋体" w:hAnsi="宋体" w:eastAsia="宋体" w:cs="宋体"/>
          <w:color w:val="auto"/>
          <w:sz w:val="24"/>
          <w:szCs w:val="24"/>
          <w:highlight w:val="none"/>
        </w:rPr>
        <w:t>《建设工程施工合同（示范文本）》（GF-201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-0201）第二部分“通用合同条款”。</w:t>
      </w:r>
    </w:p>
    <w:p w14:paraId="0BD634DC">
      <w:pPr>
        <w:pStyle w:val="35"/>
        <w:jc w:val="center"/>
        <w:rPr>
          <w:rFonts w:hint="eastAsia" w:ascii="宋体" w:hAnsi="宋体" w:eastAsia="宋体" w:cs="宋体"/>
          <w:color w:val="auto"/>
          <w:sz w:val="24"/>
          <w:szCs w:val="24"/>
          <w:highlight w:val="none"/>
        </w:rPr>
      </w:pPr>
    </w:p>
    <w:p w14:paraId="282F63C4">
      <w:pPr>
        <w:pStyle w:val="35"/>
        <w:jc w:val="center"/>
        <w:rPr>
          <w:rFonts w:hint="eastAsia" w:ascii="宋体" w:hAnsi="宋体" w:eastAsia="宋体" w:cs="宋体"/>
          <w:color w:val="auto"/>
          <w:sz w:val="24"/>
          <w:szCs w:val="24"/>
          <w:highlight w:val="none"/>
        </w:rPr>
      </w:pPr>
    </w:p>
    <w:p w14:paraId="2F54BACE">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bookmarkStart w:id="52" w:name="_Toc495501806"/>
      <w:bookmarkStart w:id="53" w:name="_Toc418164811"/>
      <w:r>
        <w:rPr>
          <w:rFonts w:hint="eastAsia" w:ascii="宋体" w:hAnsi="宋体" w:eastAsia="宋体" w:cs="宋体"/>
          <w:color w:val="auto"/>
          <w:sz w:val="30"/>
          <w:szCs w:val="30"/>
          <w:highlight w:val="none"/>
          <w:lang w:val="en-US" w:eastAsia="zh-CN"/>
        </w:rPr>
        <w:t>第二节  专用合同条款</w:t>
      </w:r>
      <w:bookmarkEnd w:id="52"/>
      <w:bookmarkEnd w:id="53"/>
    </w:p>
    <w:p w14:paraId="6B6DCE46">
      <w:pPr>
        <w:keepNext w:val="0"/>
        <w:keepLines w:val="0"/>
        <w:pageBreakBefore w:val="0"/>
        <w:widowControl w:val="0"/>
        <w:kinsoku/>
        <w:wordWrap/>
        <w:overflowPunct/>
        <w:topLinePunct w:val="0"/>
        <w:autoSpaceDE w:val="0"/>
        <w:autoSpaceDN w:val="0"/>
        <w:bidi w:val="0"/>
        <w:snapToGrid/>
        <w:spacing w:line="340" w:lineRule="exact"/>
        <w:jc w:val="center"/>
        <w:textAlignment w:val="auto"/>
        <w:rPr>
          <w:rFonts w:hint="eastAsia" w:ascii="宋体" w:hAnsi="宋体" w:eastAsia="宋体" w:cs="宋体"/>
          <w:color w:val="auto"/>
          <w:sz w:val="24"/>
          <w:szCs w:val="24"/>
          <w:highlight w:val="none"/>
        </w:rPr>
      </w:pPr>
    </w:p>
    <w:p w14:paraId="52DA8B07">
      <w:pPr>
        <w:keepNext w:val="0"/>
        <w:keepLines w:val="0"/>
        <w:pageBreakBefore w:val="0"/>
        <w:widowControl w:val="0"/>
        <w:kinsoku/>
        <w:wordWrap/>
        <w:overflowPunct/>
        <w:topLinePunct w:val="0"/>
        <w:autoSpaceDE w:val="0"/>
        <w:autoSpaceDN w:val="0"/>
        <w:bidi w:val="0"/>
        <w:snapToGrid/>
        <w:spacing w:line="340" w:lineRule="exact"/>
        <w:jc w:val="center"/>
        <w:textAlignment w:val="auto"/>
        <w:rPr>
          <w:rFonts w:hint="eastAsia" w:ascii="宋体" w:hAnsi="宋体" w:eastAsia="宋体" w:cs="宋体"/>
          <w:color w:val="auto"/>
          <w:sz w:val="24"/>
          <w:szCs w:val="24"/>
          <w:highlight w:val="none"/>
        </w:rPr>
      </w:pPr>
    </w:p>
    <w:p w14:paraId="7768E69F">
      <w:pPr>
        <w:pStyle w:val="4"/>
        <w:keepNext w:val="0"/>
        <w:keepLines w:val="0"/>
        <w:pageBreakBefore w:val="0"/>
        <w:widowControl w:val="0"/>
        <w:kinsoku/>
        <w:wordWrap/>
        <w:overflowPunct/>
        <w:topLinePunct w:val="0"/>
        <w:autoSpaceDE w:val="0"/>
        <w:autoSpaceDN w:val="0"/>
        <w:bidi w:val="0"/>
        <w:snapToGrid/>
        <w:spacing w:before="120" w:after="120" w:line="34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 一般约定</w:t>
      </w:r>
    </w:p>
    <w:p w14:paraId="6878029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词语定义</w:t>
      </w:r>
    </w:p>
    <w:p w14:paraId="200B1BD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1.1.1合同</w:t>
      </w:r>
    </w:p>
    <w:p w14:paraId="3FEC0F93">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1.1.1.10其他合同文件包括：</w:t>
      </w:r>
      <w:r>
        <w:rPr>
          <w:rFonts w:hint="eastAsia" w:ascii="宋体" w:hAnsi="宋体" w:eastAsia="宋体" w:cs="宋体"/>
          <w:color w:val="auto"/>
          <w:sz w:val="24"/>
          <w:szCs w:val="24"/>
          <w:highlight w:val="none"/>
          <w:u w:val="single"/>
        </w:rPr>
        <w:t>履行合同过程中双方总经理以上管理者（或双方工地代表人）书面确认的对合同内容有实质性影响的会议纪要、签证、设计变更等资料</w:t>
      </w:r>
      <w:r>
        <w:rPr>
          <w:rFonts w:hint="eastAsia" w:ascii="宋体" w:hAnsi="宋体" w:eastAsia="宋体" w:cs="宋体"/>
          <w:color w:val="auto"/>
          <w:sz w:val="24"/>
          <w:szCs w:val="24"/>
          <w:highlight w:val="none"/>
        </w:rPr>
        <w:t>。</w:t>
      </w:r>
    </w:p>
    <w:p w14:paraId="166F2DDF">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合同当事人及其他相关方</w:t>
      </w:r>
    </w:p>
    <w:p w14:paraId="36FA687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1.1.2.4监理人：</w:t>
      </w:r>
    </w:p>
    <w:p w14:paraId="66490A7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581E4C9A">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9C9345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1960CB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14DB91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5E8674C">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 设计人：</w:t>
      </w:r>
    </w:p>
    <w:p w14:paraId="57B1E638">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8D3D0D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26CD34D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31223E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E9D3C52">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工程和设备</w:t>
      </w:r>
    </w:p>
    <w:p w14:paraId="309E8CF2">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1.1.3.7 作为施工现场组成部分的其他场所包括：</w:t>
      </w:r>
      <w:r>
        <w:rPr>
          <w:rFonts w:hint="eastAsia" w:ascii="宋体" w:hAnsi="宋体" w:eastAsia="宋体" w:cs="宋体"/>
          <w:color w:val="auto"/>
          <w:sz w:val="24"/>
          <w:szCs w:val="24"/>
          <w:highlight w:val="none"/>
          <w:u w:val="single"/>
        </w:rPr>
        <w:t xml:space="preserve"> 通用条款规定的发包方提供的施工场地 </w:t>
      </w:r>
      <w:r>
        <w:rPr>
          <w:rFonts w:hint="eastAsia" w:ascii="宋体" w:hAnsi="宋体" w:eastAsia="宋体" w:cs="宋体"/>
          <w:color w:val="auto"/>
          <w:sz w:val="24"/>
          <w:szCs w:val="24"/>
          <w:highlight w:val="none"/>
        </w:rPr>
        <w:t>。</w:t>
      </w:r>
    </w:p>
    <w:p w14:paraId="437C8EC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1.1.3.9 永久占地包括：</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kern w:val="0"/>
          <w:sz w:val="24"/>
          <w:szCs w:val="24"/>
          <w:highlight w:val="none"/>
        </w:rPr>
        <w:t>。</w:t>
      </w:r>
    </w:p>
    <w:p w14:paraId="2C82518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1.1.3.10 临时占地包括：</w:t>
      </w:r>
      <w:r>
        <w:rPr>
          <w:rFonts w:hint="eastAsia" w:ascii="宋体" w:hAnsi="宋体" w:eastAsia="宋体" w:cs="宋体"/>
          <w:color w:val="auto"/>
          <w:sz w:val="24"/>
          <w:szCs w:val="24"/>
          <w:highlight w:val="none"/>
          <w:u w:val="single"/>
        </w:rPr>
        <w:t xml:space="preserve">        双方在合同履行过程中确定              </w:t>
      </w:r>
      <w:r>
        <w:rPr>
          <w:rFonts w:hint="eastAsia" w:ascii="宋体" w:hAnsi="宋体" w:eastAsia="宋体" w:cs="宋体"/>
          <w:color w:val="auto"/>
          <w:kern w:val="0"/>
          <w:sz w:val="24"/>
          <w:szCs w:val="24"/>
          <w:highlight w:val="none"/>
        </w:rPr>
        <w:t>。</w:t>
      </w:r>
    </w:p>
    <w:p w14:paraId="09E28E0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1.3法律 </w:t>
      </w:r>
    </w:p>
    <w:p w14:paraId="2216C94A">
      <w:pPr>
        <w:keepNext w:val="0"/>
        <w:keepLines w:val="0"/>
        <w:pageBreakBefore w:val="0"/>
        <w:widowControl w:val="0"/>
        <w:kinsoku/>
        <w:wordWrap/>
        <w:overflowPunct/>
        <w:topLinePunct w:val="0"/>
        <w:autoSpaceDE w:val="0"/>
        <w:autoSpaceDN w:val="0"/>
        <w:bidi w:val="0"/>
        <w:adjustRightInd w:val="0"/>
        <w:snapToGrid/>
        <w:spacing w:line="340" w:lineRule="exact"/>
        <w:ind w:left="625" w:leftChars="284"/>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需要明示的法律、行政法规：《中华人民共和国</w:t>
      </w:r>
      <w:r>
        <w:rPr>
          <w:rFonts w:hint="eastAsia" w:cs="宋体"/>
          <w:color w:val="auto"/>
          <w:sz w:val="24"/>
          <w:szCs w:val="24"/>
          <w:highlight w:val="none"/>
          <w:u w:val="single"/>
          <w:lang w:val="en-US" w:eastAsia="zh-CN"/>
        </w:rPr>
        <w:t>民法典</w:t>
      </w:r>
      <w:r>
        <w:rPr>
          <w:rFonts w:hint="eastAsia" w:ascii="宋体" w:hAnsi="宋体" w:eastAsia="宋体" w:cs="宋体"/>
          <w:color w:val="auto"/>
          <w:sz w:val="24"/>
          <w:szCs w:val="24"/>
          <w:highlight w:val="none"/>
          <w:u w:val="single"/>
        </w:rPr>
        <w:t xml:space="preserve">》、《中华人民共和国建筑法》、《中华人民共和国招标投标法》、《中华人民共和国安全生产法》、《建设工程质量管理条例》，以及其他有关法律、法规 </w:t>
      </w:r>
      <w:r>
        <w:rPr>
          <w:rFonts w:hint="eastAsia" w:ascii="宋体" w:hAnsi="宋体" w:eastAsia="宋体" w:cs="宋体"/>
          <w:color w:val="auto"/>
          <w:sz w:val="24"/>
          <w:szCs w:val="24"/>
          <w:highlight w:val="none"/>
        </w:rPr>
        <w:t>。</w:t>
      </w:r>
    </w:p>
    <w:p w14:paraId="43EABFE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标准和规范</w:t>
      </w:r>
    </w:p>
    <w:p w14:paraId="194F1225">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1.4.1适用于工程的标准规范包括：</w:t>
      </w:r>
      <w:r>
        <w:rPr>
          <w:rFonts w:hint="eastAsia" w:ascii="宋体" w:hAnsi="宋体" w:eastAsia="宋体" w:cs="宋体"/>
          <w:color w:val="auto"/>
          <w:sz w:val="24"/>
          <w:szCs w:val="24"/>
          <w:highlight w:val="none"/>
          <w:u w:val="single"/>
        </w:rPr>
        <w:t>国家和地方现行的有关标准、规范、详细施工图</w:t>
      </w:r>
      <w:r>
        <w:rPr>
          <w:rFonts w:hint="eastAsia" w:ascii="宋体" w:hAnsi="宋体" w:eastAsia="宋体" w:cs="宋体"/>
          <w:color w:val="auto"/>
          <w:sz w:val="24"/>
          <w:szCs w:val="24"/>
          <w:highlight w:val="none"/>
        </w:rPr>
        <w:t xml:space="preserve"> 。</w:t>
      </w:r>
    </w:p>
    <w:p w14:paraId="7B2375FE">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1.4.2 发包人提供国外标准、规范的名称：</w:t>
      </w:r>
      <w:r>
        <w:rPr>
          <w:rFonts w:hint="eastAsia" w:ascii="宋体" w:hAnsi="宋体" w:eastAsia="宋体" w:cs="宋体"/>
          <w:color w:val="auto"/>
          <w:kern w:val="0"/>
          <w:sz w:val="24"/>
          <w:szCs w:val="24"/>
          <w:highlight w:val="none"/>
          <w:u w:val="single"/>
        </w:rPr>
        <w:t xml:space="preserve">      不采用                </w:t>
      </w:r>
      <w:r>
        <w:rPr>
          <w:rFonts w:hint="eastAsia" w:ascii="宋体" w:hAnsi="宋体" w:eastAsia="宋体" w:cs="宋体"/>
          <w:color w:val="auto"/>
          <w:kern w:val="0"/>
          <w:sz w:val="24"/>
          <w:szCs w:val="24"/>
          <w:highlight w:val="none"/>
        </w:rPr>
        <w:t>；</w:t>
      </w:r>
    </w:p>
    <w:p w14:paraId="12B63C3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发包人提供国外标准、规范的份数：</w:t>
      </w:r>
      <w:r>
        <w:rPr>
          <w:rFonts w:hint="eastAsia" w:ascii="宋体" w:hAnsi="宋体" w:eastAsia="宋体" w:cs="宋体"/>
          <w:color w:val="auto"/>
          <w:kern w:val="0"/>
          <w:sz w:val="24"/>
          <w:szCs w:val="24"/>
          <w:highlight w:val="none"/>
          <w:u w:val="single"/>
        </w:rPr>
        <w:t xml:space="preserve">          不采用                </w:t>
      </w:r>
      <w:r>
        <w:rPr>
          <w:rFonts w:hint="eastAsia" w:ascii="宋体" w:hAnsi="宋体" w:eastAsia="宋体" w:cs="宋体"/>
          <w:color w:val="auto"/>
          <w:kern w:val="0"/>
          <w:sz w:val="24"/>
          <w:szCs w:val="24"/>
          <w:highlight w:val="none"/>
        </w:rPr>
        <w:t>；</w:t>
      </w:r>
    </w:p>
    <w:p w14:paraId="18B5D75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发包人提供国外标准、规范的名称：</w:t>
      </w:r>
      <w:r>
        <w:rPr>
          <w:rFonts w:hint="eastAsia" w:ascii="宋体" w:hAnsi="宋体" w:eastAsia="宋体" w:cs="宋体"/>
          <w:color w:val="auto"/>
          <w:kern w:val="0"/>
          <w:sz w:val="24"/>
          <w:szCs w:val="24"/>
          <w:highlight w:val="none"/>
          <w:u w:val="single"/>
        </w:rPr>
        <w:t xml:space="preserve">         不采用               </w:t>
      </w:r>
      <w:r>
        <w:rPr>
          <w:rFonts w:hint="eastAsia" w:ascii="宋体" w:hAnsi="宋体" w:eastAsia="宋体" w:cs="宋体"/>
          <w:color w:val="auto"/>
          <w:kern w:val="0"/>
          <w:sz w:val="24"/>
          <w:szCs w:val="24"/>
          <w:highlight w:val="none"/>
        </w:rPr>
        <w:t>。</w:t>
      </w:r>
    </w:p>
    <w:p w14:paraId="3530C72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1.4.3发包人对工程的技术标准和功能要求的特殊要求：</w:t>
      </w:r>
      <w:r>
        <w:rPr>
          <w:rFonts w:hint="eastAsia" w:ascii="宋体" w:hAnsi="宋体" w:eastAsia="宋体" w:cs="宋体"/>
          <w:color w:val="auto"/>
          <w:sz w:val="24"/>
          <w:szCs w:val="24"/>
          <w:highlight w:val="none"/>
          <w:u w:val="single"/>
        </w:rPr>
        <w:t xml:space="preserve">  详见图纸</w:t>
      </w:r>
      <w:r>
        <w:rPr>
          <w:rFonts w:hint="eastAsia" w:ascii="宋体" w:hAnsi="宋体" w:eastAsia="宋体" w:cs="宋体"/>
          <w:color w:val="auto"/>
          <w:sz w:val="24"/>
          <w:szCs w:val="24"/>
          <w:highlight w:val="none"/>
        </w:rPr>
        <w:t>。</w:t>
      </w:r>
    </w:p>
    <w:p w14:paraId="6D5F8B8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合同文件的优先顺序</w:t>
      </w:r>
    </w:p>
    <w:p w14:paraId="2A8980A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执行通用条款             </w:t>
      </w:r>
      <w:r>
        <w:rPr>
          <w:rFonts w:hint="eastAsia" w:ascii="宋体" w:hAnsi="宋体" w:eastAsia="宋体" w:cs="宋体"/>
          <w:color w:val="auto"/>
          <w:sz w:val="24"/>
          <w:szCs w:val="24"/>
          <w:highlight w:val="none"/>
        </w:rPr>
        <w:t>。</w:t>
      </w:r>
    </w:p>
    <w:p w14:paraId="3E7F708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图纸和承包人文件</w:t>
      </w:r>
      <w:r>
        <w:rPr>
          <w:rFonts w:hint="eastAsia" w:ascii="宋体" w:hAnsi="宋体" w:eastAsia="宋体" w:cs="宋体"/>
          <w:color w:val="auto"/>
          <w:sz w:val="24"/>
          <w:szCs w:val="24"/>
          <w:highlight w:val="none"/>
        </w:rPr>
        <w:tab/>
      </w:r>
    </w:p>
    <w:p w14:paraId="05A16723">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图纸的提供</w:t>
      </w:r>
    </w:p>
    <w:p w14:paraId="35FE5BEB">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发包人向承包人提供图纸的期限：</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6FE001A1">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发包人向承包人提供图纸的数量：</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1BF64FA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发包人向承包人提供图纸的内容：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0C98B8DD">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承包人文件</w:t>
      </w:r>
    </w:p>
    <w:p w14:paraId="1285FBE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需要由承包人提供的文件，包括：</w:t>
      </w:r>
      <w:r>
        <w:rPr>
          <w:rFonts w:hint="eastAsia" w:ascii="宋体" w:hAnsi="宋体" w:eastAsia="宋体" w:cs="宋体"/>
          <w:color w:val="auto"/>
          <w:sz w:val="24"/>
          <w:szCs w:val="24"/>
          <w:highlight w:val="none"/>
          <w:u w:val="single"/>
        </w:rPr>
        <w:t>实施性施工组织设计及方案   </w:t>
      </w:r>
      <w:r>
        <w:rPr>
          <w:rFonts w:hint="eastAsia" w:ascii="宋体" w:hAnsi="宋体" w:eastAsia="宋体" w:cs="宋体"/>
          <w:color w:val="auto"/>
          <w:sz w:val="24"/>
          <w:szCs w:val="24"/>
          <w:highlight w:val="none"/>
        </w:rPr>
        <w:t>；</w:t>
      </w:r>
    </w:p>
    <w:p w14:paraId="6345174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承包人提供的文件的期限为：</w:t>
      </w:r>
      <w:r>
        <w:rPr>
          <w:rFonts w:hint="eastAsia" w:ascii="宋体" w:hAnsi="宋体" w:eastAsia="宋体" w:cs="宋体"/>
          <w:color w:val="auto"/>
          <w:sz w:val="24"/>
          <w:szCs w:val="24"/>
          <w:highlight w:val="none"/>
          <w:u w:val="single"/>
        </w:rPr>
        <w:t>   开工前     </w:t>
      </w:r>
      <w:r>
        <w:rPr>
          <w:rFonts w:hint="eastAsia" w:ascii="宋体" w:hAnsi="宋体" w:eastAsia="宋体" w:cs="宋体"/>
          <w:color w:val="auto"/>
          <w:sz w:val="24"/>
          <w:szCs w:val="24"/>
          <w:highlight w:val="none"/>
        </w:rPr>
        <w:t>；</w:t>
      </w:r>
    </w:p>
    <w:p w14:paraId="2161F80F">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w:t>
      </w:r>
      <w:r>
        <w:rPr>
          <w:rFonts w:hint="eastAsia" w:ascii="宋体" w:hAnsi="宋体" w:eastAsia="宋体" w:cs="宋体"/>
          <w:color w:val="auto"/>
          <w:sz w:val="24"/>
          <w:szCs w:val="24"/>
          <w:highlight w:val="none"/>
          <w:u w:val="single"/>
        </w:rPr>
        <w:t>肆份              </w:t>
      </w:r>
      <w:r>
        <w:rPr>
          <w:rFonts w:hint="eastAsia" w:ascii="宋体" w:hAnsi="宋体" w:eastAsia="宋体" w:cs="宋体"/>
          <w:color w:val="auto"/>
          <w:sz w:val="24"/>
          <w:szCs w:val="24"/>
          <w:highlight w:val="none"/>
        </w:rPr>
        <w:t>；</w:t>
      </w:r>
    </w:p>
    <w:p w14:paraId="66E64E4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承包人提供的文件的形式为：</w:t>
      </w:r>
      <w:r>
        <w:rPr>
          <w:rFonts w:hint="eastAsia" w:ascii="宋体" w:hAnsi="宋体" w:eastAsia="宋体" w:cs="宋体"/>
          <w:color w:val="auto"/>
          <w:sz w:val="24"/>
          <w:szCs w:val="24"/>
          <w:highlight w:val="none"/>
          <w:u w:val="single"/>
        </w:rPr>
        <w:t> 书面             </w:t>
      </w:r>
      <w:r>
        <w:rPr>
          <w:rFonts w:hint="eastAsia" w:ascii="宋体" w:hAnsi="宋体" w:eastAsia="宋体" w:cs="宋体"/>
          <w:color w:val="auto"/>
          <w:sz w:val="24"/>
          <w:szCs w:val="24"/>
          <w:highlight w:val="none"/>
        </w:rPr>
        <w:t>；</w:t>
      </w:r>
    </w:p>
    <w:p w14:paraId="49C1E98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发包人审批承包人文件的期限：</w:t>
      </w:r>
      <w:r>
        <w:rPr>
          <w:rFonts w:hint="eastAsia" w:ascii="宋体" w:hAnsi="宋体" w:eastAsia="宋体" w:cs="宋体"/>
          <w:color w:val="auto"/>
          <w:sz w:val="24"/>
          <w:szCs w:val="24"/>
          <w:highlight w:val="none"/>
          <w:u w:val="single"/>
        </w:rPr>
        <w:t>收到文件后7天内审查完毕    </w:t>
      </w:r>
      <w:r>
        <w:rPr>
          <w:rFonts w:hint="eastAsia" w:ascii="宋体" w:hAnsi="宋体" w:eastAsia="宋体" w:cs="宋体"/>
          <w:color w:val="auto"/>
          <w:sz w:val="24"/>
          <w:szCs w:val="24"/>
          <w:highlight w:val="none"/>
        </w:rPr>
        <w:t>。</w:t>
      </w:r>
    </w:p>
    <w:p w14:paraId="69B47D1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现场图纸准备</w:t>
      </w:r>
    </w:p>
    <w:p w14:paraId="7A7DA09A">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关于现场图纸准备的约定：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2C7A5F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联络</w:t>
      </w:r>
    </w:p>
    <w:p w14:paraId="7267D49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1.7.1发包人和承包人应当在</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14:paraId="1EA039A6">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发包人接收文件的地点：</w:t>
      </w:r>
      <w:r>
        <w:rPr>
          <w:rFonts w:hint="eastAsia" w:ascii="宋体" w:hAnsi="宋体" w:eastAsia="宋体" w:cs="宋体"/>
          <w:color w:val="auto"/>
          <w:sz w:val="24"/>
          <w:szCs w:val="24"/>
          <w:highlight w:val="none"/>
          <w:u w:val="single"/>
        </w:rPr>
        <w:t>项目所在地发包人办公室              </w:t>
      </w:r>
      <w:r>
        <w:rPr>
          <w:rFonts w:hint="eastAsia" w:ascii="宋体" w:hAnsi="宋体" w:eastAsia="宋体" w:cs="宋体"/>
          <w:color w:val="auto"/>
          <w:kern w:val="0"/>
          <w:sz w:val="24"/>
          <w:szCs w:val="24"/>
          <w:highlight w:val="none"/>
        </w:rPr>
        <w:t>；</w:t>
      </w:r>
    </w:p>
    <w:p w14:paraId="4D0A95A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发包人指定的接收人为：</w:t>
      </w:r>
      <w:r>
        <w:rPr>
          <w:rFonts w:hint="eastAsia" w:ascii="宋体" w:hAnsi="宋体" w:eastAsia="宋体" w:cs="宋体"/>
          <w:color w:val="auto"/>
          <w:sz w:val="24"/>
          <w:szCs w:val="24"/>
          <w:highlight w:val="none"/>
          <w:u w:val="single"/>
        </w:rPr>
        <w:t>                     </w:t>
      </w:r>
      <w:r>
        <w:rPr>
          <w:rFonts w:hint="eastAsia" w:ascii="宋体" w:hAnsi="宋体" w:eastAsia="宋体" w:cs="宋体"/>
          <w:color w:val="auto"/>
          <w:kern w:val="0"/>
          <w:sz w:val="24"/>
          <w:szCs w:val="24"/>
          <w:highlight w:val="none"/>
        </w:rPr>
        <w:t>。</w:t>
      </w:r>
    </w:p>
    <w:p w14:paraId="575719F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承包人接收文件的地点：</w:t>
      </w:r>
      <w:r>
        <w:rPr>
          <w:rFonts w:hint="eastAsia" w:ascii="宋体" w:hAnsi="宋体" w:eastAsia="宋体" w:cs="宋体"/>
          <w:color w:val="auto"/>
          <w:sz w:val="24"/>
          <w:szCs w:val="24"/>
          <w:highlight w:val="none"/>
          <w:u w:val="single"/>
        </w:rPr>
        <w:t>项目所在地承包人项目部                   </w:t>
      </w:r>
      <w:r>
        <w:rPr>
          <w:rFonts w:hint="eastAsia" w:ascii="宋体" w:hAnsi="宋体" w:eastAsia="宋体" w:cs="宋体"/>
          <w:color w:val="auto"/>
          <w:kern w:val="0"/>
          <w:sz w:val="24"/>
          <w:szCs w:val="24"/>
          <w:highlight w:val="none"/>
        </w:rPr>
        <w:t>；</w:t>
      </w:r>
    </w:p>
    <w:p w14:paraId="3AFB2A5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承包人指定的接收人为：</w:t>
      </w:r>
      <w:r>
        <w:rPr>
          <w:rFonts w:hint="eastAsia" w:ascii="宋体" w:hAnsi="宋体" w:eastAsia="宋体" w:cs="宋体"/>
          <w:color w:val="auto"/>
          <w:sz w:val="24"/>
          <w:szCs w:val="24"/>
          <w:highlight w:val="none"/>
          <w:u w:val="single"/>
        </w:rPr>
        <w:t>承包方项目经理                    </w:t>
      </w:r>
      <w:r>
        <w:rPr>
          <w:rFonts w:hint="eastAsia" w:ascii="宋体" w:hAnsi="宋体" w:eastAsia="宋体" w:cs="宋体"/>
          <w:color w:val="auto"/>
          <w:kern w:val="0"/>
          <w:sz w:val="24"/>
          <w:szCs w:val="24"/>
          <w:highlight w:val="none"/>
        </w:rPr>
        <w:t>。</w:t>
      </w:r>
    </w:p>
    <w:p w14:paraId="5DAF3EC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监理人接收文件的地点：</w:t>
      </w:r>
      <w:r>
        <w:rPr>
          <w:rFonts w:hint="eastAsia" w:ascii="宋体" w:hAnsi="宋体" w:eastAsia="宋体" w:cs="宋体"/>
          <w:color w:val="auto"/>
          <w:sz w:val="24"/>
          <w:szCs w:val="24"/>
          <w:highlight w:val="none"/>
          <w:u w:val="single"/>
        </w:rPr>
        <w:t>\                   </w:t>
      </w:r>
      <w:r>
        <w:rPr>
          <w:rFonts w:hint="eastAsia" w:ascii="宋体" w:hAnsi="宋体" w:eastAsia="宋体" w:cs="宋体"/>
          <w:color w:val="auto"/>
          <w:kern w:val="0"/>
          <w:sz w:val="24"/>
          <w:szCs w:val="24"/>
          <w:highlight w:val="none"/>
        </w:rPr>
        <w:t>；</w:t>
      </w:r>
    </w:p>
    <w:p w14:paraId="040779A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监理人指定的接收人为：</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kern w:val="0"/>
          <w:sz w:val="24"/>
          <w:szCs w:val="24"/>
          <w:highlight w:val="none"/>
        </w:rPr>
        <w:t>。</w:t>
      </w:r>
    </w:p>
    <w:p w14:paraId="0E8F48D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 交通运输</w:t>
      </w:r>
    </w:p>
    <w:p w14:paraId="532CC83A">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 出入现场的权利</w:t>
      </w:r>
    </w:p>
    <w:p w14:paraId="219EAB7E">
      <w:pPr>
        <w:keepNext w:val="0"/>
        <w:keepLines w:val="0"/>
        <w:pageBreakBefore w:val="0"/>
        <w:widowControl w:val="0"/>
        <w:kinsoku/>
        <w:wordWrap/>
        <w:overflowPunct/>
        <w:topLinePunct w:val="0"/>
        <w:autoSpaceDE w:val="0"/>
        <w:autoSpaceDN w:val="0"/>
        <w:bidi w:val="0"/>
        <w:snapToGrid/>
        <w:spacing w:line="340" w:lineRule="exact"/>
        <w:ind w:left="625" w:leftChars="284"/>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关于出入现场的权利的约定：</w:t>
      </w:r>
      <w:r>
        <w:rPr>
          <w:rFonts w:hint="eastAsia" w:ascii="宋体" w:hAnsi="宋体" w:eastAsia="宋体" w:cs="宋体"/>
          <w:color w:val="auto"/>
          <w:sz w:val="24"/>
          <w:szCs w:val="24"/>
          <w:highlight w:val="none"/>
          <w:u w:val="single"/>
        </w:rPr>
        <w:t xml:space="preserve">由承包人按发包人要求取得出入现场所需的批准手续 </w:t>
      </w:r>
      <w:r>
        <w:rPr>
          <w:rFonts w:hint="eastAsia" w:ascii="宋体" w:hAnsi="宋体" w:eastAsia="宋体" w:cs="宋体"/>
          <w:color w:val="auto"/>
          <w:sz w:val="24"/>
          <w:szCs w:val="24"/>
          <w:highlight w:val="none"/>
        </w:rPr>
        <w:t>。</w:t>
      </w:r>
    </w:p>
    <w:p w14:paraId="67296187">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 场内交通</w:t>
      </w:r>
    </w:p>
    <w:p w14:paraId="739A0B9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关于场外交通和场内交通的边界的约定：</w:t>
      </w:r>
      <w:r>
        <w:rPr>
          <w:rFonts w:hint="eastAsia" w:ascii="宋体" w:hAnsi="宋体" w:eastAsia="宋体" w:cs="宋体"/>
          <w:color w:val="auto"/>
          <w:sz w:val="24"/>
          <w:szCs w:val="24"/>
          <w:highlight w:val="none"/>
          <w:u w:val="single"/>
        </w:rPr>
        <w:t>本项目施工现场    </w:t>
      </w:r>
      <w:r>
        <w:rPr>
          <w:rFonts w:hint="eastAsia" w:ascii="宋体" w:hAnsi="宋体" w:eastAsia="宋体" w:cs="宋体"/>
          <w:color w:val="auto"/>
          <w:sz w:val="24"/>
          <w:szCs w:val="24"/>
          <w:highlight w:val="none"/>
        </w:rPr>
        <w:t>。</w:t>
      </w:r>
    </w:p>
    <w:p w14:paraId="0745713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关于发包人向承包人免费提供满足工程施工需要的场内道路和交通设施的约定：</w:t>
      </w:r>
      <w:r>
        <w:rPr>
          <w:rFonts w:hint="eastAsia" w:ascii="宋体" w:hAnsi="宋体" w:eastAsia="宋体" w:cs="宋体"/>
          <w:color w:val="auto"/>
          <w:sz w:val="24"/>
          <w:szCs w:val="24"/>
          <w:highlight w:val="none"/>
          <w:u w:val="single"/>
        </w:rPr>
        <w:t xml:space="preserve">以现场实际施工条件为准   </w:t>
      </w:r>
      <w:r>
        <w:rPr>
          <w:rFonts w:hint="eastAsia" w:ascii="宋体" w:hAnsi="宋体" w:eastAsia="宋体" w:cs="宋体"/>
          <w:color w:val="auto"/>
          <w:sz w:val="24"/>
          <w:szCs w:val="24"/>
          <w:highlight w:val="none"/>
        </w:rPr>
        <w:t xml:space="preserve">。  </w:t>
      </w:r>
    </w:p>
    <w:p w14:paraId="7094782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1.10.4超大件和超重件的运输</w:t>
      </w:r>
    </w:p>
    <w:p w14:paraId="0B0A7D9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 xml:space="preserve">承包人  </w:t>
      </w:r>
      <w:r>
        <w:rPr>
          <w:rFonts w:hint="eastAsia" w:ascii="宋体" w:hAnsi="宋体" w:eastAsia="宋体" w:cs="宋体"/>
          <w:color w:val="auto"/>
          <w:sz w:val="24"/>
          <w:szCs w:val="24"/>
          <w:highlight w:val="none"/>
        </w:rPr>
        <w:t>承担。</w:t>
      </w:r>
    </w:p>
    <w:p w14:paraId="433C482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知识产权</w:t>
      </w:r>
    </w:p>
    <w:p w14:paraId="1F889BCC">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4AA43F8B">
      <w:pPr>
        <w:keepNext w:val="0"/>
        <w:keepLines w:val="0"/>
        <w:pageBreakBefore w:val="0"/>
        <w:widowControl w:val="0"/>
        <w:kinsoku/>
        <w:wordWrap/>
        <w:overflowPunct/>
        <w:topLinePunct w:val="0"/>
        <w:autoSpaceDE w:val="0"/>
        <w:autoSpaceDN w:val="0"/>
        <w:bidi w:val="0"/>
        <w:snapToGrid/>
        <w:spacing w:line="340" w:lineRule="exact"/>
        <w:ind w:left="625"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rPr>
        <w:t xml:space="preserve">    执行通用条款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9AC050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关于承包人为实施工程所编制文件的著作权的归属：</w:t>
      </w:r>
      <w:r>
        <w:rPr>
          <w:rFonts w:hint="eastAsia" w:ascii="宋体" w:hAnsi="宋体" w:eastAsia="宋体" w:cs="宋体"/>
          <w:color w:val="auto"/>
          <w:sz w:val="24"/>
          <w:szCs w:val="24"/>
          <w:highlight w:val="none"/>
          <w:u w:val="single"/>
        </w:rPr>
        <w:t xml:space="preserve"> 执行通用条款</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F97724B">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关于承包人提供的上述文件的使用限制的要求：</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1BC87E9F">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1.11.4 承包人在施工过程中所采用的专利、专有技术、技术秘密的使用费的承担方式：</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kern w:val="0"/>
          <w:sz w:val="24"/>
          <w:szCs w:val="24"/>
          <w:highlight w:val="none"/>
        </w:rPr>
        <w:t>。</w:t>
      </w:r>
    </w:p>
    <w:p w14:paraId="3934FA0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1.13工程量清单错误的修正</w:t>
      </w:r>
    </w:p>
    <w:p w14:paraId="4862706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出现工程量清单错误时，是否调整合同价格：</w:t>
      </w:r>
      <w:r>
        <w:rPr>
          <w:rFonts w:hint="eastAsia" w:ascii="宋体" w:hAnsi="宋体" w:eastAsia="宋体" w:cs="宋体"/>
          <w:color w:val="auto"/>
          <w:sz w:val="24"/>
          <w:szCs w:val="24"/>
          <w:highlight w:val="none"/>
          <w:u w:val="single"/>
        </w:rPr>
        <w:t xml:space="preserve">         是           </w:t>
      </w:r>
      <w:r>
        <w:rPr>
          <w:rFonts w:hint="eastAsia" w:ascii="宋体" w:hAnsi="宋体" w:eastAsia="宋体" w:cs="宋体"/>
          <w:color w:val="auto"/>
          <w:kern w:val="0"/>
          <w:sz w:val="24"/>
          <w:szCs w:val="24"/>
          <w:highlight w:val="none"/>
        </w:rPr>
        <w:t>。</w:t>
      </w:r>
    </w:p>
    <w:p w14:paraId="1B49618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允许调整合同价格的工程量偏差范围：</w:t>
      </w:r>
      <w:r>
        <w:rPr>
          <w:rFonts w:hint="eastAsia" w:ascii="宋体" w:hAnsi="宋体" w:eastAsia="宋体" w:cs="宋体"/>
          <w:color w:val="auto"/>
          <w:sz w:val="24"/>
          <w:szCs w:val="24"/>
          <w:highlight w:val="none"/>
          <w:u w:val="single"/>
        </w:rPr>
        <w:t xml:space="preserve">      超过±3%          </w:t>
      </w:r>
      <w:r>
        <w:rPr>
          <w:rFonts w:hint="eastAsia" w:ascii="宋体" w:hAnsi="宋体" w:eastAsia="宋体" w:cs="宋体"/>
          <w:color w:val="auto"/>
          <w:kern w:val="0"/>
          <w:sz w:val="24"/>
          <w:szCs w:val="24"/>
          <w:highlight w:val="none"/>
        </w:rPr>
        <w:t>。</w:t>
      </w:r>
    </w:p>
    <w:p w14:paraId="7AF25757">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 发包人</w:t>
      </w:r>
    </w:p>
    <w:p w14:paraId="38093D6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发包人代表</w:t>
      </w:r>
    </w:p>
    <w:p w14:paraId="3FE1407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14:paraId="3CA7800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0EBC276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22D7CA1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75F92B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89BB524">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6F77ED3F">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0E22EE38">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 xml:space="preserve">督促指导监理工程师行使职权、协调施工现场各方面的关系、协调工程质量、进度和安全文明施工中存在的问题，解决有关设计和技术签证，办理现场经济技术签证。     </w:t>
      </w:r>
      <w:r>
        <w:rPr>
          <w:rFonts w:hint="eastAsia" w:ascii="宋体" w:hAnsi="宋体" w:eastAsia="宋体" w:cs="宋体"/>
          <w:color w:val="auto"/>
          <w:sz w:val="24"/>
          <w:szCs w:val="24"/>
          <w:highlight w:val="none"/>
        </w:rPr>
        <w:t>。</w:t>
      </w:r>
    </w:p>
    <w:p w14:paraId="5895430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施工现场、施工条件和基础资料的提供</w:t>
      </w:r>
    </w:p>
    <w:p w14:paraId="0AEBBB4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提供施工现场</w:t>
      </w:r>
    </w:p>
    <w:p w14:paraId="2184788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关于发包人移交施工现场的期限要求：</w:t>
      </w:r>
      <w:r>
        <w:rPr>
          <w:rFonts w:hint="eastAsia" w:ascii="宋体" w:hAnsi="宋体" w:eastAsia="宋体" w:cs="宋体"/>
          <w:color w:val="auto"/>
          <w:sz w:val="24"/>
          <w:szCs w:val="24"/>
          <w:highlight w:val="none"/>
          <w:u w:val="single"/>
        </w:rPr>
        <w:t>开工前    </w:t>
      </w:r>
      <w:r>
        <w:rPr>
          <w:rFonts w:hint="eastAsia" w:ascii="宋体" w:hAnsi="宋体" w:eastAsia="宋体" w:cs="宋体"/>
          <w:color w:val="auto"/>
          <w:sz w:val="24"/>
          <w:szCs w:val="24"/>
          <w:highlight w:val="none"/>
        </w:rPr>
        <w:t>。</w:t>
      </w:r>
    </w:p>
    <w:p w14:paraId="2D19991B">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提供施工条件</w:t>
      </w:r>
    </w:p>
    <w:p w14:paraId="39F6977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关于发包人应负责提供施工所需要的条件，包括：</w:t>
      </w:r>
      <w:r>
        <w:rPr>
          <w:rFonts w:hint="eastAsia" w:ascii="宋体" w:hAnsi="宋体" w:eastAsia="宋体" w:cs="宋体"/>
          <w:color w:val="auto"/>
          <w:sz w:val="24"/>
          <w:szCs w:val="24"/>
          <w:highlight w:val="none"/>
          <w:u w:val="single"/>
        </w:rPr>
        <w:t xml:space="preserve"> 执行通用条款          </w:t>
      </w:r>
      <w:r>
        <w:rPr>
          <w:rFonts w:hint="eastAsia" w:ascii="宋体" w:hAnsi="宋体" w:eastAsia="宋体" w:cs="宋体"/>
          <w:color w:val="auto"/>
          <w:sz w:val="24"/>
          <w:szCs w:val="24"/>
          <w:highlight w:val="none"/>
        </w:rPr>
        <w:t>。</w:t>
      </w:r>
    </w:p>
    <w:p w14:paraId="034DEC9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资金来源证明及支付担保</w:t>
      </w:r>
    </w:p>
    <w:p w14:paraId="05A31E14">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发包人提供资金来源证明的期限要求：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FA946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发包人是否提供支付担保：</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7CC67E0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发包人提供支付担保的形式：</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B9ECB64">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 承包人</w:t>
      </w:r>
    </w:p>
    <w:p w14:paraId="04FE589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承包人的一般义务</w:t>
      </w:r>
    </w:p>
    <w:p w14:paraId="7FF06CE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承包人提交的竣工资料的内容：</w:t>
      </w:r>
      <w:r>
        <w:rPr>
          <w:rFonts w:hint="eastAsia" w:ascii="宋体" w:hAnsi="宋体" w:eastAsia="宋体" w:cs="宋体"/>
          <w:color w:val="auto"/>
          <w:sz w:val="24"/>
          <w:szCs w:val="24"/>
          <w:highlight w:val="none"/>
          <w:u w:val="single"/>
        </w:rPr>
        <w:t xml:space="preserve">    竣工图及资料                 </w:t>
      </w:r>
      <w:r>
        <w:rPr>
          <w:rFonts w:hint="eastAsia" w:ascii="宋体" w:hAnsi="宋体" w:eastAsia="宋体" w:cs="宋体"/>
          <w:color w:val="auto"/>
          <w:sz w:val="24"/>
          <w:szCs w:val="24"/>
          <w:highlight w:val="none"/>
        </w:rPr>
        <w:t xml:space="preserve"> 。</w:t>
      </w:r>
    </w:p>
    <w:p w14:paraId="13094B29">
      <w:pPr>
        <w:keepNext w:val="0"/>
        <w:keepLines w:val="0"/>
        <w:pageBreakBefore w:val="0"/>
        <w:widowControl w:val="0"/>
        <w:kinsoku/>
        <w:wordWrap/>
        <w:overflowPunct/>
        <w:topLinePunct w:val="0"/>
        <w:autoSpaceDE w:val="0"/>
        <w:autoSpaceDN w:val="0"/>
        <w:bidi w:val="0"/>
        <w:snapToGrid/>
        <w:spacing w:line="3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承包人需要提交的竣工资料套数：</w:t>
      </w:r>
      <w:r>
        <w:rPr>
          <w:rFonts w:hint="eastAsia" w:ascii="宋体" w:hAnsi="宋体" w:eastAsia="宋体" w:cs="宋体"/>
          <w:color w:val="auto"/>
          <w:sz w:val="24"/>
          <w:szCs w:val="24"/>
          <w:highlight w:val="none"/>
          <w:u w:val="single"/>
        </w:rPr>
        <w:t xml:space="preserve">        两套                       </w:t>
      </w:r>
      <w:r>
        <w:rPr>
          <w:rFonts w:hint="eastAsia" w:ascii="宋体" w:hAnsi="宋体" w:eastAsia="宋体" w:cs="宋体"/>
          <w:color w:val="auto"/>
          <w:sz w:val="24"/>
          <w:szCs w:val="24"/>
          <w:highlight w:val="none"/>
        </w:rPr>
        <w:t>。</w:t>
      </w:r>
    </w:p>
    <w:p w14:paraId="3A1B048F">
      <w:pPr>
        <w:keepNext w:val="0"/>
        <w:keepLines w:val="0"/>
        <w:pageBreakBefore w:val="0"/>
        <w:widowControl w:val="0"/>
        <w:kinsoku/>
        <w:wordWrap/>
        <w:overflowPunct/>
        <w:topLinePunct w:val="0"/>
        <w:autoSpaceDE w:val="0"/>
        <w:autoSpaceDN w:val="0"/>
        <w:bidi w:val="0"/>
        <w:snapToGrid/>
        <w:spacing w:line="340" w:lineRule="exact"/>
        <w:ind w:left="669" w:leftChars="3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承包人提交的竣工资料的费用承担：</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p>
    <w:p w14:paraId="1B7E9D88">
      <w:pPr>
        <w:keepNext w:val="0"/>
        <w:keepLines w:val="0"/>
        <w:pageBreakBefore w:val="0"/>
        <w:widowControl w:val="0"/>
        <w:kinsoku/>
        <w:wordWrap/>
        <w:overflowPunct/>
        <w:topLinePunct w:val="0"/>
        <w:autoSpaceDE w:val="0"/>
        <w:autoSpaceDN w:val="0"/>
        <w:bidi w:val="0"/>
        <w:snapToGrid/>
        <w:spacing w:line="340" w:lineRule="exact"/>
        <w:ind w:left="669" w:leftChars="3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承包人提交的竣工资料移交时间：</w:t>
      </w:r>
      <w:r>
        <w:rPr>
          <w:rFonts w:hint="eastAsia" w:ascii="宋体" w:hAnsi="宋体" w:eastAsia="宋体" w:cs="宋体"/>
          <w:color w:val="auto"/>
          <w:sz w:val="24"/>
          <w:szCs w:val="24"/>
          <w:highlight w:val="none"/>
          <w:u w:val="single"/>
        </w:rPr>
        <w:t xml:space="preserve">   工程竣工后壹个月                </w:t>
      </w:r>
      <w:r>
        <w:rPr>
          <w:rFonts w:hint="eastAsia" w:ascii="宋体" w:hAnsi="宋体" w:eastAsia="宋体" w:cs="宋体"/>
          <w:color w:val="auto"/>
          <w:sz w:val="24"/>
          <w:szCs w:val="24"/>
          <w:highlight w:val="none"/>
        </w:rPr>
        <w:t>。</w:t>
      </w:r>
    </w:p>
    <w:p w14:paraId="2AADB1D6">
      <w:pPr>
        <w:keepNext w:val="0"/>
        <w:keepLines w:val="0"/>
        <w:pageBreakBefore w:val="0"/>
        <w:widowControl w:val="0"/>
        <w:kinsoku/>
        <w:wordWrap/>
        <w:overflowPunct/>
        <w:topLinePunct w:val="0"/>
        <w:autoSpaceDE w:val="0"/>
        <w:autoSpaceDN w:val="0"/>
        <w:bidi w:val="0"/>
        <w:snapToGrid/>
        <w:spacing w:line="3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承包人提交的竣工资料形式要求：</w:t>
      </w:r>
      <w:r>
        <w:rPr>
          <w:rFonts w:hint="eastAsia" w:ascii="宋体" w:hAnsi="宋体" w:eastAsia="宋体" w:cs="宋体"/>
          <w:color w:val="auto"/>
          <w:sz w:val="24"/>
          <w:szCs w:val="24"/>
          <w:highlight w:val="none"/>
          <w:u w:val="single"/>
        </w:rPr>
        <w:t xml:space="preserve">    书面                            </w:t>
      </w:r>
      <w:r>
        <w:rPr>
          <w:rFonts w:hint="eastAsia" w:ascii="宋体" w:hAnsi="宋体" w:eastAsia="宋体" w:cs="宋体"/>
          <w:color w:val="auto"/>
          <w:sz w:val="24"/>
          <w:szCs w:val="24"/>
          <w:highlight w:val="none"/>
        </w:rPr>
        <w:t>。</w:t>
      </w:r>
    </w:p>
    <w:p w14:paraId="6DC138A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（6）承包人应履行的其他义务：</w:t>
      </w:r>
      <w:r>
        <w:rPr>
          <w:rFonts w:hint="eastAsia" w:ascii="宋体" w:hAnsi="宋体" w:eastAsia="宋体" w:cs="宋体"/>
          <w:color w:val="auto"/>
          <w:sz w:val="24"/>
          <w:szCs w:val="24"/>
          <w:highlight w:val="none"/>
          <w:u w:val="single"/>
        </w:rPr>
        <w:t xml:space="preserve"> 双方协商确定                       </w:t>
      </w:r>
      <w:r>
        <w:rPr>
          <w:rFonts w:hint="eastAsia" w:ascii="宋体" w:hAnsi="宋体" w:eastAsia="宋体" w:cs="宋体"/>
          <w:color w:val="auto"/>
          <w:sz w:val="24"/>
          <w:szCs w:val="24"/>
          <w:highlight w:val="none"/>
        </w:rPr>
        <w:t>。</w:t>
      </w:r>
    </w:p>
    <w:p w14:paraId="4EC06E2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项目负责人</w:t>
      </w:r>
    </w:p>
    <w:p w14:paraId="506C8AB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3.2.1 </w:t>
      </w:r>
      <w:r>
        <w:rPr>
          <w:rFonts w:hint="eastAsia" w:ascii="宋体" w:hAnsi="宋体" w:eastAsia="宋体" w:cs="宋体"/>
          <w:color w:val="auto"/>
          <w:sz w:val="24"/>
          <w:szCs w:val="24"/>
          <w:highlight w:val="none"/>
        </w:rPr>
        <w:t>项目负责人：</w:t>
      </w:r>
    </w:p>
    <w:p w14:paraId="659AF631">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A0F268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FDDC88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0C2846F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F41C67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建造师执业印章号：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3DE170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414C32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86DCFB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D395D9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F424AA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承包人对项目负责人的授权范围如下：</w:t>
      </w:r>
      <w:r>
        <w:rPr>
          <w:rFonts w:hint="eastAsia" w:ascii="宋体" w:hAnsi="宋体" w:eastAsia="宋体" w:cs="宋体"/>
          <w:color w:val="auto"/>
          <w:sz w:val="24"/>
          <w:szCs w:val="24"/>
          <w:highlight w:val="none"/>
          <w:u w:val="single"/>
        </w:rPr>
        <w:t>全面负责项目施工过程中质量、安全、进度管理工作</w:t>
      </w:r>
      <w:r>
        <w:rPr>
          <w:rFonts w:hint="eastAsia" w:ascii="宋体" w:hAnsi="宋体" w:eastAsia="宋体" w:cs="宋体"/>
          <w:color w:val="auto"/>
          <w:sz w:val="24"/>
          <w:szCs w:val="24"/>
          <w:highlight w:val="none"/>
        </w:rPr>
        <w:t>。</w:t>
      </w:r>
    </w:p>
    <w:p w14:paraId="504602E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关于项目负责人每月在施工现场的时间要求：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8DF6BE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承包人未提交劳动合同，以及没有为项目负责人缴纳社会保险证明的违约责任：</w:t>
      </w:r>
      <w:r>
        <w:rPr>
          <w:rFonts w:hint="eastAsia" w:ascii="宋体" w:hAnsi="宋体" w:eastAsia="宋体" w:cs="宋体"/>
          <w:color w:val="auto"/>
          <w:sz w:val="24"/>
          <w:szCs w:val="24"/>
          <w:highlight w:val="none"/>
          <w:u w:val="single"/>
        </w:rPr>
        <w:t>承包人承担上述违约责任给发包人造成的损失</w:t>
      </w:r>
      <w:r>
        <w:rPr>
          <w:rFonts w:hint="eastAsia" w:ascii="宋体" w:hAnsi="宋体" w:eastAsia="宋体" w:cs="宋体"/>
          <w:color w:val="auto"/>
          <w:sz w:val="24"/>
          <w:szCs w:val="24"/>
          <w:highlight w:val="none"/>
        </w:rPr>
        <w:t>。</w:t>
      </w:r>
    </w:p>
    <w:p w14:paraId="400F65E3">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项目负责人未经批准，擅自离开施工现场的违约责任：</w:t>
      </w:r>
      <w:r>
        <w:rPr>
          <w:rFonts w:hint="eastAsia" w:ascii="宋体" w:hAnsi="宋体" w:eastAsia="宋体" w:cs="宋体"/>
          <w:color w:val="auto"/>
          <w:sz w:val="24"/>
          <w:szCs w:val="24"/>
          <w:highlight w:val="none"/>
          <w:u w:val="single"/>
        </w:rPr>
        <w:t xml:space="preserve">  承包人承担上述违约责任给发包人造成的损失    </w:t>
      </w:r>
      <w:r>
        <w:rPr>
          <w:rFonts w:hint="eastAsia" w:ascii="宋体" w:hAnsi="宋体" w:eastAsia="宋体" w:cs="宋体"/>
          <w:color w:val="auto"/>
          <w:sz w:val="24"/>
          <w:szCs w:val="24"/>
          <w:highlight w:val="none"/>
        </w:rPr>
        <w:t>。</w:t>
      </w:r>
    </w:p>
    <w:p w14:paraId="27E2FCC5">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承包人擅自更换项目负责人的违约责任：</w:t>
      </w:r>
      <w:r>
        <w:rPr>
          <w:rFonts w:hint="eastAsia" w:ascii="宋体" w:hAnsi="宋体" w:eastAsia="宋体" w:cs="宋体"/>
          <w:color w:val="auto"/>
          <w:sz w:val="24"/>
          <w:szCs w:val="24"/>
          <w:highlight w:val="none"/>
          <w:u w:val="single"/>
        </w:rPr>
        <w:t>承包人承担上述违约责任给发包人造成的损失</w:t>
      </w:r>
      <w:r>
        <w:rPr>
          <w:rFonts w:hint="eastAsia" w:ascii="宋体" w:hAnsi="宋体" w:eastAsia="宋体" w:cs="宋体"/>
          <w:color w:val="auto"/>
          <w:sz w:val="24"/>
          <w:szCs w:val="24"/>
          <w:highlight w:val="none"/>
        </w:rPr>
        <w:t>。</w:t>
      </w:r>
    </w:p>
    <w:p w14:paraId="6A379F7F">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承包人无正当理由拒绝更换项目负责人的违约责任：</w:t>
      </w:r>
      <w:r>
        <w:rPr>
          <w:rFonts w:hint="eastAsia" w:ascii="宋体" w:hAnsi="宋体" w:eastAsia="宋体" w:cs="宋体"/>
          <w:color w:val="auto"/>
          <w:sz w:val="24"/>
          <w:szCs w:val="24"/>
          <w:highlight w:val="none"/>
          <w:u w:val="single"/>
        </w:rPr>
        <w:t xml:space="preserve">  承包人承担上述违约责任给发包人造成的损失  </w:t>
      </w:r>
      <w:r>
        <w:rPr>
          <w:rFonts w:hint="eastAsia" w:ascii="宋体" w:hAnsi="宋体" w:eastAsia="宋体" w:cs="宋体"/>
          <w:color w:val="auto"/>
          <w:sz w:val="24"/>
          <w:szCs w:val="24"/>
          <w:highlight w:val="none"/>
        </w:rPr>
        <w:t>。</w:t>
      </w:r>
    </w:p>
    <w:p w14:paraId="30C9B87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承包人人员</w:t>
      </w:r>
    </w:p>
    <w:p w14:paraId="59E81B5E">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承包人提交项目管理机构及施工现场管理人员安排报告的期限：</w:t>
      </w:r>
      <w:r>
        <w:rPr>
          <w:rFonts w:hint="eastAsia" w:ascii="宋体" w:hAnsi="宋体" w:eastAsia="宋体" w:cs="宋体"/>
          <w:color w:val="auto"/>
          <w:sz w:val="24"/>
          <w:szCs w:val="24"/>
          <w:highlight w:val="none"/>
          <w:u w:val="single"/>
        </w:rPr>
        <w:t xml:space="preserve">工程开工前2天  </w:t>
      </w:r>
      <w:r>
        <w:rPr>
          <w:rFonts w:hint="eastAsia" w:ascii="宋体" w:hAnsi="宋体" w:eastAsia="宋体" w:cs="宋体"/>
          <w:color w:val="auto"/>
          <w:sz w:val="24"/>
          <w:szCs w:val="24"/>
          <w:highlight w:val="none"/>
        </w:rPr>
        <w:t>。</w:t>
      </w:r>
    </w:p>
    <w:p w14:paraId="43AB9A5B">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承包人无正当理由拒绝撤换主要施工管理人员的违约责任：</w:t>
      </w:r>
      <w:r>
        <w:rPr>
          <w:rFonts w:hint="eastAsia" w:ascii="宋体" w:hAnsi="宋体" w:eastAsia="宋体" w:cs="宋体"/>
          <w:color w:val="auto"/>
          <w:sz w:val="24"/>
          <w:szCs w:val="24"/>
          <w:highlight w:val="none"/>
          <w:u w:val="single"/>
        </w:rPr>
        <w:t xml:space="preserve"> 承包人承担上述违约责任给发包人造成的损失      </w:t>
      </w:r>
      <w:r>
        <w:rPr>
          <w:rFonts w:hint="eastAsia" w:ascii="宋体" w:hAnsi="宋体" w:eastAsia="宋体" w:cs="宋体"/>
          <w:color w:val="auto"/>
          <w:sz w:val="24"/>
          <w:szCs w:val="24"/>
          <w:highlight w:val="none"/>
        </w:rPr>
        <w:t>。</w:t>
      </w:r>
    </w:p>
    <w:p w14:paraId="5F7C2FF8">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3.3.4 承包人主要施工管理人员离开施工现场的批准要求： </w:t>
      </w:r>
      <w:r>
        <w:rPr>
          <w:rFonts w:hint="eastAsia" w:ascii="宋体" w:hAnsi="宋体" w:eastAsia="宋体" w:cs="宋体"/>
          <w:color w:val="auto"/>
          <w:sz w:val="24"/>
          <w:szCs w:val="24"/>
          <w:highlight w:val="none"/>
          <w:u w:val="single"/>
        </w:rPr>
        <w:t xml:space="preserve">由发包人师批准后方可离开      </w:t>
      </w:r>
      <w:r>
        <w:rPr>
          <w:rFonts w:hint="eastAsia" w:ascii="宋体" w:hAnsi="宋体" w:eastAsia="宋体" w:cs="宋体"/>
          <w:color w:val="auto"/>
          <w:sz w:val="24"/>
          <w:szCs w:val="24"/>
          <w:highlight w:val="none"/>
        </w:rPr>
        <w:t>。</w:t>
      </w:r>
    </w:p>
    <w:p w14:paraId="61B34FFB">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3.3.5承包人擅自更换主要施工管理人员的违约责任：</w:t>
      </w:r>
      <w:r>
        <w:rPr>
          <w:rFonts w:hint="eastAsia" w:ascii="宋体" w:hAnsi="宋体" w:eastAsia="宋体" w:cs="宋体"/>
          <w:color w:val="auto"/>
          <w:sz w:val="24"/>
          <w:szCs w:val="24"/>
          <w:highlight w:val="none"/>
          <w:u w:val="single"/>
        </w:rPr>
        <w:t xml:space="preserve">承包人承担上述违约责任给发包人造成的损失    </w:t>
      </w:r>
      <w:r>
        <w:rPr>
          <w:rFonts w:hint="eastAsia" w:ascii="宋体" w:hAnsi="宋体" w:eastAsia="宋体" w:cs="宋体"/>
          <w:color w:val="auto"/>
          <w:sz w:val="24"/>
          <w:szCs w:val="24"/>
          <w:highlight w:val="none"/>
        </w:rPr>
        <w:t>。</w:t>
      </w:r>
    </w:p>
    <w:p w14:paraId="62285C9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承包人主要施工管理人员擅自离开施工现场的违约责任：</w:t>
      </w:r>
      <w:r>
        <w:rPr>
          <w:rFonts w:hint="eastAsia" w:ascii="宋体" w:hAnsi="宋体" w:eastAsia="宋体" w:cs="宋体"/>
          <w:color w:val="auto"/>
          <w:sz w:val="24"/>
          <w:szCs w:val="24"/>
          <w:highlight w:val="none"/>
          <w:u w:val="single"/>
        </w:rPr>
        <w:t xml:space="preserve"> 承包人承担上述违约责任给发包人造成的损失  </w:t>
      </w:r>
      <w:r>
        <w:rPr>
          <w:rFonts w:hint="eastAsia" w:ascii="宋体" w:hAnsi="宋体" w:eastAsia="宋体" w:cs="宋体"/>
          <w:color w:val="auto"/>
          <w:sz w:val="24"/>
          <w:szCs w:val="24"/>
          <w:highlight w:val="none"/>
        </w:rPr>
        <w:t>。</w:t>
      </w:r>
    </w:p>
    <w:p w14:paraId="46B1341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54" w:name="_Toc297048345"/>
      <w:bookmarkStart w:id="55" w:name="_Toc296346660"/>
      <w:bookmarkStart w:id="56" w:name="_Toc300934945"/>
      <w:bookmarkStart w:id="57" w:name="_Toc297120459"/>
      <w:bookmarkStart w:id="58" w:name="_Toc296944498"/>
      <w:bookmarkStart w:id="59" w:name="_Toc296503159"/>
      <w:bookmarkStart w:id="60" w:name="_Toc297123492"/>
      <w:bookmarkStart w:id="61" w:name="_Toc297216151"/>
      <w:bookmarkStart w:id="62" w:name="_Toc296891199"/>
      <w:bookmarkStart w:id="63" w:name="_Toc296347158"/>
      <w:bookmarkStart w:id="64" w:name="_Toc303539102"/>
      <w:bookmarkStart w:id="65" w:name="_Toc312677988"/>
      <w:bookmarkStart w:id="66" w:name="_Toc304295523"/>
      <w:bookmarkStart w:id="67" w:name="_Toc296890987"/>
      <w:bookmarkStart w:id="68" w:name="_Toc292559869"/>
      <w:bookmarkStart w:id="69" w:name="_Toc292559364"/>
      <w:r>
        <w:rPr>
          <w:rFonts w:hint="eastAsia" w:ascii="宋体" w:hAnsi="宋体" w:eastAsia="宋体" w:cs="宋体"/>
          <w:color w:val="auto"/>
          <w:sz w:val="24"/>
          <w:szCs w:val="24"/>
          <w:highlight w:val="none"/>
        </w:rPr>
        <w:t>.5 分包</w:t>
      </w:r>
    </w:p>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14:paraId="7329C075">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70" w:name="_Toc297123493"/>
      <w:bookmarkStart w:id="71" w:name="_Toc296347159"/>
      <w:bookmarkStart w:id="72" w:name="_Toc297048346"/>
      <w:bookmarkStart w:id="73" w:name="_Toc292559365"/>
      <w:bookmarkStart w:id="74" w:name="_Toc297216152"/>
      <w:bookmarkStart w:id="75" w:name="_Toc296346661"/>
      <w:bookmarkStart w:id="76" w:name="_Toc296890988"/>
      <w:bookmarkStart w:id="77" w:name="_Toc304295524"/>
      <w:bookmarkStart w:id="78" w:name="_Toc297120460"/>
      <w:bookmarkStart w:id="79" w:name="_Toc296503160"/>
      <w:bookmarkStart w:id="80" w:name="_Toc303539103"/>
      <w:bookmarkStart w:id="81" w:name="_Toc296944499"/>
      <w:bookmarkStart w:id="82" w:name="_Toc300934946"/>
      <w:bookmarkStart w:id="83" w:name="_Toc296891200"/>
      <w:bookmarkStart w:id="84" w:name="_Toc292559870"/>
      <w:bookmarkStart w:id="85" w:name="_Toc318581158"/>
      <w:bookmarkStart w:id="86" w:name="_Toc312677989"/>
      <w:r>
        <w:rPr>
          <w:rFonts w:hint="eastAsia" w:ascii="宋体" w:hAnsi="宋体" w:eastAsia="宋体" w:cs="宋体"/>
          <w:color w:val="auto"/>
          <w:sz w:val="24"/>
          <w:szCs w:val="24"/>
          <w:highlight w:val="none"/>
        </w:rPr>
        <w:t>.5.1 分包的一般约定</w:t>
      </w:r>
    </w:p>
    <w:p w14:paraId="1BE2332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禁止分包的工程包括：</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73B5895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主体结构、关键性工作的范围：</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Start w:id="87" w:name="_Toc297120461"/>
      <w:bookmarkStart w:id="88" w:name="_Toc297216153"/>
      <w:bookmarkStart w:id="89" w:name="_Toc296944500"/>
      <w:bookmarkStart w:id="90" w:name="_Toc296346662"/>
      <w:bookmarkStart w:id="91" w:name="_Toc297123494"/>
      <w:bookmarkStart w:id="92" w:name="_Toc296503161"/>
      <w:bookmarkStart w:id="93" w:name="_Toc296347160"/>
      <w:bookmarkStart w:id="94" w:name="_Toc303539104"/>
      <w:bookmarkStart w:id="95" w:name="_Toc297048347"/>
      <w:bookmarkStart w:id="96" w:name="_Toc296891201"/>
      <w:bookmarkStart w:id="97" w:name="_Toc304295525"/>
      <w:bookmarkStart w:id="98" w:name="_Toc296890989"/>
      <w:bookmarkStart w:id="99" w:name="_Toc300934947"/>
    </w:p>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14:paraId="22761518">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100" w:name="_Toc318581159"/>
      <w:bookmarkStart w:id="101" w:name="_Toc312677990"/>
      <w:r>
        <w:rPr>
          <w:rFonts w:hint="eastAsia" w:ascii="宋体" w:hAnsi="宋体" w:eastAsia="宋体" w:cs="宋体"/>
          <w:color w:val="auto"/>
          <w:sz w:val="24"/>
          <w:szCs w:val="24"/>
          <w:highlight w:val="none"/>
        </w:rPr>
        <w:t>.5.2分包的确定</w:t>
      </w:r>
    </w:p>
    <w:p w14:paraId="1531284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允许分包的专业工程包括：</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7840833A">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其他关于分包的约定：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580FEB9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 分包合同价款</w:t>
      </w:r>
    </w:p>
    <w:p w14:paraId="41E2ADF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关于分包合同价款支付的约定：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bookmarkEnd w:id="100"/>
    <w:bookmarkEnd w:id="101"/>
    <w:p w14:paraId="5DEA0CD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工程照管与成品、半成品保护</w:t>
      </w:r>
    </w:p>
    <w:p w14:paraId="6B3DCD37">
      <w:pPr>
        <w:keepNext w:val="0"/>
        <w:keepLines w:val="0"/>
        <w:pageBreakBefore w:val="0"/>
        <w:widowControl w:val="0"/>
        <w:kinsoku/>
        <w:wordWrap/>
        <w:overflowPunct/>
        <w:topLinePunct w:val="0"/>
        <w:autoSpaceDE w:val="0"/>
        <w:autoSpaceDN w:val="0"/>
        <w:bidi w:val="0"/>
        <w:snapToGrid/>
        <w:spacing w:before="120" w:after="120" w:line="340" w:lineRule="exact"/>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承包人负责照管工程及工程相关的材料、工程设备的起始时间：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材料、设备进场至验交付使用前由承包人负责保修，交付使用后由发包人做成品保护</w:t>
      </w:r>
      <w:r>
        <w:rPr>
          <w:rFonts w:hint="eastAsia"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3569863">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履约担保</w:t>
      </w:r>
    </w:p>
    <w:p w14:paraId="1922791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承包人是否提供履约担保：</w:t>
      </w:r>
      <w:r>
        <w:rPr>
          <w:rFonts w:hint="eastAsia" w:ascii="宋体" w:hAnsi="宋体" w:eastAsia="宋体" w:cs="宋体"/>
          <w:color w:val="auto"/>
          <w:sz w:val="24"/>
          <w:szCs w:val="24"/>
          <w:highlight w:val="none"/>
          <w:u w:val="single"/>
        </w:rPr>
        <w:t xml:space="preserve">   发包人与承包人协商确定  </w:t>
      </w:r>
      <w:r>
        <w:rPr>
          <w:rFonts w:hint="eastAsia" w:ascii="宋体" w:hAnsi="宋体" w:eastAsia="宋体" w:cs="宋体"/>
          <w:color w:val="auto"/>
          <w:sz w:val="24"/>
          <w:szCs w:val="24"/>
          <w:highlight w:val="none"/>
        </w:rPr>
        <w:t>。</w:t>
      </w:r>
    </w:p>
    <w:p w14:paraId="166FF0A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承包人提供履约担保的形式、金额及期限的：</w:t>
      </w:r>
      <w:r>
        <w:rPr>
          <w:rFonts w:hint="eastAsia" w:ascii="宋体" w:hAnsi="宋体" w:eastAsia="宋体" w:cs="宋体"/>
          <w:color w:val="auto"/>
          <w:sz w:val="24"/>
          <w:szCs w:val="24"/>
          <w:highlight w:val="none"/>
          <w:u w:val="single"/>
        </w:rPr>
        <w:t xml:space="preserve"> 发包人与承包人协商确定  </w:t>
      </w:r>
      <w:r>
        <w:rPr>
          <w:rFonts w:hint="eastAsia" w:ascii="宋体" w:hAnsi="宋体" w:eastAsia="宋体" w:cs="宋体"/>
          <w:color w:val="auto"/>
          <w:sz w:val="24"/>
          <w:szCs w:val="24"/>
          <w:highlight w:val="none"/>
        </w:rPr>
        <w:t>。</w:t>
      </w:r>
    </w:p>
    <w:p w14:paraId="34510E06">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 监理人</w:t>
      </w:r>
    </w:p>
    <w:p w14:paraId="3A183C70">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4.1监理人的一般规定</w:t>
      </w:r>
    </w:p>
    <w:p w14:paraId="3D0E0CE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7BC44A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关于监理人的监理权限：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D37B72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关于监理人在施工现场的办公场所、生活场所的提供和费用承担的约定：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4B89DEB">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监理人员</w:t>
      </w:r>
    </w:p>
    <w:p w14:paraId="7FA0753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p w14:paraId="21BBE7A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21DDF46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03EAC8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监理工程师执业资格证书号：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C307E7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FAEF08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A67343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F23B20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关于监理人的其他约定：</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56434A0">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商定或确定</w:t>
      </w:r>
    </w:p>
    <w:p w14:paraId="17BC2CB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在发包人和承包人不能通过协商达成一致意见时，发包人授权监理人对以下事项进行确定：</w:t>
      </w:r>
    </w:p>
    <w:p w14:paraId="42229847">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B594688">
      <w:pPr>
        <w:pStyle w:val="4"/>
        <w:keepNext w:val="0"/>
        <w:keepLines w:val="0"/>
        <w:pageBreakBefore w:val="0"/>
        <w:widowControl w:val="0"/>
        <w:kinsoku/>
        <w:wordWrap/>
        <w:overflowPunct/>
        <w:topLinePunct w:val="0"/>
        <w:autoSpaceDE w:val="0"/>
        <w:autoSpaceDN w:val="0"/>
        <w:bidi w:val="0"/>
        <w:snapToGrid/>
        <w:spacing w:before="120" w:after="120" w:line="34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 工程质量</w:t>
      </w:r>
    </w:p>
    <w:p w14:paraId="2B20F52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质量要求</w:t>
      </w:r>
    </w:p>
    <w:p w14:paraId="6A67BAD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 特殊质量标准和要求：</w:t>
      </w:r>
      <w:r>
        <w:rPr>
          <w:rFonts w:hint="eastAsia" w:ascii="宋体" w:hAnsi="宋体" w:eastAsia="宋体" w:cs="宋体"/>
          <w:color w:val="auto"/>
          <w:sz w:val="24"/>
          <w:szCs w:val="24"/>
          <w:highlight w:val="none"/>
          <w:u w:val="single"/>
        </w:rPr>
        <w:t xml:space="preserve">     合格     </w:t>
      </w:r>
      <w:r>
        <w:rPr>
          <w:rFonts w:hint="eastAsia" w:ascii="宋体" w:hAnsi="宋体" w:eastAsia="宋体" w:cs="宋体"/>
          <w:color w:val="auto"/>
          <w:sz w:val="24"/>
          <w:szCs w:val="24"/>
          <w:highlight w:val="none"/>
        </w:rPr>
        <w:t>。</w:t>
      </w:r>
    </w:p>
    <w:p w14:paraId="5896D35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关于工程奖项的约定：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D95CBD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隐蔽工程检查</w:t>
      </w:r>
    </w:p>
    <w:p w14:paraId="4364C3D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5.3.2承包人提前通知监理人隐蔽工程检查的期限的约定：</w:t>
      </w:r>
      <w:r>
        <w:rPr>
          <w:rFonts w:hint="eastAsia" w:ascii="宋体" w:hAnsi="宋体" w:eastAsia="宋体" w:cs="宋体"/>
          <w:color w:val="auto"/>
          <w:sz w:val="24"/>
          <w:szCs w:val="24"/>
          <w:highlight w:val="none"/>
          <w:u w:val="single"/>
        </w:rPr>
        <w:t>共同检查前48小时书面通知监理人</w:t>
      </w:r>
      <w:r>
        <w:rPr>
          <w:rFonts w:hint="eastAsia" w:ascii="宋体" w:hAnsi="宋体" w:eastAsia="宋体" w:cs="宋体"/>
          <w:color w:val="auto"/>
          <w:sz w:val="24"/>
          <w:szCs w:val="24"/>
          <w:highlight w:val="none"/>
        </w:rPr>
        <w:t>。</w:t>
      </w:r>
    </w:p>
    <w:p w14:paraId="31DCA9D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监理人不能按时进行检查时，应提前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0F72B02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750B6A6C">
      <w:pPr>
        <w:pStyle w:val="4"/>
        <w:keepNext w:val="0"/>
        <w:keepLines w:val="0"/>
        <w:pageBreakBefore w:val="0"/>
        <w:widowControl w:val="0"/>
        <w:kinsoku/>
        <w:wordWrap/>
        <w:overflowPunct/>
        <w:topLinePunct w:val="0"/>
        <w:autoSpaceDE w:val="0"/>
        <w:autoSpaceDN w:val="0"/>
        <w:bidi w:val="0"/>
        <w:snapToGrid/>
        <w:spacing w:before="120" w:after="120" w:line="34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 安全文明施工与环境保护</w:t>
      </w:r>
    </w:p>
    <w:p w14:paraId="49CED91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6.1安全文明施工</w:t>
      </w:r>
    </w:p>
    <w:p w14:paraId="682F4D63">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项目安全生产的达标目标及相应事项的约定：</w:t>
      </w:r>
      <w:r>
        <w:rPr>
          <w:rFonts w:hint="eastAsia" w:ascii="宋体" w:hAnsi="宋体" w:eastAsia="宋体" w:cs="宋体"/>
          <w:color w:val="auto"/>
          <w:sz w:val="24"/>
          <w:szCs w:val="24"/>
          <w:highlight w:val="none"/>
          <w:u w:val="single"/>
        </w:rPr>
        <w:t>达到《建筑工程安全检查标准》（JGJ59-2011）标准</w:t>
      </w:r>
      <w:r>
        <w:rPr>
          <w:rFonts w:hint="eastAsia" w:ascii="宋体" w:hAnsi="宋体" w:eastAsia="宋体" w:cs="宋体"/>
          <w:color w:val="auto"/>
          <w:sz w:val="24"/>
          <w:szCs w:val="24"/>
          <w:highlight w:val="none"/>
        </w:rPr>
        <w:t>。</w:t>
      </w:r>
    </w:p>
    <w:p w14:paraId="4AA9112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 关于治安保卫的特别约定：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3570910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关于编制施工场地治安管理计划的约定：</w:t>
      </w:r>
      <w:r>
        <w:rPr>
          <w:rFonts w:hint="eastAsia" w:ascii="宋体" w:hAnsi="宋体" w:eastAsia="宋体" w:cs="宋体"/>
          <w:color w:val="auto"/>
          <w:sz w:val="24"/>
          <w:szCs w:val="24"/>
          <w:highlight w:val="none"/>
          <w:u w:val="single"/>
        </w:rPr>
        <w:t xml:space="preserve">     开工前提供场地治安管理计划       </w:t>
      </w:r>
      <w:r>
        <w:rPr>
          <w:rFonts w:hint="eastAsia" w:ascii="宋体" w:hAnsi="宋体" w:eastAsia="宋体" w:cs="宋体"/>
          <w:color w:val="auto"/>
          <w:sz w:val="24"/>
          <w:szCs w:val="24"/>
          <w:highlight w:val="none"/>
        </w:rPr>
        <w:t>。</w:t>
      </w:r>
    </w:p>
    <w:p w14:paraId="5034F0E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 文明施工</w:t>
      </w:r>
    </w:p>
    <w:p w14:paraId="180E813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4"/>
          <w:highlight w:val="none"/>
          <w:u w:val="single"/>
        </w:rPr>
        <w:t>达到《建筑施工现场环境与卫生标准》（JGJ146-2004）标准</w:t>
      </w:r>
      <w:r>
        <w:rPr>
          <w:rFonts w:hint="eastAsia" w:ascii="宋体" w:hAnsi="宋体" w:eastAsia="宋体" w:cs="宋体"/>
          <w:color w:val="auto"/>
          <w:sz w:val="24"/>
          <w:szCs w:val="24"/>
          <w:highlight w:val="none"/>
        </w:rPr>
        <w:t>。</w:t>
      </w:r>
    </w:p>
    <w:p w14:paraId="080D0DE0">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6.1.6 关于安全文明施工费支付比例和支付期限的约定：</w:t>
      </w:r>
      <w:r>
        <w:rPr>
          <w:rFonts w:hint="eastAsia" w:ascii="宋体" w:hAnsi="宋体" w:eastAsia="宋体" w:cs="宋体"/>
          <w:color w:val="auto"/>
          <w:sz w:val="24"/>
          <w:szCs w:val="24"/>
          <w:highlight w:val="none"/>
          <w:u w:val="single"/>
        </w:rPr>
        <w:t xml:space="preserve">  纳入合同价格支付    </w:t>
      </w:r>
      <w:r>
        <w:rPr>
          <w:rFonts w:hint="eastAsia" w:ascii="宋体" w:hAnsi="宋体" w:eastAsia="宋体" w:cs="宋体"/>
          <w:color w:val="auto"/>
          <w:sz w:val="24"/>
          <w:szCs w:val="24"/>
          <w:highlight w:val="none"/>
        </w:rPr>
        <w:t>。</w:t>
      </w:r>
    </w:p>
    <w:p w14:paraId="339DFA7A">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102" w:name="_Toc351203639"/>
      <w:r>
        <w:rPr>
          <w:rFonts w:hint="eastAsia" w:ascii="宋体" w:hAnsi="宋体" w:eastAsia="宋体" w:cs="宋体"/>
          <w:b w:val="0"/>
          <w:color w:val="auto"/>
          <w:sz w:val="24"/>
          <w:szCs w:val="24"/>
          <w:highlight w:val="none"/>
        </w:rPr>
        <w:t>7. 工期和进度</w:t>
      </w:r>
      <w:bookmarkEnd w:id="102"/>
    </w:p>
    <w:p w14:paraId="4177889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施工组织设计</w:t>
      </w:r>
    </w:p>
    <w:p w14:paraId="03F48872">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7.1.1 合</w:t>
      </w:r>
      <w:r>
        <w:rPr>
          <w:rFonts w:hint="eastAsia" w:ascii="宋体" w:hAnsi="宋体" w:eastAsia="宋体" w:cs="宋体"/>
          <w:color w:val="auto"/>
          <w:kern w:val="0"/>
          <w:sz w:val="24"/>
          <w:szCs w:val="24"/>
          <w:highlight w:val="none"/>
        </w:rPr>
        <w:t>同当事人约定的施工组织设计应包括的其他内容：</w:t>
      </w:r>
      <w:r>
        <w:rPr>
          <w:rFonts w:hint="eastAsia" w:ascii="宋体" w:hAnsi="宋体" w:eastAsia="宋体" w:cs="宋体"/>
          <w:color w:val="auto"/>
          <w:sz w:val="24"/>
          <w:szCs w:val="24"/>
          <w:highlight w:val="none"/>
          <w:u w:val="single"/>
        </w:rPr>
        <w:t xml:space="preserve">按通用条款执行   </w:t>
      </w:r>
      <w:r>
        <w:rPr>
          <w:rFonts w:hint="eastAsia" w:ascii="宋体" w:hAnsi="宋体" w:eastAsia="宋体" w:cs="宋体"/>
          <w:color w:val="auto"/>
          <w:sz w:val="24"/>
          <w:szCs w:val="24"/>
          <w:highlight w:val="none"/>
        </w:rPr>
        <w:t>。</w:t>
      </w:r>
    </w:p>
    <w:p w14:paraId="53BA4EC3">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7.1.2 </w:t>
      </w:r>
      <w:r>
        <w:rPr>
          <w:rFonts w:hint="eastAsia" w:ascii="宋体" w:hAnsi="宋体" w:eastAsia="宋体" w:cs="宋体"/>
          <w:color w:val="auto"/>
          <w:kern w:val="0"/>
          <w:sz w:val="24"/>
          <w:szCs w:val="24"/>
          <w:highlight w:val="none"/>
        </w:rPr>
        <w:t>施工组织设计的提交和修改</w:t>
      </w:r>
    </w:p>
    <w:p w14:paraId="1475C832">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承包人提交详细施工组织设计的期限的约定：</w:t>
      </w:r>
      <w:r>
        <w:rPr>
          <w:rFonts w:hint="eastAsia" w:ascii="宋体" w:hAnsi="宋体" w:eastAsia="宋体" w:cs="宋体"/>
          <w:color w:val="auto"/>
          <w:sz w:val="24"/>
          <w:szCs w:val="24"/>
          <w:highlight w:val="none"/>
          <w:u w:val="single"/>
        </w:rPr>
        <w:t xml:space="preserve">        开工前          </w:t>
      </w:r>
      <w:r>
        <w:rPr>
          <w:rFonts w:hint="eastAsia" w:ascii="宋体" w:hAnsi="宋体" w:eastAsia="宋体" w:cs="宋体"/>
          <w:color w:val="auto"/>
          <w:sz w:val="24"/>
          <w:szCs w:val="24"/>
          <w:highlight w:val="none"/>
        </w:rPr>
        <w:t>。</w:t>
      </w:r>
    </w:p>
    <w:p w14:paraId="28EF5FF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r>
        <w:rPr>
          <w:rFonts w:hint="eastAsia" w:ascii="宋体" w:hAnsi="宋体" w:eastAsia="宋体" w:cs="宋体"/>
          <w:color w:val="auto"/>
          <w:sz w:val="24"/>
          <w:szCs w:val="24"/>
          <w:highlight w:val="none"/>
          <w:u w:val="single"/>
        </w:rPr>
        <w:t>收到后7天内</w:t>
      </w:r>
      <w:r>
        <w:rPr>
          <w:rFonts w:hint="eastAsia" w:ascii="宋体" w:hAnsi="宋体" w:eastAsia="宋体" w:cs="宋体"/>
          <w:color w:val="auto"/>
          <w:sz w:val="24"/>
          <w:szCs w:val="24"/>
          <w:highlight w:val="none"/>
        </w:rPr>
        <w:t>。</w:t>
      </w:r>
    </w:p>
    <w:p w14:paraId="262F6DB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03" w:name="_Toc312677479"/>
      <w:bookmarkStart w:id="104" w:name="_Toc312678005"/>
      <w:bookmarkStart w:id="105" w:name="_Toc304295541"/>
      <w:bookmarkStart w:id="106" w:name="_Toc297123514"/>
      <w:bookmarkStart w:id="107" w:name="_Toc297216173"/>
      <w:bookmarkStart w:id="108" w:name="_Toc303539123"/>
      <w:bookmarkStart w:id="109" w:name="_Toc300934966"/>
      <w:r>
        <w:rPr>
          <w:rFonts w:hint="eastAsia" w:ascii="宋体" w:hAnsi="宋体" w:eastAsia="宋体" w:cs="宋体"/>
          <w:color w:val="auto"/>
          <w:sz w:val="24"/>
          <w:szCs w:val="24"/>
          <w:highlight w:val="none"/>
        </w:rPr>
        <w:t>.2 施工进度计划</w:t>
      </w:r>
    </w:p>
    <w:p w14:paraId="2F7A04A7">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施工进度计划的修订</w:t>
      </w:r>
    </w:p>
    <w:p w14:paraId="49E309B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发包人和监理人在收到修订的施工进度计划后确认或提出修改意见的期限：</w:t>
      </w:r>
      <w:r>
        <w:rPr>
          <w:rFonts w:hint="eastAsia" w:ascii="宋体" w:hAnsi="宋体" w:eastAsia="宋体" w:cs="宋体"/>
          <w:color w:val="auto"/>
          <w:sz w:val="24"/>
          <w:szCs w:val="24"/>
          <w:highlight w:val="none"/>
          <w:u w:val="single"/>
        </w:rPr>
        <w:t xml:space="preserve"> 收到后5日内  </w:t>
      </w:r>
      <w:r>
        <w:rPr>
          <w:rFonts w:hint="eastAsia" w:ascii="宋体" w:hAnsi="宋体" w:eastAsia="宋体" w:cs="宋体"/>
          <w:color w:val="auto"/>
          <w:sz w:val="24"/>
          <w:szCs w:val="24"/>
          <w:highlight w:val="none"/>
        </w:rPr>
        <w:t>。</w:t>
      </w:r>
    </w:p>
    <w:p w14:paraId="6D82465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开工</w:t>
      </w:r>
    </w:p>
    <w:p w14:paraId="0ADA07E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开工准备</w:t>
      </w:r>
    </w:p>
    <w:p w14:paraId="67282C3C">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关于承包人提交</w:t>
      </w:r>
      <w:r>
        <w:rPr>
          <w:rFonts w:hint="eastAsia" w:ascii="宋体" w:hAnsi="宋体" w:eastAsia="宋体" w:cs="宋体"/>
          <w:color w:val="auto"/>
          <w:kern w:val="0"/>
          <w:sz w:val="24"/>
          <w:szCs w:val="24"/>
          <w:highlight w:val="none"/>
        </w:rPr>
        <w:t>工程开工报审表的期限：</w:t>
      </w:r>
      <w:r>
        <w:rPr>
          <w:rFonts w:hint="eastAsia" w:ascii="宋体" w:hAnsi="宋体" w:eastAsia="宋体" w:cs="宋体"/>
          <w:color w:val="auto"/>
          <w:sz w:val="24"/>
          <w:szCs w:val="24"/>
          <w:highlight w:val="none"/>
          <w:u w:val="single"/>
        </w:rPr>
        <w:t xml:space="preserve">  合同签订后、开工前    </w:t>
      </w:r>
      <w:r>
        <w:rPr>
          <w:rFonts w:hint="eastAsia" w:ascii="宋体" w:hAnsi="宋体" w:eastAsia="宋体" w:cs="宋体"/>
          <w:color w:val="auto"/>
          <w:sz w:val="24"/>
          <w:szCs w:val="24"/>
          <w:highlight w:val="none"/>
        </w:rPr>
        <w:t>。</w:t>
      </w:r>
    </w:p>
    <w:p w14:paraId="4FE8C3DD">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关于发包人应完成的其他开工准备工作及期限：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24A3AA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关于承包人应完成的其他开工准备工作及期限：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04BE1F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7.3.2开工通知</w:t>
      </w:r>
    </w:p>
    <w:p w14:paraId="34980450">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因发包人原因造成监理人未能在计划开工日期之日起</w:t>
      </w:r>
      <w:r>
        <w:rPr>
          <w:rFonts w:hint="eastAsia" w:ascii="宋体" w:hAnsi="宋体" w:eastAsia="宋体" w:cs="宋体"/>
          <w:color w:val="auto"/>
          <w:sz w:val="24"/>
          <w:szCs w:val="24"/>
          <w:highlight w:val="none"/>
          <w:u w:val="single"/>
        </w:rPr>
        <w:t xml:space="preserve"> 180 </w:t>
      </w:r>
      <w:r>
        <w:rPr>
          <w:rFonts w:hint="eastAsia" w:ascii="宋体" w:hAnsi="宋体" w:eastAsia="宋体" w:cs="宋体"/>
          <w:color w:val="auto"/>
          <w:sz w:val="24"/>
          <w:szCs w:val="24"/>
          <w:highlight w:val="none"/>
        </w:rPr>
        <w:t>天内发出开工通知的，承包人有权提出价格调整要求，或者解除合同。</w:t>
      </w:r>
    </w:p>
    <w:bookmarkEnd w:id="103"/>
    <w:bookmarkEnd w:id="104"/>
    <w:bookmarkEnd w:id="105"/>
    <w:bookmarkEnd w:id="106"/>
    <w:bookmarkEnd w:id="107"/>
    <w:bookmarkEnd w:id="108"/>
    <w:bookmarkEnd w:id="109"/>
    <w:p w14:paraId="4832E36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测量放线</w:t>
      </w:r>
    </w:p>
    <w:p w14:paraId="13690D6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7.4.1发包人通过监理人向承包人提供测量基准点、基准线和水准点及其书面资料的期限：</w:t>
      </w:r>
      <w:r>
        <w:rPr>
          <w:rFonts w:hint="eastAsia" w:ascii="宋体" w:hAnsi="宋体" w:eastAsia="宋体" w:cs="宋体"/>
          <w:color w:val="auto"/>
          <w:sz w:val="24"/>
          <w:szCs w:val="24"/>
          <w:highlight w:val="none"/>
          <w:u w:val="single"/>
        </w:rPr>
        <w:t xml:space="preserve">  合同签订后、开工前             </w:t>
      </w:r>
      <w:r>
        <w:rPr>
          <w:rFonts w:hint="eastAsia" w:ascii="宋体" w:hAnsi="宋体" w:eastAsia="宋体" w:cs="宋体"/>
          <w:color w:val="auto"/>
          <w:sz w:val="24"/>
          <w:szCs w:val="24"/>
          <w:highlight w:val="none"/>
        </w:rPr>
        <w:t>。</w:t>
      </w:r>
    </w:p>
    <w:p w14:paraId="468E5392">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10" w:name="_Toc303539125"/>
      <w:bookmarkStart w:id="111" w:name="_Toc312677484"/>
      <w:bookmarkStart w:id="112" w:name="_Toc304295546"/>
      <w:bookmarkStart w:id="113" w:name="_Toc297123516"/>
      <w:bookmarkStart w:id="114" w:name="_Toc300934968"/>
      <w:bookmarkStart w:id="115" w:name="_Toc297216175"/>
      <w:bookmarkStart w:id="116" w:name="_Toc312678010"/>
      <w:r>
        <w:rPr>
          <w:rFonts w:hint="eastAsia" w:ascii="宋体" w:hAnsi="宋体" w:eastAsia="宋体" w:cs="宋体"/>
          <w:color w:val="auto"/>
          <w:sz w:val="24"/>
          <w:szCs w:val="24"/>
          <w:highlight w:val="none"/>
        </w:rPr>
        <w:t>.5 工期延误</w:t>
      </w:r>
    </w:p>
    <w:bookmarkEnd w:id="110"/>
    <w:bookmarkEnd w:id="111"/>
    <w:bookmarkEnd w:id="112"/>
    <w:bookmarkEnd w:id="113"/>
    <w:bookmarkEnd w:id="114"/>
    <w:bookmarkEnd w:id="115"/>
    <w:bookmarkEnd w:id="116"/>
    <w:p w14:paraId="75EFFA57">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7.5.1 因发包人原因导致工期延误</w:t>
      </w:r>
    </w:p>
    <w:p w14:paraId="3133778E">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（7）因发包人原因导致工期延误的其他情形：</w:t>
      </w:r>
      <w:r>
        <w:rPr>
          <w:rFonts w:hint="eastAsia" w:ascii="宋体" w:hAnsi="宋体" w:eastAsia="宋体" w:cs="宋体"/>
          <w:color w:val="auto"/>
          <w:sz w:val="24"/>
          <w:szCs w:val="24"/>
          <w:highlight w:val="none"/>
          <w:u w:val="single"/>
        </w:rPr>
        <w:t xml:space="preserve">  ①发包人未按合同规定支付工程款并确实影响工程进度； ②重大设计变更而影响工程进度；③政策处理问题影响施工进度；④ 不不可抗力，此延误工期须在发现后七天内办理签证，逾期不予认可   </w:t>
      </w:r>
      <w:r>
        <w:rPr>
          <w:rFonts w:hint="eastAsia" w:ascii="宋体" w:hAnsi="宋体" w:eastAsia="宋体" w:cs="宋体"/>
          <w:color w:val="auto"/>
          <w:sz w:val="24"/>
          <w:szCs w:val="24"/>
          <w:highlight w:val="none"/>
        </w:rPr>
        <w:t>。</w:t>
      </w:r>
    </w:p>
    <w:p w14:paraId="08EAF75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17" w:name="_Toc318581169"/>
      <w:bookmarkStart w:id="118" w:name="_Toc312677486"/>
      <w:bookmarkStart w:id="119" w:name="_Toc312678012"/>
      <w:bookmarkStart w:id="120" w:name="_Toc303539127"/>
      <w:bookmarkStart w:id="121" w:name="_Toc297216177"/>
      <w:bookmarkStart w:id="122" w:name="_Toc297123518"/>
      <w:bookmarkStart w:id="123" w:name="_Toc304295548"/>
      <w:bookmarkStart w:id="124" w:name="_Toc300934970"/>
      <w:r>
        <w:rPr>
          <w:rFonts w:hint="eastAsia" w:ascii="宋体" w:hAnsi="宋体" w:eastAsia="宋体" w:cs="宋体"/>
          <w:color w:val="auto"/>
          <w:sz w:val="24"/>
          <w:szCs w:val="24"/>
          <w:highlight w:val="none"/>
        </w:rPr>
        <w:t>.5.2 因承包人原因导致工期延误</w:t>
      </w:r>
    </w:p>
    <w:bookmarkEnd w:id="117"/>
    <w:bookmarkEnd w:id="118"/>
    <w:bookmarkEnd w:id="119"/>
    <w:p w14:paraId="3755B00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因</w:t>
      </w:r>
      <w:bookmarkStart w:id="125" w:name="_Toc312677487"/>
      <w:bookmarkStart w:id="126" w:name="_Toc312678013"/>
      <w:bookmarkStart w:id="127" w:name="_Toc318581170"/>
      <w:r>
        <w:rPr>
          <w:rFonts w:hint="eastAsia" w:ascii="宋体" w:hAnsi="宋体" w:eastAsia="宋体" w:cs="宋体"/>
          <w:color w:val="auto"/>
          <w:sz w:val="24"/>
          <w:szCs w:val="24"/>
          <w:highlight w:val="none"/>
        </w:rPr>
        <w:t>承包人原因造成工期延误，逾期竣工违约金的计算方法为：</w:t>
      </w:r>
    </w:p>
    <w:p w14:paraId="0A115029">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每推延一天，赔偿合同价款的0.1%                 </w:t>
      </w:r>
      <w:r>
        <w:rPr>
          <w:rFonts w:hint="eastAsia" w:ascii="宋体" w:hAnsi="宋体" w:eastAsia="宋体" w:cs="宋体"/>
          <w:color w:val="auto"/>
          <w:sz w:val="24"/>
          <w:szCs w:val="24"/>
          <w:highlight w:val="none"/>
        </w:rPr>
        <w:t>。</w:t>
      </w:r>
      <w:bookmarkEnd w:id="120"/>
      <w:bookmarkEnd w:id="121"/>
      <w:bookmarkEnd w:id="122"/>
      <w:bookmarkEnd w:id="123"/>
      <w:bookmarkEnd w:id="124"/>
      <w:bookmarkEnd w:id="125"/>
      <w:bookmarkEnd w:id="126"/>
    </w:p>
    <w:bookmarkEnd w:id="127"/>
    <w:p w14:paraId="715FE82E">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因承包人原因造成工期延误，逾</w:t>
      </w:r>
      <w:bookmarkStart w:id="128" w:name="_Toc318581171"/>
      <w:bookmarkStart w:id="129" w:name="_Toc312678014"/>
      <w:r>
        <w:rPr>
          <w:rFonts w:hint="eastAsia" w:ascii="宋体" w:hAnsi="宋体" w:eastAsia="宋体" w:cs="宋体"/>
          <w:color w:val="auto"/>
          <w:sz w:val="24"/>
          <w:szCs w:val="24"/>
          <w:highlight w:val="none"/>
        </w:rPr>
        <w:t>期竣工违约金的上限：</w:t>
      </w:r>
      <w:r>
        <w:rPr>
          <w:rFonts w:hint="eastAsia" w:ascii="宋体" w:hAnsi="宋体" w:eastAsia="宋体" w:cs="宋体"/>
          <w:color w:val="auto"/>
          <w:sz w:val="24"/>
          <w:szCs w:val="24"/>
          <w:highlight w:val="none"/>
          <w:u w:val="single"/>
        </w:rPr>
        <w:t xml:space="preserve">   合同价款的2％     </w:t>
      </w:r>
      <w:r>
        <w:rPr>
          <w:rFonts w:hint="eastAsia" w:ascii="宋体" w:hAnsi="宋体" w:eastAsia="宋体" w:cs="宋体"/>
          <w:color w:val="auto"/>
          <w:sz w:val="24"/>
          <w:szCs w:val="24"/>
          <w:highlight w:val="none"/>
        </w:rPr>
        <w:t>。</w:t>
      </w:r>
    </w:p>
    <w:bookmarkEnd w:id="128"/>
    <w:bookmarkEnd w:id="129"/>
    <w:p w14:paraId="76F7A1F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30" w:name="_Toc297216178"/>
      <w:bookmarkStart w:id="131" w:name="_Toc312678015"/>
      <w:bookmarkStart w:id="132" w:name="_Toc304295549"/>
      <w:bookmarkStart w:id="133" w:name="_Toc300934971"/>
      <w:bookmarkStart w:id="134" w:name="_Toc303539128"/>
      <w:bookmarkStart w:id="135" w:name="_Toc297123519"/>
      <w:r>
        <w:rPr>
          <w:rFonts w:hint="eastAsia" w:ascii="宋体" w:hAnsi="宋体" w:eastAsia="宋体" w:cs="宋体"/>
          <w:color w:val="auto"/>
          <w:sz w:val="24"/>
          <w:szCs w:val="24"/>
          <w:highlight w:val="none"/>
        </w:rPr>
        <w:t>.6 不</w:t>
      </w:r>
      <w:bookmarkEnd w:id="130"/>
      <w:bookmarkEnd w:id="131"/>
      <w:bookmarkEnd w:id="132"/>
      <w:bookmarkEnd w:id="133"/>
      <w:bookmarkEnd w:id="134"/>
      <w:bookmarkEnd w:id="135"/>
      <w:r>
        <w:rPr>
          <w:rFonts w:hint="eastAsia" w:ascii="宋体" w:hAnsi="宋体" w:eastAsia="宋体" w:cs="宋体"/>
          <w:color w:val="auto"/>
          <w:sz w:val="24"/>
          <w:szCs w:val="24"/>
          <w:highlight w:val="none"/>
        </w:rPr>
        <w:t>利物质条件</w:t>
      </w:r>
    </w:p>
    <w:p w14:paraId="43741CB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bookmarkStart w:id="136" w:name="_Toc297123520"/>
      <w:bookmarkStart w:id="137" w:name="_Toc300934972"/>
      <w:bookmarkStart w:id="138" w:name="_Toc304295550"/>
      <w:bookmarkStart w:id="139" w:name="_Toc303539129"/>
      <w:bookmarkStart w:id="140" w:name="_Toc318581172"/>
      <w:bookmarkStart w:id="141" w:name="_Toc312678016"/>
      <w:bookmarkStart w:id="142" w:name="_Toc297216179"/>
      <w:r>
        <w:rPr>
          <w:rFonts w:hint="eastAsia" w:ascii="宋体" w:hAnsi="宋体" w:eastAsia="宋体" w:cs="宋体"/>
          <w:color w:val="auto"/>
          <w:sz w:val="24"/>
          <w:szCs w:val="24"/>
          <w:highlight w:val="none"/>
        </w:rPr>
        <w:t>不利物质条件的其他情形和有关约定：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136"/>
    <w:bookmarkEnd w:id="137"/>
    <w:bookmarkEnd w:id="138"/>
    <w:bookmarkEnd w:id="139"/>
    <w:bookmarkEnd w:id="140"/>
    <w:bookmarkEnd w:id="141"/>
    <w:bookmarkEnd w:id="142"/>
    <w:p w14:paraId="62FE7D9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43" w:name="_Toc297216180"/>
      <w:bookmarkStart w:id="144" w:name="_Toc303539130"/>
      <w:bookmarkStart w:id="145" w:name="_Toc312678017"/>
      <w:bookmarkStart w:id="146" w:name="_Toc304295551"/>
      <w:bookmarkStart w:id="147" w:name="_Toc300934973"/>
      <w:bookmarkStart w:id="148" w:name="_Toc297123521"/>
      <w:r>
        <w:rPr>
          <w:rFonts w:hint="eastAsia" w:ascii="宋体" w:hAnsi="宋体" w:eastAsia="宋体" w:cs="宋体"/>
          <w:color w:val="auto"/>
          <w:sz w:val="24"/>
          <w:szCs w:val="24"/>
          <w:highlight w:val="none"/>
        </w:rPr>
        <w:t>.7异常恶劣的气候条件</w:t>
      </w:r>
    </w:p>
    <w:bookmarkEnd w:id="143"/>
    <w:bookmarkEnd w:id="144"/>
    <w:bookmarkEnd w:id="145"/>
    <w:bookmarkEnd w:id="146"/>
    <w:bookmarkEnd w:id="147"/>
    <w:bookmarkEnd w:id="148"/>
    <w:p w14:paraId="68FE582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发包人和承包人同意以下情形视为异常恶劣的气候条件：</w:t>
      </w:r>
    </w:p>
    <w:p w14:paraId="384DCD2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地震、暴风雪            </w:t>
      </w:r>
      <w:r>
        <w:rPr>
          <w:rFonts w:hint="eastAsia" w:ascii="宋体" w:hAnsi="宋体" w:eastAsia="宋体" w:cs="宋体"/>
          <w:color w:val="auto"/>
          <w:sz w:val="24"/>
          <w:szCs w:val="24"/>
          <w:highlight w:val="none"/>
        </w:rPr>
        <w:t>；</w:t>
      </w:r>
    </w:p>
    <w:p w14:paraId="16586D9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 提前竣工的奖励</w:t>
      </w:r>
    </w:p>
    <w:p w14:paraId="1464840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7.9.2提前竣工的奖励：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1F30BB">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149" w:name="_Toc351203640"/>
      <w:r>
        <w:rPr>
          <w:rFonts w:hint="eastAsia" w:ascii="宋体" w:hAnsi="宋体" w:eastAsia="宋体" w:cs="宋体"/>
          <w:b w:val="0"/>
          <w:color w:val="auto"/>
          <w:sz w:val="24"/>
          <w:szCs w:val="24"/>
          <w:highlight w:val="none"/>
        </w:rPr>
        <w:t>8. 材料与设备</w:t>
      </w:r>
      <w:bookmarkEnd w:id="149"/>
    </w:p>
    <w:p w14:paraId="4E8C9432">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150" w:name="_Toc280868654"/>
      <w:bookmarkStart w:id="151" w:name="_Toc297048353"/>
      <w:bookmarkStart w:id="152" w:name="_Toc296890995"/>
      <w:bookmarkStart w:id="153" w:name="_Toc296347166"/>
      <w:bookmarkStart w:id="154" w:name="_Toc292559877"/>
      <w:bookmarkStart w:id="155" w:name="_Toc297123527"/>
      <w:bookmarkStart w:id="156" w:name="_Toc296944506"/>
      <w:bookmarkStart w:id="157" w:name="_Toc297120467"/>
      <w:bookmarkStart w:id="158" w:name="_Toc292559372"/>
      <w:bookmarkStart w:id="159" w:name="_Toc296346668"/>
      <w:bookmarkStart w:id="160" w:name="_Toc312678019"/>
      <w:bookmarkStart w:id="161" w:name="_Toc300934979"/>
      <w:bookmarkStart w:id="162" w:name="_Toc296503167"/>
      <w:bookmarkStart w:id="163" w:name="_Toc303539136"/>
      <w:bookmarkStart w:id="164" w:name="_Toc304295556"/>
      <w:bookmarkStart w:id="165" w:name="_Toc296891207"/>
      <w:bookmarkStart w:id="166" w:name="_Toc312677493"/>
      <w:bookmarkStart w:id="167" w:name="_Toc297216186"/>
      <w:bookmarkStart w:id="168" w:name="_Toc267251424"/>
      <w:bookmarkStart w:id="169" w:name="_Toc280868655"/>
      <w:bookmarkStart w:id="170" w:name="_Toc280868656"/>
      <w:r>
        <w:rPr>
          <w:rFonts w:hint="eastAsia" w:ascii="宋体" w:hAnsi="宋体" w:eastAsia="宋体" w:cs="宋体"/>
          <w:color w:val="auto"/>
          <w:sz w:val="24"/>
          <w:szCs w:val="24"/>
          <w:highlight w:val="none"/>
        </w:rPr>
        <w:t>.4材料与工程设备的保管与使用</w:t>
      </w:r>
    </w:p>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14:paraId="6B6E8EE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171" w:name="_Toc292559878"/>
      <w:bookmarkStart w:id="172" w:name="_Toc292559373"/>
      <w:bookmarkStart w:id="173" w:name="_Toc296503168"/>
      <w:bookmarkStart w:id="174" w:name="_Toc297123528"/>
      <w:bookmarkStart w:id="175" w:name="_Toc297120468"/>
      <w:bookmarkStart w:id="176" w:name="_Toc297216187"/>
      <w:bookmarkStart w:id="177" w:name="_Toc296347167"/>
      <w:bookmarkStart w:id="178" w:name="_Toc303539137"/>
      <w:bookmarkStart w:id="179" w:name="_Toc296346669"/>
      <w:bookmarkStart w:id="180" w:name="_Toc296944507"/>
      <w:bookmarkStart w:id="181" w:name="_Toc297048354"/>
      <w:bookmarkStart w:id="182" w:name="_Toc312678020"/>
      <w:bookmarkStart w:id="183" w:name="_Toc318581173"/>
      <w:bookmarkStart w:id="184" w:name="_Toc312677494"/>
      <w:bookmarkStart w:id="185" w:name="_Toc304295557"/>
      <w:bookmarkStart w:id="186" w:name="_Toc300934980"/>
      <w:bookmarkStart w:id="187" w:name="_Toc296890996"/>
      <w:bookmarkStart w:id="188" w:name="_Toc296891208"/>
      <w:r>
        <w:rPr>
          <w:rFonts w:hint="eastAsia" w:ascii="宋体" w:hAnsi="宋体" w:eastAsia="宋体" w:cs="宋体"/>
          <w:color w:val="auto"/>
          <w:sz w:val="24"/>
          <w:szCs w:val="24"/>
          <w:highlight w:val="none"/>
        </w:rPr>
        <w:t>.4.1发包人供应的材料设备的保管费用的承担：</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bookmarkEnd w:id="171"/>
      <w:bookmarkEnd w:id="172"/>
    </w:p>
    <w:p w14:paraId="6E7DB280">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 样品</w:t>
      </w:r>
    </w:p>
    <w:p w14:paraId="7386A16E">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8.6.1</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样品的报送与封存</w:t>
      </w:r>
    </w:p>
    <w:p w14:paraId="59818AF2">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 xml:space="preserve"> 执行通用条款，按发包人需求确定     </w:t>
      </w:r>
      <w:r>
        <w:rPr>
          <w:rFonts w:hint="eastAsia" w:ascii="宋体" w:hAnsi="宋体" w:eastAsia="宋体" w:cs="宋体"/>
          <w:color w:val="auto"/>
          <w:sz w:val="24"/>
          <w:szCs w:val="24"/>
          <w:highlight w:val="none"/>
        </w:rPr>
        <w:t>。</w:t>
      </w:r>
    </w:p>
    <w:p w14:paraId="2AB88CB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 施工设备和临时设施</w:t>
      </w:r>
    </w:p>
    <w:p w14:paraId="01275BF9">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8.8.1 承包人提供的施工设备和临时设施</w:t>
      </w:r>
    </w:p>
    <w:p w14:paraId="16B791B9">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关于修建临时设施费用承担的约定：</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p>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14:paraId="1F666EBD">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189" w:name="_Toc351203641"/>
      <w:r>
        <w:rPr>
          <w:rFonts w:hint="eastAsia" w:ascii="宋体" w:hAnsi="宋体" w:eastAsia="宋体" w:cs="宋体"/>
          <w:b w:val="0"/>
          <w:color w:val="auto"/>
          <w:sz w:val="24"/>
          <w:szCs w:val="24"/>
          <w:highlight w:val="none"/>
        </w:rPr>
        <w:t>9</w:t>
      </w:r>
      <w:bookmarkEnd w:id="168"/>
      <w:bookmarkEnd w:id="169"/>
      <w:bookmarkEnd w:id="170"/>
      <w:bookmarkStart w:id="190" w:name="_Toc297123533"/>
      <w:bookmarkStart w:id="191" w:name="_Toc300934982"/>
      <w:bookmarkStart w:id="192" w:name="_Toc312678021"/>
      <w:bookmarkStart w:id="193" w:name="_Toc297216192"/>
      <w:bookmarkStart w:id="194" w:name="_Toc312677495"/>
      <w:bookmarkStart w:id="195" w:name="_Toc304295559"/>
      <w:bookmarkStart w:id="196" w:name="_Toc303539139"/>
      <w:bookmarkStart w:id="197" w:name="_Toc267251428"/>
      <w:bookmarkStart w:id="198" w:name="_Toc296503173"/>
      <w:bookmarkStart w:id="199" w:name="_Toc296944512"/>
      <w:bookmarkStart w:id="200" w:name="_Toc296891001"/>
      <w:bookmarkStart w:id="201" w:name="_Toc296346674"/>
      <w:bookmarkStart w:id="202" w:name="_Toc297048359"/>
      <w:bookmarkStart w:id="203" w:name="_Toc292559378"/>
      <w:bookmarkStart w:id="204" w:name="_Toc297120473"/>
      <w:bookmarkStart w:id="205" w:name="_Toc296347172"/>
      <w:bookmarkStart w:id="206" w:name="_Toc296891213"/>
      <w:bookmarkStart w:id="207" w:name="_Toc267251427"/>
      <w:bookmarkStart w:id="208" w:name="_Toc292559883"/>
      <w:r>
        <w:rPr>
          <w:rFonts w:hint="eastAsia" w:ascii="宋体" w:hAnsi="宋体" w:eastAsia="宋体" w:cs="宋体"/>
          <w:b w:val="0"/>
          <w:color w:val="auto"/>
          <w:sz w:val="24"/>
          <w:szCs w:val="24"/>
          <w:highlight w:val="none"/>
        </w:rPr>
        <w:t>. 试验与检验</w:t>
      </w:r>
      <w:bookmarkEnd w:id="189"/>
    </w:p>
    <w:bookmarkEnd w:id="190"/>
    <w:bookmarkEnd w:id="191"/>
    <w:bookmarkEnd w:id="192"/>
    <w:bookmarkEnd w:id="193"/>
    <w:bookmarkEnd w:id="194"/>
    <w:bookmarkEnd w:id="195"/>
    <w:bookmarkEnd w:id="196"/>
    <w:p w14:paraId="30105B0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209" w:name="_Toc304295560"/>
      <w:bookmarkStart w:id="210" w:name="_Toc312677496"/>
      <w:bookmarkStart w:id="211" w:name="_Toc300934983"/>
      <w:bookmarkStart w:id="212" w:name="_Toc297216193"/>
      <w:bookmarkStart w:id="213" w:name="_Toc303539140"/>
      <w:bookmarkStart w:id="214" w:name="_Toc312678022"/>
      <w:bookmarkStart w:id="215" w:name="_Toc297123534"/>
      <w:r>
        <w:rPr>
          <w:rFonts w:hint="eastAsia" w:ascii="宋体" w:hAnsi="宋体" w:eastAsia="宋体" w:cs="宋体"/>
          <w:color w:val="auto"/>
          <w:sz w:val="24"/>
          <w:szCs w:val="24"/>
          <w:highlight w:val="none"/>
        </w:rPr>
        <w:t>.1试验设备与试验人员</w:t>
      </w:r>
    </w:p>
    <w:bookmarkEnd w:id="209"/>
    <w:bookmarkEnd w:id="210"/>
    <w:bookmarkEnd w:id="211"/>
    <w:bookmarkEnd w:id="212"/>
    <w:bookmarkEnd w:id="213"/>
    <w:bookmarkEnd w:id="214"/>
    <w:bookmarkEnd w:id="215"/>
    <w:p w14:paraId="08EB2FA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216" w:name="_Toc297123535"/>
      <w:bookmarkStart w:id="217" w:name="_Toc312677497"/>
      <w:bookmarkStart w:id="218" w:name="_Toc300934984"/>
      <w:bookmarkStart w:id="219" w:name="_Toc312678023"/>
      <w:bookmarkStart w:id="220" w:name="_Toc303539141"/>
      <w:bookmarkStart w:id="221" w:name="_Toc297216194"/>
      <w:bookmarkStart w:id="222" w:name="_Toc304295561"/>
      <w:bookmarkStart w:id="223" w:name="_Toc318581174"/>
      <w:r>
        <w:rPr>
          <w:rFonts w:hint="eastAsia" w:ascii="宋体" w:hAnsi="宋体" w:eastAsia="宋体" w:cs="宋体"/>
          <w:color w:val="auto"/>
          <w:sz w:val="24"/>
          <w:szCs w:val="24"/>
          <w:highlight w:val="none"/>
        </w:rPr>
        <w:t>.1.2 试验设备</w:t>
      </w:r>
    </w:p>
    <w:p w14:paraId="3787016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w:t>
      </w:r>
      <w:bookmarkEnd w:id="216"/>
      <w:bookmarkEnd w:id="217"/>
      <w:bookmarkEnd w:id="218"/>
      <w:bookmarkEnd w:id="219"/>
      <w:bookmarkEnd w:id="220"/>
      <w:bookmarkEnd w:id="221"/>
      <w:bookmarkEnd w:id="222"/>
      <w:bookmarkStart w:id="224" w:name="_Toc312678024"/>
      <w:bookmarkStart w:id="225" w:name="_Toc304295562"/>
      <w:bookmarkStart w:id="226" w:name="_Toc300934985"/>
      <w:bookmarkStart w:id="227" w:name="_Toc303539142"/>
      <w:bookmarkStart w:id="228" w:name="_Toc297123536"/>
      <w:bookmarkStart w:id="229" w:name="_Toc312677498"/>
      <w:bookmarkStart w:id="230" w:name="_Toc297216195"/>
      <w:r>
        <w:rPr>
          <w:rFonts w:hint="eastAsia" w:ascii="宋体" w:hAnsi="宋体" w:eastAsia="宋体" w:cs="宋体"/>
          <w:color w:val="auto"/>
          <w:sz w:val="24"/>
          <w:szCs w:val="24"/>
          <w:highlight w:val="none"/>
          <w:u w:val="single"/>
        </w:rPr>
        <w:t xml:space="preserve">    按有关规定执行      </w:t>
      </w:r>
      <w:r>
        <w:rPr>
          <w:rFonts w:hint="eastAsia" w:ascii="宋体" w:hAnsi="宋体" w:eastAsia="宋体" w:cs="宋体"/>
          <w:color w:val="auto"/>
          <w:sz w:val="24"/>
          <w:szCs w:val="24"/>
          <w:highlight w:val="none"/>
        </w:rPr>
        <w:t xml:space="preserve">。 </w:t>
      </w:r>
    </w:p>
    <w:p w14:paraId="10BF88A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施工现场需要配备的试验设备：</w:t>
      </w:r>
      <w:r>
        <w:rPr>
          <w:rFonts w:hint="eastAsia" w:ascii="宋体" w:hAnsi="宋体" w:eastAsia="宋体" w:cs="宋体"/>
          <w:color w:val="auto"/>
          <w:sz w:val="24"/>
          <w:szCs w:val="24"/>
          <w:highlight w:val="none"/>
          <w:u w:val="single"/>
        </w:rPr>
        <w:t xml:space="preserve">    按有关规定执行       </w:t>
      </w:r>
      <w:r>
        <w:rPr>
          <w:rFonts w:hint="eastAsia" w:ascii="宋体" w:hAnsi="宋体" w:eastAsia="宋体" w:cs="宋体"/>
          <w:color w:val="auto"/>
          <w:sz w:val="24"/>
          <w:szCs w:val="24"/>
          <w:highlight w:val="none"/>
        </w:rPr>
        <w:t>。</w:t>
      </w:r>
    </w:p>
    <w:p w14:paraId="3A1FD5C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E9DCA1B">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9.4 现场工艺试验 </w:t>
      </w:r>
    </w:p>
    <w:p w14:paraId="3932181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现场工艺试验的有关约定：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223"/>
    <w:bookmarkEnd w:id="224"/>
    <w:bookmarkEnd w:id="225"/>
    <w:bookmarkEnd w:id="226"/>
    <w:bookmarkEnd w:id="227"/>
    <w:bookmarkEnd w:id="228"/>
    <w:bookmarkEnd w:id="229"/>
    <w:bookmarkEnd w:id="230"/>
    <w:p w14:paraId="36CD0AAD">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231" w:name="_Toc351203642"/>
      <w:r>
        <w:rPr>
          <w:rFonts w:hint="eastAsia" w:ascii="宋体" w:hAnsi="宋体" w:eastAsia="宋体" w:cs="宋体"/>
          <w:b w:val="0"/>
          <w:color w:val="auto"/>
          <w:sz w:val="24"/>
          <w:szCs w:val="24"/>
          <w:highlight w:val="none"/>
        </w:rPr>
        <w:t>1</w:t>
      </w:r>
      <w:bookmarkEnd w:id="197"/>
      <w:bookmarkEnd w:id="198"/>
      <w:bookmarkEnd w:id="199"/>
      <w:bookmarkEnd w:id="200"/>
      <w:bookmarkEnd w:id="201"/>
      <w:bookmarkEnd w:id="202"/>
      <w:bookmarkEnd w:id="203"/>
      <w:bookmarkEnd w:id="204"/>
      <w:bookmarkEnd w:id="205"/>
      <w:bookmarkEnd w:id="206"/>
      <w:bookmarkEnd w:id="207"/>
      <w:bookmarkEnd w:id="208"/>
      <w:bookmarkStart w:id="232" w:name="_Toc297048379"/>
      <w:bookmarkStart w:id="233" w:name="_Toc296503193"/>
      <w:bookmarkStart w:id="234" w:name="_Toc303539146"/>
      <w:bookmarkStart w:id="235" w:name="_Toc304295566"/>
      <w:bookmarkStart w:id="236" w:name="_Toc297123540"/>
      <w:bookmarkStart w:id="237" w:name="_Toc292559398"/>
      <w:bookmarkStart w:id="238" w:name="_Toc297216199"/>
      <w:bookmarkStart w:id="239" w:name="_Toc296347192"/>
      <w:bookmarkStart w:id="240" w:name="_Toc296891233"/>
      <w:bookmarkStart w:id="241" w:name="_Toc297120493"/>
      <w:bookmarkStart w:id="242" w:name="_Toc292559903"/>
      <w:bookmarkStart w:id="243" w:name="_Toc296944532"/>
      <w:bookmarkStart w:id="244" w:name="_Toc296891021"/>
      <w:bookmarkStart w:id="245" w:name="_Toc300934989"/>
      <w:bookmarkStart w:id="246" w:name="_Toc296346694"/>
      <w:bookmarkStart w:id="247" w:name="_Toc312677499"/>
      <w:bookmarkStart w:id="248" w:name="_Toc312678025"/>
      <w:bookmarkStart w:id="249" w:name="_Toc267251435"/>
      <w:bookmarkStart w:id="250" w:name="_Toc267251437"/>
      <w:bookmarkStart w:id="251" w:name="_Toc267251433"/>
      <w:bookmarkStart w:id="252" w:name="_Toc267251439"/>
      <w:bookmarkStart w:id="253" w:name="_Toc267251440"/>
      <w:bookmarkStart w:id="254" w:name="_Toc267251441"/>
      <w:bookmarkStart w:id="255" w:name="_Toc267251442"/>
      <w:r>
        <w:rPr>
          <w:rFonts w:hint="eastAsia" w:ascii="宋体" w:hAnsi="宋体" w:eastAsia="宋体" w:cs="宋体"/>
          <w:b w:val="0"/>
          <w:color w:val="auto"/>
          <w:sz w:val="24"/>
          <w:szCs w:val="24"/>
          <w:highlight w:val="none"/>
        </w:rPr>
        <w:t>0. 变更</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bookmarkEnd w:id="247"/>
    <w:bookmarkEnd w:id="248"/>
    <w:p w14:paraId="1A2B228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256" w:name="_Toc296503194"/>
      <w:bookmarkStart w:id="257" w:name="_Toc312678026"/>
      <w:bookmarkStart w:id="258" w:name="_Toc297120494"/>
      <w:bookmarkStart w:id="259" w:name="_Toc296347193"/>
      <w:bookmarkStart w:id="260" w:name="_Toc296891234"/>
      <w:bookmarkStart w:id="261" w:name="_Toc297216200"/>
      <w:bookmarkStart w:id="262" w:name="_Toc297048380"/>
      <w:bookmarkStart w:id="263" w:name="_Toc296346695"/>
      <w:bookmarkStart w:id="264" w:name="_Toc292559399"/>
      <w:bookmarkStart w:id="265" w:name="_Toc303539147"/>
      <w:bookmarkStart w:id="266" w:name="_Toc296891022"/>
      <w:bookmarkStart w:id="267" w:name="_Toc296944533"/>
      <w:bookmarkStart w:id="268" w:name="_Toc312677500"/>
      <w:bookmarkStart w:id="269" w:name="_Toc292559904"/>
      <w:bookmarkStart w:id="270" w:name="_Toc300934990"/>
      <w:bookmarkStart w:id="271" w:name="_Toc304295567"/>
      <w:bookmarkStart w:id="272" w:name="_Toc297123541"/>
      <w:r>
        <w:rPr>
          <w:rFonts w:hint="eastAsia" w:ascii="宋体" w:hAnsi="宋体" w:eastAsia="宋体" w:cs="宋体"/>
          <w:color w:val="auto"/>
          <w:sz w:val="24"/>
          <w:szCs w:val="24"/>
          <w:highlight w:val="none"/>
        </w:rPr>
        <w:t>0.1变更的范围</w:t>
      </w:r>
    </w:p>
    <w:p w14:paraId="09E4C39E">
      <w:pPr>
        <w:keepNext w:val="0"/>
        <w:keepLines w:val="0"/>
        <w:pageBreakBefore w:val="0"/>
        <w:widowControl w:val="0"/>
        <w:kinsoku/>
        <w:wordWrap/>
        <w:overflowPunct/>
        <w:topLinePunct w:val="0"/>
        <w:autoSpaceDE w:val="0"/>
        <w:autoSpaceDN w:val="0"/>
        <w:bidi w:val="0"/>
        <w:snapToGrid/>
        <w:spacing w:line="340" w:lineRule="exact"/>
        <w:ind w:firstLine="6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关于变更的范围的约定：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53961275">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变更估价</w:t>
      </w:r>
    </w:p>
    <w:p w14:paraId="62E1258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10.4.1 变更估价原则</w:t>
      </w:r>
    </w:p>
    <w:p w14:paraId="6C2AFE0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关于变更估价的约定: </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572FC1D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Start w:id="273" w:name="_Toc296347196"/>
      <w:bookmarkStart w:id="274" w:name="_Toc296503197"/>
      <w:bookmarkStart w:id="275" w:name="_Toc300934993"/>
      <w:bookmarkStart w:id="276" w:name="_Toc297120497"/>
      <w:bookmarkStart w:id="277" w:name="_Toc297123544"/>
      <w:bookmarkStart w:id="278" w:name="_Toc296891237"/>
      <w:bookmarkStart w:id="279" w:name="_Toc296346698"/>
      <w:bookmarkStart w:id="280" w:name="_Toc297216203"/>
      <w:bookmarkStart w:id="281" w:name="_Toc292559907"/>
      <w:bookmarkStart w:id="282" w:name="_Toc303539150"/>
      <w:bookmarkStart w:id="283" w:name="_Toc296944536"/>
      <w:bookmarkStart w:id="284" w:name="_Toc296891025"/>
      <w:bookmarkStart w:id="285" w:name="_Toc292559402"/>
      <w:bookmarkStart w:id="286" w:name="_Toc297048383"/>
      <w:bookmarkStart w:id="287" w:name="_Toc304295570"/>
      <w:bookmarkStart w:id="288" w:name="_Toc312677503"/>
      <w:bookmarkStart w:id="289" w:name="_Toc312678029"/>
      <w:r>
        <w:rPr>
          <w:rFonts w:hint="eastAsia" w:ascii="宋体" w:hAnsi="宋体" w:eastAsia="宋体" w:cs="宋体"/>
          <w:color w:val="auto"/>
          <w:sz w:val="24"/>
          <w:szCs w:val="24"/>
          <w:highlight w:val="none"/>
        </w:rPr>
        <w:t>0.5承</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Start w:id="290" w:name="_Toc296891031"/>
      <w:bookmarkStart w:id="291" w:name="_Toc296891243"/>
      <w:bookmarkStart w:id="292" w:name="_Toc297048389"/>
      <w:bookmarkStart w:id="293" w:name="_Toc296944542"/>
      <w:bookmarkStart w:id="294" w:name="_Toc296347202"/>
      <w:bookmarkStart w:id="295" w:name="_Toc297216204"/>
      <w:bookmarkStart w:id="296" w:name="_Toc297123545"/>
      <w:bookmarkStart w:id="297" w:name="_Toc297120503"/>
      <w:bookmarkStart w:id="298" w:name="_Toc292559913"/>
      <w:bookmarkStart w:id="299" w:name="_Toc296503203"/>
      <w:bookmarkStart w:id="300" w:name="_Toc296346704"/>
      <w:bookmarkStart w:id="301" w:name="_Toc300934994"/>
      <w:bookmarkStart w:id="302" w:name="_Toc303539151"/>
      <w:bookmarkStart w:id="303" w:name="_Toc292559408"/>
      <w:r>
        <w:rPr>
          <w:rFonts w:hint="eastAsia" w:ascii="宋体" w:hAnsi="宋体" w:eastAsia="宋体" w:cs="宋体"/>
          <w:color w:val="auto"/>
          <w:sz w:val="24"/>
          <w:szCs w:val="24"/>
          <w:highlight w:val="none"/>
        </w:rPr>
        <w:t>包人的合理化建议</w:t>
      </w:r>
    </w:p>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14:paraId="1BB18B3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监理人审查承包人合理化建议的期限：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08D004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89EE87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w:t>
      </w:r>
      <w:bookmarkStart w:id="304" w:name="_Toc303539152"/>
      <w:bookmarkStart w:id="305" w:name="_Toc296503204"/>
      <w:bookmarkStart w:id="306" w:name="_Toc296891244"/>
      <w:bookmarkStart w:id="307" w:name="_Toc297123546"/>
      <w:bookmarkStart w:id="308" w:name="_Toc297216205"/>
      <w:bookmarkStart w:id="309" w:name="_Toc300934995"/>
      <w:bookmarkStart w:id="310" w:name="_Toc297120504"/>
      <w:bookmarkStart w:id="311" w:name="_Toc297048390"/>
      <w:bookmarkStart w:id="312" w:name="_Toc312678030"/>
      <w:bookmarkStart w:id="313" w:name="_Toc312677504"/>
      <w:bookmarkStart w:id="314" w:name="_Toc296346705"/>
      <w:bookmarkStart w:id="315" w:name="_Toc296891032"/>
      <w:bookmarkStart w:id="316" w:name="_Toc296944543"/>
      <w:bookmarkStart w:id="317" w:name="_Toc296347203"/>
      <w:bookmarkStart w:id="318" w:name="_Toc292559914"/>
      <w:bookmarkStart w:id="319" w:name="_Toc304295571"/>
      <w:bookmarkStart w:id="320" w:name="_Toc292559409"/>
      <w:bookmarkStart w:id="321" w:name="_Toc318581175"/>
      <w:r>
        <w:rPr>
          <w:rFonts w:hint="eastAsia" w:ascii="宋体" w:hAnsi="宋体" w:eastAsia="宋体" w:cs="宋体"/>
          <w:color w:val="auto"/>
          <w:sz w:val="24"/>
          <w:szCs w:val="24"/>
          <w:highlight w:val="none"/>
        </w:rPr>
        <w:t>包人提出的合理化建议降低了合同价格或者提高了工程经济效益的奖励的方法和金额为：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14:paraId="268A6A9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322" w:name="_Toc297120499"/>
      <w:bookmarkStart w:id="323" w:name="_Toc300934997"/>
      <w:bookmarkStart w:id="324" w:name="_Toc292559404"/>
      <w:bookmarkStart w:id="325" w:name="_Toc312678033"/>
      <w:bookmarkStart w:id="326" w:name="_Toc296503199"/>
      <w:bookmarkStart w:id="327" w:name="_Toc296891239"/>
      <w:bookmarkStart w:id="328" w:name="_Toc296891027"/>
      <w:bookmarkStart w:id="329" w:name="_Toc296347198"/>
      <w:bookmarkStart w:id="330" w:name="_Toc304295574"/>
      <w:bookmarkStart w:id="331" w:name="_Toc297123548"/>
      <w:bookmarkStart w:id="332" w:name="_Toc292559909"/>
      <w:bookmarkStart w:id="333" w:name="_Toc312677507"/>
      <w:bookmarkStart w:id="334" w:name="_Toc296346700"/>
      <w:bookmarkStart w:id="335" w:name="_Toc303539154"/>
      <w:bookmarkStart w:id="336" w:name="_Toc297216207"/>
      <w:bookmarkStart w:id="337" w:name="_Toc296944538"/>
      <w:bookmarkStart w:id="338" w:name="_Toc297048385"/>
      <w:r>
        <w:rPr>
          <w:rFonts w:hint="eastAsia" w:ascii="宋体" w:hAnsi="宋体" w:eastAsia="宋体" w:cs="宋体"/>
          <w:color w:val="auto"/>
          <w:sz w:val="24"/>
          <w:szCs w:val="24"/>
          <w:highlight w:val="none"/>
        </w:rPr>
        <w:t>0.7 暂估价</w:t>
      </w:r>
    </w:p>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14:paraId="0F087AD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暂</w:t>
      </w:r>
      <w:bookmarkStart w:id="339" w:name="_Toc318581176"/>
      <w:bookmarkStart w:id="340" w:name="_Toc312678034"/>
      <w:bookmarkStart w:id="341" w:name="_Toc312677508"/>
      <w:r>
        <w:rPr>
          <w:rFonts w:hint="eastAsia" w:ascii="宋体" w:hAnsi="宋体" w:eastAsia="宋体" w:cs="宋体"/>
          <w:color w:val="auto"/>
          <w:kern w:val="0"/>
          <w:sz w:val="24"/>
          <w:szCs w:val="24"/>
          <w:highlight w:val="none"/>
        </w:rPr>
        <w:t>估价材料和工程设备的明细详见附件11：《</w:t>
      </w:r>
      <w:r>
        <w:rPr>
          <w:rFonts w:hint="eastAsia" w:ascii="宋体" w:hAnsi="宋体" w:eastAsia="宋体" w:cs="宋体"/>
          <w:color w:val="auto"/>
          <w:sz w:val="24"/>
          <w:szCs w:val="24"/>
          <w:highlight w:val="none"/>
        </w:rPr>
        <w:t>暂估价一览表》</w:t>
      </w:r>
      <w:r>
        <w:rPr>
          <w:rFonts w:hint="eastAsia" w:ascii="宋体" w:hAnsi="宋体" w:eastAsia="宋体" w:cs="宋体"/>
          <w:color w:val="auto"/>
          <w:kern w:val="0"/>
          <w:sz w:val="24"/>
          <w:szCs w:val="24"/>
          <w:highlight w:val="none"/>
        </w:rPr>
        <w:t>。</w:t>
      </w:r>
    </w:p>
    <w:bookmarkEnd w:id="339"/>
    <w:bookmarkEnd w:id="340"/>
    <w:bookmarkEnd w:id="341"/>
    <w:p w14:paraId="1FF61BE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342" w:name="_Toc312678035"/>
      <w:bookmarkStart w:id="343" w:name="_Toc312677509"/>
      <w:bookmarkStart w:id="344" w:name="_Toc318581177"/>
      <w:r>
        <w:rPr>
          <w:rFonts w:hint="eastAsia" w:ascii="宋体" w:hAnsi="宋体" w:eastAsia="宋体" w:cs="宋体"/>
          <w:color w:val="auto"/>
          <w:sz w:val="24"/>
          <w:szCs w:val="24"/>
          <w:highlight w:val="none"/>
        </w:rPr>
        <w:t>0.7.1 依法必须招标的暂估价项目</w:t>
      </w:r>
    </w:p>
    <w:bookmarkEnd w:id="342"/>
    <w:bookmarkEnd w:id="343"/>
    <w:bookmarkEnd w:id="344"/>
    <w:p w14:paraId="0F30F0B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对于依法必须招标的暂估价项目的确认和批准采取第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种方式确定。</w:t>
      </w:r>
    </w:p>
    <w:p w14:paraId="656481E0">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10.7.2 不属于依法必须招标的暂估价项目</w:t>
      </w:r>
    </w:p>
    <w:p w14:paraId="4301073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对于不属于依法必须招标的暂估价项目的确认和批准采取第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种方式确定。</w:t>
      </w:r>
    </w:p>
    <w:p w14:paraId="4C18268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第3种方式：</w:t>
      </w:r>
      <w:r>
        <w:rPr>
          <w:rFonts w:hint="eastAsia" w:ascii="宋体" w:hAnsi="宋体" w:eastAsia="宋体" w:cs="宋体"/>
          <w:color w:val="auto"/>
          <w:kern w:val="0"/>
          <w:sz w:val="24"/>
          <w:szCs w:val="24"/>
          <w:highlight w:val="none"/>
        </w:rPr>
        <w:t>承包人直接实施的暂估价项目</w:t>
      </w:r>
    </w:p>
    <w:p w14:paraId="1E82891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承包人直接实施的暂估价项目的约定：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88F83E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 暂列金额</w:t>
      </w:r>
    </w:p>
    <w:p w14:paraId="40798A17">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合同当事人关于暂列金额使用的约定：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0DE98508">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345" w:name="_Toc351203643"/>
      <w:r>
        <w:rPr>
          <w:rFonts w:hint="eastAsia" w:ascii="宋体" w:hAnsi="宋体" w:eastAsia="宋体" w:cs="宋体"/>
          <w:b w:val="0"/>
          <w:color w:val="auto"/>
          <w:sz w:val="24"/>
          <w:szCs w:val="24"/>
          <w:highlight w:val="none"/>
        </w:rPr>
        <w:t>11. 价格调整</w:t>
      </w:r>
      <w:bookmarkEnd w:id="345"/>
    </w:p>
    <w:p w14:paraId="14F8438B">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346" w:name="_Toc296944540"/>
      <w:bookmarkStart w:id="347" w:name="_Toc300935000"/>
      <w:bookmarkStart w:id="348" w:name="_Toc292559406"/>
      <w:bookmarkStart w:id="349" w:name="_Toc297120501"/>
      <w:bookmarkStart w:id="350" w:name="_Toc296891029"/>
      <w:bookmarkStart w:id="351" w:name="_Toc292559911"/>
      <w:bookmarkStart w:id="352" w:name="_Toc304295577"/>
      <w:bookmarkStart w:id="353" w:name="_Toc296891241"/>
      <w:bookmarkStart w:id="354" w:name="_Toc312678039"/>
      <w:bookmarkStart w:id="355" w:name="_Toc296346702"/>
      <w:bookmarkStart w:id="356" w:name="_Toc297048387"/>
      <w:bookmarkStart w:id="357" w:name="_Toc296347200"/>
      <w:bookmarkStart w:id="358" w:name="_Toc296503201"/>
      <w:bookmarkStart w:id="359" w:name="_Toc297123550"/>
      <w:bookmarkStart w:id="360" w:name="_Toc297216209"/>
      <w:bookmarkStart w:id="361" w:name="_Toc303539157"/>
      <w:r>
        <w:rPr>
          <w:rFonts w:hint="eastAsia" w:ascii="宋体" w:hAnsi="宋体" w:eastAsia="宋体" w:cs="宋体"/>
          <w:color w:val="auto"/>
          <w:sz w:val="24"/>
          <w:szCs w:val="24"/>
          <w:highlight w:val="none"/>
        </w:rPr>
        <w:t>11.1 市场价格波动引起的调整</w:t>
      </w:r>
    </w:p>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14:paraId="567AE3A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市场价格波动是否调整合同价格的约定：</w:t>
      </w:r>
      <w:r>
        <w:rPr>
          <w:rFonts w:hint="eastAsia" w:ascii="宋体" w:hAnsi="宋体" w:eastAsia="宋体" w:cs="宋体"/>
          <w:color w:val="auto"/>
          <w:sz w:val="24"/>
          <w:szCs w:val="24"/>
          <w:highlight w:val="none"/>
          <w:u w:val="single"/>
        </w:rPr>
        <w:t xml:space="preserve">   是  </w:t>
      </w:r>
      <w:r>
        <w:rPr>
          <w:rFonts w:hint="eastAsia" w:ascii="宋体" w:hAnsi="宋体" w:eastAsia="宋体" w:cs="宋体"/>
          <w:color w:val="auto"/>
          <w:sz w:val="24"/>
          <w:szCs w:val="24"/>
          <w:highlight w:val="none"/>
        </w:rPr>
        <w:t>。</w:t>
      </w:r>
    </w:p>
    <w:p w14:paraId="652B847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因市场价格波动调整合同价格，采用以下第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种方式对合同价格进行调整：</w:t>
      </w:r>
    </w:p>
    <w:p w14:paraId="346D44A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第1种方式：采用价格指数进行价格调整。</w:t>
      </w:r>
    </w:p>
    <w:p w14:paraId="5633305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关于各可调因子、定值和变值权重，以及基本价格指数及其来源的约定：</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3BE33E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第2种方式：采用造价信息进行价格调整。</w:t>
      </w:r>
    </w:p>
    <w:p w14:paraId="5323AF5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（2）关于基准价格的约定：</w:t>
      </w:r>
      <w:r>
        <w:rPr>
          <w:rFonts w:hint="eastAsia" w:ascii="宋体" w:hAnsi="宋体" w:eastAsia="宋体" w:cs="宋体"/>
          <w:color w:val="auto"/>
          <w:sz w:val="24"/>
          <w:szCs w:val="24"/>
          <w:highlight w:val="none"/>
          <w:u w:val="single"/>
        </w:rPr>
        <w:t xml:space="preserve"> 根据编制说明中约定的价格信息文件 </w:t>
      </w:r>
      <w:r>
        <w:rPr>
          <w:rFonts w:hint="eastAsia" w:ascii="宋体" w:hAnsi="宋体" w:eastAsia="宋体" w:cs="宋体"/>
          <w:color w:val="auto"/>
          <w:sz w:val="24"/>
          <w:szCs w:val="24"/>
          <w:highlight w:val="none"/>
        </w:rPr>
        <w:t>。</w:t>
      </w:r>
    </w:p>
    <w:p w14:paraId="60262E5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%时，或材料单价跌幅以已标价工程量清单或预算书中载明材料单价为基础超过</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rPr>
        <w:t>%时，其超过部分据实调整。</w:t>
      </w:r>
    </w:p>
    <w:p w14:paraId="6EBEF1F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%时，材料单价涨幅以已标价工程量清单或预算书中载明材料单价为基础超过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337C27B1">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6F79410F">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第3种方式：其他价格调整方式：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249"/>
    <w:bookmarkEnd w:id="250"/>
    <w:bookmarkEnd w:id="251"/>
    <w:bookmarkEnd w:id="252"/>
    <w:bookmarkEnd w:id="253"/>
    <w:bookmarkEnd w:id="254"/>
    <w:p w14:paraId="53DE2C50">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362" w:name="_Toc296891033"/>
      <w:bookmarkStart w:id="363" w:name="_Toc296944544"/>
      <w:bookmarkStart w:id="364" w:name="_Toc297048391"/>
      <w:bookmarkStart w:id="365" w:name="_Toc292559410"/>
      <w:bookmarkStart w:id="366" w:name="_Toc292559915"/>
      <w:bookmarkStart w:id="367" w:name="_Toc296503205"/>
      <w:bookmarkStart w:id="368" w:name="_Toc297120505"/>
      <w:bookmarkStart w:id="369" w:name="_Toc296346706"/>
      <w:bookmarkStart w:id="370" w:name="_Toc296891245"/>
      <w:bookmarkStart w:id="371" w:name="_Toc296347204"/>
      <w:bookmarkStart w:id="372" w:name="_Toc351203644"/>
      <w:bookmarkStart w:id="373" w:name="_Toc304295579"/>
      <w:bookmarkStart w:id="374" w:name="_Toc300935002"/>
      <w:bookmarkStart w:id="375" w:name="_Toc297123552"/>
      <w:bookmarkStart w:id="376" w:name="_Toc312678040"/>
      <w:bookmarkStart w:id="377" w:name="_Toc297216211"/>
      <w:bookmarkStart w:id="378" w:name="_Toc303539159"/>
      <w:r>
        <w:rPr>
          <w:rFonts w:hint="eastAsia" w:ascii="宋体" w:hAnsi="宋体" w:eastAsia="宋体" w:cs="宋体"/>
          <w:b w:val="0"/>
          <w:color w:val="auto"/>
          <w:sz w:val="24"/>
          <w:szCs w:val="24"/>
          <w:highlight w:val="none"/>
        </w:rPr>
        <w:t xml:space="preserve">12. </w:t>
      </w:r>
      <w:bookmarkEnd w:id="362"/>
      <w:bookmarkEnd w:id="363"/>
      <w:bookmarkEnd w:id="364"/>
      <w:bookmarkEnd w:id="365"/>
      <w:bookmarkEnd w:id="366"/>
      <w:bookmarkEnd w:id="367"/>
      <w:bookmarkEnd w:id="368"/>
      <w:bookmarkEnd w:id="369"/>
      <w:bookmarkEnd w:id="370"/>
      <w:bookmarkEnd w:id="371"/>
      <w:r>
        <w:rPr>
          <w:rFonts w:hint="eastAsia" w:ascii="宋体" w:hAnsi="宋体" w:eastAsia="宋体" w:cs="宋体"/>
          <w:b w:val="0"/>
          <w:color w:val="auto"/>
          <w:sz w:val="24"/>
          <w:szCs w:val="24"/>
          <w:highlight w:val="none"/>
        </w:rPr>
        <w:t>合同价格、计量与支付</w:t>
      </w:r>
      <w:bookmarkEnd w:id="372"/>
    </w:p>
    <w:bookmarkEnd w:id="373"/>
    <w:bookmarkEnd w:id="374"/>
    <w:bookmarkEnd w:id="375"/>
    <w:bookmarkEnd w:id="376"/>
    <w:bookmarkEnd w:id="377"/>
    <w:bookmarkEnd w:id="378"/>
    <w:p w14:paraId="44BD2A7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379" w:name="_Toc267251461"/>
      <w:bookmarkStart w:id="380" w:name="_Toc292559916"/>
      <w:bookmarkStart w:id="381" w:name="_Toc292559411"/>
      <w:bookmarkStart w:id="382" w:name="_Toc296944545"/>
      <w:bookmarkStart w:id="383" w:name="_Toc297120506"/>
      <w:bookmarkStart w:id="384" w:name="_Toc296347205"/>
      <w:bookmarkStart w:id="385" w:name="_Toc297048392"/>
      <w:bookmarkStart w:id="386" w:name="_Toc296346707"/>
      <w:bookmarkStart w:id="387" w:name="_Toc296891034"/>
      <w:bookmarkStart w:id="388" w:name="_Toc296503206"/>
      <w:bookmarkStart w:id="389" w:name="_Toc296891246"/>
      <w:bookmarkStart w:id="390" w:name="_Toc297123553"/>
      <w:bookmarkStart w:id="391" w:name="_Toc304295580"/>
      <w:bookmarkStart w:id="392" w:name="_Toc300935003"/>
      <w:bookmarkStart w:id="393" w:name="_Toc312678041"/>
      <w:bookmarkStart w:id="394" w:name="_Toc303539160"/>
      <w:bookmarkStart w:id="395" w:name="_Toc297216212"/>
      <w:r>
        <w:rPr>
          <w:rFonts w:hint="eastAsia" w:ascii="宋体" w:hAnsi="宋体" w:eastAsia="宋体" w:cs="宋体"/>
          <w:color w:val="auto"/>
          <w:sz w:val="24"/>
          <w:szCs w:val="24"/>
          <w:highlight w:val="none"/>
        </w:rPr>
        <w:t>12.1 合</w:t>
      </w:r>
      <w:bookmarkEnd w:id="379"/>
      <w:bookmarkEnd w:id="380"/>
      <w:bookmarkEnd w:id="381"/>
      <w:r>
        <w:rPr>
          <w:rFonts w:hint="eastAsia" w:ascii="宋体" w:hAnsi="宋体" w:eastAsia="宋体" w:cs="宋体"/>
          <w:color w:val="auto"/>
          <w:sz w:val="24"/>
          <w:szCs w:val="24"/>
          <w:highlight w:val="none"/>
        </w:rPr>
        <w:t>同价</w:t>
      </w:r>
      <w:bookmarkEnd w:id="382"/>
      <w:bookmarkEnd w:id="383"/>
      <w:bookmarkEnd w:id="384"/>
      <w:bookmarkEnd w:id="385"/>
      <w:bookmarkEnd w:id="386"/>
      <w:bookmarkEnd w:id="387"/>
      <w:bookmarkEnd w:id="388"/>
      <w:bookmarkEnd w:id="389"/>
      <w:r>
        <w:rPr>
          <w:rFonts w:hint="eastAsia" w:ascii="宋体" w:hAnsi="宋体" w:eastAsia="宋体" w:cs="宋体"/>
          <w:color w:val="auto"/>
          <w:sz w:val="24"/>
          <w:szCs w:val="24"/>
          <w:highlight w:val="none"/>
        </w:rPr>
        <w:t>格形式</w:t>
      </w:r>
    </w:p>
    <w:bookmarkEnd w:id="390"/>
    <w:bookmarkEnd w:id="391"/>
    <w:bookmarkEnd w:id="392"/>
    <w:bookmarkEnd w:id="393"/>
    <w:bookmarkEnd w:id="394"/>
    <w:bookmarkEnd w:id="395"/>
    <w:p w14:paraId="09C6BDB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14:paraId="5CC4ED8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综合单价包含的风险范围：</w:t>
      </w:r>
      <w:r>
        <w:rPr>
          <w:rFonts w:hint="eastAsia" w:ascii="宋体" w:hAnsi="宋体" w:eastAsia="宋体" w:cs="宋体"/>
          <w:color w:val="auto"/>
          <w:sz w:val="24"/>
          <w:szCs w:val="24"/>
          <w:highlight w:val="none"/>
          <w:u w:val="single"/>
        </w:rPr>
        <w:t>除经济签证、设计变更、市场因素以外的所有风险</w:t>
      </w:r>
      <w:r>
        <w:rPr>
          <w:rFonts w:hint="eastAsia" w:ascii="宋体" w:hAnsi="宋体" w:eastAsia="宋体" w:cs="宋体"/>
          <w:color w:val="auto"/>
          <w:sz w:val="24"/>
          <w:szCs w:val="24"/>
          <w:highlight w:val="none"/>
        </w:rPr>
        <w:t>。</w:t>
      </w:r>
    </w:p>
    <w:p w14:paraId="3DB2346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C992B32">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w:t>
      </w:r>
    </w:p>
    <w:p w14:paraId="01143CD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总价包含的风险范围：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3CB895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D18D21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64681A0">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3、其他价格方式：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30F0B4C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96" w:name="_Toc300935004"/>
      <w:bookmarkStart w:id="397" w:name="_Toc312678042"/>
      <w:bookmarkStart w:id="398" w:name="_Toc297123554"/>
      <w:bookmarkStart w:id="399" w:name="_Toc297216213"/>
      <w:bookmarkStart w:id="400" w:name="_Toc303539161"/>
      <w:bookmarkStart w:id="401" w:name="_Toc304295581"/>
      <w:bookmarkStart w:id="402" w:name="_Toc296347206"/>
      <w:bookmarkStart w:id="403" w:name="_Toc292559412"/>
      <w:bookmarkStart w:id="404" w:name="_Toc296891035"/>
      <w:bookmarkStart w:id="405" w:name="_Toc297120507"/>
      <w:bookmarkStart w:id="406" w:name="_Toc296346708"/>
      <w:bookmarkStart w:id="407" w:name="_Toc292559917"/>
      <w:bookmarkStart w:id="408" w:name="_Toc297048393"/>
      <w:bookmarkStart w:id="409" w:name="_Toc296891247"/>
      <w:bookmarkStart w:id="410" w:name="_Toc296944546"/>
      <w:bookmarkStart w:id="411" w:name="_Toc296503207"/>
      <w:r>
        <w:rPr>
          <w:rFonts w:hint="eastAsia" w:ascii="宋体" w:hAnsi="宋体" w:eastAsia="宋体" w:cs="宋体"/>
          <w:color w:val="000000" w:themeColor="text1"/>
          <w:sz w:val="24"/>
          <w:szCs w:val="24"/>
          <w:highlight w:val="none"/>
          <w14:textFill>
            <w14:solidFill>
              <w14:schemeClr w14:val="tx1"/>
            </w14:solidFill>
          </w14:textFill>
        </w:rPr>
        <w:t>12.2 预付款</w:t>
      </w:r>
    </w:p>
    <w:bookmarkEnd w:id="396"/>
    <w:bookmarkEnd w:id="397"/>
    <w:bookmarkEnd w:id="398"/>
    <w:bookmarkEnd w:id="399"/>
    <w:bookmarkEnd w:id="400"/>
    <w:bookmarkEnd w:id="401"/>
    <w:p w14:paraId="33B516A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12.2.1 预付款的支付</w:t>
      </w:r>
    </w:p>
    <w:p w14:paraId="40F0793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预付款支付比例或金额：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合同价的</w:t>
      </w:r>
      <w:r>
        <w:rPr>
          <w:rFonts w:hint="eastAsia"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 xml:space="preserve">0%   </w:t>
      </w:r>
      <w:r>
        <w:rPr>
          <w:rFonts w:hint="eastAsia" w:ascii="宋体" w:hAnsi="宋体" w:eastAsia="宋体" w:cs="宋体"/>
          <w:color w:val="000000" w:themeColor="text1"/>
          <w:sz w:val="24"/>
          <w:szCs w:val="24"/>
          <w:highlight w:val="none"/>
          <w14:textFill>
            <w14:solidFill>
              <w14:schemeClr w14:val="tx1"/>
            </w14:solidFill>
          </w14:textFill>
        </w:rPr>
        <w:t>。</w:t>
      </w:r>
    </w:p>
    <w:p w14:paraId="4C7877D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预付款支付期限：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签订合同、承包方提交履约保证金，完成后并在开工以前  </w:t>
      </w:r>
      <w:r>
        <w:rPr>
          <w:rFonts w:hint="eastAsia" w:ascii="宋体" w:hAnsi="宋体" w:eastAsia="宋体" w:cs="宋体"/>
          <w:color w:val="000000" w:themeColor="text1"/>
          <w:sz w:val="24"/>
          <w:szCs w:val="24"/>
          <w:highlight w:val="none"/>
          <w14:textFill>
            <w14:solidFill>
              <w14:schemeClr w14:val="tx1"/>
            </w14:solidFill>
          </w14:textFill>
        </w:rPr>
        <w:t>。</w:t>
      </w:r>
    </w:p>
    <w:p w14:paraId="0CB108F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预付款扣回的方式：</w:t>
      </w:r>
      <w:r>
        <w:rPr>
          <w:rFonts w:hint="eastAsia" w:cs="宋体"/>
          <w:color w:val="000000" w:themeColor="text1"/>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7DE2B9B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12.2.2 预付款担保</w:t>
      </w:r>
    </w:p>
    <w:p w14:paraId="27D057C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承包人提交预付款担保的期限：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1CD22DE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预付款担保的形式为：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bookmarkEnd w:id="402"/>
    <w:bookmarkEnd w:id="403"/>
    <w:bookmarkEnd w:id="404"/>
    <w:bookmarkEnd w:id="405"/>
    <w:bookmarkEnd w:id="406"/>
    <w:bookmarkEnd w:id="407"/>
    <w:bookmarkEnd w:id="408"/>
    <w:bookmarkEnd w:id="409"/>
    <w:bookmarkEnd w:id="410"/>
    <w:bookmarkEnd w:id="411"/>
    <w:p w14:paraId="16B741A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 计量</w:t>
      </w:r>
    </w:p>
    <w:p w14:paraId="673D9A2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12.3.1 计量原则</w:t>
      </w:r>
    </w:p>
    <w:p w14:paraId="586E926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工程量计算规则：</w:t>
      </w:r>
      <w:r>
        <w:rPr>
          <w:rFonts w:hint="eastAsia" w:ascii="宋体" w:hAnsi="宋体" w:eastAsia="宋体" w:cs="宋体"/>
          <w:color w:val="000000" w:themeColor="text1"/>
          <w:sz w:val="24"/>
          <w:szCs w:val="24"/>
          <w:highlight w:val="none"/>
          <w:u w:val="single"/>
          <w14:textFill>
            <w14:solidFill>
              <w14:schemeClr w14:val="tx1"/>
            </w14:solidFill>
          </w14:textFill>
        </w:rPr>
        <w:t xml:space="preserve">按GB50500-2013建设工程工程量清单计价规范工程量计算规则  </w:t>
      </w:r>
      <w:r>
        <w:rPr>
          <w:rFonts w:hint="eastAsia" w:ascii="宋体" w:hAnsi="宋体" w:eastAsia="宋体" w:cs="宋体"/>
          <w:color w:val="000000" w:themeColor="text1"/>
          <w:sz w:val="24"/>
          <w:szCs w:val="24"/>
          <w:highlight w:val="none"/>
          <w14:textFill>
            <w14:solidFill>
              <w14:schemeClr w14:val="tx1"/>
            </w14:solidFill>
          </w14:textFill>
        </w:rPr>
        <w:t>。</w:t>
      </w:r>
    </w:p>
    <w:p w14:paraId="7C7DF45D">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12.3.2 计量周期</w:t>
      </w:r>
    </w:p>
    <w:p w14:paraId="378FBE2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关于计量周期的约定：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按月计量        </w:t>
      </w:r>
      <w:r>
        <w:rPr>
          <w:rFonts w:hint="eastAsia" w:ascii="宋体" w:hAnsi="宋体" w:eastAsia="宋体" w:cs="宋体"/>
          <w:color w:val="000000" w:themeColor="text1"/>
          <w:sz w:val="24"/>
          <w:szCs w:val="24"/>
          <w:highlight w:val="none"/>
          <w14:textFill>
            <w14:solidFill>
              <w14:schemeClr w14:val="tx1"/>
            </w14:solidFill>
          </w14:textFill>
        </w:rPr>
        <w:t>。</w:t>
      </w:r>
    </w:p>
    <w:p w14:paraId="45B09B6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12.3.3 单价合同的计量</w:t>
      </w:r>
    </w:p>
    <w:p w14:paraId="0E1DF0B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关于单价合同计量的约定：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按月计量     </w:t>
      </w:r>
      <w:r>
        <w:rPr>
          <w:rFonts w:hint="eastAsia" w:ascii="宋体" w:hAnsi="宋体" w:eastAsia="宋体" w:cs="宋体"/>
          <w:color w:val="000000" w:themeColor="text1"/>
          <w:sz w:val="24"/>
          <w:szCs w:val="24"/>
          <w:highlight w:val="none"/>
          <w14:textFill>
            <w14:solidFill>
              <w14:schemeClr w14:val="tx1"/>
            </w14:solidFill>
          </w14:textFill>
        </w:rPr>
        <w:t>。</w:t>
      </w:r>
    </w:p>
    <w:p w14:paraId="7268D98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12.3.4 总价合同的计量</w:t>
      </w:r>
    </w:p>
    <w:p w14:paraId="55366AE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关于总价合同计量的约定：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07A42A6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12.3.5总价合同采用支付分解表计量支付的，是否适用第</w:t>
      </w:r>
      <w:r>
        <w:rPr>
          <w:rFonts w:hint="eastAsia" w:ascii="宋体" w:hAnsi="宋体" w:eastAsia="宋体" w:cs="宋体"/>
          <w:color w:val="000000" w:themeColor="text1"/>
          <w:kern w:val="0"/>
          <w:sz w:val="24"/>
          <w:szCs w:val="24"/>
          <w:highlight w:val="none"/>
          <w14:textFill>
            <w14:solidFill>
              <w14:schemeClr w14:val="tx1"/>
            </w14:solidFill>
          </w14:textFill>
        </w:rPr>
        <w:t xml:space="preserve">12.3.4 </w:t>
      </w:r>
      <w:r>
        <w:rPr>
          <w:rFonts w:hint="eastAsia" w:ascii="宋体" w:hAnsi="宋体" w:eastAsia="宋体" w:cs="宋体"/>
          <w:color w:val="000000" w:themeColor="text1"/>
          <w:sz w:val="24"/>
          <w:szCs w:val="24"/>
          <w:highlight w:val="none"/>
          <w14:textFill>
            <w14:solidFill>
              <w14:schemeClr w14:val="tx1"/>
            </w14:solidFill>
          </w14:textFill>
        </w:rPr>
        <w:t>项</w:t>
      </w:r>
      <w:r>
        <w:rPr>
          <w:rFonts w:hint="eastAsia" w:ascii="宋体" w:hAnsi="宋体" w:eastAsia="宋体" w:cs="宋体"/>
          <w:color w:val="000000" w:themeColor="text1"/>
          <w:kern w:val="0"/>
          <w:sz w:val="24"/>
          <w:szCs w:val="24"/>
          <w:highlight w:val="none"/>
          <w14:textFill>
            <w14:solidFill>
              <w14:schemeClr w14:val="tx1"/>
            </w14:solidFill>
          </w14:textFill>
        </w:rPr>
        <w:t>〔总价合同的计量〕</w:t>
      </w:r>
      <w:r>
        <w:rPr>
          <w:rFonts w:hint="eastAsia" w:ascii="宋体" w:hAnsi="宋体" w:eastAsia="宋体" w:cs="宋体"/>
          <w:color w:val="000000" w:themeColor="text1"/>
          <w:sz w:val="24"/>
          <w:szCs w:val="24"/>
          <w:highlight w:val="none"/>
          <w14:textFill>
            <w14:solidFill>
              <w14:schemeClr w14:val="tx1"/>
            </w14:solidFill>
          </w14:textFill>
        </w:rPr>
        <w:t>约定进行计量：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41ECD6F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12.3.6 其他价格形式合同的计量</w:t>
      </w:r>
    </w:p>
    <w:p w14:paraId="45369C3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其他价格形式的计量方式和程序：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17995A0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 工程进度款支付</w:t>
      </w:r>
    </w:p>
    <w:p w14:paraId="21DF12E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12" w:name="_Toc296944550"/>
      <w:bookmarkStart w:id="413" w:name="_Toc297048397"/>
      <w:bookmarkStart w:id="414" w:name="_Toc296346712"/>
      <w:bookmarkStart w:id="415" w:name="_Toc300935006"/>
      <w:bookmarkStart w:id="416" w:name="_Toc297216215"/>
      <w:bookmarkStart w:id="417" w:name="_Toc296347210"/>
      <w:bookmarkStart w:id="418" w:name="_Toc292559921"/>
      <w:bookmarkStart w:id="419" w:name="_Toc296503211"/>
      <w:bookmarkStart w:id="420" w:name="_Toc296891251"/>
      <w:bookmarkStart w:id="421" w:name="_Toc292559416"/>
      <w:bookmarkStart w:id="422" w:name="_Toc297123556"/>
      <w:bookmarkStart w:id="423" w:name="_Toc296891039"/>
      <w:bookmarkStart w:id="424" w:name="_Toc297120511"/>
      <w:bookmarkStart w:id="425" w:name="_Toc303539163"/>
      <w:r>
        <w:rPr>
          <w:rFonts w:hint="eastAsia" w:ascii="宋体" w:hAnsi="宋体" w:eastAsia="宋体" w:cs="宋体"/>
          <w:color w:val="000000" w:themeColor="text1"/>
          <w:sz w:val="24"/>
          <w:szCs w:val="24"/>
          <w:highlight w:val="none"/>
          <w14:textFill>
            <w14:solidFill>
              <w14:schemeClr w14:val="tx1"/>
            </w14:solidFill>
          </w14:textFill>
        </w:rPr>
        <w:t>12.4.1 付款周期</w:t>
      </w:r>
    </w:p>
    <w:p w14:paraId="4414D063">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4"/>
          <w:szCs w:val="24"/>
          <w:highlight w:val="yellow"/>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关于付款周期的约定：</w:t>
      </w:r>
      <w:r>
        <w:rPr>
          <w:rFonts w:hint="eastAsia" w:ascii="宋体" w:hAnsi="宋体" w:eastAsia="宋体" w:cs="宋体"/>
          <w:color w:val="000000" w:themeColor="text1"/>
          <w:sz w:val="24"/>
          <w:szCs w:val="24"/>
          <w:highlight w:val="none"/>
          <w:u w:val="single"/>
          <w14:textFill>
            <w14:solidFill>
              <w14:schemeClr w14:val="tx1"/>
            </w14:solidFill>
          </w14:textFill>
        </w:rPr>
        <w:t>施工合同签订开工后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先支付合同价的30%，工程进度达到80%以上支付合同价的40%，竣工验收完成后支付合同价的30%同时扣留合同价的3%作为项目质保金，</w:t>
      </w:r>
      <w:r>
        <w:rPr>
          <w:rFonts w:hint="eastAsia" w:ascii="宋体" w:hAnsi="宋体" w:eastAsia="宋体" w:cs="宋体"/>
          <w:color w:val="000000" w:themeColor="text1"/>
          <w:sz w:val="24"/>
          <w:szCs w:val="24"/>
          <w:highlight w:val="none"/>
          <w:u w:val="single"/>
          <w14:textFill>
            <w14:solidFill>
              <w14:schemeClr w14:val="tx1"/>
            </w14:solidFill>
          </w14:textFill>
        </w:rPr>
        <w:t>质保期满项目承包方提请返还保证金申请，经双方验收无误并签署一致意见后一次性结清。</w:t>
      </w:r>
    </w:p>
    <w:p w14:paraId="7B523AC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12.4.2 进度付款申请单的编制</w:t>
      </w:r>
    </w:p>
    <w:p w14:paraId="4BC483D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关于进度付款申请单编制的约定：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按发包方工程款支付管理规定执行  </w:t>
      </w:r>
      <w:r>
        <w:rPr>
          <w:rFonts w:hint="eastAsia" w:ascii="宋体" w:hAnsi="宋体" w:eastAsia="宋体" w:cs="宋体"/>
          <w:color w:val="000000" w:themeColor="text1"/>
          <w:sz w:val="24"/>
          <w:szCs w:val="24"/>
          <w:highlight w:val="none"/>
          <w14:textFill>
            <w14:solidFill>
              <w14:schemeClr w14:val="tx1"/>
            </w14:solidFill>
          </w14:textFill>
        </w:rPr>
        <w:t>。</w:t>
      </w:r>
    </w:p>
    <w:p w14:paraId="7F11A3F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hint="eastAsia" w:ascii="宋体" w:hAnsi="宋体" w:eastAsia="宋体" w:cs="宋体"/>
          <w:color w:val="000000" w:themeColor="text1"/>
          <w:sz w:val="24"/>
          <w:szCs w:val="24"/>
          <w:highlight w:val="none"/>
          <w14:textFill>
            <w14:solidFill>
              <w14:schemeClr w14:val="tx1"/>
            </w14:solidFill>
          </w14:textFill>
        </w:rPr>
        <w:t>2.4.3 进度付款申请单的提交</w:t>
      </w:r>
    </w:p>
    <w:p w14:paraId="637987B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（1）单价合同进度付款申请单提交的约定：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按发包方工程款支付管理规定执行   </w:t>
      </w:r>
      <w:r>
        <w:rPr>
          <w:rFonts w:hint="eastAsia" w:ascii="宋体" w:hAnsi="宋体" w:eastAsia="宋体" w:cs="宋体"/>
          <w:color w:val="000000" w:themeColor="text1"/>
          <w:sz w:val="24"/>
          <w:szCs w:val="24"/>
          <w:highlight w:val="none"/>
          <w14:textFill>
            <w14:solidFill>
              <w14:schemeClr w14:val="tx1"/>
            </w14:solidFill>
          </w14:textFill>
        </w:rPr>
        <w:t>。</w:t>
      </w:r>
    </w:p>
    <w:p w14:paraId="5F1F9E3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（2）总价合同进度付款申请</w:t>
      </w:r>
      <w:r>
        <w:rPr>
          <w:rFonts w:hint="eastAsia" w:ascii="宋体" w:hAnsi="宋体" w:eastAsia="宋体" w:cs="宋体"/>
          <w:color w:val="auto"/>
          <w:sz w:val="24"/>
          <w:szCs w:val="24"/>
          <w:highlight w:val="none"/>
        </w:rPr>
        <w:t>单提交的约定：</w:t>
      </w:r>
      <w:r>
        <w:rPr>
          <w:rFonts w:hint="eastAsia" w:ascii="宋体" w:hAnsi="宋体" w:eastAsia="宋体" w:cs="宋体"/>
          <w:color w:val="auto"/>
          <w:sz w:val="24"/>
          <w:szCs w:val="24"/>
          <w:highlight w:val="none"/>
          <w:u w:val="single"/>
        </w:rPr>
        <w:t xml:space="preserve">  按发包方工程款支付管理规定执行  </w:t>
      </w:r>
      <w:r>
        <w:rPr>
          <w:rFonts w:hint="eastAsia" w:ascii="宋体" w:hAnsi="宋体" w:eastAsia="宋体" w:cs="宋体"/>
          <w:color w:val="auto"/>
          <w:sz w:val="24"/>
          <w:szCs w:val="24"/>
          <w:highlight w:val="none"/>
        </w:rPr>
        <w:t>。</w:t>
      </w:r>
    </w:p>
    <w:p w14:paraId="7F0A39D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（3）其他价格形式合同进度付款申请单提交的约定：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9307B59">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12.4.4 进度款审核和支付</w:t>
      </w:r>
    </w:p>
    <w:p w14:paraId="04A2277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（1）监理人审查并报送发包人的期限：</w:t>
      </w:r>
      <w:r>
        <w:rPr>
          <w:rFonts w:hint="eastAsia" w:ascii="宋体" w:hAnsi="宋体" w:eastAsia="宋体" w:cs="宋体"/>
          <w:color w:val="auto"/>
          <w:sz w:val="24"/>
          <w:szCs w:val="24"/>
          <w:highlight w:val="none"/>
          <w:u w:val="single"/>
        </w:rPr>
        <w:t xml:space="preserve">  收到申请7日内审查并报送     </w:t>
      </w:r>
      <w:r>
        <w:rPr>
          <w:rFonts w:hint="eastAsia" w:ascii="宋体" w:hAnsi="宋体" w:eastAsia="宋体" w:cs="宋体"/>
          <w:color w:val="auto"/>
          <w:sz w:val="24"/>
          <w:szCs w:val="24"/>
          <w:highlight w:val="none"/>
        </w:rPr>
        <w:t>。</w:t>
      </w:r>
    </w:p>
    <w:p w14:paraId="036756E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发包人完成审批并签发进度款支付证书的期限：</w:t>
      </w:r>
      <w:r>
        <w:rPr>
          <w:rFonts w:hint="eastAsia" w:ascii="宋体" w:hAnsi="宋体" w:eastAsia="宋体" w:cs="宋体"/>
          <w:color w:val="auto"/>
          <w:sz w:val="24"/>
          <w:szCs w:val="24"/>
          <w:highlight w:val="none"/>
          <w:u w:val="single"/>
        </w:rPr>
        <w:t xml:space="preserve"> 收到7日内完成       </w:t>
      </w:r>
      <w:r>
        <w:rPr>
          <w:rFonts w:hint="eastAsia" w:ascii="宋体" w:hAnsi="宋体" w:eastAsia="宋体" w:cs="宋体"/>
          <w:color w:val="auto"/>
          <w:sz w:val="24"/>
          <w:szCs w:val="24"/>
          <w:highlight w:val="none"/>
        </w:rPr>
        <w:t>。</w:t>
      </w:r>
    </w:p>
    <w:p w14:paraId="76D0031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（2）发包人支付进度款的期限：</w:t>
      </w:r>
      <w:r>
        <w:rPr>
          <w:rFonts w:hint="eastAsia" w:ascii="宋体" w:hAnsi="宋体" w:eastAsia="宋体" w:cs="宋体"/>
          <w:color w:val="auto"/>
          <w:sz w:val="24"/>
          <w:szCs w:val="24"/>
          <w:highlight w:val="none"/>
          <w:u w:val="single"/>
        </w:rPr>
        <w:t xml:space="preserve">  14日内                         </w:t>
      </w:r>
      <w:r>
        <w:rPr>
          <w:rFonts w:hint="eastAsia" w:ascii="宋体" w:hAnsi="宋体" w:eastAsia="宋体" w:cs="宋体"/>
          <w:color w:val="auto"/>
          <w:sz w:val="24"/>
          <w:szCs w:val="24"/>
          <w:highlight w:val="none"/>
        </w:rPr>
        <w:t>。</w:t>
      </w:r>
    </w:p>
    <w:p w14:paraId="45C4B230">
      <w:pPr>
        <w:keepNext w:val="0"/>
        <w:keepLines w:val="0"/>
        <w:pageBreakBefore w:val="0"/>
        <w:widowControl w:val="0"/>
        <w:kinsoku/>
        <w:wordWrap/>
        <w:overflowPunct/>
        <w:topLinePunct w:val="0"/>
        <w:autoSpaceDE w:val="0"/>
        <w:autoSpaceDN w:val="0"/>
        <w:bidi w:val="0"/>
        <w:snapToGrid/>
        <w:spacing w:line="3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发包人逾期支付进度款的违约金的计算方式：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A0FD5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12.4.6 支付分解表的编制</w:t>
      </w:r>
    </w:p>
    <w:p w14:paraId="35A1630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2、总价合同支付分解表的编制与审批：</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875AB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3、单价合同的总价项目支付分解表的编制与审批：</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bookmarkEnd w:id="255"/>
    <w:p w14:paraId="499882D7">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426" w:name="_Toc351203645"/>
      <w:bookmarkStart w:id="427" w:name="_Toc297123564"/>
      <w:bookmarkStart w:id="428" w:name="_Toc300935015"/>
      <w:bookmarkStart w:id="429" w:name="_Toc297120519"/>
      <w:bookmarkStart w:id="430" w:name="_Toc312678053"/>
      <w:bookmarkStart w:id="431" w:name="_Toc296891047"/>
      <w:bookmarkStart w:id="432" w:name="_Toc292559929"/>
      <w:bookmarkStart w:id="433" w:name="_Toc297048405"/>
      <w:bookmarkStart w:id="434" w:name="_Toc296347218"/>
      <w:bookmarkStart w:id="435" w:name="_Toc297216223"/>
      <w:bookmarkStart w:id="436" w:name="_Toc292559424"/>
      <w:bookmarkStart w:id="437" w:name="_Toc296346720"/>
      <w:bookmarkStart w:id="438" w:name="_Toc296503219"/>
      <w:bookmarkStart w:id="439" w:name="_Toc296944558"/>
      <w:bookmarkStart w:id="440" w:name="_Toc304295593"/>
      <w:bookmarkStart w:id="441" w:name="_Toc296891259"/>
      <w:bookmarkStart w:id="442" w:name="_Toc303539172"/>
      <w:r>
        <w:rPr>
          <w:rFonts w:hint="eastAsia" w:ascii="宋体" w:hAnsi="宋体" w:eastAsia="宋体" w:cs="宋体"/>
          <w:b w:val="0"/>
          <w:color w:val="auto"/>
          <w:sz w:val="24"/>
          <w:szCs w:val="24"/>
          <w:highlight w:val="none"/>
        </w:rPr>
        <w:t>13. 验收和工程试车</w:t>
      </w:r>
      <w:bookmarkEnd w:id="426"/>
    </w:p>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14:paraId="27F03FA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分部分项工程验收</w:t>
      </w:r>
    </w:p>
    <w:p w14:paraId="331560F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13.1.2监理人不能按时进行验收时，应提前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36035F9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6DB45235">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443" w:name="_Toc296891263"/>
      <w:bookmarkStart w:id="444" w:name="_Toc303539173"/>
      <w:bookmarkStart w:id="445" w:name="_Toc296346724"/>
      <w:bookmarkStart w:id="446" w:name="_Toc296944562"/>
      <w:bookmarkStart w:id="447" w:name="_Toc297216224"/>
      <w:bookmarkStart w:id="448" w:name="_Toc296891051"/>
      <w:bookmarkStart w:id="449" w:name="_Toc297048409"/>
      <w:bookmarkStart w:id="450" w:name="_Toc312678056"/>
      <w:bookmarkStart w:id="451" w:name="_Toc304295596"/>
      <w:bookmarkStart w:id="452" w:name="_Toc296503223"/>
      <w:bookmarkStart w:id="453" w:name="_Toc297123565"/>
      <w:bookmarkStart w:id="454" w:name="_Toc292559428"/>
      <w:bookmarkStart w:id="455" w:name="_Toc292559933"/>
      <w:bookmarkStart w:id="456" w:name="_Toc297120523"/>
      <w:bookmarkStart w:id="457" w:name="_Toc300935016"/>
      <w:bookmarkStart w:id="458" w:name="_Toc296347222"/>
      <w:bookmarkStart w:id="459" w:name="_Toc267251474"/>
      <w:bookmarkStart w:id="460" w:name="_Toc267251473"/>
      <w:bookmarkStart w:id="461" w:name="_Toc267251470"/>
      <w:bookmarkStart w:id="462" w:name="_Toc267251472"/>
      <w:bookmarkStart w:id="463" w:name="_Toc267251475"/>
      <w:bookmarkStart w:id="464" w:name="_Toc267251471"/>
      <w:bookmarkStart w:id="465" w:name="_Toc267251476"/>
      <w:r>
        <w:rPr>
          <w:rFonts w:hint="eastAsia" w:ascii="宋体" w:hAnsi="宋体" w:eastAsia="宋体" w:cs="宋体"/>
          <w:color w:val="auto"/>
          <w:sz w:val="24"/>
          <w:szCs w:val="24"/>
          <w:highlight w:val="none"/>
        </w:rPr>
        <w:t>13.2 竣工验收</w:t>
      </w:r>
    </w:p>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14:paraId="5AA1B9F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bookmarkStart w:id="466" w:name="_Toc280868704"/>
      <w:bookmarkStart w:id="467" w:name="_Toc280868705"/>
      <w:bookmarkStart w:id="468" w:name="_Toc280868706"/>
      <w:bookmarkStart w:id="469" w:name="_Toc280868707"/>
      <w:bookmarkStart w:id="470" w:name="_Toc280868708"/>
      <w:bookmarkStart w:id="471" w:name="_Toc280868709"/>
      <w:r>
        <w:rPr>
          <w:rFonts w:hint="eastAsia" w:ascii="宋体" w:hAnsi="宋体" w:eastAsia="宋体" w:cs="宋体"/>
          <w:color w:val="auto"/>
          <w:sz w:val="24"/>
          <w:szCs w:val="24"/>
          <w:highlight w:val="none"/>
        </w:rPr>
        <w:t>13.2.2竣工验收程序</w:t>
      </w:r>
    </w:p>
    <w:bookmarkEnd w:id="466"/>
    <w:p w14:paraId="47BFC9A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关于竣工验收程序的约定：</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p w14:paraId="766F8C6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发包人不按照本项约定组织竣工验收、颁发工程接收证书的违约金的计算方法：</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bookmarkEnd w:id="467"/>
    <w:p w14:paraId="283F8E12">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13.2.5移交、接收全部与部分工程</w:t>
      </w:r>
    </w:p>
    <w:bookmarkEnd w:id="468"/>
    <w:p w14:paraId="7AFE835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承包人向发包人移交工程的期限：</w:t>
      </w:r>
      <w:r>
        <w:rPr>
          <w:rFonts w:hint="eastAsia" w:ascii="宋体" w:hAnsi="宋体" w:eastAsia="宋体" w:cs="宋体"/>
          <w:color w:val="auto"/>
          <w:sz w:val="24"/>
          <w:szCs w:val="24"/>
          <w:highlight w:val="none"/>
          <w:u w:val="single"/>
        </w:rPr>
        <w:t xml:space="preserve">   颁发工程接收证书后7日内      </w:t>
      </w:r>
      <w:r>
        <w:rPr>
          <w:rFonts w:hint="eastAsia" w:ascii="宋体" w:hAnsi="宋体" w:eastAsia="宋体" w:cs="宋体"/>
          <w:color w:val="auto"/>
          <w:sz w:val="24"/>
          <w:szCs w:val="24"/>
          <w:highlight w:val="none"/>
        </w:rPr>
        <w:t>。</w:t>
      </w:r>
    </w:p>
    <w:p w14:paraId="522256B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发包人未按本合同约定接收全部或部分工程的，违约金的计算方法为：</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469"/>
    <w:p w14:paraId="73C875D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承包人未按时移交工程的，违约金的计算方法为：</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A31A88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工程试车</w:t>
      </w:r>
    </w:p>
    <w:bookmarkEnd w:id="470"/>
    <w:p w14:paraId="1AEC0EE3">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13.3.1 试车程序</w:t>
      </w:r>
    </w:p>
    <w:p w14:paraId="0E7015BE">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工程试车内容：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B12FDA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（1）单机无负荷试车费用由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承担；</w:t>
      </w:r>
    </w:p>
    <w:p w14:paraId="2B1D35F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（2）无负荷联动试车费用由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承担。</w:t>
      </w:r>
    </w:p>
    <w:p w14:paraId="5811C7D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13.3.3 投料试车</w:t>
      </w:r>
    </w:p>
    <w:p w14:paraId="3CE5DBF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关于投料试车相关事项的约定：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4595EF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 竣工退场</w:t>
      </w:r>
    </w:p>
    <w:p w14:paraId="66ACCD3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13.6.1 竣工退场</w:t>
      </w:r>
    </w:p>
    <w:p w14:paraId="4B0C9EC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承包人完成竣工退场的期限：</w:t>
      </w:r>
      <w:r>
        <w:rPr>
          <w:rFonts w:hint="eastAsia" w:ascii="宋体" w:hAnsi="宋体" w:eastAsia="宋体" w:cs="宋体"/>
          <w:color w:val="auto"/>
          <w:sz w:val="24"/>
          <w:szCs w:val="24"/>
          <w:highlight w:val="none"/>
          <w:u w:val="single"/>
        </w:rPr>
        <w:t xml:space="preserve">   颁发工程接收证书后3日内      </w:t>
      </w:r>
      <w:r>
        <w:rPr>
          <w:rFonts w:hint="eastAsia" w:ascii="宋体" w:hAnsi="宋体" w:eastAsia="宋体" w:cs="宋体"/>
          <w:color w:val="auto"/>
          <w:kern w:val="0"/>
          <w:sz w:val="24"/>
          <w:szCs w:val="24"/>
          <w:highlight w:val="none"/>
        </w:rPr>
        <w:t>。</w:t>
      </w:r>
    </w:p>
    <w:p w14:paraId="2F897E67">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472" w:name="_Toc351203646"/>
      <w:r>
        <w:rPr>
          <w:rFonts w:hint="eastAsia" w:ascii="宋体" w:hAnsi="宋体" w:eastAsia="宋体" w:cs="宋体"/>
          <w:b w:val="0"/>
          <w:color w:val="auto"/>
          <w:sz w:val="24"/>
          <w:szCs w:val="24"/>
          <w:highlight w:val="none"/>
        </w:rPr>
        <w:t>14. 竣工结算</w:t>
      </w:r>
      <w:bookmarkEnd w:id="472"/>
    </w:p>
    <w:p w14:paraId="7C061C2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竣工付款申请</w:t>
      </w:r>
    </w:p>
    <w:p w14:paraId="1A3CA20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承包人提交竣工付款申请单的期限：</w:t>
      </w:r>
      <w:r>
        <w:rPr>
          <w:rFonts w:hint="eastAsia" w:ascii="宋体" w:hAnsi="宋体" w:eastAsia="宋体" w:cs="宋体"/>
          <w:color w:val="auto"/>
          <w:sz w:val="24"/>
          <w:szCs w:val="24"/>
          <w:highlight w:val="none"/>
          <w:u w:val="single"/>
        </w:rPr>
        <w:t xml:space="preserve">按合同付款约定执行    </w:t>
      </w:r>
      <w:r>
        <w:rPr>
          <w:rFonts w:hint="eastAsia" w:ascii="宋体" w:hAnsi="宋体" w:eastAsia="宋体" w:cs="宋体"/>
          <w:color w:val="auto"/>
          <w:sz w:val="24"/>
          <w:szCs w:val="24"/>
          <w:highlight w:val="none"/>
        </w:rPr>
        <w:t>。</w:t>
      </w:r>
    </w:p>
    <w:p w14:paraId="7233C4F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竣工付款申请单应包括的内容：</w:t>
      </w:r>
      <w:r>
        <w:rPr>
          <w:rFonts w:hint="eastAsia" w:ascii="宋体" w:hAnsi="宋体" w:eastAsia="宋体" w:cs="宋体"/>
          <w:color w:val="auto"/>
          <w:sz w:val="24"/>
          <w:szCs w:val="24"/>
          <w:highlight w:val="none"/>
          <w:u w:val="single"/>
        </w:rPr>
        <w:t xml:space="preserve">   按合同付款约定执行         </w:t>
      </w:r>
      <w:r>
        <w:rPr>
          <w:rFonts w:hint="eastAsia" w:ascii="宋体" w:hAnsi="宋体" w:eastAsia="宋体" w:cs="宋体"/>
          <w:color w:val="auto"/>
          <w:sz w:val="24"/>
          <w:szCs w:val="24"/>
          <w:highlight w:val="none"/>
        </w:rPr>
        <w:t>。</w:t>
      </w:r>
    </w:p>
    <w:p w14:paraId="5C07DC3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竣工结算审核</w:t>
      </w:r>
    </w:p>
    <w:p w14:paraId="2201199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发包人审批竣工付款申请单的期限：</w:t>
      </w:r>
      <w:r>
        <w:rPr>
          <w:rFonts w:hint="eastAsia" w:ascii="宋体" w:hAnsi="宋体" w:eastAsia="宋体" w:cs="宋体"/>
          <w:color w:val="auto"/>
          <w:sz w:val="24"/>
          <w:szCs w:val="24"/>
          <w:highlight w:val="none"/>
          <w:u w:val="single"/>
        </w:rPr>
        <w:t xml:space="preserve">  按合同付款约定执行   </w:t>
      </w:r>
      <w:r>
        <w:rPr>
          <w:rFonts w:hint="eastAsia" w:ascii="宋体" w:hAnsi="宋体" w:eastAsia="宋体" w:cs="宋体"/>
          <w:color w:val="auto"/>
          <w:sz w:val="24"/>
          <w:szCs w:val="24"/>
          <w:highlight w:val="none"/>
        </w:rPr>
        <w:t>。</w:t>
      </w:r>
    </w:p>
    <w:p w14:paraId="4A9CDEC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发包人完成竣工付款的期限：</w:t>
      </w:r>
      <w:r>
        <w:rPr>
          <w:rFonts w:hint="eastAsia" w:ascii="宋体" w:hAnsi="宋体" w:eastAsia="宋体" w:cs="宋体"/>
          <w:color w:val="auto"/>
          <w:sz w:val="24"/>
          <w:szCs w:val="24"/>
          <w:highlight w:val="none"/>
          <w:u w:val="single"/>
        </w:rPr>
        <w:t xml:space="preserve">按合同付款约定执行    </w:t>
      </w:r>
      <w:r>
        <w:rPr>
          <w:rFonts w:hint="eastAsia" w:ascii="宋体" w:hAnsi="宋体" w:eastAsia="宋体" w:cs="宋体"/>
          <w:color w:val="auto"/>
          <w:sz w:val="24"/>
          <w:szCs w:val="24"/>
          <w:highlight w:val="none"/>
        </w:rPr>
        <w:t>。</w:t>
      </w:r>
    </w:p>
    <w:p w14:paraId="6A02692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关于竣工付款证书异议部分复核的方式和程序：</w:t>
      </w:r>
      <w:r>
        <w:rPr>
          <w:rFonts w:hint="eastAsia" w:ascii="宋体" w:hAnsi="宋体" w:eastAsia="宋体" w:cs="宋体"/>
          <w:color w:val="auto"/>
          <w:sz w:val="24"/>
          <w:szCs w:val="24"/>
          <w:highlight w:val="none"/>
          <w:u w:val="single"/>
        </w:rPr>
        <w:t xml:space="preserve"> 发包方支付工程款必须进入本合同约定账户     </w:t>
      </w:r>
      <w:r>
        <w:rPr>
          <w:rFonts w:hint="eastAsia" w:ascii="宋体" w:hAnsi="宋体" w:eastAsia="宋体" w:cs="宋体"/>
          <w:color w:val="auto"/>
          <w:sz w:val="24"/>
          <w:szCs w:val="24"/>
          <w:highlight w:val="none"/>
        </w:rPr>
        <w:t>。</w:t>
      </w:r>
    </w:p>
    <w:p w14:paraId="208C845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最终结清</w:t>
      </w:r>
    </w:p>
    <w:p w14:paraId="3057ED1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14.4.1 最终结清申请单</w:t>
      </w:r>
    </w:p>
    <w:p w14:paraId="061CC64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承包人提交最终结清申请单的份数：</w:t>
      </w:r>
      <w:r>
        <w:rPr>
          <w:rFonts w:hint="eastAsia" w:ascii="宋体" w:hAnsi="宋体" w:eastAsia="宋体" w:cs="宋体"/>
          <w:color w:val="auto"/>
          <w:sz w:val="24"/>
          <w:szCs w:val="24"/>
          <w:highlight w:val="none"/>
          <w:u w:val="single"/>
        </w:rPr>
        <w:t xml:space="preserve">     肆份        </w:t>
      </w:r>
      <w:r>
        <w:rPr>
          <w:rFonts w:hint="eastAsia" w:ascii="宋体" w:hAnsi="宋体" w:eastAsia="宋体" w:cs="宋体"/>
          <w:color w:val="auto"/>
          <w:sz w:val="24"/>
          <w:szCs w:val="24"/>
          <w:highlight w:val="none"/>
        </w:rPr>
        <w:t>。</w:t>
      </w:r>
    </w:p>
    <w:p w14:paraId="34DDAF6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承包人提交最终结算申请单的期限：</w:t>
      </w:r>
      <w:r>
        <w:rPr>
          <w:rFonts w:hint="eastAsia" w:ascii="宋体" w:hAnsi="宋体" w:eastAsia="宋体" w:cs="宋体"/>
          <w:color w:val="auto"/>
          <w:sz w:val="24"/>
          <w:szCs w:val="24"/>
          <w:highlight w:val="none"/>
          <w:u w:val="single"/>
        </w:rPr>
        <w:t xml:space="preserve">  缺陷责任期终止证书颁发后7天内    </w:t>
      </w:r>
      <w:r>
        <w:rPr>
          <w:rFonts w:hint="eastAsia" w:ascii="宋体" w:hAnsi="宋体" w:eastAsia="宋体" w:cs="宋体"/>
          <w:color w:val="auto"/>
          <w:sz w:val="24"/>
          <w:szCs w:val="24"/>
          <w:highlight w:val="none"/>
        </w:rPr>
        <w:t xml:space="preserve">。 </w:t>
      </w:r>
    </w:p>
    <w:p w14:paraId="2031A1B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14.4.2 最终结清证书和支付</w:t>
      </w:r>
    </w:p>
    <w:p w14:paraId="2591982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（1）发包人完成最终结清申请单的审批并颁发最终结清证书的期限：</w:t>
      </w:r>
      <w:r>
        <w:rPr>
          <w:rFonts w:hint="eastAsia" w:ascii="宋体" w:hAnsi="宋体" w:eastAsia="宋体" w:cs="宋体"/>
          <w:color w:val="auto"/>
          <w:sz w:val="24"/>
          <w:szCs w:val="24"/>
          <w:highlight w:val="none"/>
          <w:u w:val="single"/>
        </w:rPr>
        <w:t xml:space="preserve">  收到最终结算申请单后14天内        </w:t>
      </w:r>
      <w:r>
        <w:rPr>
          <w:rFonts w:hint="eastAsia" w:ascii="宋体" w:hAnsi="宋体" w:eastAsia="宋体" w:cs="宋体"/>
          <w:color w:val="auto"/>
          <w:sz w:val="24"/>
          <w:szCs w:val="24"/>
          <w:highlight w:val="none"/>
        </w:rPr>
        <w:t>。</w:t>
      </w:r>
    </w:p>
    <w:p w14:paraId="33DD59F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（2）发包人完成支付的期限：</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bookmarkEnd w:id="459"/>
    <w:bookmarkEnd w:id="460"/>
    <w:bookmarkEnd w:id="461"/>
    <w:bookmarkEnd w:id="462"/>
    <w:bookmarkEnd w:id="463"/>
    <w:bookmarkEnd w:id="464"/>
    <w:bookmarkEnd w:id="465"/>
    <w:bookmarkEnd w:id="471"/>
    <w:p w14:paraId="640751FD">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473" w:name="_Toc351203647"/>
      <w:bookmarkStart w:id="474" w:name="_Toc267251483"/>
      <w:bookmarkStart w:id="475" w:name="_Toc267251484"/>
      <w:bookmarkStart w:id="476" w:name="_Toc267251482"/>
      <w:bookmarkStart w:id="477" w:name="_Toc267251485"/>
      <w:bookmarkStart w:id="478" w:name="_Toc267251489"/>
      <w:bookmarkStart w:id="479" w:name="_Toc267251490"/>
      <w:bookmarkStart w:id="480" w:name="_Toc267251486"/>
      <w:bookmarkStart w:id="481" w:name="_Toc267251488"/>
      <w:bookmarkStart w:id="482" w:name="_Toc267251496"/>
      <w:bookmarkStart w:id="483" w:name="_Toc267251502"/>
      <w:bookmarkStart w:id="484" w:name="_Toc267251497"/>
      <w:bookmarkStart w:id="485" w:name="_Toc267251494"/>
      <w:bookmarkStart w:id="486" w:name="_Toc267251499"/>
      <w:bookmarkStart w:id="487" w:name="_Toc267251498"/>
      <w:bookmarkStart w:id="488" w:name="_Toc267251501"/>
      <w:bookmarkStart w:id="489" w:name="_Toc267251492"/>
      <w:bookmarkStart w:id="490" w:name="_Toc267251493"/>
      <w:bookmarkStart w:id="491" w:name="_Toc267251491"/>
      <w:bookmarkStart w:id="492" w:name="_Toc267251495"/>
      <w:bookmarkStart w:id="493" w:name="_Toc267251503"/>
      <w:bookmarkStart w:id="494" w:name="_Toc267251504"/>
      <w:bookmarkStart w:id="495" w:name="_Toc267251506"/>
      <w:bookmarkStart w:id="496" w:name="_Toc267251507"/>
      <w:bookmarkStart w:id="497" w:name="_Toc267251508"/>
      <w:bookmarkStart w:id="498" w:name="_Toc267251515"/>
      <w:bookmarkStart w:id="499" w:name="_Toc267251510"/>
      <w:bookmarkStart w:id="500" w:name="_Toc267251514"/>
      <w:bookmarkStart w:id="501" w:name="_Toc267251509"/>
      <w:bookmarkStart w:id="502" w:name="_Toc267251511"/>
      <w:bookmarkStart w:id="503" w:name="_Toc267251513"/>
      <w:r>
        <w:rPr>
          <w:rFonts w:hint="eastAsia" w:ascii="宋体" w:hAnsi="宋体" w:eastAsia="宋体" w:cs="宋体"/>
          <w:b w:val="0"/>
          <w:color w:val="auto"/>
          <w:sz w:val="24"/>
          <w:szCs w:val="24"/>
          <w:highlight w:val="none"/>
        </w:rPr>
        <w:t>15. 缺陷责任期与保修</w:t>
      </w:r>
      <w:bookmarkEnd w:id="473"/>
    </w:p>
    <w:p w14:paraId="0B820B22">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15.2缺陷责任期</w:t>
      </w:r>
      <w:bookmarkEnd w:id="474"/>
    </w:p>
    <w:p w14:paraId="5990EA9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缺陷责任期的具体期限：</w:t>
      </w:r>
      <w:r>
        <w:rPr>
          <w:rFonts w:hint="eastAsia" w:ascii="宋体" w:hAnsi="宋体" w:eastAsia="宋体" w:cs="宋体"/>
          <w:color w:val="auto"/>
          <w:sz w:val="24"/>
          <w:szCs w:val="24"/>
          <w:highlight w:val="none"/>
          <w:u w:val="single"/>
        </w:rPr>
        <w:t xml:space="preserve">  自实际竣工日期起计算为12个月    </w:t>
      </w:r>
      <w:r>
        <w:rPr>
          <w:rFonts w:hint="eastAsia" w:ascii="宋体" w:hAnsi="宋体" w:eastAsia="宋体" w:cs="宋体"/>
          <w:color w:val="auto"/>
          <w:sz w:val="24"/>
          <w:szCs w:val="24"/>
          <w:highlight w:val="none"/>
        </w:rPr>
        <w:t>。</w:t>
      </w:r>
    </w:p>
    <w:p w14:paraId="5967352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质量保证金</w:t>
      </w:r>
    </w:p>
    <w:p w14:paraId="1F56F88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关于是否扣留质量保证金的约定：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扣留          </w:t>
      </w:r>
      <w:r>
        <w:rPr>
          <w:rFonts w:hint="eastAsia" w:ascii="宋体" w:hAnsi="宋体" w:eastAsia="宋体" w:cs="宋体"/>
          <w:color w:val="000000" w:themeColor="text1"/>
          <w:sz w:val="24"/>
          <w:szCs w:val="24"/>
          <w:highlight w:val="none"/>
          <w14:textFill>
            <w14:solidFill>
              <w14:schemeClr w14:val="tx1"/>
            </w14:solidFill>
          </w14:textFill>
        </w:rPr>
        <w:t>。</w:t>
      </w:r>
    </w:p>
    <w:p w14:paraId="02BD1CF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15.3.1 承包人提供质量保证金的方式</w:t>
      </w:r>
    </w:p>
    <w:p w14:paraId="2D33BC1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质量保证金采用以下第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种方式：</w:t>
      </w:r>
    </w:p>
    <w:p w14:paraId="549532EC">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（1）质量保证金保函，保证金额为：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p w14:paraId="6A9B5CED">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3  </w:t>
      </w:r>
      <w:r>
        <w:rPr>
          <w:rFonts w:hint="eastAsia" w:ascii="宋体" w:hAnsi="宋体" w:eastAsia="宋体" w:cs="宋体"/>
          <w:color w:val="000000" w:themeColor="text1"/>
          <w:kern w:val="0"/>
          <w:sz w:val="24"/>
          <w:szCs w:val="24"/>
          <w:highlight w:val="none"/>
          <w14:textFill>
            <w14:solidFill>
              <w14:schemeClr w14:val="tx1"/>
            </w14:solidFill>
          </w14:textFill>
        </w:rPr>
        <w:t>%的工程款；</w:t>
      </w:r>
    </w:p>
    <w:p w14:paraId="2609FE30">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（3）其他方式:</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5782C45D">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15.3.2 质量保证金的扣留 </w:t>
      </w:r>
    </w:p>
    <w:p w14:paraId="2084090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质量保证金的扣留采取以下第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cs="宋体"/>
          <w:b/>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种方式：</w:t>
      </w:r>
    </w:p>
    <w:p w14:paraId="445F7782">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（1）在支付工程进度款时逐次扣留，在此情形下，质量保证金的计算基数不包括预付款的支付、扣回以及价格调整的金额；</w:t>
      </w:r>
    </w:p>
    <w:p w14:paraId="79680A7D">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（2）工程竣工结算时一次性扣留质量保证金；</w:t>
      </w:r>
    </w:p>
    <w:p w14:paraId="6C950AE4">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（3）其他扣留方式:</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以保函形式缴纳</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06B921D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关于质量保证金的补充约定：</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按照国家、自治区现行规定执行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bookmarkEnd w:id="475"/>
    <w:bookmarkEnd w:id="476"/>
    <w:p w14:paraId="757E01F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15.4保修</w:t>
      </w:r>
    </w:p>
    <w:bookmarkEnd w:id="477"/>
    <w:p w14:paraId="1F0A9F92">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15.4.1 保修责任</w:t>
      </w:r>
    </w:p>
    <w:p w14:paraId="053BA32A">
      <w:pPr>
        <w:keepNext w:val="0"/>
        <w:keepLines w:val="0"/>
        <w:pageBreakBefore w:val="0"/>
        <w:widowControl w:val="0"/>
        <w:kinsoku/>
        <w:wordWrap/>
        <w:overflowPunct/>
        <w:topLinePunct w:val="0"/>
        <w:autoSpaceDE w:val="0"/>
        <w:autoSpaceDN w:val="0"/>
        <w:bidi w:val="0"/>
        <w:snapToGrid/>
        <w:spacing w:line="340" w:lineRule="exact"/>
        <w:ind w:firstLine="468" w:firstLineChars="195"/>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工程保修期为：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见工程质量保修书</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8891393">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15.4.3 修复通知</w:t>
      </w:r>
    </w:p>
    <w:p w14:paraId="772889E9">
      <w:pPr>
        <w:keepNext w:val="0"/>
        <w:keepLines w:val="0"/>
        <w:pageBreakBefore w:val="0"/>
        <w:widowControl w:val="0"/>
        <w:kinsoku/>
        <w:wordWrap/>
        <w:overflowPunct/>
        <w:topLinePunct w:val="0"/>
        <w:autoSpaceDE w:val="0"/>
        <w:autoSpaceDN w:val="0"/>
        <w:bidi w:val="0"/>
        <w:snapToGrid/>
        <w:spacing w:line="340" w:lineRule="exact"/>
        <w:ind w:firstLine="468" w:firstLineChars="19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承包人收到保修通知并到达工程现场的合理时间：</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24小时内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bookmarkEnd w:id="478"/>
    <w:bookmarkEnd w:id="479"/>
    <w:bookmarkEnd w:id="480"/>
    <w:bookmarkEnd w:id="481"/>
    <w:p w14:paraId="3C68A927">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04" w:name="_Toc351203648"/>
      <w:bookmarkStart w:id="505" w:name="_Toc280868717"/>
      <w:bookmarkStart w:id="506" w:name="_Toc280868718"/>
      <w:r>
        <w:rPr>
          <w:rFonts w:hint="eastAsia" w:ascii="宋体" w:hAnsi="宋体" w:eastAsia="宋体" w:cs="宋体"/>
          <w:b w:val="0"/>
          <w:color w:val="auto"/>
          <w:sz w:val="24"/>
          <w:szCs w:val="24"/>
          <w:highlight w:val="none"/>
        </w:rPr>
        <w:t>16. 违约</w:t>
      </w:r>
      <w:bookmarkEnd w:id="504"/>
    </w:p>
    <w:p w14:paraId="232FF1E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发包人违约</w:t>
      </w:r>
    </w:p>
    <w:p w14:paraId="22632F7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16.1.1发包人违约的情形</w:t>
      </w:r>
    </w:p>
    <w:p w14:paraId="1D5D705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发包人违约的其他情形：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172B25B">
      <w:pPr>
        <w:keepNext w:val="0"/>
        <w:keepLines w:val="0"/>
        <w:pageBreakBefore w:val="0"/>
        <w:widowControl w:val="0"/>
        <w:kinsoku/>
        <w:wordWrap/>
        <w:overflowPunct/>
        <w:topLinePunct w:val="0"/>
        <w:autoSpaceDE w:val="0"/>
        <w:autoSpaceDN w:val="0"/>
        <w:bidi w:val="0"/>
        <w:snapToGrid/>
        <w:spacing w:line="340" w:lineRule="exact"/>
        <w:ind w:left="1050" w:hanging="1200" w:hangingChars="5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16.1.2 发包人违约的责任</w:t>
      </w:r>
    </w:p>
    <w:p w14:paraId="35269A1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发包人违约责任的承担方式和计算方法：</w:t>
      </w:r>
    </w:p>
    <w:p w14:paraId="635F96E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（1）因发包人原因未能在计划开工日期前7天内下达开工通知的违约责任：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6D5A18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（2）因发包人原因未能按合同约定支付合同价款的违约责任：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012805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（3）发包人违反第10.1款〔变更的范围〕第（2）项约定，自行实施被取消的工作或转由他人实施的违约责任：</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00FF10A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7769720">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（5）因发包人违反合同约定造成暂停施工的违约责任：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11BB29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（6）发包人无正当理由没有在约定期限内发出复工指示，导致承包人无法复工的违约责任：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74547A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（7）其他：</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20F7221">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 因发包人违约解除合同</w:t>
      </w:r>
    </w:p>
    <w:p w14:paraId="3CD6C26F">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承包人按16.1.1项〔发包人违约的情形〕约定暂停施工满</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天后发包人仍不纠正其违约行为并致使合同目的不能实现的，承包人有权解除合同。</w:t>
      </w:r>
    </w:p>
    <w:p w14:paraId="5A45A38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承包人违约</w:t>
      </w:r>
    </w:p>
    <w:p w14:paraId="42407B6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16.2.1 承包人违约的情形</w:t>
      </w:r>
    </w:p>
    <w:p w14:paraId="55EB1DB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承包人违约的其他情形：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025DD8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16.2.2承包人违约的责任</w:t>
      </w:r>
    </w:p>
    <w:p w14:paraId="448CB48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承包人违约责任的承担方式和计算方法：</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 xml:space="preserve">    </w:t>
      </w:r>
    </w:p>
    <w:p w14:paraId="76F3C39D">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16.2.3 因承包人违约解除合同</w:t>
      </w:r>
    </w:p>
    <w:p w14:paraId="048A2ACF">
      <w:pPr>
        <w:keepNext w:val="0"/>
        <w:keepLines w:val="0"/>
        <w:pageBreakBefore w:val="0"/>
        <w:widowControl w:val="0"/>
        <w:kinsoku/>
        <w:wordWrap/>
        <w:overflowPunct/>
        <w:topLinePunct w:val="0"/>
        <w:autoSpaceDE w:val="0"/>
        <w:autoSpaceDN w:val="0"/>
        <w:bidi w:val="0"/>
        <w:snapToGrid/>
        <w:spacing w:before="120" w:after="120"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关于承包人违约解除合同的特别约定：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C3E9E28">
      <w:pPr>
        <w:keepNext w:val="0"/>
        <w:keepLines w:val="0"/>
        <w:pageBreakBefore w:val="0"/>
        <w:widowControl w:val="0"/>
        <w:kinsoku/>
        <w:wordWrap/>
        <w:overflowPunct/>
        <w:topLinePunct w:val="0"/>
        <w:autoSpaceDE w:val="0"/>
        <w:autoSpaceDN w:val="0"/>
        <w:bidi w:val="0"/>
        <w:snapToGrid/>
        <w:spacing w:before="120" w:after="120"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由发包人承担</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5D4B28E">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07" w:name="_Toc351203649"/>
      <w:r>
        <w:rPr>
          <w:rFonts w:hint="eastAsia" w:ascii="宋体" w:hAnsi="宋体" w:eastAsia="宋体" w:cs="宋体"/>
          <w:b w:val="0"/>
          <w:color w:val="auto"/>
          <w:sz w:val="24"/>
          <w:szCs w:val="24"/>
          <w:highlight w:val="none"/>
        </w:rPr>
        <w:t>17. 不可抗力</w:t>
      </w:r>
      <w:bookmarkEnd w:id="507"/>
      <w:r>
        <w:rPr>
          <w:rFonts w:hint="eastAsia" w:ascii="宋体" w:hAnsi="宋体" w:eastAsia="宋体" w:cs="宋体"/>
          <w:b w:val="0"/>
          <w:color w:val="auto"/>
          <w:sz w:val="24"/>
          <w:szCs w:val="24"/>
          <w:highlight w:val="none"/>
        </w:rPr>
        <w:t xml:space="preserve"> </w:t>
      </w:r>
      <w:bookmarkEnd w:id="505"/>
    </w:p>
    <w:p w14:paraId="5E537F35">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不可抗力的确认</w:t>
      </w:r>
    </w:p>
    <w:p w14:paraId="3D8B4EF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 xml:space="preserve">除通用合同条款约定的不可抗力事件之外，视为不可抗力的其他情形：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CE6CBA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因不可抗力解除合同</w:t>
      </w:r>
    </w:p>
    <w:p w14:paraId="0614ED6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合同解除后，发包人应在商定或确定发包人应支付款项后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天内完成款项的支付。</w:t>
      </w:r>
    </w:p>
    <w:p w14:paraId="6B0DBF7C">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08" w:name="_Toc351203650"/>
      <w:r>
        <w:rPr>
          <w:rFonts w:hint="eastAsia" w:ascii="宋体" w:hAnsi="宋体" w:eastAsia="宋体" w:cs="宋体"/>
          <w:b w:val="0"/>
          <w:color w:val="auto"/>
          <w:sz w:val="24"/>
          <w:szCs w:val="24"/>
          <w:highlight w:val="none"/>
        </w:rPr>
        <w:t>18. 保险</w:t>
      </w:r>
      <w:bookmarkEnd w:id="508"/>
    </w:p>
    <w:bookmarkEnd w:id="506"/>
    <w:p w14:paraId="3538A14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工程保险</w:t>
      </w:r>
    </w:p>
    <w:p w14:paraId="4D3C6D00">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关于工程保险的特别约定：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6F8493D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其他保险</w:t>
      </w:r>
    </w:p>
    <w:p w14:paraId="01FC81A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关于其他保险的约定：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9B9137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承包人是否应为其施工设备等办理财产保险：</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p w14:paraId="5D1E2F3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 通知义务</w:t>
      </w:r>
    </w:p>
    <w:p w14:paraId="550A5A4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关于变更保险合同时的通知义务的约定：</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bookmarkEnd w:id="482"/>
    <w:bookmarkEnd w:id="483"/>
    <w:bookmarkEnd w:id="484"/>
    <w:bookmarkEnd w:id="485"/>
    <w:bookmarkEnd w:id="486"/>
    <w:bookmarkEnd w:id="487"/>
    <w:bookmarkEnd w:id="488"/>
    <w:bookmarkEnd w:id="489"/>
    <w:bookmarkEnd w:id="490"/>
    <w:bookmarkEnd w:id="491"/>
    <w:bookmarkEnd w:id="492"/>
    <w:bookmarkEnd w:id="493"/>
    <w:p w14:paraId="3CEF1497">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09" w:name="_Toc351203651"/>
      <w:r>
        <w:rPr>
          <w:rFonts w:hint="eastAsia" w:ascii="宋体" w:hAnsi="宋体" w:eastAsia="宋体" w:cs="宋体"/>
          <w:b w:val="0"/>
          <w:color w:val="auto"/>
          <w:sz w:val="24"/>
          <w:szCs w:val="24"/>
          <w:highlight w:val="none"/>
        </w:rPr>
        <w:t>20. 争议解决</w:t>
      </w:r>
      <w:bookmarkEnd w:id="509"/>
    </w:p>
    <w:bookmarkEnd w:id="494"/>
    <w:bookmarkEnd w:id="495"/>
    <w:p w14:paraId="0317A5A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争</w:t>
      </w:r>
      <w:bookmarkEnd w:id="496"/>
      <w:r>
        <w:rPr>
          <w:rFonts w:hint="eastAsia" w:ascii="宋体" w:hAnsi="宋体" w:eastAsia="宋体" w:cs="宋体"/>
          <w:color w:val="auto"/>
          <w:sz w:val="24"/>
          <w:szCs w:val="24"/>
          <w:highlight w:val="none"/>
        </w:rPr>
        <w:t>议评审</w:t>
      </w:r>
    </w:p>
    <w:p w14:paraId="6367D055">
      <w:pPr>
        <w:keepNext w:val="0"/>
        <w:keepLines w:val="0"/>
        <w:pageBreakBefore w:val="0"/>
        <w:widowControl w:val="0"/>
        <w:kinsoku/>
        <w:wordWrap/>
        <w:overflowPunct/>
        <w:topLinePunct w:val="0"/>
        <w:autoSpaceDE w:val="0"/>
        <w:autoSpaceDN w:val="0"/>
        <w:bidi w:val="0"/>
        <w:snapToGrid/>
        <w:spacing w:line="340" w:lineRule="exact"/>
        <w:ind w:left="156" w:leftChars="71"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合同当事人是否同意将工程争议提交争议评审小组决定：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DBD6C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20.3.1 争议评审小组的确定</w:t>
      </w:r>
    </w:p>
    <w:p w14:paraId="2DD550F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争议评审小组成员的确定：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290D51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4D6581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争议评审小组成员的报酬承担方式：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C9BC34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2313E25">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20.3.2 争议评审小组的决定</w:t>
      </w:r>
    </w:p>
    <w:p w14:paraId="6915ABF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合同当事人关于本项的约定：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331921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20.4仲裁或诉讼</w:t>
      </w:r>
      <w:bookmarkEnd w:id="497"/>
    </w:p>
    <w:p w14:paraId="020E1F70">
      <w:pPr>
        <w:keepNext w:val="0"/>
        <w:keepLines w:val="0"/>
        <w:pageBreakBefore w:val="0"/>
        <w:widowControl w:val="0"/>
        <w:kinsoku/>
        <w:wordWrap/>
        <w:overflowPunct/>
        <w:topLinePunct w:val="0"/>
        <w:autoSpaceDE w:val="0"/>
        <w:autoSpaceDN w:val="0"/>
        <w:bidi w:val="0"/>
        <w:snapToGrid/>
        <w:spacing w:after="120"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14:paraId="0DCDC80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仲裁委员会申请仲裁；</w:t>
      </w:r>
    </w:p>
    <w:p w14:paraId="787AF1D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工程所在地      </w:t>
      </w:r>
      <w:r>
        <w:rPr>
          <w:rFonts w:hint="eastAsia" w:ascii="宋体" w:hAnsi="宋体" w:eastAsia="宋体" w:cs="宋体"/>
          <w:color w:val="auto"/>
          <w:sz w:val="24"/>
          <w:szCs w:val="24"/>
          <w:highlight w:val="none"/>
        </w:rPr>
        <w:t>人民法院起诉。</w:t>
      </w:r>
      <w:bookmarkEnd w:id="498"/>
      <w:bookmarkEnd w:id="499"/>
      <w:bookmarkEnd w:id="500"/>
      <w:bookmarkEnd w:id="501"/>
      <w:bookmarkEnd w:id="502"/>
      <w:bookmarkEnd w:id="503"/>
    </w:p>
    <w:p w14:paraId="5F04919A">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bookmarkStart w:id="510" w:name="_Toc418164812"/>
      <w:bookmarkStart w:id="511" w:name="_Toc495501807"/>
    </w:p>
    <w:p w14:paraId="210E6ED9">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p>
    <w:p w14:paraId="42FEFD56">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第三节 合同文件格式</w:t>
      </w:r>
      <w:bookmarkEnd w:id="510"/>
      <w:bookmarkEnd w:id="511"/>
    </w:p>
    <w:p w14:paraId="3A5E8DF6">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1.合同文件格式</w:t>
      </w:r>
    </w:p>
    <w:p w14:paraId="44D54D4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 依据设计文件的要求，本工程</w:t>
      </w:r>
      <w:r>
        <w:rPr>
          <w:rFonts w:hint="eastAsia" w:ascii="宋体" w:hAnsi="宋体" w:eastAsia="宋体" w:cs="宋体"/>
          <w:color w:val="auto"/>
          <w:kern w:val="0"/>
          <w:sz w:val="24"/>
          <w:szCs w:val="24"/>
          <w:highlight w:val="none"/>
          <w:lang w:eastAsia="zh-CN"/>
        </w:rPr>
        <w:t>采购项目</w:t>
      </w:r>
      <w:r>
        <w:rPr>
          <w:rFonts w:hint="eastAsia" w:ascii="宋体" w:hAnsi="宋体" w:eastAsia="宋体" w:cs="宋体"/>
          <w:color w:val="auto"/>
          <w:kern w:val="0"/>
          <w:sz w:val="24"/>
          <w:szCs w:val="24"/>
          <w:highlight w:val="none"/>
        </w:rPr>
        <w:t>的材料、设备、施工必须达到现行中华人民共和国以及自治区和行业的工程建设标准、规范的要求。</w:t>
      </w:r>
    </w:p>
    <w:p w14:paraId="588EF49B">
      <w:pPr>
        <w:keepNext w:val="0"/>
        <w:keepLines w:val="0"/>
        <w:pageBreakBefore w:val="0"/>
        <w:widowControl w:val="0"/>
        <w:kinsoku/>
        <w:wordWrap/>
        <w:overflowPunct/>
        <w:topLinePunct w:val="0"/>
        <w:autoSpaceDE w:val="0"/>
        <w:autoSpaceDN w:val="0"/>
        <w:bidi w:val="0"/>
        <w:adjustRightInd w:val="0"/>
        <w:snapToGrid/>
        <w:spacing w:line="340" w:lineRule="exact"/>
        <w:ind w:left="2" w:firstLine="482" w:firstLineChars="201"/>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 建设工程施工合同的“合同条件”采用国家工商行政管理局和建设部颁发的《建设工程施工合同》（</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u w:val="single"/>
        </w:rPr>
        <w:t>GF-201</w:t>
      </w:r>
      <w:r>
        <w:rPr>
          <w:rFonts w:hint="eastAsia" w:cs="宋体"/>
          <w:b/>
          <w:color w:val="auto"/>
          <w:kern w:val="0"/>
          <w:sz w:val="24"/>
          <w:szCs w:val="24"/>
          <w:highlight w:val="none"/>
          <w:u w:val="single"/>
          <w:lang w:val="en-US" w:eastAsia="zh-CN"/>
        </w:rPr>
        <w:t>7</w:t>
      </w:r>
      <w:r>
        <w:rPr>
          <w:rFonts w:hint="eastAsia" w:ascii="宋体" w:hAnsi="宋体" w:eastAsia="宋体" w:cs="宋体"/>
          <w:b/>
          <w:color w:val="auto"/>
          <w:kern w:val="0"/>
          <w:sz w:val="24"/>
          <w:szCs w:val="24"/>
          <w:highlight w:val="none"/>
          <w:u w:val="single"/>
        </w:rPr>
        <w:t>-0201</w:t>
      </w:r>
      <w:r>
        <w:rPr>
          <w:rFonts w:hint="eastAsia" w:ascii="宋体" w:hAnsi="宋体" w:eastAsia="宋体" w:cs="宋体"/>
          <w:color w:val="auto"/>
          <w:kern w:val="0"/>
          <w:sz w:val="24"/>
          <w:szCs w:val="24"/>
          <w:highlight w:val="none"/>
        </w:rPr>
        <w:t xml:space="preserve"> ）的合同条件。</w:t>
      </w:r>
    </w:p>
    <w:p w14:paraId="6047A45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1.3 合同协议条款将由建设单位（发包人）与中标单位（承包人）结合本工程具体情况协商后签订。</w:t>
      </w:r>
      <w:bookmarkEnd w:id="48"/>
      <w:bookmarkEnd w:id="49"/>
      <w:bookmarkEnd w:id="50"/>
      <w:bookmarkEnd w:id="51"/>
    </w:p>
    <w:p w14:paraId="485F168F">
      <w:pPr>
        <w:pStyle w:val="15"/>
        <w:rPr>
          <w:rFonts w:hint="eastAsia" w:ascii="宋体" w:hAnsi="宋体" w:eastAsia="宋体" w:cs="宋体"/>
          <w:color w:val="auto"/>
          <w:sz w:val="24"/>
          <w:szCs w:val="24"/>
          <w:highlight w:val="none"/>
        </w:rPr>
      </w:pPr>
    </w:p>
    <w:p w14:paraId="48966618">
      <w:pPr>
        <w:pStyle w:val="15"/>
        <w:rPr>
          <w:rFonts w:hint="eastAsia" w:ascii="宋体" w:hAnsi="宋体" w:eastAsia="宋体" w:cs="宋体"/>
          <w:color w:val="auto"/>
          <w:sz w:val="24"/>
          <w:szCs w:val="24"/>
          <w:highlight w:val="none"/>
        </w:rPr>
      </w:pPr>
    </w:p>
    <w:p w14:paraId="21D110CE">
      <w:pPr>
        <w:pStyle w:val="15"/>
        <w:rPr>
          <w:rFonts w:hint="eastAsia" w:ascii="宋体" w:hAnsi="宋体" w:eastAsia="宋体" w:cs="宋体"/>
          <w:color w:val="auto"/>
          <w:sz w:val="24"/>
          <w:szCs w:val="24"/>
          <w:highlight w:val="none"/>
        </w:rPr>
      </w:pPr>
    </w:p>
    <w:p w14:paraId="7F2253C4">
      <w:pPr>
        <w:pStyle w:val="15"/>
        <w:rPr>
          <w:rFonts w:hint="eastAsia" w:ascii="宋体" w:hAnsi="宋体" w:eastAsia="宋体" w:cs="宋体"/>
          <w:color w:val="auto"/>
          <w:sz w:val="24"/>
          <w:szCs w:val="24"/>
          <w:highlight w:val="none"/>
        </w:rPr>
        <w:sectPr>
          <w:headerReference r:id="rId16" w:type="default"/>
          <w:pgSz w:w="11910" w:h="16840"/>
          <w:pgMar w:top="1134" w:right="1531" w:bottom="1134" w:left="1531" w:header="670" w:footer="1041" w:gutter="0"/>
          <w:pgNumType w:fmt="decimal"/>
          <w:cols w:space="0" w:num="1"/>
          <w:rtlGutter w:val="0"/>
          <w:docGrid w:linePitch="1" w:charSpace="0"/>
        </w:sectPr>
      </w:pPr>
    </w:p>
    <w:p w14:paraId="6E97E671">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561" w:firstLineChars="800"/>
        <w:jc w:val="both"/>
        <w:textAlignment w:val="auto"/>
        <w:rPr>
          <w:rFonts w:hint="eastAsia" w:ascii="微软雅黑" w:hAnsi="微软雅黑" w:eastAsia="微软雅黑" w:cs="微软雅黑"/>
          <w:b/>
          <w:bCs/>
          <w:color w:val="auto"/>
          <w:sz w:val="32"/>
          <w:szCs w:val="32"/>
          <w:highlight w:val="none"/>
        </w:rPr>
      </w:pPr>
      <w:bookmarkStart w:id="512" w:name="_bookmark4"/>
      <w:bookmarkEnd w:id="512"/>
      <w:bookmarkStart w:id="513" w:name="_Toc10386_WPSOffice_Level1"/>
      <w:r>
        <w:rPr>
          <w:rFonts w:hint="eastAsia" w:ascii="微软雅黑" w:hAnsi="微软雅黑" w:eastAsia="微软雅黑" w:cs="微软雅黑"/>
          <w:b/>
          <w:bCs/>
          <w:color w:val="auto"/>
          <w:sz w:val="32"/>
          <w:szCs w:val="32"/>
          <w:highlight w:val="none"/>
        </w:rPr>
        <w:t>第五部分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rPr>
        <w:t>响应文件格式</w:t>
      </w:r>
      <w:bookmarkEnd w:id="513"/>
    </w:p>
    <w:p w14:paraId="27A00190">
      <w:pPr>
        <w:keepNext w:val="0"/>
        <w:keepLines w:val="0"/>
        <w:pageBreakBefore w:val="0"/>
        <w:widowControl w:val="0"/>
        <w:kinsoku/>
        <w:wordWrap/>
        <w:overflowPunct/>
        <w:topLinePunct w:val="0"/>
        <w:autoSpaceDE w:val="0"/>
        <w:autoSpaceDN w:val="0"/>
        <w:bidi w:val="0"/>
        <w:adjustRightInd/>
        <w:snapToGrid/>
        <w:spacing w:line="440" w:lineRule="exact"/>
        <w:ind w:firstLine="3092" w:firstLineChars="1100"/>
        <w:jc w:val="both"/>
        <w:textAlignment w:val="auto"/>
        <w:rPr>
          <w:rFonts w:hint="eastAsia" w:ascii="宋体" w:hAnsi="宋体" w:eastAsia="宋体" w:cs="宋体"/>
          <w:b/>
          <w:bCs/>
          <w:color w:val="auto"/>
          <w:sz w:val="28"/>
          <w:szCs w:val="28"/>
          <w:highlight w:val="none"/>
          <w:lang w:eastAsia="zh-CN"/>
        </w:rPr>
      </w:pPr>
      <w:bookmarkStart w:id="514" w:name="_Toc8063_WPSOffice_Level1"/>
      <w:r>
        <w:rPr>
          <w:rFonts w:hint="eastAsia" w:ascii="宋体" w:hAnsi="宋体" w:eastAsia="宋体" w:cs="宋体"/>
          <w:b/>
          <w:bCs/>
          <w:color w:val="auto"/>
          <w:sz w:val="28"/>
          <w:szCs w:val="28"/>
          <w:highlight w:val="none"/>
          <w:lang w:val="en-US" w:eastAsia="zh-CN"/>
        </w:rPr>
        <w:t>磋商</w:t>
      </w:r>
      <w:r>
        <w:rPr>
          <w:rFonts w:hint="eastAsia" w:ascii="宋体" w:hAnsi="宋体" w:eastAsia="宋体" w:cs="宋体"/>
          <w:b/>
          <w:bCs/>
          <w:color w:val="auto"/>
          <w:sz w:val="28"/>
          <w:szCs w:val="28"/>
          <w:highlight w:val="none"/>
        </w:rPr>
        <w:t>响应文件封面</w:t>
      </w:r>
      <w:r>
        <w:rPr>
          <w:rFonts w:hint="eastAsia" w:ascii="宋体" w:hAnsi="宋体" w:eastAsia="宋体" w:cs="宋体"/>
          <w:b/>
          <w:bCs/>
          <w:color w:val="auto"/>
          <w:sz w:val="28"/>
          <w:szCs w:val="28"/>
          <w:highlight w:val="none"/>
          <w:lang w:val="en-US" w:eastAsia="zh-CN"/>
        </w:rPr>
        <w:t>格式</w:t>
      </w:r>
      <w:bookmarkEnd w:id="514"/>
    </w:p>
    <w:p w14:paraId="7D7B00F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right"/>
        <w:textAlignment w:val="auto"/>
        <w:rPr>
          <w:rFonts w:hint="eastAsia" w:ascii="宋体" w:hAnsi="宋体" w:eastAsia="宋体" w:cs="宋体"/>
          <w:color w:val="auto"/>
          <w:sz w:val="24"/>
          <w:szCs w:val="24"/>
          <w:highlight w:val="none"/>
        </w:rPr>
      </w:pPr>
    </w:p>
    <w:p w14:paraId="168E56E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44"/>
          <w:szCs w:val="44"/>
          <w:highlight w:val="none"/>
        </w:rPr>
      </w:pPr>
    </w:p>
    <w:p w14:paraId="73C66EE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36"/>
          <w:szCs w:val="36"/>
          <w:highlight w:val="none"/>
        </w:rPr>
      </w:pPr>
      <w:bookmarkStart w:id="515" w:name="_Toc28255_WPSOffice_Level1"/>
      <w:r>
        <w:rPr>
          <w:rFonts w:hint="eastAsia" w:ascii="宋体" w:hAnsi="宋体" w:eastAsia="宋体" w:cs="宋体"/>
          <w:b/>
          <w:bCs/>
          <w:color w:val="auto"/>
          <w:sz w:val="36"/>
          <w:szCs w:val="36"/>
          <w:highlight w:val="none"/>
        </w:rPr>
        <w:t>项目名称：</w:t>
      </w:r>
      <w:bookmarkEnd w:id="515"/>
    </w:p>
    <w:p w14:paraId="2F2CA38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36"/>
          <w:szCs w:val="36"/>
          <w:highlight w:val="none"/>
        </w:rPr>
      </w:pPr>
      <w:bookmarkStart w:id="516" w:name="_Toc11066_WPSOffice_Level1"/>
      <w:r>
        <w:rPr>
          <w:rFonts w:hint="eastAsia" w:ascii="宋体" w:hAnsi="宋体" w:eastAsia="宋体" w:cs="宋体"/>
          <w:b/>
          <w:bCs/>
          <w:color w:val="auto"/>
          <w:sz w:val="36"/>
          <w:szCs w:val="36"/>
          <w:highlight w:val="none"/>
        </w:rPr>
        <w:t>项目编号：</w:t>
      </w:r>
      <w:bookmarkEnd w:id="516"/>
    </w:p>
    <w:p w14:paraId="41CAD66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B503475">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48"/>
          <w:szCs w:val="48"/>
          <w:highlight w:val="none"/>
          <w:lang w:val="en-US" w:eastAsia="zh-CN"/>
        </w:rPr>
      </w:pPr>
    </w:p>
    <w:p w14:paraId="7D24BA88">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48"/>
          <w:szCs w:val="48"/>
          <w:highlight w:val="none"/>
          <w:lang w:val="en-US" w:eastAsia="zh-CN"/>
        </w:rPr>
      </w:pPr>
    </w:p>
    <w:p w14:paraId="131E7FE7">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72"/>
          <w:szCs w:val="72"/>
          <w:highlight w:val="none"/>
        </w:rPr>
      </w:pPr>
      <w:bookmarkStart w:id="517" w:name="_Toc27361_WPSOffice_Level1"/>
      <w:r>
        <w:rPr>
          <w:rFonts w:hint="eastAsia" w:ascii="宋体" w:hAnsi="宋体" w:eastAsia="宋体" w:cs="宋体"/>
          <w:b/>
          <w:bCs/>
          <w:color w:val="auto"/>
          <w:sz w:val="48"/>
          <w:szCs w:val="48"/>
          <w:highlight w:val="none"/>
          <w:lang w:val="en-US" w:eastAsia="zh-CN"/>
        </w:rPr>
        <w:t>磋商</w:t>
      </w:r>
      <w:r>
        <w:rPr>
          <w:rFonts w:hint="eastAsia" w:ascii="宋体" w:hAnsi="宋体" w:eastAsia="宋体" w:cs="宋体"/>
          <w:b/>
          <w:bCs/>
          <w:color w:val="auto"/>
          <w:sz w:val="48"/>
          <w:szCs w:val="48"/>
          <w:highlight w:val="none"/>
        </w:rPr>
        <w:t>响应文件</w:t>
      </w:r>
      <w:bookmarkEnd w:id="517"/>
      <w:r>
        <w:rPr>
          <w:rFonts w:hint="eastAsia" w:ascii="宋体" w:hAnsi="宋体" w:eastAsia="宋体" w:cs="宋体"/>
          <w:b/>
          <w:bCs/>
          <w:color w:val="auto"/>
          <w:sz w:val="72"/>
          <w:szCs w:val="72"/>
          <w:highlight w:val="none"/>
        </w:rPr>
        <w:t xml:space="preserve"> </w:t>
      </w:r>
    </w:p>
    <w:p w14:paraId="2CD44237">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color w:val="auto"/>
          <w:sz w:val="44"/>
          <w:szCs w:val="44"/>
          <w:highlight w:val="none"/>
        </w:rPr>
      </w:pPr>
    </w:p>
    <w:p w14:paraId="39B62DFF">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color w:val="auto"/>
          <w:sz w:val="44"/>
          <w:szCs w:val="44"/>
          <w:highlight w:val="none"/>
        </w:rPr>
      </w:pPr>
    </w:p>
    <w:p w14:paraId="4D7C4D00">
      <w:pPr>
        <w:keepNext w:val="0"/>
        <w:keepLines w:val="0"/>
        <w:pageBreakBefore w:val="0"/>
        <w:widowControl w:val="0"/>
        <w:kinsoku/>
        <w:wordWrap/>
        <w:overflowPunct/>
        <w:topLinePunct w:val="0"/>
        <w:autoSpaceDE w:val="0"/>
        <w:autoSpaceDN w:val="0"/>
        <w:bidi w:val="0"/>
        <w:adjustRightInd/>
        <w:snapToGrid/>
        <w:spacing w:line="440" w:lineRule="exact"/>
        <w:ind w:firstLine="1928" w:firstLineChars="800"/>
        <w:jc w:val="both"/>
        <w:textAlignment w:val="auto"/>
        <w:rPr>
          <w:rFonts w:hint="eastAsia" w:ascii="宋体" w:hAnsi="宋体" w:eastAsia="宋体" w:cs="宋体"/>
          <w:b/>
          <w:bCs/>
          <w:color w:val="auto"/>
          <w:sz w:val="24"/>
          <w:szCs w:val="24"/>
          <w:highlight w:val="none"/>
        </w:rPr>
      </w:pPr>
    </w:p>
    <w:p w14:paraId="7B4D7CA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73DAF68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5E9709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0BEF4CA6">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7E4B3F2">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rPr>
        <w:t>供应商名称（加盖公章）：</w:t>
      </w:r>
      <w:r>
        <w:rPr>
          <w:rFonts w:hint="eastAsia" w:ascii="宋体" w:hAnsi="宋体" w:eastAsia="宋体" w:cs="宋体"/>
          <w:b/>
          <w:bCs/>
          <w:color w:val="auto"/>
          <w:sz w:val="24"/>
          <w:szCs w:val="24"/>
          <w:highlight w:val="none"/>
          <w:u w:val="single"/>
          <w:lang w:val="en-US" w:eastAsia="zh-CN"/>
        </w:rPr>
        <w:t xml:space="preserve">                                </w:t>
      </w:r>
    </w:p>
    <w:p w14:paraId="7AF92DE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cs="宋体"/>
          <w:b/>
          <w:bCs/>
          <w:color w:val="auto"/>
          <w:sz w:val="24"/>
          <w:szCs w:val="24"/>
          <w:highlight w:val="none"/>
          <w:u w:val="none"/>
          <w:lang w:val="en-US" w:eastAsia="zh-CN"/>
        </w:rPr>
      </w:pPr>
      <w:r>
        <w:rPr>
          <w:rFonts w:hint="eastAsia" w:cs="宋体"/>
          <w:b/>
          <w:bCs/>
          <w:color w:val="auto"/>
          <w:sz w:val="24"/>
          <w:szCs w:val="24"/>
          <w:highlight w:val="none"/>
          <w:u w:val="none"/>
          <w:lang w:val="en-US" w:eastAsia="zh-CN"/>
        </w:rPr>
        <w:t>供应商地址：</w:t>
      </w:r>
    </w:p>
    <w:p w14:paraId="0A7CB7A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default" w:cs="宋体"/>
          <w:b/>
          <w:bCs/>
          <w:color w:val="auto"/>
          <w:sz w:val="24"/>
          <w:szCs w:val="24"/>
          <w:highlight w:val="none"/>
          <w:u w:val="single"/>
          <w:lang w:val="en-US" w:eastAsia="zh-CN"/>
        </w:rPr>
      </w:pPr>
      <w:r>
        <w:rPr>
          <w:rFonts w:hint="eastAsia" w:cs="宋体"/>
          <w:b/>
          <w:bCs/>
          <w:color w:val="auto"/>
          <w:sz w:val="24"/>
          <w:szCs w:val="24"/>
          <w:highlight w:val="none"/>
          <w:u w:val="none"/>
          <w:lang w:val="en-US" w:eastAsia="zh-CN"/>
        </w:rPr>
        <w:t>供应商联系人：      电话：</w:t>
      </w:r>
    </w:p>
    <w:p w14:paraId="47A0B9EC">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5585ADCB">
      <w:pPr>
        <w:rPr>
          <w:rFonts w:hint="eastAsia"/>
          <w:color w:val="auto"/>
          <w:highlight w:val="none"/>
        </w:rPr>
      </w:pPr>
    </w:p>
    <w:p w14:paraId="1D60C982">
      <w:pPr>
        <w:bidi w:val="0"/>
        <w:rPr>
          <w:rFonts w:hint="eastAsia" w:ascii="宋体" w:hAnsi="宋体" w:eastAsia="宋体" w:cs="宋体"/>
          <w:color w:val="auto"/>
          <w:sz w:val="22"/>
          <w:szCs w:val="22"/>
          <w:highlight w:val="none"/>
          <w:lang w:val="zh-CN" w:eastAsia="zh-CN" w:bidi="zh-CN"/>
        </w:rPr>
      </w:pPr>
    </w:p>
    <w:p w14:paraId="56A3444E">
      <w:pPr>
        <w:bidi w:val="0"/>
        <w:rPr>
          <w:rFonts w:hint="eastAsia"/>
          <w:color w:val="auto"/>
          <w:highlight w:val="none"/>
          <w:lang w:val="zh-CN" w:eastAsia="zh-CN"/>
        </w:rPr>
      </w:pPr>
    </w:p>
    <w:p w14:paraId="638E6D30">
      <w:pPr>
        <w:spacing w:line="440" w:lineRule="exact"/>
        <w:ind w:firstLine="3213" w:firstLineChars="1000"/>
        <w:jc w:val="both"/>
        <w:rPr>
          <w:rFonts w:hint="eastAsia" w:ascii="宋体" w:hAnsi="宋体"/>
          <w:b/>
          <w:bCs/>
          <w:color w:val="auto"/>
          <w:sz w:val="32"/>
          <w:szCs w:val="32"/>
          <w:highlight w:val="none"/>
        </w:rPr>
      </w:pPr>
      <w:bookmarkStart w:id="518" w:name="_Toc9356_WPSOffice_Level1"/>
    </w:p>
    <w:p w14:paraId="0BD8C0B0">
      <w:pPr>
        <w:spacing w:line="440" w:lineRule="exact"/>
        <w:ind w:firstLine="3213" w:firstLineChars="1000"/>
        <w:jc w:val="both"/>
        <w:rPr>
          <w:rFonts w:hint="eastAsia" w:ascii="宋体" w:hAnsi="宋体"/>
          <w:b/>
          <w:bCs/>
          <w:color w:val="auto"/>
          <w:sz w:val="32"/>
          <w:szCs w:val="32"/>
          <w:highlight w:val="none"/>
        </w:rPr>
      </w:pPr>
    </w:p>
    <w:p w14:paraId="528EA309">
      <w:pPr>
        <w:spacing w:line="440" w:lineRule="exact"/>
        <w:ind w:firstLine="3213" w:firstLineChars="1000"/>
        <w:jc w:val="both"/>
        <w:rPr>
          <w:rFonts w:hint="eastAsia" w:ascii="宋体" w:hAnsi="宋体"/>
          <w:b/>
          <w:bCs/>
          <w:color w:val="auto"/>
          <w:sz w:val="32"/>
          <w:szCs w:val="32"/>
          <w:highlight w:val="none"/>
        </w:rPr>
      </w:pPr>
    </w:p>
    <w:p w14:paraId="2646C946">
      <w:pPr>
        <w:spacing w:line="440" w:lineRule="exact"/>
        <w:ind w:firstLine="3213" w:firstLineChars="1000"/>
        <w:jc w:val="both"/>
        <w:rPr>
          <w:rFonts w:hint="eastAsia" w:ascii="宋体" w:hAnsi="宋体"/>
          <w:b/>
          <w:bCs/>
          <w:color w:val="auto"/>
          <w:sz w:val="32"/>
          <w:szCs w:val="32"/>
          <w:highlight w:val="none"/>
        </w:rPr>
      </w:pPr>
    </w:p>
    <w:p w14:paraId="5AFFD103">
      <w:pPr>
        <w:spacing w:line="440" w:lineRule="exact"/>
        <w:ind w:firstLine="3213" w:firstLineChars="1000"/>
        <w:jc w:val="both"/>
        <w:rPr>
          <w:rFonts w:hint="eastAsia" w:ascii="宋体" w:hAnsi="宋体"/>
          <w:b/>
          <w:bCs/>
          <w:color w:val="auto"/>
          <w:sz w:val="32"/>
          <w:szCs w:val="32"/>
          <w:highlight w:val="none"/>
        </w:rPr>
      </w:pPr>
    </w:p>
    <w:p w14:paraId="2E7DA8C2">
      <w:pPr>
        <w:spacing w:line="440" w:lineRule="exact"/>
        <w:ind w:firstLine="3213" w:firstLineChars="1000"/>
        <w:jc w:val="both"/>
        <w:rPr>
          <w:rFonts w:hint="eastAsia" w:ascii="宋体" w:hAnsi="宋体"/>
          <w:b/>
          <w:bCs/>
          <w:color w:val="auto"/>
          <w:sz w:val="32"/>
          <w:szCs w:val="32"/>
          <w:highlight w:val="none"/>
        </w:rPr>
      </w:pPr>
    </w:p>
    <w:p w14:paraId="236D6FD4">
      <w:pPr>
        <w:spacing w:line="440" w:lineRule="exact"/>
        <w:ind w:firstLine="3213" w:firstLineChars="1000"/>
        <w:jc w:val="both"/>
        <w:rPr>
          <w:rFonts w:hint="eastAsia" w:ascii="宋体" w:hAnsi="宋体"/>
          <w:b/>
          <w:bCs/>
          <w:color w:val="auto"/>
          <w:sz w:val="32"/>
          <w:szCs w:val="32"/>
          <w:highlight w:val="none"/>
        </w:rPr>
      </w:pPr>
    </w:p>
    <w:p w14:paraId="5E07F404">
      <w:pPr>
        <w:spacing w:line="440" w:lineRule="exact"/>
        <w:ind w:firstLine="3213" w:firstLineChars="1000"/>
        <w:jc w:val="both"/>
        <w:rPr>
          <w:rFonts w:hint="eastAsia" w:ascii="宋体" w:hAnsi="宋体"/>
          <w:b/>
          <w:bCs/>
          <w:color w:val="auto"/>
          <w:sz w:val="32"/>
          <w:szCs w:val="32"/>
          <w:highlight w:val="none"/>
        </w:rPr>
      </w:pPr>
    </w:p>
    <w:p w14:paraId="4D2677C9">
      <w:pPr>
        <w:spacing w:line="440" w:lineRule="exact"/>
        <w:ind w:firstLine="3213" w:firstLineChars="1000"/>
        <w:jc w:val="both"/>
        <w:rPr>
          <w:rFonts w:hint="eastAsia" w:ascii="宋体" w:hAnsi="宋体"/>
          <w:b/>
          <w:bCs/>
          <w:color w:val="auto"/>
          <w:sz w:val="32"/>
          <w:szCs w:val="32"/>
          <w:highlight w:val="none"/>
        </w:rPr>
      </w:pPr>
    </w:p>
    <w:p w14:paraId="6C685953">
      <w:pPr>
        <w:spacing w:line="440" w:lineRule="exact"/>
        <w:ind w:firstLine="3213" w:firstLineChars="1000"/>
        <w:jc w:val="both"/>
        <w:rPr>
          <w:rFonts w:hint="eastAsia" w:ascii="宋体" w:hAnsi="宋体"/>
          <w:b/>
          <w:bCs/>
          <w:color w:val="auto"/>
          <w:sz w:val="32"/>
          <w:szCs w:val="32"/>
          <w:highlight w:val="none"/>
        </w:rPr>
      </w:pPr>
      <w:r>
        <w:rPr>
          <w:rFonts w:hint="eastAsia" w:ascii="宋体" w:hAnsi="宋体"/>
          <w:b/>
          <w:bCs/>
          <w:color w:val="auto"/>
          <w:sz w:val="32"/>
          <w:szCs w:val="32"/>
          <w:highlight w:val="none"/>
        </w:rPr>
        <w:t>响应文件主要目录</w:t>
      </w:r>
      <w:bookmarkEnd w:id="518"/>
    </w:p>
    <w:p w14:paraId="2BB63079">
      <w:pPr>
        <w:spacing w:line="440" w:lineRule="exact"/>
        <w:ind w:firstLine="643"/>
        <w:jc w:val="center"/>
        <w:rPr>
          <w:rFonts w:hint="eastAsia" w:ascii="宋体" w:hAnsi="宋体"/>
          <w:b/>
          <w:bCs/>
          <w:color w:val="auto"/>
          <w:sz w:val="32"/>
          <w:szCs w:val="32"/>
          <w:highlight w:val="none"/>
        </w:rPr>
      </w:pPr>
    </w:p>
    <w:p w14:paraId="629CBEEA">
      <w:pPr>
        <w:pStyle w:val="8"/>
        <w:spacing w:before="63" w:line="220" w:lineRule="auto"/>
        <w:ind w:left="586"/>
        <w:rPr>
          <w:rFonts w:hint="eastAsia"/>
          <w:b/>
          <w:bCs/>
          <w:color w:val="auto"/>
          <w:sz w:val="24"/>
          <w:szCs w:val="24"/>
          <w:highlight w:val="none"/>
          <w:lang w:val="en-US" w:eastAsia="zh-CN"/>
        </w:rPr>
      </w:pPr>
      <w:r>
        <w:rPr>
          <w:rFonts w:hint="eastAsia"/>
          <w:b/>
          <w:bCs/>
          <w:color w:val="auto"/>
          <w:sz w:val="24"/>
          <w:szCs w:val="24"/>
          <w:highlight w:val="none"/>
          <w:lang w:val="en-US" w:eastAsia="zh-CN"/>
        </w:rPr>
        <w:t>一、资格响应文件</w:t>
      </w:r>
    </w:p>
    <w:p w14:paraId="5E905480">
      <w:pPr>
        <w:pStyle w:val="8"/>
        <w:spacing w:before="63" w:line="220" w:lineRule="auto"/>
        <w:ind w:left="586"/>
      </w:pPr>
      <w:r>
        <w:rPr>
          <w:spacing w:val="-1"/>
        </w:rPr>
        <w:t>一、资格证明文件………………………………………（页数）</w:t>
      </w:r>
    </w:p>
    <w:p w14:paraId="016C671A">
      <w:pPr>
        <w:pStyle w:val="8"/>
        <w:spacing w:before="67" w:line="220" w:lineRule="auto"/>
        <w:ind w:left="586"/>
      </w:pPr>
      <w:r>
        <w:rPr>
          <w:spacing w:val="-1"/>
        </w:rPr>
        <w:t>二、</w:t>
      </w:r>
      <w:r>
        <w:rPr>
          <w:rFonts w:hint="eastAsia"/>
          <w:spacing w:val="-1"/>
          <w:lang w:val="en-US" w:eastAsia="zh-CN"/>
        </w:rPr>
        <w:t>报价响应文件</w:t>
      </w:r>
      <w:r>
        <w:rPr>
          <w:spacing w:val="-1"/>
        </w:rPr>
        <w:t>………………………………………（页数）</w:t>
      </w:r>
    </w:p>
    <w:p w14:paraId="18AB0050">
      <w:pPr>
        <w:pStyle w:val="8"/>
        <w:spacing w:before="64" w:line="219" w:lineRule="auto"/>
        <w:ind w:left="581"/>
        <w:rPr>
          <w:spacing w:val="-1"/>
        </w:rPr>
      </w:pPr>
      <w:r>
        <w:rPr>
          <w:spacing w:val="-1"/>
        </w:rPr>
        <w:t>三、</w:t>
      </w:r>
      <w:r>
        <w:rPr>
          <w:rFonts w:hint="eastAsia"/>
          <w:spacing w:val="-1"/>
          <w:lang w:val="en-US" w:eastAsia="zh-CN"/>
        </w:rPr>
        <w:t>商务技术响应文件</w:t>
      </w:r>
      <w:r>
        <w:rPr>
          <w:spacing w:val="-1"/>
        </w:rPr>
        <w:t>…………………………………（页数）</w:t>
      </w:r>
    </w:p>
    <w:p w14:paraId="2C5DD226">
      <w:pPr>
        <w:pStyle w:val="8"/>
        <w:spacing w:before="64" w:line="219" w:lineRule="auto"/>
        <w:ind w:left="581"/>
        <w:rPr>
          <w:spacing w:val="-1"/>
        </w:rPr>
      </w:pPr>
    </w:p>
    <w:p w14:paraId="10D783DB">
      <w:pPr>
        <w:pStyle w:val="8"/>
        <w:spacing w:before="64" w:line="219" w:lineRule="auto"/>
        <w:ind w:left="581"/>
        <w:rPr>
          <w:spacing w:val="-1"/>
        </w:rPr>
      </w:pPr>
    </w:p>
    <w:p w14:paraId="6CB87FF9">
      <w:pPr>
        <w:rPr>
          <w:b/>
          <w:bCs/>
          <w:color w:val="auto"/>
          <w:sz w:val="24"/>
          <w:szCs w:val="24"/>
          <w:highlight w:val="none"/>
        </w:rPr>
      </w:pPr>
      <w:r>
        <w:rPr>
          <w:rFonts w:hint="eastAsia"/>
          <w:spacing w:val="-1"/>
          <w:lang w:val="en-US" w:eastAsia="zh-CN"/>
        </w:rPr>
        <w:t>自行添加详细的二级、三级目录</w:t>
      </w:r>
    </w:p>
    <w:p w14:paraId="5CB9FFF2">
      <w:pPr>
        <w:rPr>
          <w:rFonts w:hint="default"/>
          <w:color w:val="auto"/>
          <w:sz w:val="24"/>
          <w:szCs w:val="24"/>
          <w:highlight w:val="none"/>
          <w:lang w:val="en-US"/>
        </w:rPr>
      </w:pPr>
    </w:p>
    <w:p w14:paraId="761203BA">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color w:val="auto"/>
          <w:sz w:val="28"/>
          <w:szCs w:val="28"/>
          <w:highlight w:val="none"/>
        </w:rPr>
      </w:pPr>
    </w:p>
    <w:p w14:paraId="77C12895">
      <w:pPr>
        <w:pStyle w:val="7"/>
        <w:rPr>
          <w:rFonts w:hint="eastAsia" w:ascii="宋体" w:hAnsi="宋体" w:eastAsia="宋体" w:cs="宋体"/>
          <w:b/>
          <w:bCs/>
          <w:color w:val="auto"/>
          <w:sz w:val="28"/>
          <w:szCs w:val="28"/>
          <w:highlight w:val="none"/>
        </w:rPr>
      </w:pPr>
    </w:p>
    <w:p w14:paraId="69B6B1AE">
      <w:pPr>
        <w:rPr>
          <w:rFonts w:hint="eastAsia"/>
          <w:color w:val="auto"/>
          <w:highlight w:val="none"/>
        </w:rPr>
      </w:pPr>
    </w:p>
    <w:p w14:paraId="115E1463">
      <w:pPr>
        <w:rPr>
          <w:rFonts w:hint="eastAsia"/>
          <w:color w:val="auto"/>
          <w:highlight w:val="none"/>
        </w:rPr>
      </w:pPr>
    </w:p>
    <w:p w14:paraId="7FFBCCBF">
      <w:pPr>
        <w:rPr>
          <w:rFonts w:hint="eastAsia"/>
          <w:color w:val="auto"/>
          <w:highlight w:val="none"/>
        </w:rPr>
      </w:pPr>
    </w:p>
    <w:p w14:paraId="56C73765">
      <w:pPr>
        <w:rPr>
          <w:rFonts w:hint="eastAsia"/>
          <w:color w:val="auto"/>
          <w:highlight w:val="none"/>
        </w:rPr>
      </w:pPr>
    </w:p>
    <w:p w14:paraId="748E470D">
      <w:pPr>
        <w:rPr>
          <w:rFonts w:hint="eastAsia"/>
          <w:color w:val="auto"/>
          <w:highlight w:val="none"/>
        </w:rPr>
      </w:pPr>
    </w:p>
    <w:p w14:paraId="086FCAA9">
      <w:pPr>
        <w:rPr>
          <w:rFonts w:hint="eastAsia"/>
          <w:color w:val="auto"/>
          <w:highlight w:val="none"/>
        </w:rPr>
      </w:pPr>
    </w:p>
    <w:p w14:paraId="4C0A75A2">
      <w:pPr>
        <w:rPr>
          <w:rFonts w:hint="eastAsia"/>
          <w:color w:val="auto"/>
          <w:highlight w:val="none"/>
        </w:rPr>
      </w:pPr>
    </w:p>
    <w:p w14:paraId="53500D26">
      <w:pPr>
        <w:rPr>
          <w:rFonts w:hint="eastAsia"/>
          <w:color w:val="auto"/>
          <w:highlight w:val="none"/>
        </w:rPr>
      </w:pPr>
    </w:p>
    <w:p w14:paraId="170E50A4">
      <w:pPr>
        <w:rPr>
          <w:rFonts w:hint="eastAsia"/>
          <w:color w:val="auto"/>
          <w:highlight w:val="none"/>
        </w:rPr>
      </w:pPr>
    </w:p>
    <w:p w14:paraId="579DF856">
      <w:pPr>
        <w:rPr>
          <w:rFonts w:hint="eastAsia"/>
          <w:color w:val="auto"/>
          <w:highlight w:val="none"/>
        </w:rPr>
      </w:pPr>
    </w:p>
    <w:p w14:paraId="17E63892">
      <w:pPr>
        <w:rPr>
          <w:rFonts w:hint="eastAsia"/>
          <w:color w:val="auto"/>
          <w:highlight w:val="none"/>
        </w:rPr>
      </w:pPr>
    </w:p>
    <w:p w14:paraId="3A265E54">
      <w:pPr>
        <w:rPr>
          <w:rFonts w:hint="eastAsia"/>
          <w:color w:val="auto"/>
          <w:highlight w:val="none"/>
        </w:rPr>
      </w:pPr>
    </w:p>
    <w:p w14:paraId="1E77B1CE">
      <w:pPr>
        <w:rPr>
          <w:rFonts w:hint="eastAsia"/>
          <w:color w:val="auto"/>
          <w:highlight w:val="none"/>
        </w:rPr>
      </w:pPr>
    </w:p>
    <w:p w14:paraId="0D5322DE">
      <w:pPr>
        <w:rPr>
          <w:rFonts w:hint="eastAsia"/>
          <w:color w:val="auto"/>
          <w:highlight w:val="none"/>
        </w:rPr>
      </w:pPr>
    </w:p>
    <w:p w14:paraId="1341ACB9">
      <w:pPr>
        <w:rPr>
          <w:rFonts w:hint="eastAsia"/>
          <w:color w:val="auto"/>
          <w:highlight w:val="none"/>
        </w:rPr>
      </w:pPr>
    </w:p>
    <w:p w14:paraId="1852258F">
      <w:pPr>
        <w:rPr>
          <w:rFonts w:hint="eastAsia"/>
          <w:color w:val="auto"/>
          <w:highlight w:val="none"/>
        </w:rPr>
      </w:pPr>
    </w:p>
    <w:p w14:paraId="408A39B9">
      <w:pPr>
        <w:rPr>
          <w:rFonts w:hint="eastAsia"/>
          <w:color w:val="auto"/>
          <w:highlight w:val="none"/>
        </w:rPr>
      </w:pPr>
    </w:p>
    <w:p w14:paraId="27142F9C">
      <w:pPr>
        <w:rPr>
          <w:rFonts w:hint="eastAsia"/>
          <w:color w:val="auto"/>
          <w:highlight w:val="none"/>
        </w:rPr>
      </w:pPr>
    </w:p>
    <w:p w14:paraId="4A8BD477">
      <w:pPr>
        <w:rPr>
          <w:rFonts w:hint="eastAsia"/>
          <w:color w:val="auto"/>
          <w:highlight w:val="none"/>
        </w:rPr>
      </w:pPr>
    </w:p>
    <w:p w14:paraId="4C9994C8">
      <w:pPr>
        <w:rPr>
          <w:rFonts w:hint="eastAsia"/>
          <w:color w:val="auto"/>
          <w:highlight w:val="none"/>
        </w:rPr>
      </w:pPr>
    </w:p>
    <w:p w14:paraId="4805FB71">
      <w:pPr>
        <w:rPr>
          <w:rFonts w:hint="eastAsia"/>
          <w:color w:val="auto"/>
          <w:highlight w:val="none"/>
        </w:rPr>
      </w:pPr>
    </w:p>
    <w:p w14:paraId="0CD19ACA">
      <w:pPr>
        <w:rPr>
          <w:rFonts w:hint="eastAsia"/>
          <w:color w:val="auto"/>
          <w:highlight w:val="none"/>
        </w:rPr>
      </w:pPr>
    </w:p>
    <w:p w14:paraId="5810574F">
      <w:pPr>
        <w:rPr>
          <w:rFonts w:hint="eastAsia"/>
          <w:color w:val="auto"/>
          <w:highlight w:val="none"/>
        </w:rPr>
      </w:pPr>
    </w:p>
    <w:p w14:paraId="26CEF03F">
      <w:pPr>
        <w:rPr>
          <w:rFonts w:hint="eastAsia"/>
          <w:color w:val="auto"/>
          <w:highlight w:val="none"/>
        </w:rPr>
      </w:pPr>
    </w:p>
    <w:p w14:paraId="67404B69">
      <w:pPr>
        <w:rPr>
          <w:rFonts w:hint="eastAsia"/>
          <w:color w:val="auto"/>
          <w:highlight w:val="none"/>
        </w:rPr>
      </w:pPr>
    </w:p>
    <w:p w14:paraId="6589582C">
      <w:pPr>
        <w:rPr>
          <w:rFonts w:hint="eastAsia"/>
          <w:color w:val="auto"/>
          <w:highlight w:val="none"/>
        </w:rPr>
      </w:pPr>
    </w:p>
    <w:p w14:paraId="0B680CE0">
      <w:pPr>
        <w:rPr>
          <w:rFonts w:hint="eastAsia"/>
          <w:color w:val="auto"/>
          <w:highlight w:val="none"/>
        </w:rPr>
      </w:pPr>
    </w:p>
    <w:p w14:paraId="3CF1A0A4">
      <w:pPr>
        <w:rPr>
          <w:rFonts w:hint="eastAsia"/>
          <w:color w:val="auto"/>
          <w:highlight w:val="none"/>
        </w:rPr>
      </w:pPr>
    </w:p>
    <w:p w14:paraId="73B6BDE1">
      <w:pPr>
        <w:rPr>
          <w:rFonts w:hint="eastAsia"/>
          <w:color w:val="auto"/>
          <w:highlight w:val="none"/>
        </w:rPr>
      </w:pPr>
    </w:p>
    <w:p w14:paraId="25A0EA2B">
      <w:pPr>
        <w:rPr>
          <w:rFonts w:hint="eastAsia"/>
          <w:color w:val="auto"/>
          <w:highlight w:val="none"/>
        </w:rPr>
      </w:pPr>
    </w:p>
    <w:p w14:paraId="4F337A4D">
      <w:pPr>
        <w:pStyle w:val="19"/>
        <w:ind w:left="0" w:leftChars="0" w:firstLine="0" w:firstLineChars="0"/>
        <w:rPr>
          <w:rFonts w:hint="default" w:ascii="宋体" w:hAnsi="宋体" w:eastAsia="宋体" w:cs="宋体"/>
          <w:sz w:val="24"/>
          <w:szCs w:val="24"/>
          <w:lang w:val="en-US"/>
        </w:rPr>
      </w:pPr>
      <w:r>
        <w:rPr>
          <w:rFonts w:hint="eastAsia" w:ascii="宋体" w:hAnsi="宋体" w:eastAsia="宋体" w:cs="宋体"/>
          <w:b/>
          <w:bCs/>
          <w:sz w:val="24"/>
          <w:szCs w:val="24"/>
          <w:lang w:val="en-US" w:eastAsia="zh-CN"/>
        </w:rPr>
        <w:t>一、资格</w:t>
      </w:r>
      <w:r>
        <w:rPr>
          <w:rFonts w:hint="eastAsia" w:ascii="宋体" w:hAnsi="宋体" w:cs="宋体"/>
          <w:b/>
          <w:bCs/>
          <w:sz w:val="24"/>
          <w:szCs w:val="24"/>
          <w:lang w:val="en-US" w:eastAsia="zh-CN"/>
        </w:rPr>
        <w:t>响应文件</w:t>
      </w:r>
    </w:p>
    <w:p w14:paraId="155BA8B5">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1、《中华人民共和国政府采购法》第二十二条应当具备的条件；</w:t>
      </w:r>
    </w:p>
    <w:p w14:paraId="33B0ED50">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①具有独立承担民事责任的能力；</w:t>
      </w:r>
    </w:p>
    <w:p w14:paraId="149C2F7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②具有良好的商业信誉和健全的财务会计制度；</w:t>
      </w:r>
    </w:p>
    <w:p w14:paraId="45EE065B">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③具有履行合同所必需的设备和专业技术能力；</w:t>
      </w:r>
    </w:p>
    <w:p w14:paraId="7377DFDB">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④有依法缴纳税收和社会保障资金的良好记录；</w:t>
      </w:r>
    </w:p>
    <w:p w14:paraId="68D00B91">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⑤参加政府采购活动前三年内，在经营活动中没有重大违法记录；</w:t>
      </w:r>
    </w:p>
    <w:p w14:paraId="22459A3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⑥法律、行政法规规定的其他条件;</w:t>
      </w:r>
    </w:p>
    <w:p w14:paraId="7F6CE5A5">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须提供以下资料：</w:t>
      </w:r>
    </w:p>
    <w:p w14:paraId="1D1453B0">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1.1、具有独立承担民事责任的能力；</w:t>
      </w:r>
      <w:r>
        <w:rPr>
          <w:rFonts w:hint="eastAsia" w:ascii="宋体" w:hAnsi="宋体" w:eastAsia="宋体" w:cs="宋体"/>
          <w:b w:val="0"/>
          <w:bCs/>
          <w:color w:val="000000"/>
          <w:sz w:val="24"/>
          <w:szCs w:val="24"/>
          <w:highlight w:val="none"/>
          <w:lang w:val="en-US" w:eastAsia="zh-CN"/>
        </w:rPr>
        <w:t>须提供相关证明材料，其中：</w:t>
      </w:r>
    </w:p>
    <w:p w14:paraId="19CB1007">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供应商是企业（包括合伙企业）的，须提供其在工商部门注册的有效“营业执照”的复印件；</w:t>
      </w:r>
    </w:p>
    <w:p w14:paraId="3CAE008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供应商是事业单位的，须提供其有效的“事业单位法人证书”复印件；</w:t>
      </w:r>
    </w:p>
    <w:p w14:paraId="7B55B47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供应商是非企业专业服务机构的，须提供其有效的执业许可证复印件；</w:t>
      </w:r>
    </w:p>
    <w:p w14:paraId="54AADF2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供应商是个体工商户的，须提供其有效的“个体工商户营业执照” 复印件；</w:t>
      </w:r>
    </w:p>
    <w:p w14:paraId="53D2B3D8">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以上复印件须加盖供应商公章。</w:t>
      </w:r>
    </w:p>
    <w:p w14:paraId="340F0D09">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供应商是自然人的，应提供其有效的自然人身份证明；</w:t>
      </w:r>
    </w:p>
    <w:p w14:paraId="3644C5C2">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1.2、具有良好的商业信誉和健全的财务会计制度；</w:t>
      </w:r>
      <w:r>
        <w:rPr>
          <w:rFonts w:hint="eastAsia" w:ascii="宋体" w:hAnsi="宋体" w:eastAsia="宋体" w:cs="宋体"/>
          <w:b w:val="0"/>
          <w:bCs/>
          <w:color w:val="000000"/>
          <w:sz w:val="24"/>
          <w:szCs w:val="24"/>
          <w:highlight w:val="none"/>
          <w:lang w:val="en-US" w:eastAsia="zh-CN"/>
        </w:rPr>
        <w:t>须提供相关证明材料，其中：</w:t>
      </w:r>
    </w:p>
    <w:p w14:paraId="5D2A74A0">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供应商是法人的，须提供（</w:t>
      </w:r>
      <w:r>
        <w:rPr>
          <w:rFonts w:hint="eastAsia" w:ascii="宋体" w:hAnsi="宋体" w:cs="宋体"/>
          <w:b w:val="0"/>
          <w:bCs/>
          <w:color w:val="000000"/>
          <w:sz w:val="24"/>
          <w:szCs w:val="24"/>
          <w:highlight w:val="none"/>
          <w:lang w:val="en-US" w:eastAsia="zh-CN"/>
        </w:rPr>
        <w:t>2025年</w:t>
      </w:r>
      <w:r>
        <w:rPr>
          <w:rFonts w:hint="eastAsia" w:ascii="宋体" w:hAnsi="宋体" w:eastAsia="宋体" w:cs="宋体"/>
          <w:b w:val="0"/>
          <w:bCs/>
          <w:color w:val="000000"/>
          <w:sz w:val="24"/>
          <w:szCs w:val="24"/>
          <w:highlight w:val="none"/>
          <w:lang w:val="en-US" w:eastAsia="zh-CN"/>
        </w:rPr>
        <w:t>）经审计的财务审计报告复印件（报告中须包括资产负债表、利润表、现金流量表）或财务报表</w:t>
      </w:r>
      <w:r>
        <w:rPr>
          <w:rFonts w:hint="eastAsia" w:ascii="宋体" w:hAnsi="宋体" w:cs="宋体"/>
          <w:b w:val="0"/>
          <w:bCs/>
          <w:color w:val="000000"/>
          <w:sz w:val="24"/>
          <w:szCs w:val="24"/>
          <w:highlight w:val="none"/>
          <w:lang w:val="en-US" w:eastAsia="zh-CN"/>
        </w:rPr>
        <w:t>（2025年）</w:t>
      </w:r>
      <w:r>
        <w:rPr>
          <w:rFonts w:hint="eastAsia" w:ascii="宋体" w:hAnsi="宋体" w:eastAsia="宋体" w:cs="宋体"/>
          <w:b w:val="0"/>
          <w:bCs/>
          <w:color w:val="000000"/>
          <w:sz w:val="24"/>
          <w:szCs w:val="24"/>
          <w:highlight w:val="none"/>
          <w:lang w:val="en-US" w:eastAsia="zh-CN"/>
        </w:rPr>
        <w:t>资产负债表、利润表、现金流量表或其基本银行在开标日期前三个月内开具的资信证明；</w:t>
      </w:r>
    </w:p>
    <w:p w14:paraId="55A26ABE">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供应商是其他组织或自然人的，须提供银行出具的资信证明原件；</w:t>
      </w:r>
    </w:p>
    <w:p w14:paraId="5EE87EB1">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银行资信证明无收受人和项目的限制，银行资信证明可以是复印件，评标委员会保留审核原件的权利。</w:t>
      </w:r>
    </w:p>
    <w:p w14:paraId="588838CF">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1.3、具有履行合同所必需的设备和专业技术能力；</w:t>
      </w:r>
      <w:r>
        <w:rPr>
          <w:rFonts w:hint="eastAsia" w:ascii="宋体" w:hAnsi="宋体" w:eastAsia="宋体" w:cs="宋体"/>
          <w:b w:val="0"/>
          <w:bCs/>
          <w:color w:val="000000"/>
          <w:sz w:val="24"/>
          <w:szCs w:val="24"/>
          <w:highlight w:val="none"/>
          <w:lang w:val="en-US" w:eastAsia="zh-CN"/>
        </w:rPr>
        <w:t>须附相关证明材料或书面声明</w:t>
      </w:r>
    </w:p>
    <w:p w14:paraId="001C6EDB">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p>
    <w:p w14:paraId="21F0E687">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书面声明格式：</w:t>
      </w:r>
    </w:p>
    <w:p w14:paraId="16E04E67">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p>
    <w:p w14:paraId="66AE40B9">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本供应商郑重声明：</w:t>
      </w:r>
    </w:p>
    <w:p w14:paraId="6AC61E6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本公司（或单位）具备本项目履行合同所必需的设备和专业技术能力，特此声明。</w:t>
      </w:r>
    </w:p>
    <w:p w14:paraId="1D969DA0">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供应商法定代表人（或法定代表人授权代表）签字或盖章：</w:t>
      </w:r>
    </w:p>
    <w:p w14:paraId="68CC3401">
      <w:pPr>
        <w:pageBreakBefore w:val="0"/>
        <w:numPr>
          <w:ilvl w:val="0"/>
          <w:numId w:val="0"/>
        </w:numPr>
        <w:kinsoku/>
        <w:wordWrap/>
        <w:overflowPunct/>
        <w:topLinePunct w:val="0"/>
        <w:bidi w:val="0"/>
        <w:spacing w:beforeAutospacing="0" w:afterAutospacing="0" w:line="400" w:lineRule="exact"/>
        <w:jc w:val="righ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供应商名称（加盖公章）：</w:t>
      </w:r>
    </w:p>
    <w:p w14:paraId="252B3123">
      <w:pPr>
        <w:pageBreakBefore w:val="0"/>
        <w:numPr>
          <w:ilvl w:val="0"/>
          <w:numId w:val="0"/>
        </w:numPr>
        <w:kinsoku/>
        <w:wordWrap/>
        <w:overflowPunct/>
        <w:topLinePunct w:val="0"/>
        <w:bidi w:val="0"/>
        <w:spacing w:beforeAutospacing="0" w:afterAutospacing="0" w:line="400" w:lineRule="exact"/>
        <w:jc w:val="right"/>
        <w:rPr>
          <w:rFonts w:hint="eastAsia" w:ascii="宋体" w:hAnsi="宋体" w:eastAsia="宋体" w:cs="宋体"/>
          <w:b/>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日期：   年   月   日</w:t>
      </w:r>
    </w:p>
    <w:p w14:paraId="7E8C72BB">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 xml:space="preserve"> </w:t>
      </w:r>
    </w:p>
    <w:p w14:paraId="6C49884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1.4、有依法缴纳税收和社会保障资金的良好记录；</w:t>
      </w:r>
      <w:r>
        <w:rPr>
          <w:rFonts w:hint="eastAsia" w:ascii="宋体" w:hAnsi="宋体" w:eastAsia="宋体" w:cs="宋体"/>
          <w:b w:val="0"/>
          <w:bCs/>
          <w:color w:val="000000"/>
          <w:sz w:val="24"/>
          <w:szCs w:val="24"/>
          <w:highlight w:val="none"/>
          <w:lang w:val="en-US" w:eastAsia="zh-CN"/>
        </w:rPr>
        <w:t>须提供依法缴纳税收和社会保障资金的证明材料</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，须提供开标前三个月内任意一个月的依法缴税凭据</w:t>
      </w:r>
      <w:r>
        <w:rPr>
          <w:rFonts w:hint="eastAsia" w:cs="宋体"/>
          <w:b w:val="0"/>
          <w:bCs/>
          <w:color w:val="000000" w:themeColor="text1"/>
          <w:sz w:val="24"/>
          <w:szCs w:val="24"/>
          <w:highlight w:val="none"/>
          <w:lang w:val="en-US" w:eastAsia="zh-CN"/>
          <w14:textFill>
            <w14:solidFill>
              <w14:schemeClr w14:val="tx1"/>
            </w14:solidFill>
          </w14:textFill>
        </w:rPr>
        <w:t>（零申报企业可提供无欠税证明及增值税及附加税费申报表加盖公章，缺一不可）</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和开标前三个月任意一个月缴纳社会保险的凭据复印件；</w:t>
      </w:r>
    </w:p>
    <w:p w14:paraId="310B8275">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1.5、参加政府采购活动前三年内，在经营活动中没有重大违法记录；</w:t>
      </w:r>
      <w:r>
        <w:rPr>
          <w:rFonts w:hint="eastAsia" w:ascii="宋体" w:hAnsi="宋体" w:eastAsia="宋体" w:cs="宋体"/>
          <w:b w:val="0"/>
          <w:bCs/>
          <w:color w:val="000000"/>
          <w:sz w:val="24"/>
          <w:szCs w:val="24"/>
          <w:highlight w:val="none"/>
          <w:lang w:val="en-US" w:eastAsia="zh-CN"/>
        </w:rPr>
        <w:t>须提供书面声明</w:t>
      </w:r>
    </w:p>
    <w:p w14:paraId="54F83D67">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p>
    <w:p w14:paraId="5F7E97CC">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我单位郑重声明： </w:t>
      </w:r>
    </w:p>
    <w:p w14:paraId="155ACC7C">
      <w:pPr>
        <w:pageBreakBefore w:val="0"/>
        <w:numPr>
          <w:ilvl w:val="0"/>
          <w:numId w:val="0"/>
        </w:numPr>
        <w:kinsoku/>
        <w:wordWrap/>
        <w:overflowPunct/>
        <w:topLinePunct w:val="0"/>
        <w:bidi w:val="0"/>
        <w:spacing w:beforeAutospacing="0" w:afterAutospacing="0" w:line="400" w:lineRule="exact"/>
        <w:ind w:firstLine="480" w:firstLineChars="200"/>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6844464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如我公司声明与实际不符，我公司将承担因此引起的一切后果。 </w:t>
      </w:r>
    </w:p>
    <w:p w14:paraId="3E40010E">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p>
    <w:p w14:paraId="50A78587">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p>
    <w:p w14:paraId="2DE40668">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供应商法定代表人（或法定代表人授权代表）签字或盖章：</w:t>
      </w:r>
    </w:p>
    <w:p w14:paraId="0C7F89D1">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供应商名称（加盖公章）：</w:t>
      </w:r>
    </w:p>
    <w:p w14:paraId="2FAC5405">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日期：   年   月   日</w:t>
      </w:r>
    </w:p>
    <w:p w14:paraId="72C66C5C">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0" w:firstLineChars="0"/>
        <w:jc w:val="left"/>
        <w:textAlignment w:val="auto"/>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1.6、法律、行政法规规定的其他条件</w:t>
      </w:r>
      <w:r>
        <w:rPr>
          <w:rFonts w:hint="eastAsia" w:cs="宋体"/>
          <w:b/>
          <w:bCs w:val="0"/>
          <w:color w:val="000000"/>
          <w:sz w:val="24"/>
          <w:szCs w:val="24"/>
          <w:highlight w:val="none"/>
          <w:lang w:val="en-US" w:eastAsia="zh-CN"/>
        </w:rPr>
        <w:t>；</w:t>
      </w:r>
    </w:p>
    <w:p w14:paraId="3FF7D792">
      <w:pPr>
        <w:keepNext w:val="0"/>
        <w:keepLines w:val="0"/>
        <w:pageBreakBefore w:val="0"/>
        <w:widowControl w:val="0"/>
        <w:kinsoku/>
        <w:wordWrap/>
        <w:overflowPunct/>
        <w:topLinePunct w:val="0"/>
        <w:autoSpaceDE w:val="0"/>
        <w:autoSpaceDN w:val="0"/>
        <w:bidi w:val="0"/>
        <w:adjustRightInd/>
        <w:snapToGrid/>
        <w:spacing w:line="440" w:lineRule="exact"/>
        <w:ind w:firstLine="2160" w:firstLineChars="900"/>
        <w:jc w:val="both"/>
        <w:textAlignment w:val="auto"/>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格式自拟</w:t>
      </w:r>
    </w:p>
    <w:p w14:paraId="0AAC7769">
      <w:pPr>
        <w:keepNext w:val="0"/>
        <w:keepLines w:val="0"/>
        <w:pageBreakBefore w:val="0"/>
        <w:widowControl w:val="0"/>
        <w:kinsoku/>
        <w:wordWrap/>
        <w:overflowPunct/>
        <w:topLinePunct w:val="0"/>
        <w:autoSpaceDE w:val="0"/>
        <w:autoSpaceDN w:val="0"/>
        <w:bidi w:val="0"/>
        <w:adjustRightInd/>
        <w:snapToGrid/>
        <w:spacing w:line="440" w:lineRule="exact"/>
        <w:ind w:firstLine="964" w:firstLineChars="400"/>
        <w:jc w:val="both"/>
        <w:textAlignment w:val="auto"/>
        <w:rPr>
          <w:rFonts w:hint="eastAsia" w:asciiTheme="majorEastAsia" w:hAnsiTheme="majorEastAsia" w:eastAsiaTheme="majorEastAsia" w:cstheme="majorEastAsia"/>
          <w:b/>
          <w:bCs/>
          <w:color w:val="auto"/>
          <w:sz w:val="24"/>
          <w:szCs w:val="24"/>
          <w:highlight w:val="none"/>
          <w:lang w:val="en-US" w:eastAsia="zh-CN"/>
        </w:rPr>
      </w:pPr>
    </w:p>
    <w:p w14:paraId="40A2D389">
      <w:pPr>
        <w:keepNext w:val="0"/>
        <w:keepLines w:val="0"/>
        <w:pageBreakBefore w:val="0"/>
        <w:widowControl w:val="0"/>
        <w:kinsoku/>
        <w:wordWrap/>
        <w:overflowPunct/>
        <w:topLinePunct w:val="0"/>
        <w:autoSpaceDE w:val="0"/>
        <w:autoSpaceDN w:val="0"/>
        <w:bidi w:val="0"/>
        <w:adjustRightInd/>
        <w:snapToGrid/>
        <w:spacing w:line="440" w:lineRule="exact"/>
        <w:ind w:firstLine="964" w:firstLineChars="400"/>
        <w:jc w:val="both"/>
        <w:textAlignment w:val="auto"/>
        <w:rPr>
          <w:rFonts w:hint="eastAsia" w:asciiTheme="majorEastAsia" w:hAnsiTheme="majorEastAsia" w:eastAsiaTheme="majorEastAsia" w:cstheme="majorEastAsia"/>
          <w:b/>
          <w:bCs/>
          <w:color w:val="auto"/>
          <w:sz w:val="24"/>
          <w:szCs w:val="24"/>
          <w:highlight w:val="none"/>
          <w:lang w:val="en-US" w:eastAsia="zh-CN"/>
        </w:rPr>
      </w:pPr>
    </w:p>
    <w:p w14:paraId="3CAE50B2">
      <w:pPr>
        <w:keepNext w:val="0"/>
        <w:keepLines w:val="0"/>
        <w:pageBreakBefore w:val="0"/>
        <w:widowControl w:val="0"/>
        <w:kinsoku/>
        <w:wordWrap/>
        <w:overflowPunct/>
        <w:topLinePunct w:val="0"/>
        <w:autoSpaceDE w:val="0"/>
        <w:autoSpaceDN w:val="0"/>
        <w:bidi w:val="0"/>
        <w:adjustRightInd/>
        <w:snapToGrid/>
        <w:spacing w:line="440" w:lineRule="exact"/>
        <w:ind w:firstLine="1687" w:firstLineChars="700"/>
        <w:jc w:val="both"/>
        <w:textAlignment w:val="auto"/>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2.落实政府采购政策需满足的</w:t>
      </w:r>
    </w:p>
    <w:p w14:paraId="31BC46BF">
      <w:pPr>
        <w:keepNext w:val="0"/>
        <w:keepLines w:val="0"/>
        <w:pageBreakBefore w:val="0"/>
        <w:widowControl w:val="0"/>
        <w:kinsoku/>
        <w:wordWrap/>
        <w:overflowPunct/>
        <w:topLinePunct w:val="0"/>
        <w:autoSpaceDE w:val="0"/>
        <w:autoSpaceDN w:val="0"/>
        <w:bidi w:val="0"/>
        <w:adjustRightInd/>
        <w:snapToGrid/>
        <w:spacing w:line="440" w:lineRule="exact"/>
        <w:ind w:firstLine="964" w:firstLineChars="400"/>
        <w:jc w:val="both"/>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2.1</w:t>
      </w:r>
      <w:r>
        <w:rPr>
          <w:rFonts w:hint="eastAsia" w:asciiTheme="majorEastAsia" w:hAnsiTheme="majorEastAsia" w:eastAsiaTheme="majorEastAsia" w:cstheme="majorEastAsia"/>
          <w:b/>
          <w:bCs/>
          <w:color w:val="auto"/>
          <w:sz w:val="24"/>
          <w:szCs w:val="24"/>
          <w:highlight w:val="none"/>
        </w:rPr>
        <w:t>中小企业声明函</w:t>
      </w: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b/>
          <w:bCs/>
          <w:color w:val="auto"/>
          <w:sz w:val="24"/>
          <w:szCs w:val="24"/>
          <w:highlight w:val="none"/>
          <w:lang w:val="en-US" w:eastAsia="zh-CN"/>
        </w:rPr>
        <w:t>实质性条款</w:t>
      </w: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b/>
          <w:bCs/>
          <w:color w:val="auto"/>
          <w:sz w:val="24"/>
          <w:szCs w:val="24"/>
          <w:highlight w:val="none"/>
        </w:rPr>
        <w:t xml:space="preserve"> </w:t>
      </w:r>
    </w:p>
    <w:p w14:paraId="49413EA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D49803B">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本公司（联合体）郑重声明，根据《政府采购促进中小企业发展管理办法》（财库〔2020〕46号）的规定，</w:t>
      </w:r>
      <w:r>
        <w:rPr>
          <w:rFonts w:hint="eastAsia" w:ascii="宋体" w:hAnsi="宋体" w:eastAsia="宋体" w:cs="宋体"/>
          <w:color w:val="auto"/>
          <w:spacing w:val="6"/>
          <w:kern w:val="0"/>
          <w:sz w:val="24"/>
          <w:szCs w:val="24"/>
          <w:highlight w:val="none"/>
          <w:u w:val="single"/>
          <w:lang w:val="zh-CN" w:eastAsia="zh-CN" w:bidi="zh-CN"/>
        </w:rPr>
        <w:t>本公司（联合体）参加（单位名称）的（项目名称）采购活动，工程的施工单位全部为符合政策要求的中小企业（或者：服务全部由符合政策要求的中小企业承接）。相关企业（含联合体中的中小企业、签订分包意向协议的中小企业）</w:t>
      </w:r>
      <w:r>
        <w:rPr>
          <w:rFonts w:hint="eastAsia" w:ascii="宋体" w:hAnsi="宋体" w:eastAsia="宋体" w:cs="宋体"/>
          <w:color w:val="auto"/>
          <w:spacing w:val="6"/>
          <w:kern w:val="0"/>
          <w:sz w:val="24"/>
          <w:szCs w:val="24"/>
          <w:highlight w:val="none"/>
          <w:lang w:val="zh-CN" w:eastAsia="zh-CN" w:bidi="zh-CN"/>
        </w:rPr>
        <w:t>的具体情况如下：</w:t>
      </w:r>
    </w:p>
    <w:p w14:paraId="3D537CCB">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u w:val="single"/>
          <w:lang w:val="zh-CN" w:eastAsia="zh-CN" w:bidi="zh-CN"/>
        </w:rPr>
      </w:pPr>
      <w:r>
        <w:rPr>
          <w:rFonts w:hint="eastAsia" w:ascii="宋体" w:hAnsi="宋体" w:eastAsia="宋体" w:cs="宋体"/>
          <w:color w:val="auto"/>
          <w:spacing w:val="6"/>
          <w:kern w:val="0"/>
          <w:sz w:val="24"/>
          <w:szCs w:val="24"/>
          <w:highlight w:val="none"/>
          <w:lang w:val="zh-CN" w:eastAsia="zh-CN" w:bidi="zh-CN"/>
        </w:rPr>
        <w:t>1.</w:t>
      </w:r>
      <w:r>
        <w:rPr>
          <w:rFonts w:hint="eastAsia" w:ascii="宋体" w:hAnsi="宋体" w:eastAsia="宋体" w:cs="宋体"/>
          <w:color w:val="auto"/>
          <w:spacing w:val="6"/>
          <w:kern w:val="0"/>
          <w:sz w:val="24"/>
          <w:szCs w:val="24"/>
          <w:highlight w:val="none"/>
          <w:u w:val="single"/>
          <w:lang w:val="zh-CN" w:eastAsia="zh-CN" w:bidi="zh-CN"/>
        </w:rPr>
        <w:t>（标的名称），属于（采购文件中明确的所属行业）；承建（承接）企业为（企业名称），从业人员  人，营业收入为  万元，资产总额为  万元，属于（中型企业、小型企业、微型企业）；</w:t>
      </w:r>
    </w:p>
    <w:p w14:paraId="468A92B8">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u w:val="single"/>
          <w:lang w:val="zh-CN" w:eastAsia="zh-CN" w:bidi="zh-CN"/>
        </w:rPr>
      </w:pPr>
      <w:r>
        <w:rPr>
          <w:rFonts w:hint="eastAsia" w:ascii="宋体" w:hAnsi="宋体" w:eastAsia="宋体" w:cs="宋体"/>
          <w:color w:val="auto"/>
          <w:spacing w:val="6"/>
          <w:kern w:val="0"/>
          <w:sz w:val="24"/>
          <w:szCs w:val="24"/>
          <w:highlight w:val="none"/>
          <w:lang w:val="zh-CN" w:eastAsia="zh-CN" w:bidi="zh-CN"/>
        </w:rPr>
        <w:t>2.</w:t>
      </w:r>
      <w:r>
        <w:rPr>
          <w:rFonts w:hint="eastAsia" w:ascii="宋体" w:hAnsi="宋体" w:eastAsia="宋体" w:cs="宋体"/>
          <w:color w:val="auto"/>
          <w:spacing w:val="6"/>
          <w:kern w:val="0"/>
          <w:sz w:val="24"/>
          <w:szCs w:val="24"/>
          <w:highlight w:val="none"/>
          <w:u w:val="single"/>
          <w:lang w:val="zh-CN" w:eastAsia="zh-CN" w:bidi="zh-CN"/>
        </w:rPr>
        <w:t>（标的名称），属于（采购文件中明确的所属行业）；承建（承接）企业为（企业名称），从业人员  人，营业收入为  万元，资产总额为  万元，属于（中型企业、小型企业、微型企业）；</w:t>
      </w:r>
    </w:p>
    <w:p w14:paraId="778CAC43">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w:t>
      </w:r>
    </w:p>
    <w:p w14:paraId="3F38944E">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以上企业，不属于大企业的分支机构，不存在控股股东为大企业的情形，也不存在与大企业的负责人为同一人的情形。</w:t>
      </w:r>
    </w:p>
    <w:p w14:paraId="1A824374">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本企业对上述声明内容的真实性负责。如有虚假，将依法承担相应责任。 </w:t>
      </w:r>
    </w:p>
    <w:p w14:paraId="73C0FE60">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                      企业名称（盖章）：</w:t>
      </w:r>
    </w:p>
    <w:p w14:paraId="0FDD88A0">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                      日期：</w:t>
      </w:r>
    </w:p>
    <w:p w14:paraId="398BA54B">
      <w:pPr>
        <w:pStyle w:val="8"/>
        <w:keepNext w:val="0"/>
        <w:keepLines w:val="0"/>
        <w:pageBreakBefore w:val="0"/>
        <w:numPr>
          <w:ilvl w:val="0"/>
          <w:numId w:val="0"/>
        </w:numPr>
        <w:kinsoku/>
        <w:wordWrap/>
        <w:overflowPunct/>
        <w:topLinePunct w:val="0"/>
        <w:autoSpaceDE/>
        <w:autoSpaceDN/>
        <w:bidi w:val="0"/>
        <w:adjustRightInd/>
        <w:snapToGrid/>
        <w:spacing w:before="92" w:line="320" w:lineRule="exact"/>
        <w:ind w:left="39" w:leftChars="0" w:right="61" w:rightChars="0"/>
        <w:textAlignment w:val="auto"/>
        <w:rPr>
          <w:rFonts w:hint="eastAsia" w:ascii="宋体" w:hAnsi="宋体" w:eastAsia="宋体" w:cs="宋体"/>
          <w:b/>
          <w:bCs/>
          <w:color w:val="auto"/>
          <w:sz w:val="18"/>
          <w:highlight w:val="none"/>
        </w:rPr>
      </w:pPr>
      <w:r>
        <w:rPr>
          <w:rFonts w:hint="eastAsia" w:ascii="宋体" w:hAnsi="宋体"/>
          <w:b/>
          <w:bCs/>
          <w:color w:val="auto"/>
          <w:sz w:val="18"/>
          <w:highlight w:val="none"/>
          <w:lang w:val="en-US" w:eastAsia="zh-CN"/>
        </w:rPr>
        <w:t>备注：1、</w:t>
      </w:r>
      <w:r>
        <w:rPr>
          <w:rFonts w:hint="eastAsia" w:ascii="宋体" w:hAnsi="宋体" w:eastAsia="宋体"/>
          <w:b/>
          <w:bCs/>
          <w:color w:val="auto"/>
          <w:sz w:val="18"/>
          <w:highlight w:val="none"/>
        </w:rPr>
        <w:t>从业人员、营业收入、资产总额填报上一年度数据</w:t>
      </w:r>
      <w:r>
        <w:rPr>
          <w:rFonts w:hint="eastAsia" w:ascii="宋体" w:hAnsi="宋体" w:eastAsia="宋体" w:cs="宋体"/>
          <w:b/>
          <w:bCs/>
          <w:color w:val="auto"/>
          <w:sz w:val="18"/>
          <w:highlight w:val="none"/>
        </w:rPr>
        <w:t>，无上一年数据的新成立企业</w:t>
      </w:r>
      <w:r>
        <w:rPr>
          <w:rFonts w:hint="eastAsia" w:ascii="宋体" w:hAnsi="宋体" w:eastAsia="宋体" w:cs="宋体"/>
          <w:b/>
          <w:bCs/>
          <w:color w:val="auto"/>
          <w:sz w:val="18"/>
          <w:highlight w:val="none"/>
          <w:lang w:val="en-US" w:eastAsia="zh-CN"/>
        </w:rPr>
        <w:t>根据目前现状填写</w:t>
      </w:r>
      <w:r>
        <w:rPr>
          <w:rFonts w:hint="eastAsia" w:ascii="宋体" w:hAnsi="宋体" w:eastAsia="宋体" w:cs="宋体"/>
          <w:b/>
          <w:bCs/>
          <w:color w:val="auto"/>
          <w:sz w:val="18"/>
          <w:highlight w:val="none"/>
          <w:lang w:eastAsia="zh-CN"/>
        </w:rPr>
        <w:t>。</w:t>
      </w:r>
    </w:p>
    <w:p w14:paraId="190B05E5">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300" w:right="0" w:rightChars="0"/>
        <w:jc w:val="both"/>
        <w:textAlignment w:val="auto"/>
        <w:rPr>
          <w:rFonts w:hint="eastAsia" w:ascii="宋体" w:hAnsi="宋体" w:eastAsia="宋体" w:cs="宋体"/>
          <w:b/>
          <w:bCs/>
          <w:color w:val="auto"/>
          <w:sz w:val="30"/>
          <w:szCs w:val="30"/>
          <w:highlight w:val="none"/>
          <w:lang w:val="en-US" w:eastAsia="zh-CN"/>
        </w:rPr>
      </w:pPr>
      <w:r>
        <w:rPr>
          <w:rFonts w:hint="eastAsia"/>
          <w:b/>
          <w:bCs/>
          <w:color w:val="auto"/>
          <w:sz w:val="18"/>
          <w:szCs w:val="22"/>
          <w:highlight w:val="none"/>
          <w:lang w:val="en-US" w:eastAsia="zh-CN"/>
        </w:rPr>
        <w:t>2、</w:t>
      </w:r>
      <w:r>
        <w:rPr>
          <w:rFonts w:hint="eastAsia" w:ascii="宋体" w:hAnsi="宋体" w:eastAsia="宋体"/>
          <w:b/>
          <w:bCs/>
          <w:color w:val="auto"/>
          <w:sz w:val="18"/>
          <w:szCs w:val="22"/>
          <w:highlight w:val="none"/>
          <w:lang w:val="en-US" w:eastAsia="zh-CN"/>
        </w:rPr>
        <w:t>投标人为中小企业时需提供本声明函，并完整填写从业人员、营业收入、资产总额等内容，否则评审时不能享受相应的价格扣除。</w:t>
      </w:r>
    </w:p>
    <w:p w14:paraId="6A4701BA">
      <w:pPr>
        <w:pStyle w:val="19"/>
        <w:rPr>
          <w:rFonts w:hint="eastAsia"/>
          <w:lang w:val="en-US" w:eastAsia="zh-CN"/>
        </w:rPr>
      </w:pPr>
    </w:p>
    <w:p w14:paraId="0218F845">
      <w:pPr>
        <w:spacing w:line="360" w:lineRule="auto"/>
        <w:jc w:val="center"/>
        <w:rPr>
          <w:rFonts w:ascii="仿宋_GB2312" w:hAnsi="仿宋_GB2312" w:eastAsia="仿宋_GB2312"/>
          <w:b/>
          <w:bCs/>
          <w:color w:val="auto"/>
          <w:sz w:val="32"/>
          <w:szCs w:val="32"/>
          <w:highlight w:val="none"/>
        </w:rPr>
      </w:pPr>
      <w:r>
        <w:rPr>
          <w:rFonts w:hint="eastAsia" w:asciiTheme="majorEastAsia" w:hAnsiTheme="majorEastAsia" w:eastAsiaTheme="majorEastAsia" w:cstheme="majorEastAsia"/>
          <w:b/>
          <w:bCs/>
          <w:color w:val="auto"/>
          <w:sz w:val="24"/>
          <w:szCs w:val="24"/>
          <w:highlight w:val="none"/>
          <w:lang w:val="en-US" w:eastAsia="zh-CN"/>
        </w:rPr>
        <w:t>2.2 残疾人福利性单位声明函（可选）</w:t>
      </w:r>
    </w:p>
    <w:p w14:paraId="41847C4B">
      <w:pPr>
        <w:spacing w:line="360" w:lineRule="auto"/>
        <w:rPr>
          <w:rFonts w:ascii="仿宋_GB2312" w:hAnsi="仿宋_GB2312" w:eastAsia="仿宋_GB2312"/>
          <w:b/>
          <w:bCs/>
          <w:color w:val="auto"/>
          <w:spacing w:val="6"/>
          <w:highlight w:val="none"/>
        </w:rPr>
      </w:pPr>
    </w:p>
    <w:p w14:paraId="23A526F1">
      <w:pPr>
        <w:spacing w:line="360" w:lineRule="auto"/>
        <w:ind w:firstLine="504" w:firstLineChars="200"/>
        <w:jc w:val="both"/>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本单位郑重声明，根据《财政部民政部中国残疾人联合会关于促进残疾人就业政府采购政策的通知》（财库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z w:val="24"/>
          <w:szCs w:val="24"/>
          <w:highlight w:val="none"/>
          <w:u w:val="single"/>
        </w:rPr>
        <w:t>XXXX</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z w:val="24"/>
          <w:szCs w:val="24"/>
          <w:highlight w:val="none"/>
          <w:u w:val="single"/>
        </w:rPr>
        <w:t>XXXX</w:t>
      </w:r>
      <w:r>
        <w:rPr>
          <w:rFonts w:hint="eastAsia" w:ascii="宋体" w:hAnsi="宋体" w:eastAsia="宋体" w:cs="宋体"/>
          <w:color w:val="auto"/>
          <w:spacing w:val="6"/>
          <w:sz w:val="24"/>
          <w:szCs w:val="24"/>
          <w:highlight w:val="none"/>
        </w:rPr>
        <w:t>项目采购活动由本单位承担工程。</w:t>
      </w:r>
    </w:p>
    <w:p w14:paraId="0B1537DA">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000D0720">
      <w:pPr>
        <w:spacing w:line="360" w:lineRule="auto"/>
        <w:rPr>
          <w:rFonts w:hint="eastAsia" w:ascii="宋体" w:hAnsi="宋体" w:eastAsia="宋体" w:cs="宋体"/>
          <w:color w:val="auto"/>
          <w:spacing w:val="6"/>
          <w:sz w:val="24"/>
          <w:szCs w:val="24"/>
          <w:highlight w:val="none"/>
        </w:rPr>
      </w:pPr>
    </w:p>
    <w:p w14:paraId="5E9336A2">
      <w:pPr>
        <w:spacing w:line="360" w:lineRule="auto"/>
        <w:rPr>
          <w:rFonts w:hint="eastAsia" w:ascii="宋体" w:hAnsi="宋体" w:eastAsia="宋体" w:cs="宋体"/>
          <w:color w:val="auto"/>
          <w:spacing w:val="6"/>
          <w:sz w:val="24"/>
          <w:szCs w:val="24"/>
          <w:highlight w:val="none"/>
        </w:rPr>
      </w:pPr>
    </w:p>
    <w:p w14:paraId="3805C3D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供应商名称：XXXX（加盖公章）</w:t>
      </w:r>
    </w:p>
    <w:p w14:paraId="1CF81AFC">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日期：XXX年XXX月XXX日</w:t>
      </w:r>
    </w:p>
    <w:p w14:paraId="164254FD">
      <w:pPr>
        <w:spacing w:line="360" w:lineRule="auto"/>
        <w:ind w:firstLine="480" w:firstLineChars="200"/>
        <w:rPr>
          <w:rFonts w:hint="eastAsia" w:ascii="宋体" w:hAnsi="宋体" w:eastAsia="宋体" w:cs="宋体"/>
          <w:color w:val="auto"/>
          <w:sz w:val="24"/>
          <w:szCs w:val="24"/>
          <w:highlight w:val="none"/>
        </w:rPr>
      </w:pPr>
    </w:p>
    <w:p w14:paraId="347536E0">
      <w:pPr>
        <w:spacing w:line="360" w:lineRule="auto"/>
        <w:rPr>
          <w:rFonts w:hint="eastAsia" w:ascii="宋体" w:hAnsi="宋体" w:eastAsia="宋体" w:cs="宋体"/>
          <w:color w:val="auto"/>
          <w:sz w:val="24"/>
          <w:szCs w:val="24"/>
          <w:highlight w:val="none"/>
        </w:rPr>
      </w:pPr>
    </w:p>
    <w:p w14:paraId="64CE1B10">
      <w:pPr>
        <w:spacing w:line="360" w:lineRule="auto"/>
        <w:rPr>
          <w:rFonts w:hint="eastAsia" w:ascii="宋体" w:hAnsi="宋体" w:eastAsia="宋体" w:cs="宋体"/>
          <w:color w:val="auto"/>
          <w:sz w:val="24"/>
          <w:szCs w:val="24"/>
          <w:highlight w:val="none"/>
        </w:rPr>
      </w:pPr>
    </w:p>
    <w:p w14:paraId="308180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DE2DCA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1.残疾人福利性单位视同小型、微型企业，享受预留份额、评审中价格扣除等促进中小企业发展的政府采购政策。残疾人福利性单位属于小型、微型企业的，不重复享受政策。</w:t>
      </w:r>
    </w:p>
    <w:p w14:paraId="77FC8E98">
      <w:pPr>
        <w:spacing w:line="360" w:lineRule="auto"/>
        <w:rPr>
          <w:rFonts w:ascii="仿宋_GB2312" w:hAnsi="仿宋_GB2312" w:eastAsia="仿宋_GB2312" w:cs="仿宋"/>
          <w:color w:val="auto"/>
          <w:highlight w:val="none"/>
        </w:rPr>
      </w:pPr>
      <w:r>
        <w:rPr>
          <w:rFonts w:hint="eastAsia" w:ascii="宋体" w:hAnsi="宋体" w:eastAsia="宋体" w:cs="宋体"/>
          <w:color w:val="auto"/>
          <w:sz w:val="24"/>
          <w:szCs w:val="24"/>
          <w:highlight w:val="none"/>
        </w:rPr>
        <w:t>2.供应商为非残疾人福利性单位的，不得提供此声明，提供此声明的，声明无效。</w:t>
      </w:r>
    </w:p>
    <w:p w14:paraId="023A7883">
      <w:pPr>
        <w:spacing w:line="360" w:lineRule="auto"/>
        <w:ind w:firstLine="431" w:firstLineChars="196"/>
        <w:outlineLvl w:val="1"/>
        <w:rPr>
          <w:rFonts w:ascii="仿宋_GB2312" w:hAnsi="仿宋_GB2312" w:eastAsia="仿宋_GB2312"/>
          <w:color w:val="auto"/>
          <w:highlight w:val="none"/>
        </w:rPr>
      </w:pPr>
    </w:p>
    <w:p w14:paraId="2233832C">
      <w:pPr>
        <w:spacing w:line="360" w:lineRule="auto"/>
        <w:rPr>
          <w:rFonts w:ascii="仿宋_GB2312" w:hAnsi="仿宋_GB2312" w:eastAsia="仿宋_GB2312"/>
          <w:b/>
          <w:bCs/>
          <w:color w:val="auto"/>
          <w:sz w:val="28"/>
          <w:szCs w:val="28"/>
          <w:highlight w:val="none"/>
        </w:rPr>
        <w:sectPr>
          <w:headerReference r:id="rId17" w:type="default"/>
          <w:footerReference r:id="rId18" w:type="default"/>
          <w:footerReference r:id="rId19" w:type="even"/>
          <w:pgSz w:w="11907" w:h="16840"/>
          <w:pgMar w:top="1134" w:right="1797" w:bottom="1134" w:left="1797" w:header="851" w:footer="992" w:gutter="0"/>
          <w:pgNumType w:fmt="decimal"/>
          <w:cols w:space="0" w:num="1"/>
          <w:rtlGutter w:val="0"/>
          <w:docGrid w:linePitch="312" w:charSpace="0"/>
        </w:sectPr>
      </w:pPr>
    </w:p>
    <w:p w14:paraId="79221634">
      <w:pPr>
        <w:spacing w:line="360" w:lineRule="auto"/>
        <w:jc w:val="center"/>
        <w:rPr>
          <w:rFonts w:hint="eastAsia" w:ascii="宋体" w:hAnsi="宋体" w:eastAsia="宋体" w:cs="宋体"/>
          <w:b/>
          <w:bCs/>
          <w:color w:val="auto"/>
          <w:sz w:val="30"/>
          <w:szCs w:val="30"/>
          <w:highlight w:val="none"/>
          <w:lang w:eastAsia="zh-CN"/>
        </w:rPr>
      </w:pPr>
      <w:r>
        <w:rPr>
          <w:rFonts w:hint="eastAsia" w:asciiTheme="majorEastAsia" w:hAnsiTheme="majorEastAsia" w:eastAsiaTheme="majorEastAsia" w:cstheme="majorEastAsia"/>
          <w:b/>
          <w:bCs/>
          <w:color w:val="auto"/>
          <w:sz w:val="24"/>
          <w:szCs w:val="24"/>
          <w:highlight w:val="none"/>
          <w:lang w:val="en-US" w:eastAsia="zh-CN"/>
        </w:rPr>
        <w:t>2.3监狱企业证明（可选）</w:t>
      </w:r>
    </w:p>
    <w:p w14:paraId="6111C560">
      <w:pPr>
        <w:spacing w:line="360" w:lineRule="auto"/>
        <w:jc w:val="both"/>
        <w:rPr>
          <w:rFonts w:ascii="仿宋_GB2312" w:hAnsi="仿宋_GB2312" w:eastAsia="仿宋_GB2312" w:cs="仿宋"/>
          <w:b/>
          <w:bCs/>
          <w:color w:val="auto"/>
          <w:sz w:val="32"/>
          <w:szCs w:val="32"/>
          <w:highlight w:val="none"/>
        </w:rPr>
      </w:pPr>
    </w:p>
    <w:p w14:paraId="6F213AE3">
      <w:pPr>
        <w:spacing w:after="16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注：1.监狱企业参加政府采购活动时，应当提供由省级以上监狱管理局、戒毒管理局（含新疆生产建设兵团）出具的属于监狱企业的证明文件，并加盖单位公章。</w:t>
      </w:r>
    </w:p>
    <w:p w14:paraId="24D5D69F">
      <w:pPr>
        <w:spacing w:after="16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2.监狱企业视同小型、微型企业，享受预留份额、评审中价格扣除等政府采购促进中小企业发展的政府采购政策。监狱企业属于小型、微型企业的，不重复享受政策。</w:t>
      </w:r>
    </w:p>
    <w:p w14:paraId="64E691D7"/>
    <w:p w14:paraId="220723C7"/>
    <w:p w14:paraId="2531E62E"/>
    <w:p w14:paraId="6927AF6E"/>
    <w:p w14:paraId="4340776B">
      <w:pPr>
        <w:rPr>
          <w:rFonts w:hint="eastAsia" w:ascii="宋体" w:hAnsi="宋体" w:eastAsia="宋体" w:cs="宋体"/>
          <w:b w:val="0"/>
          <w:bCs w:val="0"/>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3.本项目的特定资格要求：</w:t>
      </w:r>
      <w:r>
        <w:rPr>
          <w:rFonts w:hint="eastAsia" w:ascii="宋体" w:hAnsi="宋体" w:eastAsia="宋体" w:cs="宋体"/>
          <w:color w:val="auto"/>
          <w:sz w:val="24"/>
          <w:szCs w:val="24"/>
          <w:highlight w:val="none"/>
        </w:rPr>
        <w:t>(1)须具有有效的建筑工程施工总承包三级及以上资质、具有有效的安全生产许可证，并在人员、设备、资金等方面具有相应的施工能力；（2）项目负责人要求：应具备合格有效期内的建筑工程专业贰级以上（含）注册建造师执业资格、有效的安全生产考核合格证（B类），且未担任其他在施建设工程项目的项目负责人。</w:t>
      </w:r>
    </w:p>
    <w:p w14:paraId="6B5DD3FA">
      <w:pPr>
        <w:pageBreakBefore w:val="0"/>
        <w:widowControl/>
        <w:kinsoku/>
        <w:wordWrap/>
        <w:overflowPunct/>
        <w:topLinePunct w:val="0"/>
        <w:bidi w:val="0"/>
        <w:adjustRightInd w:val="0"/>
        <w:snapToGrid w:val="0"/>
        <w:spacing w:beforeAutospacing="0" w:afterAutospacing="0" w:line="400" w:lineRule="exact"/>
        <w:ind w:firstLine="463" w:firstLineChars="192"/>
        <w:jc w:val="center"/>
        <w:rPr>
          <w:rFonts w:hint="eastAsia" w:ascii="宋体" w:hAnsi="宋体" w:eastAsia="宋体" w:cs="宋体"/>
          <w:b/>
          <w:bCs/>
          <w:sz w:val="24"/>
          <w:lang w:val="en-US" w:eastAsia="zh-CN"/>
        </w:rPr>
      </w:pPr>
    </w:p>
    <w:p w14:paraId="0B60C4D2">
      <w:pPr>
        <w:pageBreakBefore w:val="0"/>
        <w:widowControl/>
        <w:kinsoku/>
        <w:wordWrap/>
        <w:overflowPunct/>
        <w:topLinePunct w:val="0"/>
        <w:bidi w:val="0"/>
        <w:adjustRightInd w:val="0"/>
        <w:snapToGrid w:val="0"/>
        <w:spacing w:beforeAutospacing="0" w:afterAutospacing="0" w:line="400" w:lineRule="exact"/>
        <w:ind w:firstLine="463" w:firstLineChars="192"/>
        <w:jc w:val="center"/>
        <w:rPr>
          <w:rFonts w:hint="eastAsia" w:ascii="宋体" w:hAnsi="宋体" w:eastAsia="宋体" w:cs="宋体"/>
          <w:b/>
          <w:bCs/>
          <w:sz w:val="24"/>
          <w:lang w:val="en-US" w:eastAsia="zh-CN"/>
        </w:rPr>
      </w:pPr>
    </w:p>
    <w:p w14:paraId="7322E7AF">
      <w:pPr>
        <w:pageBreakBefore w:val="0"/>
        <w:widowControl/>
        <w:kinsoku/>
        <w:wordWrap/>
        <w:overflowPunct/>
        <w:topLinePunct w:val="0"/>
        <w:bidi w:val="0"/>
        <w:adjustRightInd w:val="0"/>
        <w:snapToGrid w:val="0"/>
        <w:spacing w:beforeAutospacing="0" w:afterAutospacing="0" w:line="400" w:lineRule="exact"/>
        <w:ind w:firstLine="463" w:firstLineChars="192"/>
        <w:jc w:val="center"/>
        <w:rPr>
          <w:rFonts w:hint="eastAsia" w:ascii="宋体" w:hAnsi="宋体" w:eastAsia="宋体" w:cs="宋体"/>
          <w:b/>
          <w:bCs/>
          <w:sz w:val="24"/>
          <w:szCs w:val="24"/>
          <w:lang w:val="en-US" w:eastAsia="zh-CN"/>
        </w:rPr>
      </w:pPr>
      <w:r>
        <w:rPr>
          <w:rFonts w:hint="eastAsia" w:ascii="宋体" w:hAnsi="宋体" w:eastAsia="宋体" w:cs="宋体"/>
          <w:b/>
          <w:bCs/>
          <w:sz w:val="24"/>
          <w:lang w:val="en-US" w:eastAsia="zh-CN"/>
        </w:rPr>
        <w:t>4.</w:t>
      </w:r>
      <w:r>
        <w:rPr>
          <w:rFonts w:hint="eastAsia" w:ascii="宋体" w:hAnsi="宋体" w:eastAsia="宋体" w:cs="宋体"/>
          <w:b/>
          <w:bCs/>
          <w:sz w:val="24"/>
          <w:szCs w:val="24"/>
          <w:lang w:val="en-US" w:eastAsia="zh-CN"/>
        </w:rPr>
        <w:t>投标保证金</w:t>
      </w:r>
      <w:r>
        <w:rPr>
          <w:rFonts w:hint="eastAsia" w:cs="宋体"/>
          <w:b/>
          <w:bCs/>
          <w:sz w:val="24"/>
          <w:szCs w:val="24"/>
          <w:lang w:val="en-US" w:eastAsia="zh-CN"/>
        </w:rPr>
        <w:t>汇款凭证</w:t>
      </w:r>
      <w:r>
        <w:rPr>
          <w:rFonts w:hint="eastAsia" w:ascii="宋体" w:hAnsi="宋体" w:eastAsia="宋体" w:cs="宋体"/>
          <w:b/>
          <w:bCs/>
          <w:sz w:val="24"/>
          <w:szCs w:val="24"/>
          <w:lang w:val="en-US" w:eastAsia="zh-CN"/>
        </w:rPr>
        <w:t>或保函</w:t>
      </w:r>
    </w:p>
    <w:p w14:paraId="286EDBDD">
      <w:pPr>
        <w:pStyle w:val="2"/>
        <w:tabs>
          <w:tab w:val="left" w:pos="1080"/>
        </w:tabs>
        <w:ind w:left="3685" w:leftChars="0" w:hanging="3685" w:firstLineChars="0"/>
        <w:jc w:val="center"/>
        <w:rPr>
          <w:rFonts w:hint="eastAsia" w:ascii="宋体" w:hAnsi="宋体" w:eastAsia="宋体" w:cs="宋体"/>
          <w:b/>
          <w:bCs/>
          <w:sz w:val="24"/>
          <w:szCs w:val="24"/>
          <w:lang w:val="en-US" w:eastAsia="zh-CN"/>
        </w:rPr>
      </w:pPr>
    </w:p>
    <w:p w14:paraId="7C3C463C">
      <w:pPr>
        <w:pStyle w:val="2"/>
        <w:tabs>
          <w:tab w:val="left" w:pos="1080"/>
        </w:tabs>
        <w:ind w:left="3685" w:leftChars="0" w:hanging="3685" w:firstLineChars="0"/>
        <w:jc w:val="center"/>
        <w:rPr>
          <w:rFonts w:hint="eastAsia" w:ascii="宋体" w:hAnsi="宋体" w:eastAsia="宋体" w:cs="宋体"/>
          <w:b/>
          <w:bCs/>
          <w:sz w:val="24"/>
          <w:szCs w:val="24"/>
          <w:lang w:val="en-US" w:eastAsia="zh-CN"/>
        </w:rPr>
      </w:pPr>
    </w:p>
    <w:p w14:paraId="01ACD1E4">
      <w:pPr>
        <w:pStyle w:val="2"/>
        <w:tabs>
          <w:tab w:val="left" w:pos="1080"/>
        </w:tabs>
        <w:ind w:left="3685" w:leftChars="0" w:hanging="3685" w:firstLineChars="0"/>
        <w:jc w:val="center"/>
        <w:rPr>
          <w:rFonts w:hint="eastAsia" w:asciiTheme="minorEastAsia" w:hAnsiTheme="minorEastAsia" w:eastAsiaTheme="minorEastAsia" w:cstheme="minorEastAsia"/>
          <w:kern w:val="0"/>
          <w:sz w:val="28"/>
          <w:szCs w:val="28"/>
          <w:highlight w:val="none"/>
        </w:rPr>
      </w:pPr>
      <w:r>
        <w:rPr>
          <w:rFonts w:hint="eastAsia" w:ascii="宋体" w:hAnsi="宋体" w:eastAsia="宋体" w:cs="宋体"/>
          <w:b/>
          <w:bCs/>
          <w:sz w:val="24"/>
          <w:szCs w:val="24"/>
          <w:lang w:val="en-US" w:eastAsia="zh-CN"/>
        </w:rPr>
        <w:t>5.委托书</w:t>
      </w:r>
    </w:p>
    <w:p w14:paraId="758A5F67">
      <w:pPr>
        <w:pStyle w:val="3"/>
        <w:rPr>
          <w:rFonts w:asciiTheme="minorEastAsia" w:hAnsiTheme="minorEastAsia" w:cstheme="minorEastAsia"/>
          <w:highlight w:val="none"/>
        </w:rPr>
      </w:pPr>
      <w:bookmarkStart w:id="519" w:name="_Toc14180"/>
      <w:r>
        <w:rPr>
          <w:rFonts w:hint="eastAsia" w:ascii="宋体" w:hAnsi="宋体" w:eastAsia="宋体" w:cs="宋体"/>
          <w:b/>
          <w:bCs/>
          <w:color w:val="000000"/>
          <w:kern w:val="2"/>
          <w:sz w:val="24"/>
          <w:szCs w:val="24"/>
          <w:lang w:val="en-US" w:eastAsia="zh-CN" w:bidi="ar-SA"/>
        </w:rPr>
        <w:t>5.1、法定授权人委托书</w:t>
      </w:r>
      <w:bookmarkEnd w:id="519"/>
    </w:p>
    <w:p w14:paraId="3348E660">
      <w:pPr>
        <w:adjustRightInd w:val="0"/>
        <w:snapToGrid w:val="0"/>
        <w:spacing w:line="360" w:lineRule="auto"/>
        <w:ind w:left="560" w:hanging="560" w:hangingChars="200"/>
        <w:rPr>
          <w:rFonts w:asciiTheme="minorEastAsia" w:hAnsiTheme="minorEastAsia" w:eastAsiaTheme="minorEastAsia" w:cstheme="minorEastAsia"/>
          <w:sz w:val="28"/>
          <w:szCs w:val="28"/>
          <w:highlight w:val="none"/>
        </w:rPr>
      </w:pPr>
    </w:p>
    <w:p w14:paraId="6E299092">
      <w:pPr>
        <w:pStyle w:val="9"/>
        <w:pageBreakBefore w:val="0"/>
        <w:kinsoku/>
        <w:wordWrap/>
        <w:overflowPunct/>
        <w:topLinePunct w:val="0"/>
        <w:bidi w:val="0"/>
        <w:spacing w:beforeAutospacing="0" w:afterAutospacing="0" w:line="400" w:lineRule="exact"/>
        <w:ind w:firstLine="643"/>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法定代表人身份证明（法定代表人投标提供）</w:t>
      </w:r>
    </w:p>
    <w:p w14:paraId="73CDA02B">
      <w:pPr>
        <w:pStyle w:val="2"/>
        <w:pageBreakBefore w:val="0"/>
        <w:tabs>
          <w:tab w:val="left" w:pos="1080"/>
        </w:tabs>
        <w:kinsoku/>
        <w:wordWrap/>
        <w:overflowPunct/>
        <w:topLinePunct w:val="0"/>
        <w:bidi w:val="0"/>
        <w:spacing w:before="0" w:beforeAutospacing="0" w:after="0" w:afterAutospacing="0" w:line="400" w:lineRule="exact"/>
        <w:ind w:left="700" w:leftChars="0" w:firstLine="0" w:firstLineChars="0"/>
        <w:jc w:val="center"/>
        <w:rPr>
          <w:rFonts w:hint="eastAsia" w:ascii="宋体" w:hAnsi="宋体" w:eastAsia="宋体" w:cs="宋体"/>
          <w:color w:val="000000"/>
          <w:sz w:val="24"/>
          <w:szCs w:val="24"/>
          <w:highlight w:val="none"/>
        </w:rPr>
      </w:pPr>
      <w:bookmarkStart w:id="520" w:name="_Toc251236133"/>
      <w:r>
        <w:rPr>
          <w:rFonts w:hint="eastAsia" w:ascii="宋体" w:hAnsi="宋体" w:eastAsia="宋体" w:cs="宋体"/>
          <w:color w:val="000000"/>
          <w:sz w:val="24"/>
          <w:szCs w:val="24"/>
          <w:highlight w:val="none"/>
        </w:rPr>
        <w:t>法定代表人证明书</w:t>
      </w:r>
      <w:bookmarkEnd w:id="520"/>
    </w:p>
    <w:p w14:paraId="59591B06">
      <w:pPr>
        <w:pageBreakBefore w:val="0"/>
        <w:kinsoku/>
        <w:wordWrap/>
        <w:overflowPunct/>
        <w:topLinePunct w:val="0"/>
        <w:bidi w:val="0"/>
        <w:spacing w:beforeAutospacing="0" w:afterAutospacing="0" w:line="400" w:lineRule="exact"/>
        <w:rPr>
          <w:rFonts w:hint="eastAsia" w:ascii="宋体" w:hAnsi="宋体" w:eastAsia="宋体" w:cs="宋体"/>
          <w:b/>
          <w:bCs/>
          <w:color w:val="000000"/>
          <w:sz w:val="24"/>
          <w:szCs w:val="24"/>
          <w:highlight w:val="none"/>
        </w:rPr>
      </w:pPr>
    </w:p>
    <w:p w14:paraId="1FBF616C">
      <w:pPr>
        <w:pageBreakBefore w:val="0"/>
        <w:tabs>
          <w:tab w:val="left" w:pos="900"/>
        </w:tabs>
        <w:kinsoku/>
        <w:wordWrap/>
        <w:overflowPunct/>
        <w:topLinePunct w:val="0"/>
        <w:bidi w:val="0"/>
        <w:spacing w:beforeAutospacing="0" w:afterAutospacing="0" w:line="400" w:lineRule="exact"/>
        <w:ind w:firstLine="840" w:firstLineChars="350"/>
        <w:rPr>
          <w:rFonts w:hint="eastAsia" w:ascii="宋体" w:hAnsi="宋体" w:eastAsia="宋体" w:cs="宋体"/>
          <w:sz w:val="24"/>
          <w:szCs w:val="24"/>
          <w:highlight w:val="none"/>
        </w:rPr>
      </w:pPr>
      <w:r>
        <w:rPr>
          <w:rFonts w:hint="eastAsia" w:ascii="宋体" w:hAnsi="宋体" w:eastAsia="宋体" w:cs="宋体"/>
          <w:sz w:val="24"/>
          <w:szCs w:val="24"/>
          <w:highlight w:val="none"/>
        </w:rPr>
        <w:t>（                  ）同志，现任我单位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职务，为法定代表人，特此证明。</w:t>
      </w:r>
    </w:p>
    <w:p w14:paraId="2E9013BB">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bl>
      <w:tblPr>
        <w:tblStyle w:val="20"/>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8"/>
        <w:gridCol w:w="3152"/>
      </w:tblGrid>
      <w:tr w14:paraId="1C37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88" w:type="dxa"/>
          </w:tcPr>
          <w:p w14:paraId="7A81870E">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营业执照(注册号)： </w:t>
            </w:r>
          </w:p>
        </w:tc>
        <w:tc>
          <w:tcPr>
            <w:tcW w:w="3152" w:type="dxa"/>
          </w:tcPr>
          <w:p w14:paraId="377092D8">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经济性质：</w:t>
            </w:r>
          </w:p>
        </w:tc>
      </w:tr>
      <w:tr w14:paraId="0B47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0" w:type="dxa"/>
            <w:gridSpan w:val="2"/>
          </w:tcPr>
          <w:p w14:paraId="774C1B5F">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r>
      <w:tr w14:paraId="7EE2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0" w:type="dxa"/>
            <w:gridSpan w:val="2"/>
          </w:tcPr>
          <w:p w14:paraId="20027DCA">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法定代表人身份证号：</w:t>
            </w:r>
          </w:p>
        </w:tc>
      </w:tr>
      <w:tr w14:paraId="2060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8" w:type="dxa"/>
          </w:tcPr>
          <w:p w14:paraId="1DDBAABC">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法定代表人年龄：</w:t>
            </w:r>
          </w:p>
        </w:tc>
        <w:tc>
          <w:tcPr>
            <w:tcW w:w="3152" w:type="dxa"/>
          </w:tcPr>
          <w:p w14:paraId="5444961F">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法定代表人性别：</w:t>
            </w:r>
          </w:p>
        </w:tc>
      </w:tr>
    </w:tbl>
    <w:p w14:paraId="6CC6993B">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29ADCD4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投标单位：（</w:t>
      </w:r>
      <w:r>
        <w:rPr>
          <w:rFonts w:hint="eastAsia" w:ascii="宋体" w:hAnsi="宋体" w:eastAsia="宋体" w:cs="宋体"/>
          <w:color w:val="000000"/>
          <w:sz w:val="24"/>
          <w:szCs w:val="24"/>
          <w:highlight w:val="none"/>
        </w:rPr>
        <w:t>单位</w:t>
      </w:r>
      <w:r>
        <w:rPr>
          <w:rFonts w:hint="eastAsia" w:ascii="宋体" w:hAnsi="宋体" w:eastAsia="宋体" w:cs="宋体"/>
          <w:sz w:val="24"/>
          <w:szCs w:val="24"/>
          <w:highlight w:val="none"/>
        </w:rPr>
        <w:t>公章）</w:t>
      </w:r>
    </w:p>
    <w:p w14:paraId="6AFFDC3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有效日期：</w:t>
      </w:r>
    </w:p>
    <w:p w14:paraId="38EBBB5D">
      <w:pPr>
        <w:pageBreakBefore w:val="0"/>
        <w:kinsoku/>
        <w:wordWrap/>
        <w:overflowPunct/>
        <w:topLinePunct w:val="0"/>
        <w:bidi w:val="0"/>
        <w:spacing w:beforeAutospacing="0" w:afterAutospacing="0" w:line="400" w:lineRule="exact"/>
        <w:jc w:val="right"/>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 xml:space="preserve"> 年   月   日</w:t>
      </w:r>
    </w:p>
    <w:p w14:paraId="508C746F">
      <w:pPr>
        <w:pStyle w:val="52"/>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77D512D1">
      <w:pPr>
        <w:pStyle w:val="52"/>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lang w:val="en-US" w:eastAsia="zh-CN"/>
        </w:rPr>
      </w:pPr>
      <w:bookmarkStart w:id="521" w:name="_Toc251236134"/>
      <w:bookmarkStart w:id="522" w:name="_Toc52165081"/>
      <w:bookmarkStart w:id="523" w:name="_Toc50737297"/>
      <w:bookmarkStart w:id="524" w:name="_Toc50736477"/>
      <w:bookmarkStart w:id="525" w:name="_Toc50737329"/>
    </w:p>
    <w:p w14:paraId="58F6AA29">
      <w:pPr>
        <w:pStyle w:val="52"/>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lang w:val="en-US" w:eastAsia="zh-CN"/>
        </w:rPr>
      </w:pPr>
    </w:p>
    <w:p w14:paraId="29D02206">
      <w:pPr>
        <w:pStyle w:val="52"/>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lang w:eastAsia="zh-CN"/>
        </w:rPr>
      </w:pPr>
      <w:r>
        <w:rPr>
          <w:rFonts w:hint="eastAsia" w:hAnsi="宋体" w:cs="宋体"/>
          <w:b/>
          <w:bCs/>
          <w:color w:val="000000"/>
          <w:kern w:val="2"/>
          <w:sz w:val="24"/>
          <w:szCs w:val="24"/>
          <w:highlight w:val="none"/>
          <w:lang w:val="en-US" w:eastAsia="zh-CN"/>
        </w:rPr>
        <w:t>5.2</w:t>
      </w:r>
      <w:r>
        <w:rPr>
          <w:rFonts w:hint="eastAsia" w:ascii="宋体" w:hAnsi="宋体" w:eastAsia="宋体" w:cs="宋体"/>
          <w:b/>
          <w:bCs/>
          <w:color w:val="000000"/>
          <w:kern w:val="2"/>
          <w:sz w:val="24"/>
          <w:szCs w:val="24"/>
          <w:highlight w:val="none"/>
          <w:lang w:val="en-US" w:eastAsia="zh-CN"/>
        </w:rPr>
        <w:t>、</w:t>
      </w:r>
      <w:r>
        <w:rPr>
          <w:rFonts w:hint="eastAsia" w:ascii="宋体" w:hAnsi="宋体" w:eastAsia="宋体" w:cs="宋体"/>
          <w:b/>
          <w:bCs/>
          <w:color w:val="000000"/>
          <w:kern w:val="2"/>
          <w:sz w:val="24"/>
          <w:szCs w:val="24"/>
          <w:highlight w:val="none"/>
        </w:rPr>
        <w:t>法定代表人授权委托书</w:t>
      </w:r>
      <w:bookmarkEnd w:id="521"/>
      <w:bookmarkEnd w:id="522"/>
      <w:bookmarkEnd w:id="523"/>
      <w:bookmarkEnd w:id="524"/>
      <w:bookmarkEnd w:id="525"/>
    </w:p>
    <w:p w14:paraId="779AA089">
      <w:pPr>
        <w:pStyle w:val="52"/>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rPr>
      </w:pPr>
    </w:p>
    <w:tbl>
      <w:tblPr>
        <w:tblStyle w:val="20"/>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4"/>
        <w:gridCol w:w="2781"/>
        <w:gridCol w:w="2385"/>
        <w:gridCol w:w="1215"/>
      </w:tblGrid>
      <w:tr w14:paraId="7E15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536CD27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投标人（全称）</w:t>
            </w:r>
          </w:p>
        </w:tc>
        <w:tc>
          <w:tcPr>
            <w:tcW w:w="6381" w:type="dxa"/>
            <w:gridSpan w:val="3"/>
            <w:vAlign w:val="center"/>
          </w:tcPr>
          <w:p w14:paraId="36A38E18">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64CC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45DBEF43">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c>
          <w:tcPr>
            <w:tcW w:w="6381" w:type="dxa"/>
            <w:gridSpan w:val="3"/>
            <w:vAlign w:val="center"/>
          </w:tcPr>
          <w:p w14:paraId="4AC9A893">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3F29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3F8DD2C3">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2781" w:type="dxa"/>
            <w:vAlign w:val="center"/>
          </w:tcPr>
          <w:p w14:paraId="6C88C99C">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7E7BD288">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1215" w:type="dxa"/>
            <w:vAlign w:val="center"/>
          </w:tcPr>
          <w:p w14:paraId="6612C75B">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3C6D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1F6C20B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法人营业执照注册号</w:t>
            </w:r>
          </w:p>
        </w:tc>
        <w:tc>
          <w:tcPr>
            <w:tcW w:w="2781" w:type="dxa"/>
            <w:vAlign w:val="center"/>
          </w:tcPr>
          <w:p w14:paraId="705FEEE4">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1AA0A82C">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注册于（国家或地区）</w:t>
            </w:r>
          </w:p>
        </w:tc>
        <w:tc>
          <w:tcPr>
            <w:tcW w:w="1215" w:type="dxa"/>
            <w:vAlign w:val="center"/>
          </w:tcPr>
          <w:p w14:paraId="435A8046">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0EBE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24CDF118">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w:t>
            </w:r>
          </w:p>
        </w:tc>
        <w:tc>
          <w:tcPr>
            <w:tcW w:w="2781" w:type="dxa"/>
            <w:vAlign w:val="center"/>
          </w:tcPr>
          <w:p w14:paraId="22997B72">
            <w:pPr>
              <w:pageBreakBefore w:val="0"/>
              <w:kinsoku/>
              <w:wordWrap/>
              <w:overflowPunct/>
              <w:topLinePunct w:val="0"/>
              <w:bidi w:val="0"/>
              <w:spacing w:beforeAutospacing="0" w:afterAutospacing="0" w:line="400" w:lineRule="exact"/>
              <w:ind w:right="105"/>
              <w:rPr>
                <w:rFonts w:hint="eastAsia" w:ascii="宋体" w:hAnsi="宋体" w:eastAsia="宋体" w:cs="宋体"/>
                <w:sz w:val="24"/>
                <w:szCs w:val="24"/>
                <w:highlight w:val="none"/>
              </w:rPr>
            </w:pPr>
          </w:p>
        </w:tc>
        <w:tc>
          <w:tcPr>
            <w:tcW w:w="2385" w:type="dxa"/>
            <w:vAlign w:val="center"/>
          </w:tcPr>
          <w:p w14:paraId="568B4CD3">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授权代表人性别</w:t>
            </w:r>
          </w:p>
        </w:tc>
        <w:tc>
          <w:tcPr>
            <w:tcW w:w="1215" w:type="dxa"/>
            <w:vAlign w:val="center"/>
          </w:tcPr>
          <w:p w14:paraId="000F8BFA">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3B92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0FD04494">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授权代表人身份证号</w:t>
            </w:r>
          </w:p>
        </w:tc>
        <w:tc>
          <w:tcPr>
            <w:tcW w:w="2781" w:type="dxa"/>
            <w:vAlign w:val="center"/>
          </w:tcPr>
          <w:p w14:paraId="69327A96">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51553D7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授权代表人职务</w:t>
            </w:r>
          </w:p>
        </w:tc>
        <w:tc>
          <w:tcPr>
            <w:tcW w:w="1215" w:type="dxa"/>
            <w:vAlign w:val="center"/>
          </w:tcPr>
          <w:p w14:paraId="0FE608A9">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698E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66C03890">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781" w:type="dxa"/>
            <w:vAlign w:val="center"/>
          </w:tcPr>
          <w:p w14:paraId="6013152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21906185">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1215" w:type="dxa"/>
            <w:vAlign w:val="center"/>
          </w:tcPr>
          <w:p w14:paraId="7161C3E5">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bl>
    <w:p w14:paraId="229FE56E">
      <w:pPr>
        <w:pageBreakBefore w:val="0"/>
        <w:kinsoku/>
        <w:wordWrap/>
        <w:overflowPunct/>
        <w:topLinePunct w:val="0"/>
        <w:bidi w:val="0"/>
        <w:spacing w:beforeAutospacing="0" w:afterAutospacing="0" w:line="400" w:lineRule="exact"/>
        <w:ind w:left="2" w:firstLine="460" w:firstLineChars="192"/>
        <w:rPr>
          <w:rFonts w:hint="eastAsia" w:ascii="宋体" w:hAnsi="宋体" w:eastAsia="宋体" w:cs="宋体"/>
          <w:color w:val="000000"/>
          <w:sz w:val="24"/>
          <w:szCs w:val="24"/>
          <w:highlight w:val="none"/>
        </w:rPr>
      </w:pPr>
    </w:p>
    <w:p w14:paraId="15BF7AB5">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兹委托（            ）全权代表我企业（公司）参与</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sz w:val="24"/>
          <w:szCs w:val="24"/>
          <w:highlight w:val="none"/>
        </w:rPr>
        <w:t>（</w:t>
      </w:r>
      <w:r>
        <w:rPr>
          <w:rFonts w:hint="eastAsia" w:cs="宋体"/>
          <w:sz w:val="24"/>
          <w:szCs w:val="24"/>
          <w:highlight w:val="none"/>
          <w:lang w:eastAsia="zh-CN"/>
        </w:rPr>
        <w:t>项目编号</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rPr>
        <w:t>）的投标活动及签订合同，作为投标人代表以本公司的名义处理一切与之有关的事宜。（            ）以我企业（公司）名义所为的行为及签署的文件，我企业（公司）均予以认可。有关法律责任均由我企业（公司）承担。特此声明。</w:t>
      </w:r>
    </w:p>
    <w:p w14:paraId="08D75B03">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cs="宋体"/>
          <w:sz w:val="24"/>
          <w:szCs w:val="24"/>
          <w:highlight w:val="none"/>
          <w:lang w:val="en-US" w:eastAsia="zh-CN"/>
        </w:rPr>
        <w:t>投标</w:t>
      </w:r>
      <w:r>
        <w:rPr>
          <w:rFonts w:hint="eastAsia" w:ascii="宋体" w:hAnsi="宋体" w:eastAsia="宋体" w:cs="宋体"/>
          <w:sz w:val="24"/>
          <w:szCs w:val="24"/>
          <w:highlight w:val="none"/>
        </w:rPr>
        <w:t>有效期：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C8F8CBB">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签发日期：</w:t>
      </w:r>
      <w:r>
        <w:rPr>
          <w:rFonts w:hint="eastAsia" w:ascii="宋体" w:hAnsi="宋体" w:eastAsia="宋体" w:cs="宋体"/>
          <w:sz w:val="24"/>
          <w:szCs w:val="24"/>
          <w:highlight w:val="none"/>
          <w:u w:val="single"/>
        </w:rPr>
        <w:t xml:space="preserve">      年   月   日</w:t>
      </w:r>
      <w:r>
        <w:rPr>
          <w:rFonts w:hint="eastAsia" w:ascii="宋体" w:hAnsi="宋体" w:eastAsia="宋体" w:cs="宋体"/>
          <w:sz w:val="24"/>
          <w:szCs w:val="24"/>
          <w:highlight w:val="none"/>
        </w:rPr>
        <w:t>。</w:t>
      </w:r>
    </w:p>
    <w:p w14:paraId="1C1315F5">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投标单位（</w:t>
      </w:r>
      <w:r>
        <w:rPr>
          <w:rFonts w:hint="eastAsia" w:ascii="宋体" w:hAnsi="宋体" w:eastAsia="宋体" w:cs="宋体"/>
          <w:color w:val="000000"/>
          <w:sz w:val="24"/>
          <w:szCs w:val="24"/>
          <w:highlight w:val="none"/>
        </w:rPr>
        <w:t>单位</w:t>
      </w:r>
      <w:r>
        <w:rPr>
          <w:rFonts w:hint="eastAsia" w:ascii="宋体" w:hAnsi="宋体" w:eastAsia="宋体" w:cs="宋体"/>
          <w:sz w:val="24"/>
          <w:szCs w:val="24"/>
          <w:highlight w:val="none"/>
        </w:rPr>
        <w:t>公章）：</w:t>
      </w:r>
    </w:p>
    <w:p w14:paraId="23D7F7B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2439035</wp:posOffset>
                </wp:positionH>
                <wp:positionV relativeFrom="paragraph">
                  <wp:posOffset>70485</wp:posOffset>
                </wp:positionV>
                <wp:extent cx="3485515" cy="1979295"/>
                <wp:effectExtent l="4445" t="4445" r="15240" b="12700"/>
                <wp:wrapNone/>
                <wp:docPr id="20" name="矩形 20"/>
                <wp:cNvGraphicFramePr/>
                <a:graphic xmlns:a="http://schemas.openxmlformats.org/drawingml/2006/main">
                  <a:graphicData uri="http://schemas.microsoft.com/office/word/2010/wordprocessingShape">
                    <wps:wsp>
                      <wps:cNvSpPr/>
                      <wps:spPr>
                        <a:xfrm>
                          <a:off x="0" y="0"/>
                          <a:ext cx="3485515" cy="19792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EC53D5">
                            <w:pPr>
                              <w:rPr>
                                <w:rFonts w:eastAsia="黑体"/>
                                <w:b/>
                                <w:sz w:val="30"/>
                              </w:rPr>
                            </w:pPr>
                          </w:p>
                          <w:p w14:paraId="4496069C">
                            <w:pPr>
                              <w:rPr>
                                <w:rFonts w:eastAsia="黑体"/>
                                <w:b/>
                                <w:sz w:val="30"/>
                              </w:rPr>
                            </w:pPr>
                          </w:p>
                          <w:p w14:paraId="499FC08A">
                            <w:pPr>
                              <w:jc w:val="center"/>
                              <w:rPr>
                                <w:rFonts w:ascii="宋体"/>
                                <w:b/>
                                <w:bCs/>
                                <w:szCs w:val="21"/>
                              </w:rPr>
                            </w:pPr>
                            <w:r>
                              <w:rPr>
                                <w:rFonts w:hint="eastAsia" w:ascii="宋体"/>
                                <w:b/>
                                <w:color w:val="000000"/>
                              </w:rPr>
                              <w:t>法人及授权代表</w:t>
                            </w:r>
                            <w:r>
                              <w:rPr>
                                <w:rFonts w:hint="eastAsia" w:ascii="宋体"/>
                                <w:b/>
                                <w:bCs/>
                                <w:color w:val="000000"/>
                                <w:szCs w:val="21"/>
                              </w:rPr>
                              <w:t>身份证</w:t>
                            </w:r>
                            <w:r>
                              <w:rPr>
                                <w:rFonts w:hint="eastAsia" w:ascii="宋体"/>
                                <w:b/>
                                <w:bCs/>
                                <w:color w:val="000000"/>
                                <w:szCs w:val="21"/>
                                <w:lang w:val="en-US" w:eastAsia="zh-CN"/>
                              </w:rPr>
                              <w:t>正反面</w:t>
                            </w:r>
                            <w:r>
                              <w:rPr>
                                <w:rFonts w:hint="eastAsia" w:ascii="宋体"/>
                                <w:b/>
                                <w:bCs/>
                                <w:color w:val="000000"/>
                                <w:szCs w:val="21"/>
                              </w:rPr>
                              <w:t>复印件粘贴处</w:t>
                            </w:r>
                          </w:p>
                        </w:txbxContent>
                      </wps:txbx>
                      <wps:bodyPr upright="1"/>
                    </wps:wsp>
                  </a:graphicData>
                </a:graphic>
              </wp:anchor>
            </w:drawing>
          </mc:Choice>
          <mc:Fallback>
            <w:pict>
              <v:rect id="_x0000_s1026" o:spid="_x0000_s1026" o:spt="1" style="position:absolute;left:0pt;margin-left:192.05pt;margin-top:5.55pt;height:155.85pt;width:274.45pt;z-index:251659264;mso-width-relative:page;mso-height-relative:page;" fillcolor="#FFFFFF" filled="t" stroked="t" coordsize="21600,21600" o:gfxdata="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RKZedcAAAAKAQAADwAAAAAAAAABACAAAAAiAAAAZHJzL2Rv&#10;d25yZXYueG1sUEsBAhQAFAAAAAgAh07iQLvERyoCAgAALAQAAA4AAAAAAAAAAQAgAAAAJgEAAGRy&#10;cy9lMm9Eb2MueG1sUEsFBgAAAAAGAAYAWQEAAJoFAAAAAA==&#10;">
                <v:fill on="t" focussize="0,0"/>
                <v:stroke color="#000000" joinstyle="miter"/>
                <v:imagedata o:title=""/>
                <o:lock v:ext="edit" aspectratio="f"/>
                <v:textbox>
                  <w:txbxContent>
                    <w:p w14:paraId="70EC53D5">
                      <w:pPr>
                        <w:rPr>
                          <w:rFonts w:eastAsia="黑体"/>
                          <w:b/>
                          <w:sz w:val="30"/>
                        </w:rPr>
                      </w:pPr>
                    </w:p>
                    <w:p w14:paraId="4496069C">
                      <w:pPr>
                        <w:rPr>
                          <w:rFonts w:eastAsia="黑体"/>
                          <w:b/>
                          <w:sz w:val="30"/>
                        </w:rPr>
                      </w:pPr>
                    </w:p>
                    <w:p w14:paraId="499FC08A">
                      <w:pPr>
                        <w:jc w:val="center"/>
                        <w:rPr>
                          <w:rFonts w:ascii="宋体"/>
                          <w:b/>
                          <w:bCs/>
                          <w:szCs w:val="21"/>
                        </w:rPr>
                      </w:pPr>
                      <w:r>
                        <w:rPr>
                          <w:rFonts w:hint="eastAsia" w:ascii="宋体"/>
                          <w:b/>
                          <w:color w:val="000000"/>
                        </w:rPr>
                        <w:t>法人及授权代表</w:t>
                      </w:r>
                      <w:r>
                        <w:rPr>
                          <w:rFonts w:hint="eastAsia" w:ascii="宋体"/>
                          <w:b/>
                          <w:bCs/>
                          <w:color w:val="000000"/>
                          <w:szCs w:val="21"/>
                        </w:rPr>
                        <w:t>身份证</w:t>
                      </w:r>
                      <w:r>
                        <w:rPr>
                          <w:rFonts w:hint="eastAsia" w:ascii="宋体"/>
                          <w:b/>
                          <w:bCs/>
                          <w:color w:val="000000"/>
                          <w:szCs w:val="21"/>
                          <w:lang w:val="en-US" w:eastAsia="zh-CN"/>
                        </w:rPr>
                        <w:t>正反面</w:t>
                      </w:r>
                      <w:r>
                        <w:rPr>
                          <w:rFonts w:hint="eastAsia" w:ascii="宋体"/>
                          <w:b/>
                          <w:bCs/>
                          <w:color w:val="000000"/>
                          <w:szCs w:val="21"/>
                        </w:rPr>
                        <w:t>复印件粘贴处</w:t>
                      </w:r>
                    </w:p>
                  </w:txbxContent>
                </v:textbox>
              </v:rect>
            </w:pict>
          </mc:Fallback>
        </mc:AlternateContent>
      </w:r>
    </w:p>
    <w:p w14:paraId="3DE857D6">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w:t>
      </w:r>
    </w:p>
    <w:p w14:paraId="7C302938">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402D0C31">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授权代表人签字或盖章：</w:t>
      </w:r>
    </w:p>
    <w:p w14:paraId="6E2E8936">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07233730">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733003AD">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3D757446">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258FBABD">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23B55A59">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3086E45B">
      <w:pPr>
        <w:pStyle w:val="9"/>
        <w:pageBreakBefore w:val="0"/>
        <w:kinsoku/>
        <w:wordWrap/>
        <w:overflowPunct/>
        <w:topLinePunct w:val="0"/>
        <w:bidi w:val="0"/>
        <w:spacing w:beforeAutospacing="0" w:afterAutospacing="0" w:line="400" w:lineRule="exact"/>
        <w:ind w:left="0" w:leftChars="0" w:firstLine="0" w:firstLineChars="0"/>
        <w:jc w:val="left"/>
        <w:rPr>
          <w:rFonts w:hint="eastAsia" w:ascii="宋体" w:hAnsi="宋体" w:cs="宋体"/>
          <w:b/>
          <w:color w:val="000000"/>
          <w:sz w:val="24"/>
          <w:szCs w:val="24"/>
          <w:highlight w:val="none"/>
          <w:lang w:val="en-US" w:eastAsia="zh-CN"/>
        </w:rPr>
      </w:pPr>
    </w:p>
    <w:p w14:paraId="7E34652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sz w:val="24"/>
          <w:szCs w:val="24"/>
          <w:lang w:val="en-US" w:eastAsia="zh-CN"/>
        </w:rPr>
      </w:pPr>
      <w:r>
        <w:rPr>
          <w:rFonts w:hint="eastAsia" w:cs="宋体"/>
          <w:b/>
          <w:bCs/>
          <w:sz w:val="24"/>
          <w:szCs w:val="24"/>
          <w:lang w:val="en-US" w:eastAsia="zh-CN"/>
        </w:rPr>
        <w:t>6.</w:t>
      </w:r>
      <w:r>
        <w:rPr>
          <w:rFonts w:hint="eastAsia" w:ascii="宋体" w:hAnsi="宋体" w:eastAsia="宋体" w:cs="宋体"/>
          <w:b/>
          <w:bCs/>
          <w:sz w:val="24"/>
          <w:szCs w:val="24"/>
          <w:lang w:val="en-US" w:eastAsia="zh-CN"/>
        </w:rPr>
        <w:t>投标人认为需要提交的其他资料</w:t>
      </w:r>
    </w:p>
    <w:p w14:paraId="6D556DEB">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11FA1983">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04AB38CA">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50B15308">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6DAF4E08">
      <w:pPr>
        <w:pStyle w:val="9"/>
        <w:pageBreakBefore w:val="0"/>
        <w:kinsoku/>
        <w:wordWrap/>
        <w:overflowPunct/>
        <w:topLinePunct w:val="0"/>
        <w:bidi w:val="0"/>
        <w:spacing w:beforeAutospacing="0" w:afterAutospacing="0" w:line="400" w:lineRule="exact"/>
        <w:ind w:firstLine="643"/>
        <w:jc w:val="left"/>
        <w:rPr>
          <w:rFonts w:hint="default"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二、报价文件</w:t>
      </w:r>
    </w:p>
    <w:p w14:paraId="441592D1">
      <w:pPr>
        <w:pStyle w:val="8"/>
        <w:spacing w:before="155" w:line="223" w:lineRule="auto"/>
        <w:ind w:left="4"/>
        <w:jc w:val="center"/>
        <w:rPr>
          <w:rFonts w:ascii="宋体"/>
          <w:spacing w:val="-5"/>
          <w:sz w:val="24"/>
          <w:szCs w:val="24"/>
        </w:rPr>
      </w:pPr>
      <w:r>
        <w:rPr>
          <w:rFonts w:hint="eastAsia" w:ascii="宋体"/>
          <w:spacing w:val="-5"/>
          <w:sz w:val="24"/>
          <w:szCs w:val="24"/>
          <w:lang w:val="en-US" w:eastAsia="zh-CN"/>
        </w:rPr>
        <w:t>1</w:t>
      </w:r>
      <w:r>
        <w:rPr>
          <w:rFonts w:hint="eastAsia"/>
          <w:spacing w:val="-5"/>
          <w:sz w:val="24"/>
          <w:szCs w:val="24"/>
          <w:lang w:val="en-US" w:eastAsia="zh-CN"/>
        </w:rPr>
        <w:t>.</w:t>
      </w:r>
      <w:r>
        <w:rPr>
          <w:rFonts w:ascii="宋体"/>
          <w:spacing w:val="-5"/>
          <w:sz w:val="24"/>
          <w:szCs w:val="24"/>
        </w:rPr>
        <w:t>响应书</w:t>
      </w:r>
    </w:p>
    <w:p w14:paraId="0272C060">
      <w:pPr>
        <w:pStyle w:val="8"/>
        <w:spacing w:before="155" w:line="223" w:lineRule="auto"/>
        <w:ind w:left="4"/>
        <w:rPr>
          <w:sz w:val="24"/>
          <w:szCs w:val="24"/>
        </w:rPr>
      </w:pPr>
      <w:r>
        <w:rPr>
          <w:spacing w:val="-5"/>
          <w:sz w:val="24"/>
          <w:szCs w:val="24"/>
        </w:rPr>
        <w:t>致（</w:t>
      </w:r>
      <w:r>
        <w:rPr>
          <w:rFonts w:hint="eastAsia"/>
          <w:spacing w:val="-5"/>
          <w:sz w:val="24"/>
          <w:szCs w:val="24"/>
          <w:lang w:eastAsia="zh-CN"/>
        </w:rPr>
        <w:t>采购人</w:t>
      </w:r>
      <w:r>
        <w:rPr>
          <w:sz w:val="24"/>
          <w:szCs w:val="24"/>
        </w:rPr>
        <w:t>）：</w:t>
      </w:r>
    </w:p>
    <w:p w14:paraId="70A2C54C">
      <w:pPr>
        <w:pStyle w:val="8"/>
        <w:spacing w:before="81" w:line="249" w:lineRule="auto"/>
        <w:ind w:right="2" w:firstLine="563"/>
        <w:rPr>
          <w:sz w:val="24"/>
          <w:szCs w:val="24"/>
        </w:rPr>
      </w:pPr>
      <w:r>
        <w:rPr>
          <w:spacing w:val="-1"/>
          <w:sz w:val="24"/>
          <w:szCs w:val="24"/>
        </w:rPr>
        <w:t>根据已收到的</w:t>
      </w:r>
      <w:r>
        <w:rPr>
          <w:spacing w:val="3"/>
          <w:sz w:val="24"/>
          <w:szCs w:val="24"/>
          <w:u w:val="single" w:color="auto"/>
        </w:rPr>
        <w:t xml:space="preserve">                     </w:t>
      </w:r>
      <w:r>
        <w:rPr>
          <w:spacing w:val="2"/>
          <w:sz w:val="24"/>
          <w:szCs w:val="24"/>
          <w:u w:val="single" w:color="auto"/>
        </w:rPr>
        <w:t xml:space="preserve">       </w:t>
      </w:r>
      <w:r>
        <w:rPr>
          <w:spacing w:val="-103"/>
          <w:sz w:val="24"/>
          <w:szCs w:val="24"/>
        </w:rPr>
        <w:t xml:space="preserve"> </w:t>
      </w:r>
      <w:r>
        <w:rPr>
          <w:spacing w:val="-1"/>
          <w:sz w:val="24"/>
          <w:szCs w:val="24"/>
        </w:rPr>
        <w:t>的磋商文件，我单位经考察</w:t>
      </w:r>
      <w:r>
        <w:rPr>
          <w:sz w:val="24"/>
          <w:szCs w:val="24"/>
        </w:rPr>
        <w:t xml:space="preserve"> </w:t>
      </w:r>
      <w:r>
        <w:rPr>
          <w:spacing w:val="-1"/>
          <w:sz w:val="24"/>
          <w:szCs w:val="24"/>
        </w:rPr>
        <w:t>现场并充分研究贵方的磋商文件后，我方提出以下承诺：</w:t>
      </w:r>
    </w:p>
    <w:p w14:paraId="2172C348">
      <w:pPr>
        <w:pStyle w:val="8"/>
        <w:spacing w:before="86" w:line="258" w:lineRule="auto"/>
        <w:ind w:right="2" w:firstLine="573"/>
        <w:rPr>
          <w:sz w:val="24"/>
          <w:szCs w:val="24"/>
        </w:rPr>
      </w:pPr>
      <w:r>
        <w:rPr>
          <w:spacing w:val="2"/>
          <w:sz w:val="24"/>
          <w:szCs w:val="24"/>
        </w:rPr>
        <w:t>1、我方愿以人民币（大写）</w:t>
      </w:r>
      <w:r>
        <w:rPr>
          <w:spacing w:val="2"/>
          <w:sz w:val="24"/>
          <w:szCs w:val="24"/>
          <w:u w:val="single" w:color="auto"/>
        </w:rPr>
        <w:t xml:space="preserve">         </w:t>
      </w:r>
      <w:r>
        <w:rPr>
          <w:spacing w:val="-107"/>
          <w:sz w:val="24"/>
          <w:szCs w:val="24"/>
        </w:rPr>
        <w:t xml:space="preserve"> </w:t>
      </w:r>
      <w:r>
        <w:rPr>
          <w:spacing w:val="2"/>
          <w:sz w:val="24"/>
          <w:szCs w:val="24"/>
        </w:rPr>
        <w:t>元(</w:t>
      </w:r>
      <w:r>
        <w:rPr>
          <w:rFonts w:ascii="宋体" w:hAnsi="宋体" w:eastAsia="宋体" w:cs="宋体"/>
          <w:spacing w:val="2"/>
          <w:sz w:val="24"/>
          <w:szCs w:val="24"/>
        </w:rPr>
        <w:t>¥</w:t>
      </w:r>
      <w:r>
        <w:rPr>
          <w:rFonts w:ascii="宋体" w:hAnsi="宋体" w:eastAsia="宋体" w:cs="宋体"/>
          <w:spacing w:val="-139"/>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92"/>
          <w:sz w:val="24"/>
          <w:szCs w:val="24"/>
        </w:rPr>
        <w:t xml:space="preserve"> </w:t>
      </w:r>
      <w:r>
        <w:rPr>
          <w:spacing w:val="2"/>
          <w:sz w:val="24"/>
          <w:szCs w:val="24"/>
        </w:rPr>
        <w:t>)</w:t>
      </w:r>
      <w:r>
        <w:rPr>
          <w:spacing w:val="57"/>
          <w:sz w:val="24"/>
          <w:szCs w:val="24"/>
        </w:rPr>
        <w:t xml:space="preserve"> </w:t>
      </w:r>
      <w:r>
        <w:rPr>
          <w:spacing w:val="2"/>
          <w:sz w:val="24"/>
          <w:szCs w:val="24"/>
        </w:rPr>
        <w:t>的磋商总报价</w:t>
      </w:r>
      <w:r>
        <w:rPr>
          <w:spacing w:val="-4"/>
          <w:sz w:val="24"/>
          <w:szCs w:val="24"/>
        </w:rPr>
        <w:t>（分项报价见已标价的工程量清单</w:t>
      </w:r>
      <w:r>
        <w:rPr>
          <w:spacing w:val="13"/>
          <w:sz w:val="24"/>
          <w:szCs w:val="24"/>
        </w:rPr>
        <w:t>），</w:t>
      </w:r>
      <w:r>
        <w:rPr>
          <w:rFonts w:hint="eastAsia"/>
          <w:spacing w:val="13"/>
          <w:sz w:val="24"/>
          <w:szCs w:val="24"/>
          <w:lang w:val="en-US" w:eastAsia="zh-CN"/>
        </w:rPr>
        <w:t>履约期限</w:t>
      </w:r>
      <w:r>
        <w:rPr>
          <w:spacing w:val="-4"/>
          <w:sz w:val="24"/>
          <w:szCs w:val="24"/>
          <w:u w:val="single" w:color="auto"/>
        </w:rPr>
        <w:t xml:space="preserve">          </w:t>
      </w:r>
      <w:r>
        <w:rPr>
          <w:spacing w:val="81"/>
          <w:sz w:val="24"/>
          <w:szCs w:val="24"/>
        </w:rPr>
        <w:t xml:space="preserve"> </w:t>
      </w:r>
      <w:r>
        <w:rPr>
          <w:spacing w:val="-4"/>
          <w:sz w:val="24"/>
          <w:szCs w:val="24"/>
        </w:rPr>
        <w:t>日历天，按上述磋商文</w:t>
      </w:r>
      <w:r>
        <w:rPr>
          <w:spacing w:val="-1"/>
          <w:sz w:val="24"/>
          <w:szCs w:val="24"/>
        </w:rPr>
        <w:t>件规定的条件和要求承包合同规定的全部工作，并承担相关的责任。</w:t>
      </w:r>
    </w:p>
    <w:p w14:paraId="4E50FD1F">
      <w:pPr>
        <w:pStyle w:val="8"/>
        <w:spacing w:before="84" w:line="250" w:lineRule="auto"/>
        <w:ind w:left="1" w:right="2" w:firstLine="555"/>
        <w:rPr>
          <w:sz w:val="24"/>
          <w:szCs w:val="24"/>
        </w:rPr>
      </w:pPr>
      <w:r>
        <w:rPr>
          <w:spacing w:val="-1"/>
          <w:sz w:val="24"/>
          <w:szCs w:val="24"/>
        </w:rPr>
        <w:t>2、一旦我方中标，我方保证按照所报的项目经理及项目管理班</w:t>
      </w:r>
      <w:r>
        <w:rPr>
          <w:spacing w:val="-2"/>
          <w:sz w:val="24"/>
          <w:szCs w:val="24"/>
        </w:rPr>
        <w:t>子承包上述</w:t>
      </w:r>
      <w:r>
        <w:rPr>
          <w:spacing w:val="-6"/>
          <w:sz w:val="24"/>
          <w:szCs w:val="24"/>
        </w:rPr>
        <w:t>项目；</w:t>
      </w:r>
    </w:p>
    <w:p w14:paraId="7F783CA4">
      <w:pPr>
        <w:pStyle w:val="8"/>
        <w:spacing w:before="81" w:line="249" w:lineRule="auto"/>
        <w:ind w:left="3" w:firstLine="556"/>
        <w:rPr>
          <w:sz w:val="24"/>
          <w:szCs w:val="24"/>
        </w:rPr>
      </w:pPr>
      <w:r>
        <w:rPr>
          <w:spacing w:val="-1"/>
          <w:sz w:val="24"/>
          <w:szCs w:val="24"/>
        </w:rPr>
        <w:t>3、一旦我方中标，我方保证在收到贵方发出的施工许可证后立</w:t>
      </w:r>
      <w:r>
        <w:rPr>
          <w:spacing w:val="-2"/>
          <w:sz w:val="24"/>
          <w:szCs w:val="24"/>
        </w:rPr>
        <w:t>即开工，并在我方承诺在合同约定的期限内竣工。</w:t>
      </w:r>
    </w:p>
    <w:p w14:paraId="03E8359C">
      <w:pPr>
        <w:pStyle w:val="8"/>
        <w:spacing w:before="85" w:line="222" w:lineRule="auto"/>
        <w:ind w:left="552"/>
        <w:rPr>
          <w:sz w:val="24"/>
          <w:szCs w:val="24"/>
        </w:rPr>
      </w:pPr>
      <w:r>
        <w:rPr>
          <w:sz w:val="24"/>
          <w:szCs w:val="24"/>
        </w:rPr>
        <w:t>4、如果我方中标，我方确保工程质量等级( 合</w:t>
      </w:r>
      <w:r>
        <w:rPr>
          <w:spacing w:val="-1"/>
          <w:sz w:val="24"/>
          <w:szCs w:val="24"/>
        </w:rPr>
        <w:t>格 )交付全部工程。</w:t>
      </w:r>
    </w:p>
    <w:p w14:paraId="0DDDC069">
      <w:pPr>
        <w:pStyle w:val="8"/>
        <w:spacing w:before="81" w:line="249" w:lineRule="auto"/>
        <w:ind w:left="3" w:firstLine="556"/>
        <w:rPr>
          <w:rFonts w:ascii="宋体"/>
          <w:spacing w:val="-2"/>
          <w:sz w:val="24"/>
          <w:szCs w:val="24"/>
        </w:rPr>
      </w:pPr>
      <w:r>
        <w:rPr>
          <w:rFonts w:ascii="宋体"/>
          <w:spacing w:val="-2"/>
          <w:sz w:val="24"/>
          <w:szCs w:val="24"/>
        </w:rPr>
        <w:t>5、我方同意按磋商文件的规定，本响应文件的有效期为开标日后60天。</w:t>
      </w:r>
    </w:p>
    <w:p w14:paraId="05A036ED">
      <w:pPr>
        <w:pStyle w:val="8"/>
        <w:spacing w:before="81" w:line="249" w:lineRule="auto"/>
        <w:ind w:left="3" w:firstLine="556"/>
        <w:rPr>
          <w:rFonts w:ascii="宋体"/>
          <w:spacing w:val="-2"/>
          <w:sz w:val="24"/>
          <w:szCs w:val="24"/>
        </w:rPr>
      </w:pPr>
      <w:r>
        <w:rPr>
          <w:rFonts w:ascii="宋体"/>
          <w:spacing w:val="-2"/>
          <w:sz w:val="24"/>
          <w:szCs w:val="24"/>
        </w:rPr>
        <w:t>6、如果我方中标，我方将按照磋商文件的规定，提交规定数额的银行保函作为本工程的履约保证金，并对此共同地和分别地承担责任。</w:t>
      </w:r>
    </w:p>
    <w:p w14:paraId="431C6110">
      <w:pPr>
        <w:pStyle w:val="8"/>
        <w:spacing w:before="81" w:line="249" w:lineRule="auto"/>
        <w:ind w:left="3" w:firstLine="556"/>
        <w:rPr>
          <w:rFonts w:ascii="宋体"/>
          <w:spacing w:val="-2"/>
          <w:sz w:val="24"/>
          <w:szCs w:val="24"/>
        </w:rPr>
      </w:pPr>
      <w:r>
        <w:rPr>
          <w:rFonts w:ascii="宋体"/>
          <w:spacing w:val="-2"/>
          <w:sz w:val="24"/>
          <w:szCs w:val="24"/>
        </w:rPr>
        <w:t>7、在签署合同协议书之前，你方的</w:t>
      </w:r>
      <w:r>
        <w:rPr>
          <w:rFonts w:hint="eastAsia"/>
          <w:spacing w:val="-2"/>
          <w:sz w:val="24"/>
          <w:szCs w:val="24"/>
          <w:lang w:eastAsia="zh-CN"/>
        </w:rPr>
        <w:t>中标通知书</w:t>
      </w:r>
      <w:r>
        <w:rPr>
          <w:rFonts w:ascii="宋体"/>
          <w:spacing w:val="-2"/>
          <w:sz w:val="24"/>
          <w:szCs w:val="24"/>
        </w:rPr>
        <w:t>和本响应文件将构成约束我们双方的契约。</w:t>
      </w:r>
    </w:p>
    <w:p w14:paraId="65CDA4AF">
      <w:pPr>
        <w:pStyle w:val="8"/>
        <w:spacing w:before="81" w:line="249" w:lineRule="auto"/>
        <w:ind w:left="3" w:firstLine="556"/>
        <w:rPr>
          <w:rFonts w:ascii="Arial"/>
          <w:sz w:val="24"/>
          <w:szCs w:val="24"/>
        </w:rPr>
      </w:pPr>
      <w:r>
        <w:rPr>
          <w:rFonts w:ascii="宋体"/>
          <w:spacing w:val="-2"/>
          <w:sz w:val="24"/>
          <w:szCs w:val="24"/>
        </w:rPr>
        <w:t>8、我方理解你们将不必接受你们所收到的最低标价或者其他任何响应文件的约束。</w:t>
      </w:r>
    </w:p>
    <w:p w14:paraId="0B4D5933">
      <w:pPr>
        <w:pStyle w:val="8"/>
        <w:spacing w:before="92" w:line="222" w:lineRule="auto"/>
        <w:ind w:left="3772"/>
        <w:rPr>
          <w:spacing w:val="2"/>
          <w:sz w:val="24"/>
          <w:szCs w:val="24"/>
        </w:rPr>
      </w:pPr>
    </w:p>
    <w:p w14:paraId="72147615">
      <w:pPr>
        <w:pStyle w:val="8"/>
        <w:spacing w:before="92" w:line="222" w:lineRule="auto"/>
        <w:ind w:left="3772"/>
        <w:rPr>
          <w:spacing w:val="2"/>
          <w:sz w:val="24"/>
          <w:szCs w:val="24"/>
        </w:rPr>
      </w:pPr>
    </w:p>
    <w:p w14:paraId="7C9273A3">
      <w:pPr>
        <w:pStyle w:val="8"/>
        <w:spacing w:before="92" w:line="222" w:lineRule="auto"/>
        <w:ind w:left="3772"/>
        <w:rPr>
          <w:spacing w:val="2"/>
          <w:sz w:val="24"/>
          <w:szCs w:val="24"/>
        </w:rPr>
      </w:pPr>
    </w:p>
    <w:p w14:paraId="25E1B651">
      <w:pPr>
        <w:pStyle w:val="8"/>
        <w:spacing w:before="92" w:line="222" w:lineRule="auto"/>
        <w:ind w:left="3772"/>
        <w:rPr>
          <w:spacing w:val="2"/>
          <w:sz w:val="24"/>
          <w:szCs w:val="24"/>
        </w:rPr>
      </w:pPr>
    </w:p>
    <w:p w14:paraId="0B3C5AD8">
      <w:pPr>
        <w:pStyle w:val="8"/>
        <w:spacing w:before="92" w:line="222" w:lineRule="auto"/>
        <w:ind w:left="3772"/>
        <w:rPr>
          <w:spacing w:val="2"/>
          <w:sz w:val="24"/>
          <w:szCs w:val="24"/>
        </w:rPr>
      </w:pPr>
    </w:p>
    <w:p w14:paraId="381AF920">
      <w:pPr>
        <w:pStyle w:val="8"/>
        <w:spacing w:before="92" w:line="222" w:lineRule="auto"/>
        <w:ind w:left="3772"/>
        <w:rPr>
          <w:spacing w:val="2"/>
          <w:sz w:val="24"/>
          <w:szCs w:val="24"/>
        </w:rPr>
      </w:pPr>
    </w:p>
    <w:p w14:paraId="2405B1B5">
      <w:pPr>
        <w:pStyle w:val="8"/>
        <w:spacing w:before="92" w:line="222" w:lineRule="auto"/>
        <w:ind w:left="3772"/>
        <w:rPr>
          <w:sz w:val="24"/>
          <w:szCs w:val="24"/>
        </w:rPr>
      </w:pPr>
      <w:r>
        <w:rPr>
          <w:spacing w:val="2"/>
          <w:sz w:val="24"/>
          <w:szCs w:val="24"/>
        </w:rPr>
        <w:t>供应商</w:t>
      </w:r>
      <w:r>
        <w:rPr>
          <w:spacing w:val="-18"/>
          <w:sz w:val="24"/>
          <w:szCs w:val="24"/>
        </w:rPr>
        <w:t>：</w:t>
      </w:r>
      <w:r>
        <w:rPr>
          <w:sz w:val="24"/>
          <w:szCs w:val="24"/>
          <w:u w:val="single" w:color="auto"/>
        </w:rPr>
        <w:t xml:space="preserve">                  </w:t>
      </w:r>
      <w:r>
        <w:rPr>
          <w:spacing w:val="-18"/>
          <w:sz w:val="24"/>
          <w:szCs w:val="24"/>
        </w:rPr>
        <w:t>（</w:t>
      </w:r>
      <w:r>
        <w:rPr>
          <w:spacing w:val="2"/>
          <w:sz w:val="24"/>
          <w:szCs w:val="24"/>
        </w:rPr>
        <w:t>盖单位章）</w:t>
      </w:r>
    </w:p>
    <w:p w14:paraId="1191ECD0">
      <w:pPr>
        <w:pStyle w:val="8"/>
        <w:spacing w:before="83" w:line="255" w:lineRule="auto"/>
        <w:ind w:left="3781" w:right="19" w:hanging="13"/>
        <w:rPr>
          <w:spacing w:val="-1"/>
          <w:sz w:val="24"/>
          <w:szCs w:val="24"/>
        </w:rPr>
      </w:pPr>
      <w:r>
        <w:rPr>
          <w:spacing w:val="-1"/>
          <w:sz w:val="24"/>
          <w:szCs w:val="24"/>
        </w:rPr>
        <w:t>法定代表人或其委托代理人</w:t>
      </w:r>
      <w:r>
        <w:rPr>
          <w:spacing w:val="-15"/>
          <w:sz w:val="24"/>
          <w:szCs w:val="24"/>
        </w:rPr>
        <w:t>：</w:t>
      </w:r>
      <w:r>
        <w:rPr>
          <w:sz w:val="24"/>
          <w:szCs w:val="24"/>
          <w:u w:val="single" w:color="auto"/>
        </w:rPr>
        <w:t xml:space="preserve">        </w:t>
      </w:r>
      <w:r>
        <w:rPr>
          <w:spacing w:val="-15"/>
          <w:sz w:val="24"/>
          <w:szCs w:val="24"/>
        </w:rPr>
        <w:t>（</w:t>
      </w:r>
      <w:r>
        <w:rPr>
          <w:spacing w:val="-1"/>
          <w:sz w:val="24"/>
          <w:szCs w:val="24"/>
        </w:rPr>
        <w:t>签字）</w:t>
      </w:r>
    </w:p>
    <w:p w14:paraId="1B81664B">
      <w:pPr>
        <w:pStyle w:val="8"/>
        <w:spacing w:before="83" w:line="255" w:lineRule="auto"/>
        <w:ind w:left="3781" w:right="19" w:hanging="13"/>
        <w:rPr>
          <w:sz w:val="24"/>
          <w:szCs w:val="24"/>
        </w:rPr>
      </w:pPr>
      <w:r>
        <w:rPr>
          <w:spacing w:val="-6"/>
          <w:sz w:val="24"/>
          <w:szCs w:val="24"/>
        </w:rPr>
        <w:t>地址：</w:t>
      </w:r>
    </w:p>
    <w:p w14:paraId="7CD435B6">
      <w:pPr>
        <w:pStyle w:val="8"/>
        <w:spacing w:before="67" w:line="420" w:lineRule="exact"/>
        <w:ind w:left="3811"/>
        <w:rPr>
          <w:sz w:val="24"/>
          <w:szCs w:val="24"/>
        </w:rPr>
      </w:pPr>
      <w:r>
        <w:rPr>
          <w:spacing w:val="-16"/>
          <w:position w:val="9"/>
          <w:sz w:val="24"/>
          <w:szCs w:val="24"/>
        </w:rPr>
        <w:t>电话：</w:t>
      </w:r>
    </w:p>
    <w:p w14:paraId="7E818AC9">
      <w:pPr>
        <w:pStyle w:val="8"/>
        <w:spacing w:before="82" w:line="222" w:lineRule="auto"/>
        <w:ind w:left="3801"/>
        <w:rPr>
          <w:sz w:val="24"/>
          <w:szCs w:val="24"/>
        </w:rPr>
      </w:pPr>
      <w:r>
        <w:rPr>
          <w:spacing w:val="-8"/>
          <w:sz w:val="24"/>
          <w:szCs w:val="24"/>
        </w:rPr>
        <w:t>邮政编码：</w:t>
      </w:r>
    </w:p>
    <w:p w14:paraId="150584EF">
      <w:pPr>
        <w:spacing w:line="303" w:lineRule="auto"/>
        <w:rPr>
          <w:rFonts w:ascii="Arial"/>
          <w:sz w:val="24"/>
          <w:szCs w:val="24"/>
        </w:rPr>
      </w:pPr>
    </w:p>
    <w:p w14:paraId="63B3557F">
      <w:pPr>
        <w:spacing w:line="304" w:lineRule="auto"/>
        <w:rPr>
          <w:rFonts w:ascii="Arial"/>
          <w:sz w:val="24"/>
          <w:szCs w:val="24"/>
        </w:rPr>
      </w:pPr>
    </w:p>
    <w:p w14:paraId="4F54DC6A">
      <w:pPr>
        <w:pStyle w:val="8"/>
        <w:tabs>
          <w:tab w:val="left" w:pos="4742"/>
        </w:tabs>
        <w:spacing w:before="91" w:line="223" w:lineRule="auto"/>
        <w:ind w:left="3761"/>
        <w:rPr>
          <w:sz w:val="24"/>
          <w:szCs w:val="24"/>
        </w:rPr>
      </w:pPr>
      <w:r>
        <w:rPr>
          <w:sz w:val="24"/>
          <w:szCs w:val="24"/>
          <w:u w:val="single" w:color="auto"/>
        </w:rPr>
        <w:tab/>
      </w:r>
      <w:r>
        <w:rPr>
          <w:spacing w:val="-115"/>
          <w:sz w:val="24"/>
          <w:szCs w:val="24"/>
        </w:rPr>
        <w:t xml:space="preserve"> </w:t>
      </w:r>
      <w:r>
        <w:rPr>
          <w:spacing w:val="-18"/>
          <w:sz w:val="24"/>
          <w:szCs w:val="24"/>
        </w:rPr>
        <w:t>年</w:t>
      </w:r>
      <w:r>
        <w:rPr>
          <w:spacing w:val="34"/>
          <w:sz w:val="24"/>
          <w:szCs w:val="24"/>
          <w:u w:val="single" w:color="auto"/>
        </w:rPr>
        <w:t xml:space="preserve">    </w:t>
      </w:r>
      <w:r>
        <w:rPr>
          <w:spacing w:val="-107"/>
          <w:sz w:val="24"/>
          <w:szCs w:val="24"/>
        </w:rPr>
        <w:t xml:space="preserve"> </w:t>
      </w:r>
      <w:r>
        <w:rPr>
          <w:spacing w:val="-18"/>
          <w:sz w:val="24"/>
          <w:szCs w:val="24"/>
        </w:rPr>
        <w:t>月</w:t>
      </w:r>
      <w:r>
        <w:rPr>
          <w:spacing w:val="34"/>
          <w:sz w:val="24"/>
          <w:szCs w:val="24"/>
          <w:u w:val="single" w:color="auto"/>
        </w:rPr>
        <w:t xml:space="preserve">    </w:t>
      </w:r>
      <w:r>
        <w:rPr>
          <w:spacing w:val="-60"/>
          <w:sz w:val="24"/>
          <w:szCs w:val="24"/>
        </w:rPr>
        <w:t xml:space="preserve"> </w:t>
      </w:r>
      <w:r>
        <w:rPr>
          <w:spacing w:val="-18"/>
          <w:sz w:val="24"/>
          <w:szCs w:val="24"/>
        </w:rPr>
        <w:t>日</w:t>
      </w:r>
    </w:p>
    <w:p w14:paraId="1328255A">
      <w:pPr>
        <w:spacing w:line="223" w:lineRule="auto"/>
        <w:rPr>
          <w:sz w:val="24"/>
          <w:szCs w:val="24"/>
        </w:rPr>
        <w:sectPr>
          <w:footerReference r:id="rId20" w:type="default"/>
          <w:pgSz w:w="11906" w:h="16839"/>
          <w:pgMar w:top="840" w:right="1132" w:bottom="1012" w:left="1150" w:header="0" w:footer="850" w:gutter="0"/>
          <w:pgNumType w:fmt="decimal"/>
          <w:cols w:space="720" w:num="1"/>
        </w:sectPr>
      </w:pPr>
    </w:p>
    <w:p w14:paraId="670758B4">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2.报价</w:t>
      </w:r>
      <w:r>
        <w:rPr>
          <w:rFonts w:hint="eastAsia" w:ascii="宋体" w:hAnsi="宋体" w:eastAsia="宋体" w:cs="宋体"/>
          <w:b/>
          <w:bCs/>
          <w:color w:val="auto"/>
          <w:sz w:val="30"/>
          <w:szCs w:val="30"/>
          <w:highlight w:val="none"/>
        </w:rPr>
        <w:t>一览表(首次报价表)</w:t>
      </w:r>
    </w:p>
    <w:p w14:paraId="22AFAB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D71C97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p>
    <w:p w14:paraId="6A6D08F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tbl>
      <w:tblPr>
        <w:tblStyle w:val="20"/>
        <w:tblW w:w="87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7"/>
        <w:gridCol w:w="2480"/>
        <w:gridCol w:w="883"/>
        <w:gridCol w:w="1247"/>
        <w:gridCol w:w="995"/>
        <w:gridCol w:w="1137"/>
        <w:gridCol w:w="1152"/>
      </w:tblGrid>
      <w:tr w14:paraId="02A71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897" w:type="dxa"/>
            <w:tcBorders>
              <w:top w:val="single" w:color="000000" w:sz="4" w:space="0"/>
              <w:left w:val="single" w:color="000000" w:sz="4" w:space="0"/>
              <w:bottom w:val="single" w:color="000000" w:sz="4" w:space="0"/>
              <w:right w:val="single" w:color="000000" w:sz="4" w:space="0"/>
            </w:tcBorders>
            <w:noWrap w:val="0"/>
            <w:vAlign w:val="center"/>
          </w:tcPr>
          <w:p w14:paraId="460575BC">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r>
              <w:rPr>
                <w:rFonts w:hint="eastAsia" w:ascii="宋体" w:hAnsi="Calibri" w:eastAsia="Calibri" w:cs="Calibri"/>
                <w:color w:val="000000"/>
                <w:spacing w:val="-3"/>
                <w:kern w:val="2"/>
                <w:sz w:val="24"/>
                <w:szCs w:val="24"/>
                <w:lang w:val="en-US" w:eastAsia="zh-CN" w:bidi="ar-SA"/>
              </w:rPr>
              <w:t>序号</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13B5C196">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r>
              <w:rPr>
                <w:rFonts w:hint="eastAsia" w:ascii="宋体" w:hAnsi="Calibri" w:eastAsia="Calibri" w:cs="Calibri"/>
                <w:color w:val="000000"/>
                <w:spacing w:val="-3"/>
                <w:kern w:val="2"/>
                <w:sz w:val="24"/>
                <w:szCs w:val="24"/>
                <w:lang w:val="en-US" w:eastAsia="zh-CN" w:bidi="ar-SA"/>
              </w:rPr>
              <w:t>供应商名称</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AE4C6D1">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r>
              <w:rPr>
                <w:rFonts w:hint="eastAsia" w:ascii="宋体" w:hAnsi="Calibri" w:eastAsia="Calibri" w:cs="Calibri"/>
                <w:color w:val="000000"/>
                <w:spacing w:val="-3"/>
                <w:kern w:val="2"/>
                <w:sz w:val="24"/>
                <w:szCs w:val="24"/>
                <w:lang w:val="en-US" w:eastAsia="zh-CN" w:bidi="ar-SA"/>
              </w:rPr>
              <w:t>报价（元）</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434A34BB">
            <w:pPr>
              <w:keepNext w:val="0"/>
              <w:keepLines w:val="0"/>
              <w:widowControl/>
              <w:suppressLineNumbers w:val="0"/>
              <w:jc w:val="center"/>
              <w:textAlignment w:val="center"/>
              <w:rPr>
                <w:rFonts w:hint="default" w:ascii="宋体" w:hAnsi="Calibri" w:eastAsia="Calibri" w:cs="Calibri"/>
                <w:color w:val="000000"/>
                <w:spacing w:val="-3"/>
                <w:kern w:val="2"/>
                <w:sz w:val="24"/>
                <w:szCs w:val="24"/>
                <w:lang w:val="en-US" w:eastAsia="zh-CN" w:bidi="ar-SA"/>
              </w:rPr>
            </w:pPr>
            <w:r>
              <w:rPr>
                <w:rFonts w:hint="eastAsia" w:cs="Calibri"/>
                <w:color w:val="000000"/>
                <w:spacing w:val="-3"/>
                <w:kern w:val="2"/>
                <w:sz w:val="24"/>
                <w:szCs w:val="24"/>
                <w:lang w:val="en-US" w:eastAsia="zh-CN" w:bidi="ar-SA"/>
              </w:rPr>
              <w:t>履约期限</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46A4465">
            <w:pPr>
              <w:keepNext w:val="0"/>
              <w:keepLines w:val="0"/>
              <w:widowControl/>
              <w:suppressLineNumbers w:val="0"/>
              <w:jc w:val="center"/>
              <w:textAlignment w:val="center"/>
              <w:rPr>
                <w:rFonts w:hint="default" w:ascii="宋体" w:hAnsi="Calibri" w:eastAsia="Calibri" w:cs="Calibri"/>
                <w:color w:val="000000"/>
                <w:spacing w:val="-3"/>
                <w:kern w:val="2"/>
                <w:sz w:val="24"/>
                <w:szCs w:val="24"/>
                <w:lang w:val="en-US" w:eastAsia="zh-CN" w:bidi="ar-SA"/>
              </w:rPr>
            </w:pPr>
            <w:r>
              <w:rPr>
                <w:rFonts w:hint="eastAsia" w:ascii="宋体" w:hAnsi="Calibri" w:eastAsia="Calibri" w:cs="Calibri"/>
                <w:color w:val="000000"/>
                <w:spacing w:val="-3"/>
                <w:kern w:val="2"/>
                <w:sz w:val="24"/>
                <w:szCs w:val="24"/>
                <w:lang w:val="en-US" w:eastAsia="zh-CN" w:bidi="ar-SA"/>
              </w:rPr>
              <w:t>项目负责人</w:t>
            </w:r>
            <w:r>
              <w:rPr>
                <w:rFonts w:hint="eastAsia" w:ascii="宋体" w:cs="Calibri"/>
                <w:color w:val="000000"/>
                <w:spacing w:val="-3"/>
                <w:kern w:val="2"/>
                <w:sz w:val="24"/>
                <w:szCs w:val="24"/>
                <w:lang w:val="en-US" w:eastAsia="zh-CN" w:bidi="ar-SA"/>
              </w:rPr>
              <w:t>/证书编号</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16FECCCD">
            <w:pPr>
              <w:keepNext w:val="0"/>
              <w:keepLines w:val="0"/>
              <w:widowControl/>
              <w:suppressLineNumbers w:val="0"/>
              <w:jc w:val="center"/>
              <w:textAlignment w:val="center"/>
              <w:rPr>
                <w:rFonts w:hint="default" w:ascii="宋体" w:hAnsi="Calibri" w:eastAsia="Calibri" w:cs="Calibri"/>
                <w:color w:val="000000"/>
                <w:spacing w:val="-3"/>
                <w:kern w:val="2"/>
                <w:sz w:val="24"/>
                <w:szCs w:val="24"/>
                <w:lang w:val="en-US" w:eastAsia="zh-CN" w:bidi="ar-SA"/>
              </w:rPr>
            </w:pPr>
            <w:r>
              <w:rPr>
                <w:rFonts w:hint="eastAsia" w:ascii="宋体" w:cs="Calibri"/>
                <w:color w:val="000000"/>
                <w:spacing w:val="-3"/>
                <w:kern w:val="2"/>
                <w:sz w:val="24"/>
                <w:szCs w:val="24"/>
                <w:lang w:val="en-US" w:eastAsia="zh-CN" w:bidi="ar-SA"/>
              </w:rPr>
              <w:t>保证金缴纳方式</w:t>
            </w:r>
          </w:p>
        </w:tc>
        <w:tc>
          <w:tcPr>
            <w:tcW w:w="1152" w:type="dxa"/>
            <w:tcBorders>
              <w:top w:val="single" w:color="000000" w:sz="4" w:space="0"/>
              <w:left w:val="single" w:color="000000" w:sz="4" w:space="0"/>
              <w:bottom w:val="single" w:color="000000" w:sz="4" w:space="0"/>
              <w:right w:val="single" w:color="auto" w:sz="4" w:space="0"/>
            </w:tcBorders>
            <w:noWrap w:val="0"/>
            <w:vAlign w:val="center"/>
          </w:tcPr>
          <w:p w14:paraId="6DA97537">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r>
              <w:rPr>
                <w:rFonts w:hint="eastAsia" w:ascii="宋体" w:cs="Calibri"/>
                <w:color w:val="000000"/>
                <w:spacing w:val="-3"/>
                <w:kern w:val="2"/>
                <w:sz w:val="24"/>
                <w:szCs w:val="24"/>
                <w:lang w:val="en-US" w:eastAsia="zh-CN" w:bidi="ar-SA"/>
              </w:rPr>
              <w:t>备注</w:t>
            </w:r>
          </w:p>
        </w:tc>
      </w:tr>
      <w:tr w14:paraId="3251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97" w:type="dxa"/>
            <w:tcBorders>
              <w:top w:val="single" w:color="000000" w:sz="4" w:space="0"/>
              <w:left w:val="single" w:color="000000" w:sz="4" w:space="0"/>
              <w:bottom w:val="single" w:color="000000" w:sz="4" w:space="0"/>
              <w:right w:val="single" w:color="000000" w:sz="4" w:space="0"/>
            </w:tcBorders>
            <w:noWrap w:val="0"/>
            <w:vAlign w:val="center"/>
          </w:tcPr>
          <w:p w14:paraId="0091ABF4">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r>
              <w:rPr>
                <w:rFonts w:hint="eastAsia" w:ascii="宋体" w:hAnsi="Calibri" w:eastAsia="Calibri" w:cs="Calibri"/>
                <w:color w:val="000000"/>
                <w:spacing w:val="-3"/>
                <w:kern w:val="2"/>
                <w:sz w:val="24"/>
                <w:szCs w:val="24"/>
                <w:lang w:val="en-US" w:eastAsia="zh-CN" w:bidi="ar-SA"/>
              </w:rPr>
              <w:t>1</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47DFA515">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E83D51F">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06549296">
            <w:pPr>
              <w:jc w:val="center"/>
              <w:rPr>
                <w:rFonts w:hint="eastAsia" w:ascii="宋体" w:hAnsi="Calibri" w:eastAsia="Calibri" w:cs="Calibri"/>
                <w:color w:val="000000"/>
                <w:spacing w:val="-3"/>
                <w:kern w:val="2"/>
                <w:sz w:val="24"/>
                <w:szCs w:val="24"/>
                <w:lang w:val="en-US" w:eastAsia="zh-CN" w:bidi="ar-SA"/>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BEDF3B0">
            <w:pPr>
              <w:jc w:val="center"/>
              <w:rPr>
                <w:rFonts w:hint="eastAsia" w:ascii="宋体" w:hAnsi="Calibri" w:eastAsia="Calibri" w:cs="Calibri"/>
                <w:color w:val="000000"/>
                <w:spacing w:val="-3"/>
                <w:kern w:val="2"/>
                <w:sz w:val="24"/>
                <w:szCs w:val="24"/>
                <w:lang w:val="en-US" w:eastAsia="zh-CN" w:bidi="ar-SA"/>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268FE346">
            <w:pPr>
              <w:jc w:val="center"/>
              <w:rPr>
                <w:rFonts w:hint="eastAsia" w:ascii="宋体" w:hAnsi="Calibri" w:eastAsia="Calibri" w:cs="Calibri"/>
                <w:color w:val="000000"/>
                <w:spacing w:val="-3"/>
                <w:kern w:val="2"/>
                <w:sz w:val="24"/>
                <w:szCs w:val="24"/>
                <w:lang w:val="en-US" w:eastAsia="zh-CN" w:bidi="ar-SA"/>
              </w:rPr>
            </w:pPr>
          </w:p>
        </w:tc>
        <w:tc>
          <w:tcPr>
            <w:tcW w:w="1152" w:type="dxa"/>
            <w:tcBorders>
              <w:top w:val="single" w:color="000000" w:sz="4" w:space="0"/>
              <w:left w:val="single" w:color="000000" w:sz="4" w:space="0"/>
              <w:bottom w:val="single" w:color="000000" w:sz="4" w:space="0"/>
              <w:right w:val="single" w:color="auto" w:sz="4" w:space="0"/>
            </w:tcBorders>
            <w:noWrap w:val="0"/>
            <w:vAlign w:val="center"/>
          </w:tcPr>
          <w:p w14:paraId="5494D36C">
            <w:pPr>
              <w:jc w:val="center"/>
              <w:rPr>
                <w:rFonts w:hint="eastAsia" w:ascii="宋体" w:hAnsi="Calibri" w:eastAsia="Calibri" w:cs="Calibri"/>
                <w:color w:val="000000"/>
                <w:spacing w:val="-3"/>
                <w:kern w:val="2"/>
                <w:sz w:val="24"/>
                <w:szCs w:val="24"/>
                <w:lang w:val="en-US" w:eastAsia="zh-CN" w:bidi="ar-SA"/>
              </w:rPr>
            </w:pPr>
          </w:p>
        </w:tc>
      </w:tr>
      <w:tr w14:paraId="2C63B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791" w:type="dxa"/>
            <w:gridSpan w:val="7"/>
            <w:tcBorders>
              <w:top w:val="single" w:color="000000" w:sz="4" w:space="0"/>
              <w:left w:val="single" w:color="000000" w:sz="4" w:space="0"/>
              <w:bottom w:val="single" w:color="000000" w:sz="4" w:space="0"/>
              <w:right w:val="single" w:color="auto" w:sz="4" w:space="0"/>
            </w:tcBorders>
            <w:noWrap w:val="0"/>
            <w:vAlign w:val="center"/>
          </w:tcPr>
          <w:p w14:paraId="2219E666">
            <w:pPr>
              <w:jc w:val="center"/>
              <w:rPr>
                <w:rFonts w:hint="default" w:ascii="宋体" w:hAnsi="Calibri" w:eastAsia="Calibri" w:cs="Calibri"/>
                <w:color w:val="000000"/>
                <w:spacing w:val="-3"/>
                <w:kern w:val="2"/>
                <w:sz w:val="24"/>
                <w:szCs w:val="24"/>
                <w:lang w:val="en-US" w:eastAsia="zh-CN" w:bidi="ar-SA"/>
              </w:rPr>
            </w:pPr>
            <w:r>
              <w:rPr>
                <w:rFonts w:hint="eastAsia" w:ascii="宋体" w:cs="Calibri"/>
                <w:color w:val="000000"/>
                <w:spacing w:val="-3"/>
                <w:kern w:val="2"/>
                <w:sz w:val="24"/>
                <w:szCs w:val="24"/>
                <w:lang w:val="en-US" w:eastAsia="zh-CN" w:bidi="ar-SA"/>
              </w:rPr>
              <w:t>报价大写：</w:t>
            </w:r>
          </w:p>
        </w:tc>
      </w:tr>
    </w:tbl>
    <w:p w14:paraId="748C4E2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99A039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w:t>
      </w:r>
    </w:p>
    <w:p w14:paraId="6A677C3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供应商须按要求填写所有信息。政采云填报必须与本格式一致，本表格式内容不得改动。 </w:t>
      </w:r>
    </w:p>
    <w:p w14:paraId="1E0DE72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val="en-US" w:eastAsia="zh-CN"/>
        </w:rPr>
        <w:t>总报价不得超出本项目</w:t>
      </w:r>
      <w:r>
        <w:rPr>
          <w:rFonts w:hint="eastAsia" w:cs="宋体"/>
          <w:color w:val="auto"/>
          <w:sz w:val="24"/>
          <w:szCs w:val="24"/>
          <w:highlight w:val="none"/>
          <w:lang w:val="en-US" w:eastAsia="zh-CN"/>
        </w:rPr>
        <w:t>最高限</w:t>
      </w:r>
      <w:r>
        <w:rPr>
          <w:rFonts w:hint="eastAsia" w:ascii="宋体" w:hAnsi="宋体" w:eastAsia="宋体" w:cs="宋体"/>
          <w:color w:val="auto"/>
          <w:sz w:val="24"/>
          <w:szCs w:val="24"/>
          <w:highlight w:val="none"/>
          <w:lang w:val="en-US" w:eastAsia="zh-CN"/>
        </w:rPr>
        <w:t>价，否则视作无效响应文件。</w:t>
      </w:r>
    </w:p>
    <w:p w14:paraId="118E9B4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供应商名称（单位盖公章）：                              </w:t>
      </w:r>
    </w:p>
    <w:p w14:paraId="62366B4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52E1A7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03995D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B85001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E82E74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99DEC3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5AF3E8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509BDB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8C2924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DD660C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3A529D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B0BD43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FA3663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AB05DAF">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3. 标价的工程量清单</w:t>
      </w:r>
      <w:r>
        <w:rPr>
          <w:rFonts w:hint="eastAsia" w:ascii="宋体" w:hAnsi="宋体" w:eastAsia="宋体" w:cs="宋体"/>
          <w:b/>
          <w:bCs/>
          <w:color w:val="auto"/>
          <w:sz w:val="30"/>
          <w:szCs w:val="30"/>
          <w:highlight w:val="none"/>
        </w:rPr>
        <w:t xml:space="preserve"> </w:t>
      </w:r>
    </w:p>
    <w:p w14:paraId="36E97B0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14:paraId="4E48B21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p>
    <w:p w14:paraId="457114A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14:paraId="143BEBA0">
      <w:pPr>
        <w:pStyle w:val="7"/>
        <w:ind w:left="0" w:leftChars="0" w:firstLine="0" w:firstLineChars="0"/>
        <w:rPr>
          <w:rFonts w:hint="eastAsia" w:ascii="宋体" w:hAnsi="宋体" w:eastAsia="宋体" w:cs="宋体"/>
          <w:color w:val="auto"/>
          <w:sz w:val="24"/>
          <w:szCs w:val="24"/>
          <w:highlight w:val="none"/>
          <w:lang w:val="en-US" w:eastAsia="zh-CN"/>
        </w:rPr>
      </w:pPr>
    </w:p>
    <w:p w14:paraId="38E89BF5">
      <w:pPr>
        <w:pStyle w:val="7"/>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213F1B7A">
      <w:pPr>
        <w:rPr>
          <w:rFonts w:hint="eastAsia" w:ascii="宋体" w:hAnsi="宋体" w:eastAsia="宋体" w:cs="宋体"/>
          <w:color w:val="auto"/>
          <w:sz w:val="24"/>
          <w:szCs w:val="24"/>
          <w:highlight w:val="none"/>
        </w:rPr>
      </w:pPr>
    </w:p>
    <w:p w14:paraId="31954532">
      <w:pPr>
        <w:pStyle w:val="7"/>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22912F4A">
      <w:pPr>
        <w:pStyle w:val="7"/>
        <w:rPr>
          <w:rFonts w:hint="eastAsia" w:ascii="宋体" w:hAnsi="宋体" w:eastAsia="宋体" w:cs="宋体"/>
          <w:color w:val="auto"/>
          <w:sz w:val="24"/>
          <w:szCs w:val="24"/>
          <w:highlight w:val="none"/>
        </w:rPr>
      </w:pPr>
    </w:p>
    <w:p w14:paraId="02DDADF2">
      <w:pPr>
        <w:pStyle w:val="7"/>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59F7F7FC">
      <w:pPr>
        <w:rPr>
          <w:rFonts w:hint="eastAsia" w:ascii="宋体" w:hAnsi="宋体" w:eastAsia="宋体" w:cs="宋体"/>
          <w:color w:val="auto"/>
          <w:sz w:val="24"/>
          <w:szCs w:val="24"/>
          <w:highlight w:val="none"/>
        </w:rPr>
      </w:pPr>
    </w:p>
    <w:p w14:paraId="175A19C9">
      <w:pPr>
        <w:pStyle w:val="7"/>
        <w:rPr>
          <w:rFonts w:hint="eastAsia" w:ascii="宋体" w:hAnsi="宋体" w:eastAsia="宋体" w:cs="宋体"/>
          <w:color w:val="auto"/>
          <w:sz w:val="24"/>
          <w:szCs w:val="24"/>
          <w:highlight w:val="none"/>
        </w:rPr>
      </w:pPr>
    </w:p>
    <w:p w14:paraId="7F140C1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 </w:t>
      </w:r>
    </w:p>
    <w:p w14:paraId="70C4BF0E">
      <w:pPr>
        <w:keepNext w:val="0"/>
        <w:keepLines w:val="0"/>
        <w:pageBreakBefore w:val="0"/>
        <w:widowControl w:val="0"/>
        <w:kinsoku/>
        <w:wordWrap/>
        <w:overflowPunct/>
        <w:topLinePunct w:val="0"/>
        <w:autoSpaceDE w:val="0"/>
        <w:autoSpaceDN w:val="0"/>
        <w:bidi w:val="0"/>
        <w:adjustRightInd/>
        <w:snapToGrid/>
        <w:spacing w:line="440" w:lineRule="exact"/>
        <w:textAlignment w:val="auto"/>
        <w:rPr>
          <w:color w:val="auto"/>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此表为《</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一览表(首次报价表)》的报价明细表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val="en-US" w:eastAsia="zh-CN" w:bidi="ar"/>
        </w:rPr>
        <w:t>具体内容及所需的表格，以</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文件的“附件</w:t>
      </w:r>
      <w:r>
        <w:rPr>
          <w:rFonts w:hint="eastAsia"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工程量清单”为准。</w:t>
      </w:r>
    </w:p>
    <w:p w14:paraId="0F419FFF">
      <w:pPr>
        <w:rPr>
          <w:rFonts w:hint="eastAsia" w:ascii="宋体" w:hAnsi="宋体" w:eastAsia="宋体" w:cs="宋体"/>
          <w:color w:val="auto"/>
          <w:sz w:val="24"/>
          <w:szCs w:val="24"/>
          <w:highlight w:val="none"/>
        </w:rPr>
      </w:pPr>
    </w:p>
    <w:p w14:paraId="7A58C757">
      <w:pPr>
        <w:pStyle w:val="7"/>
        <w:ind w:left="0" w:leftChars="0" w:firstLine="0" w:firstLineChars="0"/>
        <w:jc w:val="both"/>
        <w:rPr>
          <w:rFonts w:hint="eastAsia" w:ascii="宋体" w:hAnsi="宋体" w:eastAsia="宋体" w:cs="宋体"/>
          <w:color w:val="auto"/>
          <w:sz w:val="24"/>
          <w:szCs w:val="24"/>
          <w:highlight w:val="none"/>
        </w:rPr>
      </w:pPr>
      <w:r>
        <w:rPr>
          <w:rFonts w:hint="eastAsia" w:ascii="仿宋" w:hAnsi="仿宋" w:eastAsia="仿宋" w:cs="仿宋"/>
          <w:b w:val="0"/>
          <w:bCs w:val="0"/>
          <w:color w:val="auto"/>
          <w:kern w:val="2"/>
          <w:sz w:val="24"/>
          <w:szCs w:val="24"/>
          <w:u w:val="none"/>
          <w:lang w:val="en-US" w:eastAsia="zh-CN" w:bidi="ar-SA"/>
        </w:rPr>
        <w:t>2、</w:t>
      </w:r>
      <w:r>
        <w:rPr>
          <w:rFonts w:hint="eastAsia" w:ascii="宋体" w:hAnsi="宋体" w:eastAsia="宋体" w:cs="宋体"/>
          <w:color w:val="auto"/>
          <w:sz w:val="24"/>
          <w:szCs w:val="24"/>
          <w:highlight w:val="none"/>
          <w:lang w:val="en-US" w:eastAsia="zh-CN" w:bidi="zh-CN"/>
        </w:rPr>
        <w:t>本项目招磋商文件中投标总价单必须由投标单位注册造价工程师签字并盖专用章</w:t>
      </w:r>
    </w:p>
    <w:p w14:paraId="4E336BE4">
      <w:pPr>
        <w:rPr>
          <w:rFonts w:hint="eastAsia" w:ascii="宋体" w:hAnsi="宋体" w:eastAsia="宋体" w:cs="宋体"/>
          <w:color w:val="auto"/>
          <w:sz w:val="24"/>
          <w:szCs w:val="24"/>
          <w:highlight w:val="none"/>
        </w:rPr>
      </w:pPr>
    </w:p>
    <w:p w14:paraId="5C09E946">
      <w:pPr>
        <w:pStyle w:val="7"/>
        <w:rPr>
          <w:rFonts w:hint="eastAsia"/>
          <w:color w:val="auto"/>
          <w:highlight w:val="none"/>
        </w:rPr>
      </w:pPr>
    </w:p>
    <w:p w14:paraId="67B73E4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供应商名称（单位盖公章）：                              </w:t>
      </w:r>
    </w:p>
    <w:p w14:paraId="2E69449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BFAC935">
      <w:pPr>
        <w:keepNext w:val="0"/>
        <w:keepLines w:val="0"/>
        <w:widowControl/>
        <w:suppressLineNumbers w:val="0"/>
        <w:jc w:val="left"/>
        <w:rPr>
          <w:color w:val="auto"/>
          <w:highlight w:val="none"/>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p>
    <w:p w14:paraId="66D97CB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0E2E13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4A6F3B3">
      <w:pPr>
        <w:pStyle w:val="6"/>
        <w:rPr>
          <w:rFonts w:hint="eastAsia" w:ascii="宋体" w:hAnsi="宋体" w:eastAsia="宋体" w:cs="宋体"/>
          <w:color w:val="auto"/>
          <w:sz w:val="24"/>
          <w:szCs w:val="24"/>
          <w:highlight w:val="none"/>
        </w:rPr>
      </w:pPr>
    </w:p>
    <w:p w14:paraId="676A8955">
      <w:pPr>
        <w:rPr>
          <w:rFonts w:hint="eastAsia" w:ascii="宋体" w:hAnsi="宋体" w:eastAsia="宋体" w:cs="宋体"/>
          <w:color w:val="auto"/>
          <w:sz w:val="24"/>
          <w:szCs w:val="24"/>
          <w:highlight w:val="none"/>
        </w:rPr>
      </w:pPr>
    </w:p>
    <w:p w14:paraId="2685D240">
      <w:pPr>
        <w:rPr>
          <w:rFonts w:hint="eastAsia" w:ascii="宋体" w:hAnsi="宋体" w:eastAsia="宋体" w:cs="宋体"/>
          <w:color w:val="auto"/>
          <w:sz w:val="24"/>
          <w:szCs w:val="24"/>
          <w:highlight w:val="none"/>
        </w:rPr>
      </w:pPr>
    </w:p>
    <w:p w14:paraId="6B85E56A">
      <w:pPr>
        <w:rPr>
          <w:rFonts w:hint="eastAsia" w:ascii="宋体" w:hAnsi="宋体" w:eastAsia="宋体" w:cs="宋体"/>
          <w:color w:val="auto"/>
          <w:sz w:val="24"/>
          <w:szCs w:val="24"/>
          <w:highlight w:val="none"/>
        </w:rPr>
      </w:pPr>
    </w:p>
    <w:p w14:paraId="0794D70D">
      <w:pPr>
        <w:rPr>
          <w:rFonts w:hint="eastAsia" w:ascii="宋体" w:hAnsi="宋体" w:eastAsia="宋体" w:cs="宋体"/>
          <w:color w:val="auto"/>
          <w:sz w:val="24"/>
          <w:szCs w:val="24"/>
          <w:highlight w:val="none"/>
        </w:rPr>
      </w:pPr>
    </w:p>
    <w:p w14:paraId="453D9AF7">
      <w:pPr>
        <w:rPr>
          <w:rFonts w:hint="eastAsia" w:ascii="宋体" w:hAnsi="宋体" w:eastAsia="宋体" w:cs="宋体"/>
          <w:color w:val="auto"/>
          <w:sz w:val="24"/>
          <w:szCs w:val="24"/>
          <w:highlight w:val="none"/>
        </w:rPr>
      </w:pPr>
    </w:p>
    <w:p w14:paraId="48A3A8C8">
      <w:pPr>
        <w:rPr>
          <w:rFonts w:hint="eastAsia" w:ascii="宋体" w:hAnsi="宋体" w:eastAsia="宋体" w:cs="宋体"/>
          <w:color w:val="auto"/>
          <w:sz w:val="24"/>
          <w:szCs w:val="24"/>
          <w:highlight w:val="none"/>
        </w:rPr>
      </w:pPr>
    </w:p>
    <w:p w14:paraId="4972A1AB">
      <w:pPr>
        <w:rPr>
          <w:rFonts w:hint="eastAsia" w:ascii="宋体" w:hAnsi="宋体" w:eastAsia="宋体" w:cs="宋体"/>
          <w:color w:val="auto"/>
          <w:sz w:val="24"/>
          <w:szCs w:val="24"/>
          <w:highlight w:val="none"/>
        </w:rPr>
      </w:pPr>
    </w:p>
    <w:p w14:paraId="518AC298">
      <w:pPr>
        <w:rPr>
          <w:rFonts w:hint="eastAsia" w:ascii="宋体" w:hAnsi="宋体" w:eastAsia="宋体" w:cs="宋体"/>
          <w:color w:val="auto"/>
          <w:sz w:val="24"/>
          <w:szCs w:val="24"/>
          <w:highlight w:val="none"/>
        </w:rPr>
      </w:pPr>
    </w:p>
    <w:p w14:paraId="1F315382">
      <w:pPr>
        <w:rPr>
          <w:rFonts w:hint="eastAsia" w:ascii="宋体" w:hAnsi="宋体" w:eastAsia="宋体" w:cs="宋体"/>
          <w:color w:val="auto"/>
          <w:sz w:val="24"/>
          <w:szCs w:val="24"/>
          <w:highlight w:val="none"/>
        </w:rPr>
      </w:pPr>
    </w:p>
    <w:p w14:paraId="643C2242">
      <w:pPr>
        <w:rPr>
          <w:rFonts w:hint="eastAsia" w:ascii="宋体" w:hAnsi="宋体" w:eastAsia="宋体" w:cs="宋体"/>
          <w:color w:val="auto"/>
          <w:sz w:val="24"/>
          <w:szCs w:val="24"/>
          <w:highlight w:val="none"/>
        </w:rPr>
      </w:pPr>
    </w:p>
    <w:p w14:paraId="6B93C396">
      <w:pPr>
        <w:rPr>
          <w:rFonts w:hint="eastAsia" w:ascii="宋体" w:hAnsi="宋体" w:eastAsia="宋体" w:cs="宋体"/>
          <w:color w:val="auto"/>
          <w:sz w:val="24"/>
          <w:szCs w:val="24"/>
          <w:highlight w:val="none"/>
        </w:rPr>
      </w:pPr>
    </w:p>
    <w:p w14:paraId="1968D158">
      <w:pPr>
        <w:rPr>
          <w:rFonts w:hint="eastAsia" w:ascii="宋体" w:hAnsi="宋体" w:eastAsia="宋体" w:cs="宋体"/>
          <w:color w:val="auto"/>
          <w:sz w:val="24"/>
          <w:szCs w:val="24"/>
          <w:highlight w:val="none"/>
        </w:rPr>
      </w:pPr>
    </w:p>
    <w:p w14:paraId="7FB64927">
      <w:pPr>
        <w:rPr>
          <w:rFonts w:hint="eastAsia" w:ascii="宋体" w:hAnsi="宋体" w:eastAsia="宋体" w:cs="宋体"/>
          <w:color w:val="auto"/>
          <w:sz w:val="24"/>
          <w:szCs w:val="24"/>
          <w:highlight w:val="none"/>
        </w:rPr>
      </w:pPr>
    </w:p>
    <w:p w14:paraId="08B18B28">
      <w:pPr>
        <w:rPr>
          <w:rFonts w:hint="eastAsia" w:ascii="宋体" w:hAnsi="宋体" w:eastAsia="宋体" w:cs="宋体"/>
          <w:color w:val="auto"/>
          <w:sz w:val="24"/>
          <w:szCs w:val="24"/>
          <w:highlight w:val="none"/>
        </w:rPr>
      </w:pPr>
    </w:p>
    <w:p w14:paraId="1E52318D">
      <w:pPr>
        <w:pStyle w:val="6"/>
        <w:rPr>
          <w:rFonts w:hint="eastAsia" w:ascii="宋体" w:hAnsi="宋体" w:eastAsia="宋体" w:cs="宋体"/>
          <w:color w:val="auto"/>
          <w:sz w:val="24"/>
          <w:szCs w:val="24"/>
          <w:highlight w:val="none"/>
        </w:rPr>
      </w:pPr>
    </w:p>
    <w:p w14:paraId="61E3E4B7">
      <w:pPr>
        <w:jc w:val="center"/>
        <w:rPr>
          <w:rFonts w:hint="eastAsia"/>
          <w:sz w:val="48"/>
          <w:szCs w:val="56"/>
          <w:lang w:val="en-US" w:eastAsia="zh-CN"/>
        </w:rPr>
      </w:pPr>
      <w:r>
        <w:rPr>
          <w:rFonts w:hint="eastAsia"/>
          <w:sz w:val="48"/>
          <w:szCs w:val="56"/>
          <w:lang w:val="en-US" w:eastAsia="zh-CN"/>
        </w:rPr>
        <w:t>投标总价单</w:t>
      </w:r>
    </w:p>
    <w:p w14:paraId="59B1DF4A">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投标总价：</w:t>
      </w:r>
      <w:r>
        <w:rPr>
          <w:rFonts w:hint="eastAsia"/>
          <w:sz w:val="24"/>
          <w:szCs w:val="32"/>
          <w:u w:val="single"/>
          <w:lang w:val="en-US" w:eastAsia="zh-CN"/>
        </w:rPr>
        <w:t xml:space="preserve">                                              </w:t>
      </w:r>
    </w:p>
    <w:p w14:paraId="5E4E4B77">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采购人：</w:t>
      </w:r>
      <w:r>
        <w:rPr>
          <w:rFonts w:hint="eastAsia"/>
          <w:sz w:val="24"/>
          <w:szCs w:val="32"/>
          <w:u w:val="single"/>
          <w:lang w:val="en-US" w:eastAsia="zh-CN"/>
        </w:rPr>
        <w:t xml:space="preserve">                                                 </w:t>
      </w:r>
    </w:p>
    <w:p w14:paraId="2F11F270">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工程名称：</w:t>
      </w:r>
      <w:r>
        <w:rPr>
          <w:rFonts w:hint="eastAsia"/>
          <w:sz w:val="24"/>
          <w:szCs w:val="32"/>
          <w:u w:val="single"/>
          <w:lang w:val="en-US" w:eastAsia="zh-CN"/>
        </w:rPr>
        <w:t xml:space="preserve">                                               </w:t>
      </w:r>
    </w:p>
    <w:p w14:paraId="4E818C10">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投标总价：（小写）</w:t>
      </w:r>
      <w:r>
        <w:rPr>
          <w:rFonts w:hint="eastAsia"/>
          <w:sz w:val="24"/>
          <w:szCs w:val="32"/>
          <w:u w:val="single"/>
          <w:lang w:val="en-US" w:eastAsia="zh-CN"/>
        </w:rPr>
        <w:t xml:space="preserve">                                        </w:t>
      </w:r>
    </w:p>
    <w:p w14:paraId="52EE99D1">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sz w:val="24"/>
          <w:szCs w:val="32"/>
          <w:u w:val="single"/>
          <w:lang w:val="en-US" w:eastAsia="zh-CN"/>
        </w:rPr>
      </w:pPr>
      <w:r>
        <w:rPr>
          <w:rFonts w:hint="eastAsia"/>
          <w:sz w:val="24"/>
          <w:szCs w:val="32"/>
          <w:lang w:val="en-US" w:eastAsia="zh-CN"/>
        </w:rPr>
        <w:t xml:space="preserve">             （大写） </w:t>
      </w:r>
      <w:r>
        <w:rPr>
          <w:rFonts w:hint="eastAsia"/>
          <w:sz w:val="24"/>
          <w:szCs w:val="32"/>
          <w:u w:val="single"/>
          <w:lang w:val="en-US" w:eastAsia="zh-CN"/>
        </w:rPr>
        <w:t xml:space="preserve">                                        </w:t>
      </w:r>
    </w:p>
    <w:p w14:paraId="24DC3132">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投标人：</w:t>
      </w:r>
      <w:r>
        <w:rPr>
          <w:rFonts w:hint="eastAsia"/>
          <w:sz w:val="24"/>
          <w:szCs w:val="32"/>
          <w:u w:val="single"/>
          <w:lang w:val="en-US" w:eastAsia="zh-CN"/>
        </w:rPr>
        <w:t xml:space="preserve">                                                 </w:t>
      </w:r>
    </w:p>
    <w:p w14:paraId="602E93A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（单位盖章）</w:t>
      </w:r>
    </w:p>
    <w:p w14:paraId="36C963BC">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法定代表人：</w:t>
      </w:r>
      <w:r>
        <w:rPr>
          <w:rFonts w:hint="eastAsia"/>
          <w:sz w:val="24"/>
          <w:szCs w:val="32"/>
          <w:u w:val="single"/>
          <w:lang w:val="en-US" w:eastAsia="zh-CN"/>
        </w:rPr>
        <w:t xml:space="preserve">                                             </w:t>
      </w:r>
    </w:p>
    <w:p w14:paraId="0B4E256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（盖章）</w:t>
      </w:r>
    </w:p>
    <w:p w14:paraId="7D59B866">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编制人：</w:t>
      </w:r>
      <w:r>
        <w:rPr>
          <w:rFonts w:hint="eastAsia"/>
          <w:sz w:val="24"/>
          <w:szCs w:val="32"/>
          <w:u w:val="single"/>
          <w:lang w:val="en-US" w:eastAsia="zh-CN"/>
        </w:rPr>
        <w:t xml:space="preserve">                                                  </w:t>
      </w:r>
    </w:p>
    <w:p w14:paraId="4D81BD9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（注册造价师盖专业章）</w:t>
      </w:r>
    </w:p>
    <w:p w14:paraId="76FD41A4">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sz w:val="24"/>
          <w:szCs w:val="32"/>
          <w:lang w:val="en-US" w:eastAsia="zh-CN"/>
        </w:rPr>
      </w:pPr>
    </w:p>
    <w:p w14:paraId="0334A75E">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sz w:val="24"/>
          <w:szCs w:val="32"/>
          <w:lang w:val="en-US" w:eastAsia="zh-CN"/>
        </w:rPr>
      </w:pPr>
    </w:p>
    <w:p w14:paraId="5D19DE9B">
      <w:pPr>
        <w:keepNext w:val="0"/>
        <w:keepLines w:val="0"/>
        <w:pageBreakBefore w:val="0"/>
        <w:widowControl w:val="0"/>
        <w:kinsoku/>
        <w:wordWrap/>
        <w:overflowPunct/>
        <w:topLinePunct w:val="0"/>
        <w:autoSpaceDE/>
        <w:autoSpaceDN/>
        <w:bidi w:val="0"/>
        <w:adjustRightInd/>
        <w:snapToGrid/>
        <w:spacing w:line="700" w:lineRule="exact"/>
        <w:ind w:firstLine="240" w:firstLineChars="100"/>
        <w:textAlignment w:val="auto"/>
        <w:rPr>
          <w:rFonts w:hint="default"/>
          <w:sz w:val="24"/>
          <w:szCs w:val="32"/>
          <w:lang w:val="en-US" w:eastAsia="zh-CN"/>
        </w:rPr>
      </w:pPr>
      <w:r>
        <w:rPr>
          <w:rFonts w:hint="eastAsia"/>
          <w:sz w:val="24"/>
          <w:szCs w:val="32"/>
          <w:lang w:val="en-US" w:eastAsia="zh-CN"/>
        </w:rPr>
        <w:t>时间：   年   月    日</w:t>
      </w:r>
    </w:p>
    <w:p w14:paraId="717C4CD9">
      <w:pPr>
        <w:pStyle w:val="6"/>
        <w:rPr>
          <w:rFonts w:hint="eastAsia"/>
        </w:rPr>
        <w:sectPr>
          <w:headerReference r:id="rId21" w:type="default"/>
          <w:pgSz w:w="11910" w:h="16840"/>
          <w:pgMar w:top="1134" w:right="1531" w:bottom="1134" w:left="1531" w:header="670" w:footer="1041" w:gutter="0"/>
          <w:pgNumType w:fmt="decimal"/>
          <w:cols w:space="0" w:num="1"/>
          <w:rtlGutter w:val="0"/>
          <w:docGrid w:linePitch="1" w:charSpace="0"/>
        </w:sectPr>
      </w:pPr>
    </w:p>
    <w:p w14:paraId="720BC44B">
      <w:pPr>
        <w:pStyle w:val="9"/>
        <w:pageBreakBefore w:val="0"/>
        <w:kinsoku/>
        <w:wordWrap/>
        <w:overflowPunct/>
        <w:topLinePunct w:val="0"/>
        <w:bidi w:val="0"/>
        <w:spacing w:beforeAutospacing="0" w:afterAutospacing="0" w:line="400" w:lineRule="exact"/>
        <w:ind w:firstLine="643"/>
        <w:jc w:val="left"/>
        <w:rPr>
          <w:rFonts w:hint="default"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三、商务技术响应文件</w:t>
      </w:r>
    </w:p>
    <w:p w14:paraId="4D70491F">
      <w:pPr>
        <w:spacing w:before="97" w:line="222" w:lineRule="auto"/>
        <w:ind w:left="2498"/>
        <w:rPr>
          <w:rFonts w:hint="eastAsia" w:ascii="宋体" w:hAnsi="宋体" w:eastAsia="宋体" w:cs="宋体"/>
          <w:b w:val="0"/>
          <w:bCs w:val="0"/>
          <w:spacing w:val="-8"/>
          <w:sz w:val="24"/>
          <w:szCs w:val="24"/>
          <w:lang w:val="en-US" w:eastAsia="zh-CN"/>
        </w:rPr>
      </w:pPr>
    </w:p>
    <w:p w14:paraId="3E4B5621">
      <w:pPr>
        <w:spacing w:before="97" w:line="222" w:lineRule="auto"/>
        <w:ind w:left="2498"/>
        <w:rPr>
          <w:rFonts w:hint="eastAsia" w:ascii="宋体" w:hAnsi="宋体" w:eastAsia="宋体" w:cs="宋体"/>
          <w:sz w:val="24"/>
          <w:szCs w:val="24"/>
        </w:rPr>
      </w:pPr>
      <w:r>
        <w:rPr>
          <w:rFonts w:hint="eastAsia" w:ascii="宋体" w:hAnsi="宋体" w:eastAsia="宋体" w:cs="宋体"/>
          <w:b w:val="0"/>
          <w:bCs w:val="0"/>
          <w:spacing w:val="-8"/>
          <w:sz w:val="24"/>
          <w:szCs w:val="24"/>
          <w:lang w:val="en-US" w:eastAsia="zh-CN"/>
        </w:rPr>
        <w:t>1.</w:t>
      </w:r>
      <w:r>
        <w:rPr>
          <w:rFonts w:hint="eastAsia" w:ascii="宋体" w:hAnsi="宋体" w:eastAsia="宋体" w:cs="宋体"/>
          <w:b w:val="0"/>
          <w:bCs w:val="0"/>
          <w:spacing w:val="-8"/>
          <w:sz w:val="24"/>
          <w:szCs w:val="24"/>
        </w:rPr>
        <w:t>同类项目业绩情况一览表</w:t>
      </w:r>
    </w:p>
    <w:p w14:paraId="75DA1D95">
      <w:pPr>
        <w:pStyle w:val="8"/>
        <w:spacing w:line="245" w:lineRule="auto"/>
        <w:rPr>
          <w:rFonts w:hint="eastAsia" w:ascii="宋体" w:hAnsi="宋体" w:eastAsia="宋体" w:cs="宋体"/>
          <w:sz w:val="24"/>
          <w:szCs w:val="24"/>
        </w:rPr>
      </w:pPr>
    </w:p>
    <w:p w14:paraId="3D43F625">
      <w:pPr>
        <w:pStyle w:val="8"/>
        <w:spacing w:line="245" w:lineRule="auto"/>
        <w:rPr>
          <w:rFonts w:hint="eastAsia" w:ascii="宋体" w:hAnsi="宋体" w:eastAsia="宋体" w:cs="宋体"/>
          <w:sz w:val="24"/>
          <w:szCs w:val="24"/>
        </w:rPr>
      </w:pPr>
    </w:p>
    <w:p w14:paraId="22B19765">
      <w:pPr>
        <w:spacing w:before="78" w:line="282" w:lineRule="auto"/>
        <w:ind w:left="33" w:right="6970"/>
        <w:rPr>
          <w:rFonts w:hint="eastAsia" w:ascii="宋体" w:hAnsi="宋体" w:eastAsia="宋体" w:cs="宋体"/>
          <w:spacing w:val="-11"/>
          <w:sz w:val="24"/>
          <w:szCs w:val="24"/>
        </w:rPr>
      </w:pPr>
      <w:r>
        <w:rPr>
          <w:rFonts w:hint="eastAsia" w:ascii="宋体" w:hAnsi="宋体" w:eastAsia="宋体" w:cs="宋体"/>
          <w:spacing w:val="-11"/>
          <w:sz w:val="24"/>
          <w:szCs w:val="24"/>
        </w:rPr>
        <w:t>采购项目名称：</w:t>
      </w:r>
    </w:p>
    <w:p w14:paraId="4E9A9C03">
      <w:pPr>
        <w:spacing w:before="78" w:line="282" w:lineRule="auto"/>
        <w:ind w:left="33" w:right="6970"/>
        <w:rPr>
          <w:rFonts w:hint="eastAsia" w:ascii="宋体" w:hAnsi="宋体" w:eastAsia="宋体" w:cs="宋体"/>
          <w:sz w:val="24"/>
          <w:szCs w:val="24"/>
        </w:rPr>
      </w:pPr>
      <w:r>
        <w:rPr>
          <w:rFonts w:hint="eastAsia" w:ascii="宋体" w:hAnsi="宋体" w:eastAsia="宋体" w:cs="宋体"/>
          <w:spacing w:val="-4"/>
          <w:sz w:val="24"/>
          <w:szCs w:val="24"/>
        </w:rPr>
        <w:t>项目编号：</w:t>
      </w:r>
    </w:p>
    <w:tbl>
      <w:tblPr>
        <w:tblStyle w:val="56"/>
        <w:tblW w:w="83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487"/>
        <w:gridCol w:w="1547"/>
        <w:gridCol w:w="1331"/>
        <w:gridCol w:w="1331"/>
        <w:gridCol w:w="1337"/>
      </w:tblGrid>
      <w:tr w14:paraId="660B0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336" w:type="dxa"/>
            <w:vAlign w:val="top"/>
          </w:tcPr>
          <w:p w14:paraId="00A60C82">
            <w:pPr>
              <w:pStyle w:val="55"/>
              <w:spacing w:before="202" w:line="231" w:lineRule="auto"/>
              <w:ind w:left="469"/>
              <w:rPr>
                <w:rFonts w:hint="eastAsia" w:ascii="宋体" w:hAnsi="宋体" w:eastAsia="宋体" w:cs="宋体"/>
                <w:sz w:val="24"/>
                <w:szCs w:val="24"/>
              </w:rPr>
            </w:pPr>
            <w:r>
              <w:rPr>
                <w:rFonts w:hint="eastAsia" w:ascii="宋体" w:hAnsi="宋体" w:eastAsia="宋体" w:cs="宋体"/>
                <w:spacing w:val="2"/>
                <w:sz w:val="24"/>
                <w:szCs w:val="24"/>
              </w:rPr>
              <w:t>序号</w:t>
            </w:r>
          </w:p>
        </w:tc>
        <w:tc>
          <w:tcPr>
            <w:tcW w:w="1487" w:type="dxa"/>
            <w:vAlign w:val="top"/>
          </w:tcPr>
          <w:p w14:paraId="50184FF1">
            <w:pPr>
              <w:pStyle w:val="55"/>
              <w:spacing w:before="203" w:line="229" w:lineRule="auto"/>
              <w:ind w:left="124"/>
              <w:rPr>
                <w:rFonts w:hint="eastAsia" w:ascii="宋体" w:hAnsi="宋体" w:eastAsia="宋体" w:cs="宋体"/>
                <w:sz w:val="24"/>
                <w:szCs w:val="24"/>
              </w:rPr>
            </w:pPr>
            <w:r>
              <w:rPr>
                <w:rFonts w:hint="eastAsia" w:ascii="宋体" w:hAnsi="宋体" w:eastAsia="宋体" w:cs="宋体"/>
                <w:spacing w:val="7"/>
                <w:sz w:val="24"/>
                <w:szCs w:val="24"/>
              </w:rPr>
              <w:t>采购单位名称</w:t>
            </w:r>
          </w:p>
        </w:tc>
        <w:tc>
          <w:tcPr>
            <w:tcW w:w="1547" w:type="dxa"/>
            <w:vAlign w:val="top"/>
          </w:tcPr>
          <w:p w14:paraId="14D1A538">
            <w:pPr>
              <w:pStyle w:val="55"/>
              <w:spacing w:before="203" w:line="229" w:lineRule="auto"/>
              <w:ind w:left="156"/>
              <w:rPr>
                <w:rFonts w:hint="eastAsia" w:ascii="宋体" w:hAnsi="宋体" w:eastAsia="宋体" w:cs="宋体"/>
                <w:sz w:val="24"/>
                <w:szCs w:val="24"/>
              </w:rPr>
            </w:pPr>
            <w:r>
              <w:rPr>
                <w:rFonts w:hint="eastAsia" w:ascii="宋体" w:hAnsi="宋体" w:eastAsia="宋体" w:cs="宋体"/>
                <w:spacing w:val="7"/>
                <w:sz w:val="24"/>
                <w:szCs w:val="24"/>
              </w:rPr>
              <w:t>采购项目名称</w:t>
            </w:r>
          </w:p>
        </w:tc>
        <w:tc>
          <w:tcPr>
            <w:tcW w:w="1331" w:type="dxa"/>
            <w:vAlign w:val="top"/>
          </w:tcPr>
          <w:p w14:paraId="70489A2F">
            <w:pPr>
              <w:pStyle w:val="55"/>
              <w:spacing w:before="202" w:line="231" w:lineRule="auto"/>
              <w:ind w:left="262"/>
              <w:rPr>
                <w:rFonts w:hint="eastAsia" w:ascii="宋体" w:hAnsi="宋体" w:eastAsia="宋体" w:cs="宋体"/>
                <w:sz w:val="24"/>
                <w:szCs w:val="24"/>
              </w:rPr>
            </w:pPr>
            <w:r>
              <w:rPr>
                <w:rFonts w:hint="eastAsia" w:ascii="宋体" w:hAnsi="宋体" w:eastAsia="宋体" w:cs="宋体"/>
                <w:spacing w:val="4"/>
                <w:sz w:val="24"/>
                <w:szCs w:val="24"/>
              </w:rPr>
              <w:t>合同总价</w:t>
            </w:r>
          </w:p>
        </w:tc>
        <w:tc>
          <w:tcPr>
            <w:tcW w:w="1331" w:type="dxa"/>
            <w:vAlign w:val="top"/>
          </w:tcPr>
          <w:p w14:paraId="0E4E5995">
            <w:pPr>
              <w:pStyle w:val="55"/>
              <w:spacing w:before="202" w:line="232" w:lineRule="auto"/>
              <w:ind w:left="262"/>
              <w:rPr>
                <w:rFonts w:hint="eastAsia" w:ascii="宋体" w:hAnsi="宋体" w:eastAsia="宋体" w:cs="宋体"/>
                <w:sz w:val="24"/>
                <w:szCs w:val="24"/>
              </w:rPr>
            </w:pPr>
            <w:r>
              <w:rPr>
                <w:rFonts w:hint="eastAsia" w:ascii="宋体" w:hAnsi="宋体" w:eastAsia="宋体" w:cs="宋体"/>
                <w:spacing w:val="4"/>
                <w:sz w:val="24"/>
                <w:szCs w:val="24"/>
              </w:rPr>
              <w:t>签订日期</w:t>
            </w:r>
          </w:p>
        </w:tc>
        <w:tc>
          <w:tcPr>
            <w:tcW w:w="1337" w:type="dxa"/>
            <w:vAlign w:val="top"/>
          </w:tcPr>
          <w:p w14:paraId="2F3D89D4">
            <w:pPr>
              <w:pStyle w:val="55"/>
              <w:spacing w:before="65" w:line="242" w:lineRule="auto"/>
              <w:ind w:left="366" w:right="141" w:hanging="207"/>
              <w:rPr>
                <w:rFonts w:hint="eastAsia" w:ascii="宋体" w:hAnsi="宋体" w:eastAsia="宋体" w:cs="宋体"/>
                <w:sz w:val="24"/>
                <w:szCs w:val="24"/>
              </w:rPr>
            </w:pPr>
            <w:r>
              <w:rPr>
                <w:rFonts w:hint="eastAsia" w:ascii="宋体" w:hAnsi="宋体" w:eastAsia="宋体" w:cs="宋体"/>
                <w:spacing w:val="6"/>
                <w:sz w:val="24"/>
                <w:szCs w:val="24"/>
              </w:rPr>
              <w:t>单位联系人</w:t>
            </w:r>
            <w:r>
              <w:rPr>
                <w:rFonts w:hint="eastAsia" w:ascii="宋体" w:hAnsi="宋体" w:eastAsia="宋体" w:cs="宋体"/>
                <w:sz w:val="24"/>
                <w:szCs w:val="24"/>
              </w:rPr>
              <w:t xml:space="preserve"> </w:t>
            </w:r>
            <w:r>
              <w:rPr>
                <w:rFonts w:hint="eastAsia" w:ascii="宋体" w:hAnsi="宋体" w:eastAsia="宋体" w:cs="宋体"/>
                <w:spacing w:val="4"/>
                <w:sz w:val="24"/>
                <w:szCs w:val="24"/>
              </w:rPr>
              <w:t>及电话</w:t>
            </w:r>
          </w:p>
        </w:tc>
      </w:tr>
      <w:tr w14:paraId="76DAA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1336" w:type="dxa"/>
            <w:vAlign w:val="top"/>
          </w:tcPr>
          <w:p w14:paraId="670EBACA">
            <w:pPr>
              <w:rPr>
                <w:rFonts w:hint="eastAsia" w:ascii="宋体" w:hAnsi="宋体" w:eastAsia="宋体" w:cs="宋体"/>
                <w:sz w:val="24"/>
                <w:szCs w:val="24"/>
              </w:rPr>
            </w:pPr>
          </w:p>
        </w:tc>
        <w:tc>
          <w:tcPr>
            <w:tcW w:w="1487" w:type="dxa"/>
            <w:vAlign w:val="top"/>
          </w:tcPr>
          <w:p w14:paraId="5EFCBA9C">
            <w:pPr>
              <w:rPr>
                <w:rFonts w:hint="eastAsia" w:ascii="宋体" w:hAnsi="宋体" w:eastAsia="宋体" w:cs="宋体"/>
                <w:sz w:val="24"/>
                <w:szCs w:val="24"/>
              </w:rPr>
            </w:pPr>
          </w:p>
        </w:tc>
        <w:tc>
          <w:tcPr>
            <w:tcW w:w="1547" w:type="dxa"/>
            <w:vAlign w:val="top"/>
          </w:tcPr>
          <w:p w14:paraId="44575BA6">
            <w:pPr>
              <w:rPr>
                <w:rFonts w:hint="eastAsia" w:ascii="宋体" w:hAnsi="宋体" w:eastAsia="宋体" w:cs="宋体"/>
                <w:sz w:val="24"/>
                <w:szCs w:val="24"/>
              </w:rPr>
            </w:pPr>
          </w:p>
        </w:tc>
        <w:tc>
          <w:tcPr>
            <w:tcW w:w="1331" w:type="dxa"/>
            <w:vAlign w:val="top"/>
          </w:tcPr>
          <w:p w14:paraId="5D4AD125">
            <w:pPr>
              <w:rPr>
                <w:rFonts w:hint="eastAsia" w:ascii="宋体" w:hAnsi="宋体" w:eastAsia="宋体" w:cs="宋体"/>
                <w:sz w:val="24"/>
                <w:szCs w:val="24"/>
              </w:rPr>
            </w:pPr>
          </w:p>
        </w:tc>
        <w:tc>
          <w:tcPr>
            <w:tcW w:w="1331" w:type="dxa"/>
            <w:vAlign w:val="top"/>
          </w:tcPr>
          <w:p w14:paraId="74ECBD8D">
            <w:pPr>
              <w:rPr>
                <w:rFonts w:hint="eastAsia" w:ascii="宋体" w:hAnsi="宋体" w:eastAsia="宋体" w:cs="宋体"/>
                <w:sz w:val="24"/>
                <w:szCs w:val="24"/>
              </w:rPr>
            </w:pPr>
          </w:p>
        </w:tc>
        <w:tc>
          <w:tcPr>
            <w:tcW w:w="1337" w:type="dxa"/>
            <w:vAlign w:val="top"/>
          </w:tcPr>
          <w:p w14:paraId="40743689">
            <w:pPr>
              <w:rPr>
                <w:rFonts w:hint="eastAsia" w:ascii="宋体" w:hAnsi="宋体" w:eastAsia="宋体" w:cs="宋体"/>
                <w:sz w:val="24"/>
                <w:szCs w:val="24"/>
              </w:rPr>
            </w:pPr>
          </w:p>
        </w:tc>
      </w:tr>
      <w:tr w14:paraId="6E24A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1336" w:type="dxa"/>
            <w:vAlign w:val="top"/>
          </w:tcPr>
          <w:p w14:paraId="3BD5F84E">
            <w:pPr>
              <w:rPr>
                <w:rFonts w:hint="eastAsia" w:ascii="宋体" w:hAnsi="宋体" w:eastAsia="宋体" w:cs="宋体"/>
                <w:sz w:val="24"/>
                <w:szCs w:val="24"/>
              </w:rPr>
            </w:pPr>
          </w:p>
        </w:tc>
        <w:tc>
          <w:tcPr>
            <w:tcW w:w="1487" w:type="dxa"/>
            <w:vAlign w:val="top"/>
          </w:tcPr>
          <w:p w14:paraId="3C622A27">
            <w:pPr>
              <w:rPr>
                <w:rFonts w:hint="eastAsia" w:ascii="宋体" w:hAnsi="宋体" w:eastAsia="宋体" w:cs="宋体"/>
                <w:sz w:val="24"/>
                <w:szCs w:val="24"/>
              </w:rPr>
            </w:pPr>
          </w:p>
        </w:tc>
        <w:tc>
          <w:tcPr>
            <w:tcW w:w="1547" w:type="dxa"/>
            <w:vAlign w:val="top"/>
          </w:tcPr>
          <w:p w14:paraId="3772C1E3">
            <w:pPr>
              <w:rPr>
                <w:rFonts w:hint="eastAsia" w:ascii="宋体" w:hAnsi="宋体" w:eastAsia="宋体" w:cs="宋体"/>
                <w:sz w:val="24"/>
                <w:szCs w:val="24"/>
              </w:rPr>
            </w:pPr>
          </w:p>
        </w:tc>
        <w:tc>
          <w:tcPr>
            <w:tcW w:w="1331" w:type="dxa"/>
            <w:vAlign w:val="top"/>
          </w:tcPr>
          <w:p w14:paraId="634F8177">
            <w:pPr>
              <w:rPr>
                <w:rFonts w:hint="eastAsia" w:ascii="宋体" w:hAnsi="宋体" w:eastAsia="宋体" w:cs="宋体"/>
                <w:sz w:val="24"/>
                <w:szCs w:val="24"/>
              </w:rPr>
            </w:pPr>
          </w:p>
        </w:tc>
        <w:tc>
          <w:tcPr>
            <w:tcW w:w="1331" w:type="dxa"/>
            <w:vAlign w:val="top"/>
          </w:tcPr>
          <w:p w14:paraId="322497C5">
            <w:pPr>
              <w:rPr>
                <w:rFonts w:hint="eastAsia" w:ascii="宋体" w:hAnsi="宋体" w:eastAsia="宋体" w:cs="宋体"/>
                <w:sz w:val="24"/>
                <w:szCs w:val="24"/>
              </w:rPr>
            </w:pPr>
          </w:p>
        </w:tc>
        <w:tc>
          <w:tcPr>
            <w:tcW w:w="1337" w:type="dxa"/>
            <w:vAlign w:val="top"/>
          </w:tcPr>
          <w:p w14:paraId="401D3861">
            <w:pPr>
              <w:rPr>
                <w:rFonts w:hint="eastAsia" w:ascii="宋体" w:hAnsi="宋体" w:eastAsia="宋体" w:cs="宋体"/>
                <w:sz w:val="24"/>
                <w:szCs w:val="24"/>
              </w:rPr>
            </w:pPr>
          </w:p>
        </w:tc>
      </w:tr>
      <w:tr w14:paraId="12FFE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1336" w:type="dxa"/>
            <w:vAlign w:val="top"/>
          </w:tcPr>
          <w:p w14:paraId="60F31CED">
            <w:pPr>
              <w:rPr>
                <w:rFonts w:hint="eastAsia" w:ascii="宋体" w:hAnsi="宋体" w:eastAsia="宋体" w:cs="宋体"/>
                <w:sz w:val="24"/>
                <w:szCs w:val="24"/>
              </w:rPr>
            </w:pPr>
          </w:p>
        </w:tc>
        <w:tc>
          <w:tcPr>
            <w:tcW w:w="1487" w:type="dxa"/>
            <w:vAlign w:val="top"/>
          </w:tcPr>
          <w:p w14:paraId="3E8A3A14">
            <w:pPr>
              <w:rPr>
                <w:rFonts w:hint="eastAsia" w:ascii="宋体" w:hAnsi="宋体" w:eastAsia="宋体" w:cs="宋体"/>
                <w:sz w:val="24"/>
                <w:szCs w:val="24"/>
              </w:rPr>
            </w:pPr>
          </w:p>
        </w:tc>
        <w:tc>
          <w:tcPr>
            <w:tcW w:w="1547" w:type="dxa"/>
            <w:vAlign w:val="top"/>
          </w:tcPr>
          <w:p w14:paraId="02392554">
            <w:pPr>
              <w:rPr>
                <w:rFonts w:hint="eastAsia" w:ascii="宋体" w:hAnsi="宋体" w:eastAsia="宋体" w:cs="宋体"/>
                <w:sz w:val="24"/>
                <w:szCs w:val="24"/>
              </w:rPr>
            </w:pPr>
          </w:p>
        </w:tc>
        <w:tc>
          <w:tcPr>
            <w:tcW w:w="1331" w:type="dxa"/>
            <w:vAlign w:val="top"/>
          </w:tcPr>
          <w:p w14:paraId="76406C82">
            <w:pPr>
              <w:rPr>
                <w:rFonts w:hint="eastAsia" w:ascii="宋体" w:hAnsi="宋体" w:eastAsia="宋体" w:cs="宋体"/>
                <w:sz w:val="24"/>
                <w:szCs w:val="24"/>
              </w:rPr>
            </w:pPr>
          </w:p>
        </w:tc>
        <w:tc>
          <w:tcPr>
            <w:tcW w:w="1331" w:type="dxa"/>
            <w:vAlign w:val="top"/>
          </w:tcPr>
          <w:p w14:paraId="3691776D">
            <w:pPr>
              <w:rPr>
                <w:rFonts w:hint="eastAsia" w:ascii="宋体" w:hAnsi="宋体" w:eastAsia="宋体" w:cs="宋体"/>
                <w:sz w:val="24"/>
                <w:szCs w:val="24"/>
              </w:rPr>
            </w:pPr>
          </w:p>
        </w:tc>
        <w:tc>
          <w:tcPr>
            <w:tcW w:w="1337" w:type="dxa"/>
            <w:vAlign w:val="top"/>
          </w:tcPr>
          <w:p w14:paraId="092E3553">
            <w:pPr>
              <w:rPr>
                <w:rFonts w:hint="eastAsia" w:ascii="宋体" w:hAnsi="宋体" w:eastAsia="宋体" w:cs="宋体"/>
                <w:sz w:val="24"/>
                <w:szCs w:val="24"/>
              </w:rPr>
            </w:pPr>
          </w:p>
        </w:tc>
      </w:tr>
      <w:tr w14:paraId="46E71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1336" w:type="dxa"/>
            <w:vAlign w:val="top"/>
          </w:tcPr>
          <w:p w14:paraId="5999D06B">
            <w:pPr>
              <w:rPr>
                <w:rFonts w:hint="eastAsia" w:ascii="宋体" w:hAnsi="宋体" w:eastAsia="宋体" w:cs="宋体"/>
                <w:sz w:val="24"/>
                <w:szCs w:val="24"/>
              </w:rPr>
            </w:pPr>
          </w:p>
        </w:tc>
        <w:tc>
          <w:tcPr>
            <w:tcW w:w="1487" w:type="dxa"/>
            <w:vAlign w:val="top"/>
          </w:tcPr>
          <w:p w14:paraId="38689984">
            <w:pPr>
              <w:rPr>
                <w:rFonts w:hint="eastAsia" w:ascii="宋体" w:hAnsi="宋体" w:eastAsia="宋体" w:cs="宋体"/>
                <w:sz w:val="24"/>
                <w:szCs w:val="24"/>
              </w:rPr>
            </w:pPr>
          </w:p>
        </w:tc>
        <w:tc>
          <w:tcPr>
            <w:tcW w:w="1547" w:type="dxa"/>
            <w:vAlign w:val="top"/>
          </w:tcPr>
          <w:p w14:paraId="100099B9">
            <w:pPr>
              <w:rPr>
                <w:rFonts w:hint="eastAsia" w:ascii="宋体" w:hAnsi="宋体" w:eastAsia="宋体" w:cs="宋体"/>
                <w:sz w:val="24"/>
                <w:szCs w:val="24"/>
              </w:rPr>
            </w:pPr>
          </w:p>
        </w:tc>
        <w:tc>
          <w:tcPr>
            <w:tcW w:w="1331" w:type="dxa"/>
            <w:vAlign w:val="top"/>
          </w:tcPr>
          <w:p w14:paraId="5E904A21">
            <w:pPr>
              <w:rPr>
                <w:rFonts w:hint="eastAsia" w:ascii="宋体" w:hAnsi="宋体" w:eastAsia="宋体" w:cs="宋体"/>
                <w:sz w:val="24"/>
                <w:szCs w:val="24"/>
              </w:rPr>
            </w:pPr>
          </w:p>
        </w:tc>
        <w:tc>
          <w:tcPr>
            <w:tcW w:w="1331" w:type="dxa"/>
            <w:vAlign w:val="top"/>
          </w:tcPr>
          <w:p w14:paraId="746AC05B">
            <w:pPr>
              <w:rPr>
                <w:rFonts w:hint="eastAsia" w:ascii="宋体" w:hAnsi="宋体" w:eastAsia="宋体" w:cs="宋体"/>
                <w:sz w:val="24"/>
                <w:szCs w:val="24"/>
              </w:rPr>
            </w:pPr>
          </w:p>
        </w:tc>
        <w:tc>
          <w:tcPr>
            <w:tcW w:w="1337" w:type="dxa"/>
            <w:vAlign w:val="top"/>
          </w:tcPr>
          <w:p w14:paraId="0B0805D8">
            <w:pPr>
              <w:rPr>
                <w:rFonts w:hint="eastAsia" w:ascii="宋体" w:hAnsi="宋体" w:eastAsia="宋体" w:cs="宋体"/>
                <w:sz w:val="24"/>
                <w:szCs w:val="24"/>
              </w:rPr>
            </w:pPr>
          </w:p>
        </w:tc>
      </w:tr>
      <w:tr w14:paraId="23EF7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1336" w:type="dxa"/>
            <w:vAlign w:val="top"/>
          </w:tcPr>
          <w:p w14:paraId="0A5A1C3A">
            <w:pPr>
              <w:rPr>
                <w:rFonts w:hint="eastAsia" w:ascii="宋体" w:hAnsi="宋体" w:eastAsia="宋体" w:cs="宋体"/>
                <w:sz w:val="24"/>
                <w:szCs w:val="24"/>
              </w:rPr>
            </w:pPr>
          </w:p>
        </w:tc>
        <w:tc>
          <w:tcPr>
            <w:tcW w:w="1487" w:type="dxa"/>
            <w:vAlign w:val="top"/>
          </w:tcPr>
          <w:p w14:paraId="475E87B1">
            <w:pPr>
              <w:rPr>
                <w:rFonts w:hint="eastAsia" w:ascii="宋体" w:hAnsi="宋体" w:eastAsia="宋体" w:cs="宋体"/>
                <w:sz w:val="24"/>
                <w:szCs w:val="24"/>
              </w:rPr>
            </w:pPr>
          </w:p>
        </w:tc>
        <w:tc>
          <w:tcPr>
            <w:tcW w:w="1547" w:type="dxa"/>
            <w:vAlign w:val="top"/>
          </w:tcPr>
          <w:p w14:paraId="0C856C4F">
            <w:pPr>
              <w:rPr>
                <w:rFonts w:hint="eastAsia" w:ascii="宋体" w:hAnsi="宋体" w:eastAsia="宋体" w:cs="宋体"/>
                <w:sz w:val="24"/>
                <w:szCs w:val="24"/>
              </w:rPr>
            </w:pPr>
          </w:p>
        </w:tc>
        <w:tc>
          <w:tcPr>
            <w:tcW w:w="1331" w:type="dxa"/>
            <w:vAlign w:val="top"/>
          </w:tcPr>
          <w:p w14:paraId="2A5A9BA7">
            <w:pPr>
              <w:rPr>
                <w:rFonts w:hint="eastAsia" w:ascii="宋体" w:hAnsi="宋体" w:eastAsia="宋体" w:cs="宋体"/>
                <w:sz w:val="24"/>
                <w:szCs w:val="24"/>
              </w:rPr>
            </w:pPr>
          </w:p>
        </w:tc>
        <w:tc>
          <w:tcPr>
            <w:tcW w:w="1331" w:type="dxa"/>
            <w:vAlign w:val="top"/>
          </w:tcPr>
          <w:p w14:paraId="0F1EF32D">
            <w:pPr>
              <w:rPr>
                <w:rFonts w:hint="eastAsia" w:ascii="宋体" w:hAnsi="宋体" w:eastAsia="宋体" w:cs="宋体"/>
                <w:sz w:val="24"/>
                <w:szCs w:val="24"/>
              </w:rPr>
            </w:pPr>
          </w:p>
        </w:tc>
        <w:tc>
          <w:tcPr>
            <w:tcW w:w="1337" w:type="dxa"/>
            <w:vAlign w:val="top"/>
          </w:tcPr>
          <w:p w14:paraId="01651552">
            <w:pPr>
              <w:rPr>
                <w:rFonts w:hint="eastAsia" w:ascii="宋体" w:hAnsi="宋体" w:eastAsia="宋体" w:cs="宋体"/>
                <w:sz w:val="24"/>
                <w:szCs w:val="24"/>
              </w:rPr>
            </w:pPr>
          </w:p>
        </w:tc>
      </w:tr>
      <w:tr w14:paraId="66726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1336" w:type="dxa"/>
            <w:vAlign w:val="top"/>
          </w:tcPr>
          <w:p w14:paraId="1893AF8A">
            <w:pPr>
              <w:rPr>
                <w:rFonts w:hint="eastAsia" w:ascii="宋体" w:hAnsi="宋体" w:eastAsia="宋体" w:cs="宋体"/>
                <w:sz w:val="24"/>
                <w:szCs w:val="24"/>
              </w:rPr>
            </w:pPr>
          </w:p>
        </w:tc>
        <w:tc>
          <w:tcPr>
            <w:tcW w:w="1487" w:type="dxa"/>
            <w:vAlign w:val="top"/>
          </w:tcPr>
          <w:p w14:paraId="656C0AAC">
            <w:pPr>
              <w:rPr>
                <w:rFonts w:hint="eastAsia" w:ascii="宋体" w:hAnsi="宋体" w:eastAsia="宋体" w:cs="宋体"/>
                <w:sz w:val="24"/>
                <w:szCs w:val="24"/>
              </w:rPr>
            </w:pPr>
          </w:p>
        </w:tc>
        <w:tc>
          <w:tcPr>
            <w:tcW w:w="1547" w:type="dxa"/>
            <w:vAlign w:val="top"/>
          </w:tcPr>
          <w:p w14:paraId="3D3BC14E">
            <w:pPr>
              <w:rPr>
                <w:rFonts w:hint="eastAsia" w:ascii="宋体" w:hAnsi="宋体" w:eastAsia="宋体" w:cs="宋体"/>
                <w:sz w:val="24"/>
                <w:szCs w:val="24"/>
              </w:rPr>
            </w:pPr>
          </w:p>
        </w:tc>
        <w:tc>
          <w:tcPr>
            <w:tcW w:w="1331" w:type="dxa"/>
            <w:vAlign w:val="top"/>
          </w:tcPr>
          <w:p w14:paraId="5DCC691D">
            <w:pPr>
              <w:rPr>
                <w:rFonts w:hint="eastAsia" w:ascii="宋体" w:hAnsi="宋体" w:eastAsia="宋体" w:cs="宋体"/>
                <w:sz w:val="24"/>
                <w:szCs w:val="24"/>
              </w:rPr>
            </w:pPr>
          </w:p>
        </w:tc>
        <w:tc>
          <w:tcPr>
            <w:tcW w:w="1331" w:type="dxa"/>
            <w:vAlign w:val="top"/>
          </w:tcPr>
          <w:p w14:paraId="28C4E6F6">
            <w:pPr>
              <w:rPr>
                <w:rFonts w:hint="eastAsia" w:ascii="宋体" w:hAnsi="宋体" w:eastAsia="宋体" w:cs="宋体"/>
                <w:sz w:val="24"/>
                <w:szCs w:val="24"/>
              </w:rPr>
            </w:pPr>
          </w:p>
        </w:tc>
        <w:tc>
          <w:tcPr>
            <w:tcW w:w="1337" w:type="dxa"/>
            <w:vAlign w:val="top"/>
          </w:tcPr>
          <w:p w14:paraId="0386CA6C">
            <w:pPr>
              <w:rPr>
                <w:rFonts w:hint="eastAsia" w:ascii="宋体" w:hAnsi="宋体" w:eastAsia="宋体" w:cs="宋体"/>
                <w:sz w:val="24"/>
                <w:szCs w:val="24"/>
              </w:rPr>
            </w:pPr>
          </w:p>
        </w:tc>
      </w:tr>
      <w:tr w14:paraId="538DA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1336" w:type="dxa"/>
            <w:vAlign w:val="top"/>
          </w:tcPr>
          <w:p w14:paraId="3E762A93">
            <w:pPr>
              <w:rPr>
                <w:rFonts w:hint="eastAsia" w:ascii="宋体" w:hAnsi="宋体" w:eastAsia="宋体" w:cs="宋体"/>
                <w:sz w:val="24"/>
                <w:szCs w:val="24"/>
              </w:rPr>
            </w:pPr>
          </w:p>
        </w:tc>
        <w:tc>
          <w:tcPr>
            <w:tcW w:w="1487" w:type="dxa"/>
            <w:vAlign w:val="top"/>
          </w:tcPr>
          <w:p w14:paraId="39714230">
            <w:pPr>
              <w:rPr>
                <w:rFonts w:hint="eastAsia" w:ascii="宋体" w:hAnsi="宋体" w:eastAsia="宋体" w:cs="宋体"/>
                <w:sz w:val="24"/>
                <w:szCs w:val="24"/>
              </w:rPr>
            </w:pPr>
          </w:p>
        </w:tc>
        <w:tc>
          <w:tcPr>
            <w:tcW w:w="1547" w:type="dxa"/>
            <w:vAlign w:val="top"/>
          </w:tcPr>
          <w:p w14:paraId="5E31D648">
            <w:pPr>
              <w:rPr>
                <w:rFonts w:hint="eastAsia" w:ascii="宋体" w:hAnsi="宋体" w:eastAsia="宋体" w:cs="宋体"/>
                <w:sz w:val="24"/>
                <w:szCs w:val="24"/>
              </w:rPr>
            </w:pPr>
          </w:p>
        </w:tc>
        <w:tc>
          <w:tcPr>
            <w:tcW w:w="1331" w:type="dxa"/>
            <w:vAlign w:val="top"/>
          </w:tcPr>
          <w:p w14:paraId="76E71056">
            <w:pPr>
              <w:rPr>
                <w:rFonts w:hint="eastAsia" w:ascii="宋体" w:hAnsi="宋体" w:eastAsia="宋体" w:cs="宋体"/>
                <w:sz w:val="24"/>
                <w:szCs w:val="24"/>
              </w:rPr>
            </w:pPr>
          </w:p>
        </w:tc>
        <w:tc>
          <w:tcPr>
            <w:tcW w:w="1331" w:type="dxa"/>
            <w:vAlign w:val="top"/>
          </w:tcPr>
          <w:p w14:paraId="7AA8D417">
            <w:pPr>
              <w:rPr>
                <w:rFonts w:hint="eastAsia" w:ascii="宋体" w:hAnsi="宋体" w:eastAsia="宋体" w:cs="宋体"/>
                <w:sz w:val="24"/>
                <w:szCs w:val="24"/>
              </w:rPr>
            </w:pPr>
          </w:p>
        </w:tc>
        <w:tc>
          <w:tcPr>
            <w:tcW w:w="1337" w:type="dxa"/>
            <w:vAlign w:val="top"/>
          </w:tcPr>
          <w:p w14:paraId="3C2469D1">
            <w:pPr>
              <w:rPr>
                <w:rFonts w:hint="eastAsia" w:ascii="宋体" w:hAnsi="宋体" w:eastAsia="宋体" w:cs="宋体"/>
                <w:sz w:val="24"/>
                <w:szCs w:val="24"/>
              </w:rPr>
            </w:pPr>
          </w:p>
        </w:tc>
      </w:tr>
      <w:tr w14:paraId="08C1E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1336" w:type="dxa"/>
            <w:vAlign w:val="top"/>
          </w:tcPr>
          <w:p w14:paraId="2BBFC41C">
            <w:pPr>
              <w:rPr>
                <w:rFonts w:hint="eastAsia" w:ascii="宋体" w:hAnsi="宋体" w:eastAsia="宋体" w:cs="宋体"/>
                <w:sz w:val="24"/>
                <w:szCs w:val="24"/>
              </w:rPr>
            </w:pPr>
          </w:p>
        </w:tc>
        <w:tc>
          <w:tcPr>
            <w:tcW w:w="1487" w:type="dxa"/>
            <w:vAlign w:val="top"/>
          </w:tcPr>
          <w:p w14:paraId="41D9A5D9">
            <w:pPr>
              <w:rPr>
                <w:rFonts w:hint="eastAsia" w:ascii="宋体" w:hAnsi="宋体" w:eastAsia="宋体" w:cs="宋体"/>
                <w:sz w:val="24"/>
                <w:szCs w:val="24"/>
              </w:rPr>
            </w:pPr>
          </w:p>
        </w:tc>
        <w:tc>
          <w:tcPr>
            <w:tcW w:w="1547" w:type="dxa"/>
            <w:vAlign w:val="top"/>
          </w:tcPr>
          <w:p w14:paraId="28C05424">
            <w:pPr>
              <w:rPr>
                <w:rFonts w:hint="eastAsia" w:ascii="宋体" w:hAnsi="宋体" w:eastAsia="宋体" w:cs="宋体"/>
                <w:sz w:val="24"/>
                <w:szCs w:val="24"/>
              </w:rPr>
            </w:pPr>
          </w:p>
        </w:tc>
        <w:tc>
          <w:tcPr>
            <w:tcW w:w="1331" w:type="dxa"/>
            <w:vAlign w:val="top"/>
          </w:tcPr>
          <w:p w14:paraId="54CF70A5">
            <w:pPr>
              <w:rPr>
                <w:rFonts w:hint="eastAsia" w:ascii="宋体" w:hAnsi="宋体" w:eastAsia="宋体" w:cs="宋体"/>
                <w:sz w:val="24"/>
                <w:szCs w:val="24"/>
              </w:rPr>
            </w:pPr>
          </w:p>
        </w:tc>
        <w:tc>
          <w:tcPr>
            <w:tcW w:w="1331" w:type="dxa"/>
            <w:vAlign w:val="top"/>
          </w:tcPr>
          <w:p w14:paraId="2D8EF398">
            <w:pPr>
              <w:rPr>
                <w:rFonts w:hint="eastAsia" w:ascii="宋体" w:hAnsi="宋体" w:eastAsia="宋体" w:cs="宋体"/>
                <w:sz w:val="24"/>
                <w:szCs w:val="24"/>
              </w:rPr>
            </w:pPr>
          </w:p>
        </w:tc>
        <w:tc>
          <w:tcPr>
            <w:tcW w:w="1337" w:type="dxa"/>
            <w:vAlign w:val="top"/>
          </w:tcPr>
          <w:p w14:paraId="7788A70F">
            <w:pPr>
              <w:rPr>
                <w:rFonts w:hint="eastAsia" w:ascii="宋体" w:hAnsi="宋体" w:eastAsia="宋体" w:cs="宋体"/>
                <w:sz w:val="24"/>
                <w:szCs w:val="24"/>
              </w:rPr>
            </w:pPr>
          </w:p>
        </w:tc>
      </w:tr>
    </w:tbl>
    <w:p w14:paraId="0977F1D1">
      <w:pPr>
        <w:pStyle w:val="8"/>
        <w:spacing w:line="255" w:lineRule="auto"/>
        <w:rPr>
          <w:rFonts w:hint="eastAsia" w:ascii="宋体" w:hAnsi="宋体" w:eastAsia="宋体" w:cs="宋体"/>
          <w:sz w:val="24"/>
          <w:szCs w:val="24"/>
        </w:rPr>
      </w:pPr>
    </w:p>
    <w:p w14:paraId="402775F1">
      <w:pPr>
        <w:spacing w:before="78" w:line="220" w:lineRule="auto"/>
        <w:ind w:left="34"/>
        <w:rPr>
          <w:rFonts w:hint="eastAsia" w:ascii="宋体" w:hAnsi="宋体" w:eastAsia="宋体" w:cs="宋体"/>
          <w:sz w:val="24"/>
          <w:szCs w:val="24"/>
        </w:rPr>
      </w:pPr>
      <w:r>
        <w:rPr>
          <w:rFonts w:hint="eastAsia" w:ascii="宋体" w:hAnsi="宋体" w:eastAsia="宋体" w:cs="宋体"/>
          <w:spacing w:val="-1"/>
          <w:sz w:val="24"/>
          <w:szCs w:val="24"/>
        </w:rPr>
        <w:t>备注：根据评审表的要求提交相应资料。</w:t>
      </w:r>
    </w:p>
    <w:p w14:paraId="272CCEA4">
      <w:pPr>
        <w:pStyle w:val="8"/>
        <w:spacing w:line="255" w:lineRule="auto"/>
      </w:pPr>
    </w:p>
    <w:p w14:paraId="4469D0D3">
      <w:pPr>
        <w:pStyle w:val="8"/>
        <w:spacing w:line="255" w:lineRule="auto"/>
      </w:pPr>
    </w:p>
    <w:p w14:paraId="7577E2DD">
      <w:pPr>
        <w:pStyle w:val="8"/>
        <w:spacing w:line="256" w:lineRule="auto"/>
      </w:pPr>
    </w:p>
    <w:p w14:paraId="071EBB41">
      <w:pPr>
        <w:pStyle w:val="8"/>
        <w:spacing w:line="256" w:lineRule="auto"/>
      </w:pPr>
    </w:p>
    <w:p w14:paraId="53BA2ABA">
      <w:pPr>
        <w:pStyle w:val="8"/>
        <w:spacing w:line="256" w:lineRule="auto"/>
      </w:pPr>
    </w:p>
    <w:p w14:paraId="20F512F1">
      <w:pPr>
        <w:pStyle w:val="8"/>
        <w:spacing w:line="256" w:lineRule="auto"/>
      </w:pPr>
    </w:p>
    <w:p w14:paraId="3AE5B075">
      <w:pPr>
        <w:pStyle w:val="8"/>
        <w:spacing w:line="256" w:lineRule="auto"/>
      </w:pPr>
    </w:p>
    <w:p w14:paraId="23287C43">
      <w:pPr>
        <w:pStyle w:val="8"/>
        <w:spacing w:line="256" w:lineRule="auto"/>
      </w:pPr>
    </w:p>
    <w:p w14:paraId="41300BD4">
      <w:pPr>
        <w:pStyle w:val="8"/>
        <w:spacing w:line="256" w:lineRule="auto"/>
      </w:pPr>
    </w:p>
    <w:p w14:paraId="1B7AD036">
      <w:pPr>
        <w:pStyle w:val="8"/>
        <w:spacing w:line="256" w:lineRule="auto"/>
      </w:pPr>
    </w:p>
    <w:p w14:paraId="42A5DF56">
      <w:pPr>
        <w:pStyle w:val="8"/>
        <w:spacing w:line="256" w:lineRule="auto"/>
      </w:pPr>
    </w:p>
    <w:p w14:paraId="6BF247BF">
      <w:pPr>
        <w:pStyle w:val="8"/>
        <w:spacing w:line="256" w:lineRule="auto"/>
      </w:pPr>
    </w:p>
    <w:p w14:paraId="59529A59">
      <w:pPr>
        <w:pStyle w:val="8"/>
        <w:spacing w:line="256" w:lineRule="auto"/>
      </w:pPr>
    </w:p>
    <w:p w14:paraId="0E7FC307">
      <w:pPr>
        <w:pStyle w:val="8"/>
        <w:spacing w:before="247" w:line="226" w:lineRule="auto"/>
        <w:rPr>
          <w:sz w:val="24"/>
          <w:szCs w:val="24"/>
        </w:rPr>
      </w:pPr>
      <w:r>
        <w:rPr>
          <w:rFonts w:hint="eastAsia"/>
          <w:spacing w:val="7"/>
          <w:sz w:val="24"/>
          <w:szCs w:val="24"/>
          <w:lang w:val="en-US" w:eastAsia="zh-CN"/>
        </w:rPr>
        <w:t>2.</w:t>
      </w:r>
      <w:r>
        <w:rPr>
          <w:spacing w:val="7"/>
          <w:sz w:val="24"/>
          <w:szCs w:val="24"/>
        </w:rPr>
        <w:t>项目经理简历表</w:t>
      </w:r>
    </w:p>
    <w:p w14:paraId="0F310645">
      <w:pPr>
        <w:pStyle w:val="8"/>
        <w:spacing w:before="160" w:line="249" w:lineRule="auto"/>
        <w:ind w:right="163" w:firstLine="562"/>
        <w:rPr>
          <w:sz w:val="24"/>
          <w:szCs w:val="24"/>
        </w:rPr>
      </w:pPr>
      <w:r>
        <w:rPr>
          <w:spacing w:val="-2"/>
          <w:sz w:val="24"/>
          <w:szCs w:val="24"/>
        </w:rPr>
        <w:t>项目经理应附建造师执业资格证书、注册证书、安全生产考核合格</w:t>
      </w:r>
      <w:r>
        <w:rPr>
          <w:spacing w:val="-3"/>
          <w:sz w:val="24"/>
          <w:szCs w:val="24"/>
        </w:rPr>
        <w:t>证书、</w:t>
      </w:r>
      <w:r>
        <w:rPr>
          <w:sz w:val="24"/>
          <w:szCs w:val="24"/>
        </w:rPr>
        <w:t xml:space="preserve"> </w:t>
      </w:r>
      <w:r>
        <w:rPr>
          <w:spacing w:val="-3"/>
          <w:sz w:val="24"/>
          <w:szCs w:val="24"/>
        </w:rPr>
        <w:t>身份证、学历证。类似项</w:t>
      </w:r>
      <w:r>
        <w:rPr>
          <w:spacing w:val="-5"/>
          <w:sz w:val="24"/>
          <w:szCs w:val="24"/>
        </w:rPr>
        <w:t>目限于以经理身份参与的项目。</w:t>
      </w:r>
    </w:p>
    <w:tbl>
      <w:tblPr>
        <w:tblStyle w:val="56"/>
        <w:tblW w:w="9016" w:type="dxa"/>
        <w:tblInd w:w="2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2"/>
        <w:gridCol w:w="211"/>
        <w:gridCol w:w="1034"/>
        <w:gridCol w:w="1140"/>
        <w:gridCol w:w="760"/>
        <w:gridCol w:w="507"/>
        <w:gridCol w:w="1447"/>
        <w:gridCol w:w="395"/>
        <w:gridCol w:w="2130"/>
      </w:tblGrid>
      <w:tr w14:paraId="1EEF3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603" w:type="dxa"/>
            <w:gridSpan w:val="2"/>
            <w:noWrap w:val="0"/>
            <w:vAlign w:val="top"/>
          </w:tcPr>
          <w:p w14:paraId="64ECBB45">
            <w:pPr>
              <w:pStyle w:val="55"/>
              <w:spacing w:before="175" w:line="225" w:lineRule="auto"/>
              <w:ind w:left="397"/>
              <w:rPr>
                <w:sz w:val="24"/>
                <w:szCs w:val="24"/>
              </w:rPr>
            </w:pPr>
            <w:r>
              <w:rPr>
                <w:spacing w:val="-9"/>
                <w:sz w:val="24"/>
                <w:szCs w:val="24"/>
              </w:rPr>
              <w:t>姓</w:t>
            </w:r>
            <w:r>
              <w:rPr>
                <w:spacing w:val="8"/>
                <w:sz w:val="24"/>
                <w:szCs w:val="24"/>
              </w:rPr>
              <w:t xml:space="preserve">  </w:t>
            </w:r>
            <w:r>
              <w:rPr>
                <w:spacing w:val="-9"/>
                <w:sz w:val="24"/>
                <w:szCs w:val="24"/>
              </w:rPr>
              <w:t>名</w:t>
            </w:r>
          </w:p>
        </w:tc>
        <w:tc>
          <w:tcPr>
            <w:tcW w:w="1034" w:type="dxa"/>
            <w:noWrap w:val="0"/>
            <w:vAlign w:val="top"/>
          </w:tcPr>
          <w:p w14:paraId="62DB47F8">
            <w:pPr>
              <w:rPr>
                <w:rFonts w:ascii="Arial"/>
                <w:sz w:val="24"/>
                <w:szCs w:val="24"/>
              </w:rPr>
            </w:pPr>
          </w:p>
        </w:tc>
        <w:tc>
          <w:tcPr>
            <w:tcW w:w="1140" w:type="dxa"/>
            <w:noWrap w:val="0"/>
            <w:vAlign w:val="top"/>
          </w:tcPr>
          <w:p w14:paraId="500F7E40">
            <w:pPr>
              <w:pStyle w:val="55"/>
              <w:spacing w:before="175" w:line="223" w:lineRule="auto"/>
              <w:ind w:left="171"/>
              <w:rPr>
                <w:sz w:val="24"/>
                <w:szCs w:val="24"/>
              </w:rPr>
            </w:pPr>
            <w:r>
              <w:rPr>
                <w:spacing w:val="-12"/>
                <w:sz w:val="24"/>
                <w:szCs w:val="24"/>
              </w:rPr>
              <w:t>年</w:t>
            </w:r>
            <w:r>
              <w:rPr>
                <w:spacing w:val="7"/>
                <w:sz w:val="24"/>
                <w:szCs w:val="24"/>
              </w:rPr>
              <w:t xml:space="preserve">  </w:t>
            </w:r>
            <w:r>
              <w:rPr>
                <w:spacing w:val="-12"/>
                <w:sz w:val="24"/>
                <w:szCs w:val="24"/>
              </w:rPr>
              <w:t>龄</w:t>
            </w:r>
          </w:p>
        </w:tc>
        <w:tc>
          <w:tcPr>
            <w:tcW w:w="1267" w:type="dxa"/>
            <w:gridSpan w:val="2"/>
            <w:noWrap w:val="0"/>
            <w:vAlign w:val="top"/>
          </w:tcPr>
          <w:p w14:paraId="714195D1">
            <w:pPr>
              <w:rPr>
                <w:rFonts w:ascii="Arial"/>
                <w:sz w:val="24"/>
                <w:szCs w:val="24"/>
              </w:rPr>
            </w:pPr>
          </w:p>
        </w:tc>
        <w:tc>
          <w:tcPr>
            <w:tcW w:w="1842" w:type="dxa"/>
            <w:gridSpan w:val="2"/>
            <w:noWrap w:val="0"/>
            <w:vAlign w:val="top"/>
          </w:tcPr>
          <w:p w14:paraId="4B9CBE28">
            <w:pPr>
              <w:pStyle w:val="55"/>
              <w:spacing w:before="175" w:line="224" w:lineRule="auto"/>
              <w:ind w:left="669"/>
              <w:rPr>
                <w:sz w:val="24"/>
                <w:szCs w:val="24"/>
              </w:rPr>
            </w:pPr>
            <w:r>
              <w:rPr>
                <w:spacing w:val="-15"/>
                <w:sz w:val="24"/>
                <w:szCs w:val="24"/>
              </w:rPr>
              <w:t>学历</w:t>
            </w:r>
          </w:p>
        </w:tc>
        <w:tc>
          <w:tcPr>
            <w:tcW w:w="2130" w:type="dxa"/>
            <w:noWrap w:val="0"/>
            <w:vAlign w:val="top"/>
          </w:tcPr>
          <w:p w14:paraId="4D4C1EAC">
            <w:pPr>
              <w:rPr>
                <w:rFonts w:ascii="Arial"/>
                <w:sz w:val="24"/>
                <w:szCs w:val="24"/>
              </w:rPr>
            </w:pPr>
          </w:p>
        </w:tc>
      </w:tr>
      <w:tr w14:paraId="03C7F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603" w:type="dxa"/>
            <w:gridSpan w:val="2"/>
            <w:noWrap w:val="0"/>
            <w:vAlign w:val="top"/>
          </w:tcPr>
          <w:p w14:paraId="0CF4EAD6">
            <w:pPr>
              <w:spacing w:line="391" w:lineRule="auto"/>
              <w:rPr>
                <w:rFonts w:ascii="Arial"/>
                <w:sz w:val="24"/>
                <w:szCs w:val="24"/>
              </w:rPr>
            </w:pPr>
          </w:p>
          <w:p w14:paraId="1E56A0B2">
            <w:pPr>
              <w:pStyle w:val="55"/>
              <w:spacing w:before="91" w:line="222" w:lineRule="auto"/>
              <w:ind w:left="396"/>
              <w:rPr>
                <w:sz w:val="24"/>
                <w:szCs w:val="24"/>
              </w:rPr>
            </w:pPr>
            <w:r>
              <w:rPr>
                <w:spacing w:val="-9"/>
                <w:sz w:val="24"/>
                <w:szCs w:val="24"/>
              </w:rPr>
              <w:t>职</w:t>
            </w:r>
            <w:r>
              <w:rPr>
                <w:spacing w:val="8"/>
                <w:sz w:val="24"/>
                <w:szCs w:val="24"/>
              </w:rPr>
              <w:t xml:space="preserve">  </w:t>
            </w:r>
            <w:r>
              <w:rPr>
                <w:spacing w:val="-9"/>
                <w:sz w:val="24"/>
                <w:szCs w:val="24"/>
              </w:rPr>
              <w:t>称</w:t>
            </w:r>
          </w:p>
        </w:tc>
        <w:tc>
          <w:tcPr>
            <w:tcW w:w="1034" w:type="dxa"/>
            <w:noWrap w:val="0"/>
            <w:vAlign w:val="top"/>
          </w:tcPr>
          <w:p w14:paraId="3C514783">
            <w:pPr>
              <w:rPr>
                <w:rFonts w:ascii="Arial"/>
                <w:sz w:val="24"/>
                <w:szCs w:val="24"/>
              </w:rPr>
            </w:pPr>
          </w:p>
        </w:tc>
        <w:tc>
          <w:tcPr>
            <w:tcW w:w="1140" w:type="dxa"/>
            <w:noWrap w:val="0"/>
            <w:vAlign w:val="top"/>
          </w:tcPr>
          <w:p w14:paraId="6ECC976B">
            <w:pPr>
              <w:spacing w:line="391" w:lineRule="auto"/>
              <w:rPr>
                <w:rFonts w:ascii="Arial"/>
                <w:sz w:val="24"/>
                <w:szCs w:val="24"/>
              </w:rPr>
            </w:pPr>
          </w:p>
          <w:p w14:paraId="3B56CB3D">
            <w:pPr>
              <w:pStyle w:val="55"/>
              <w:spacing w:before="91" w:line="224" w:lineRule="auto"/>
              <w:ind w:left="164"/>
              <w:rPr>
                <w:sz w:val="24"/>
                <w:szCs w:val="24"/>
              </w:rPr>
            </w:pPr>
            <w:r>
              <w:rPr>
                <w:spacing w:val="-9"/>
                <w:sz w:val="24"/>
                <w:szCs w:val="24"/>
              </w:rPr>
              <w:t>职</w:t>
            </w:r>
            <w:r>
              <w:rPr>
                <w:spacing w:val="12"/>
                <w:sz w:val="24"/>
                <w:szCs w:val="24"/>
              </w:rPr>
              <w:t xml:space="preserve">  </w:t>
            </w:r>
            <w:r>
              <w:rPr>
                <w:spacing w:val="-9"/>
                <w:sz w:val="24"/>
                <w:szCs w:val="24"/>
              </w:rPr>
              <w:t>务</w:t>
            </w:r>
          </w:p>
        </w:tc>
        <w:tc>
          <w:tcPr>
            <w:tcW w:w="1267" w:type="dxa"/>
            <w:gridSpan w:val="2"/>
            <w:noWrap w:val="0"/>
            <w:vAlign w:val="top"/>
          </w:tcPr>
          <w:p w14:paraId="2D435020">
            <w:pPr>
              <w:rPr>
                <w:rFonts w:ascii="Arial"/>
                <w:sz w:val="24"/>
                <w:szCs w:val="24"/>
              </w:rPr>
            </w:pPr>
          </w:p>
        </w:tc>
        <w:tc>
          <w:tcPr>
            <w:tcW w:w="1842" w:type="dxa"/>
            <w:gridSpan w:val="2"/>
            <w:noWrap w:val="0"/>
            <w:vAlign w:val="top"/>
          </w:tcPr>
          <w:p w14:paraId="71121309">
            <w:pPr>
              <w:pStyle w:val="55"/>
              <w:spacing w:before="173" w:line="624" w:lineRule="exact"/>
              <w:ind w:left="237"/>
              <w:rPr>
                <w:sz w:val="24"/>
                <w:szCs w:val="24"/>
              </w:rPr>
            </w:pPr>
            <w:r>
              <w:rPr>
                <w:spacing w:val="-4"/>
                <w:position w:val="26"/>
                <w:sz w:val="24"/>
                <w:szCs w:val="24"/>
              </w:rPr>
              <w:t>拟在本工程</w:t>
            </w:r>
          </w:p>
          <w:p w14:paraId="2F20FFAB">
            <w:pPr>
              <w:pStyle w:val="55"/>
              <w:spacing w:before="1" w:line="223" w:lineRule="auto"/>
              <w:ind w:left="657"/>
              <w:rPr>
                <w:sz w:val="24"/>
                <w:szCs w:val="24"/>
              </w:rPr>
            </w:pPr>
            <w:r>
              <w:rPr>
                <w:spacing w:val="-9"/>
                <w:sz w:val="24"/>
                <w:szCs w:val="24"/>
              </w:rPr>
              <w:t>任职</w:t>
            </w:r>
          </w:p>
        </w:tc>
        <w:tc>
          <w:tcPr>
            <w:tcW w:w="2130" w:type="dxa"/>
            <w:noWrap w:val="0"/>
            <w:vAlign w:val="top"/>
          </w:tcPr>
          <w:p w14:paraId="7358B998">
            <w:pPr>
              <w:spacing w:line="392" w:lineRule="auto"/>
              <w:rPr>
                <w:rFonts w:ascii="Arial"/>
                <w:sz w:val="24"/>
                <w:szCs w:val="24"/>
              </w:rPr>
            </w:pPr>
          </w:p>
          <w:p w14:paraId="2BF26345">
            <w:pPr>
              <w:pStyle w:val="55"/>
              <w:spacing w:before="91" w:line="224" w:lineRule="auto"/>
              <w:ind w:left="523"/>
              <w:rPr>
                <w:sz w:val="24"/>
                <w:szCs w:val="24"/>
              </w:rPr>
            </w:pPr>
            <w:r>
              <w:rPr>
                <w:spacing w:val="-5"/>
                <w:sz w:val="24"/>
                <w:szCs w:val="24"/>
              </w:rPr>
              <w:t>项目经理</w:t>
            </w:r>
          </w:p>
        </w:tc>
      </w:tr>
      <w:tr w14:paraId="0C08C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777" w:type="dxa"/>
            <w:gridSpan w:val="4"/>
            <w:noWrap w:val="0"/>
            <w:vAlign w:val="top"/>
          </w:tcPr>
          <w:p w14:paraId="45AA1CC3">
            <w:pPr>
              <w:pStyle w:val="55"/>
              <w:spacing w:before="174" w:line="223" w:lineRule="auto"/>
              <w:ind w:left="134"/>
              <w:rPr>
                <w:sz w:val="24"/>
                <w:szCs w:val="24"/>
              </w:rPr>
            </w:pPr>
            <w:r>
              <w:rPr>
                <w:spacing w:val="-3"/>
                <w:sz w:val="24"/>
                <w:szCs w:val="24"/>
              </w:rPr>
              <w:t>注册建造师执业资格等级</w:t>
            </w:r>
          </w:p>
        </w:tc>
        <w:tc>
          <w:tcPr>
            <w:tcW w:w="760" w:type="dxa"/>
            <w:noWrap w:val="0"/>
            <w:vAlign w:val="top"/>
          </w:tcPr>
          <w:p w14:paraId="1606A7A0">
            <w:pPr>
              <w:pStyle w:val="55"/>
              <w:spacing w:before="174" w:line="224" w:lineRule="auto"/>
              <w:ind w:left="260"/>
              <w:rPr>
                <w:sz w:val="24"/>
                <w:szCs w:val="24"/>
              </w:rPr>
            </w:pPr>
            <w:r>
              <w:rPr>
                <w:sz w:val="24"/>
                <w:szCs w:val="24"/>
              </w:rPr>
              <w:t>级</w:t>
            </w:r>
          </w:p>
        </w:tc>
        <w:tc>
          <w:tcPr>
            <w:tcW w:w="1954" w:type="dxa"/>
            <w:gridSpan w:val="2"/>
            <w:noWrap w:val="0"/>
            <w:vAlign w:val="top"/>
          </w:tcPr>
          <w:p w14:paraId="48D6233B">
            <w:pPr>
              <w:pStyle w:val="55"/>
              <w:spacing w:before="174" w:line="223" w:lineRule="auto"/>
              <w:ind w:left="293"/>
              <w:rPr>
                <w:sz w:val="24"/>
                <w:szCs w:val="24"/>
              </w:rPr>
            </w:pPr>
            <w:r>
              <w:rPr>
                <w:spacing w:val="-4"/>
                <w:sz w:val="24"/>
                <w:szCs w:val="24"/>
              </w:rPr>
              <w:t>建造师专业</w:t>
            </w:r>
          </w:p>
        </w:tc>
        <w:tc>
          <w:tcPr>
            <w:tcW w:w="2525" w:type="dxa"/>
            <w:gridSpan w:val="2"/>
            <w:noWrap w:val="0"/>
            <w:vAlign w:val="top"/>
          </w:tcPr>
          <w:p w14:paraId="54D4F5E5">
            <w:pPr>
              <w:rPr>
                <w:rFonts w:ascii="Arial"/>
                <w:sz w:val="24"/>
                <w:szCs w:val="24"/>
              </w:rPr>
            </w:pPr>
          </w:p>
        </w:tc>
      </w:tr>
      <w:tr w14:paraId="28C7A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777" w:type="dxa"/>
            <w:gridSpan w:val="4"/>
            <w:noWrap w:val="0"/>
            <w:vAlign w:val="top"/>
          </w:tcPr>
          <w:p w14:paraId="48A4BDAA">
            <w:pPr>
              <w:pStyle w:val="55"/>
              <w:spacing w:before="173" w:line="223" w:lineRule="auto"/>
              <w:ind w:left="129"/>
              <w:rPr>
                <w:sz w:val="24"/>
                <w:szCs w:val="24"/>
              </w:rPr>
            </w:pPr>
            <w:r>
              <w:rPr>
                <w:spacing w:val="-3"/>
                <w:sz w:val="24"/>
                <w:szCs w:val="24"/>
              </w:rPr>
              <w:t>安全生产考核合格证书</w:t>
            </w:r>
          </w:p>
        </w:tc>
        <w:tc>
          <w:tcPr>
            <w:tcW w:w="5239" w:type="dxa"/>
            <w:gridSpan w:val="5"/>
            <w:noWrap w:val="0"/>
            <w:vAlign w:val="top"/>
          </w:tcPr>
          <w:p w14:paraId="449E1040">
            <w:pPr>
              <w:rPr>
                <w:rFonts w:ascii="Arial"/>
                <w:sz w:val="24"/>
                <w:szCs w:val="24"/>
              </w:rPr>
            </w:pPr>
          </w:p>
        </w:tc>
      </w:tr>
      <w:tr w14:paraId="75735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92" w:type="dxa"/>
            <w:noWrap w:val="0"/>
            <w:vAlign w:val="top"/>
          </w:tcPr>
          <w:p w14:paraId="16B3FF18">
            <w:pPr>
              <w:pStyle w:val="55"/>
              <w:spacing w:before="172" w:line="222" w:lineRule="auto"/>
              <w:ind w:left="157"/>
              <w:rPr>
                <w:sz w:val="24"/>
                <w:szCs w:val="24"/>
              </w:rPr>
            </w:pPr>
            <w:r>
              <w:rPr>
                <w:spacing w:val="-6"/>
                <w:sz w:val="24"/>
                <w:szCs w:val="24"/>
              </w:rPr>
              <w:t>毕业学校</w:t>
            </w:r>
          </w:p>
        </w:tc>
        <w:tc>
          <w:tcPr>
            <w:tcW w:w="7624" w:type="dxa"/>
            <w:gridSpan w:val="8"/>
            <w:noWrap w:val="0"/>
            <w:vAlign w:val="top"/>
          </w:tcPr>
          <w:p w14:paraId="1CD4C797">
            <w:pPr>
              <w:pStyle w:val="55"/>
              <w:spacing w:before="172" w:line="222" w:lineRule="auto"/>
              <w:ind w:left="612"/>
              <w:rPr>
                <w:sz w:val="24"/>
                <w:szCs w:val="24"/>
              </w:rPr>
            </w:pPr>
            <w:r>
              <w:rPr>
                <w:spacing w:val="-10"/>
                <w:sz w:val="24"/>
                <w:szCs w:val="24"/>
              </w:rPr>
              <w:t>年毕业于</w:t>
            </w:r>
            <w:r>
              <w:rPr>
                <w:spacing w:val="2"/>
                <w:sz w:val="24"/>
                <w:szCs w:val="24"/>
              </w:rPr>
              <w:t xml:space="preserve">                  </w:t>
            </w:r>
            <w:r>
              <w:rPr>
                <w:spacing w:val="-10"/>
                <w:sz w:val="24"/>
                <w:szCs w:val="24"/>
              </w:rPr>
              <w:t>学校</w:t>
            </w:r>
            <w:r>
              <w:rPr>
                <w:spacing w:val="1"/>
                <w:sz w:val="24"/>
                <w:szCs w:val="24"/>
              </w:rPr>
              <w:t xml:space="preserve">            </w:t>
            </w:r>
            <w:r>
              <w:rPr>
                <w:spacing w:val="-10"/>
                <w:sz w:val="24"/>
                <w:szCs w:val="24"/>
              </w:rPr>
              <w:t>专业</w:t>
            </w:r>
          </w:p>
        </w:tc>
      </w:tr>
      <w:tr w14:paraId="2BA6E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016" w:type="dxa"/>
            <w:gridSpan w:val="9"/>
            <w:noWrap w:val="0"/>
            <w:vAlign w:val="top"/>
          </w:tcPr>
          <w:p w14:paraId="15ABA1C1">
            <w:pPr>
              <w:pStyle w:val="55"/>
              <w:spacing w:before="172" w:line="221" w:lineRule="auto"/>
              <w:ind w:left="3691"/>
              <w:rPr>
                <w:sz w:val="24"/>
                <w:szCs w:val="24"/>
              </w:rPr>
            </w:pPr>
            <w:r>
              <w:rPr>
                <w:spacing w:val="-5"/>
                <w:sz w:val="24"/>
                <w:szCs w:val="24"/>
              </w:rPr>
              <w:t>主要工作经历</w:t>
            </w:r>
          </w:p>
        </w:tc>
      </w:tr>
      <w:tr w14:paraId="5A9DD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92" w:type="dxa"/>
            <w:noWrap w:val="0"/>
            <w:vAlign w:val="top"/>
          </w:tcPr>
          <w:p w14:paraId="316171DA">
            <w:pPr>
              <w:pStyle w:val="55"/>
              <w:spacing w:before="172" w:line="224" w:lineRule="auto"/>
              <w:ind w:left="312"/>
              <w:rPr>
                <w:sz w:val="24"/>
                <w:szCs w:val="24"/>
              </w:rPr>
            </w:pPr>
            <w:r>
              <w:rPr>
                <w:spacing w:val="-19"/>
                <w:sz w:val="24"/>
                <w:szCs w:val="24"/>
              </w:rPr>
              <w:t>时</w:t>
            </w:r>
            <w:r>
              <w:rPr>
                <w:spacing w:val="21"/>
                <w:sz w:val="24"/>
                <w:szCs w:val="24"/>
              </w:rPr>
              <w:t xml:space="preserve">  </w:t>
            </w:r>
            <w:r>
              <w:rPr>
                <w:spacing w:val="-19"/>
                <w:sz w:val="24"/>
                <w:szCs w:val="24"/>
              </w:rPr>
              <w:t>间</w:t>
            </w:r>
          </w:p>
        </w:tc>
        <w:tc>
          <w:tcPr>
            <w:tcW w:w="3145" w:type="dxa"/>
            <w:gridSpan w:val="4"/>
            <w:noWrap w:val="0"/>
            <w:vAlign w:val="top"/>
          </w:tcPr>
          <w:p w14:paraId="4FB5FEEF">
            <w:pPr>
              <w:pStyle w:val="55"/>
              <w:spacing w:before="171" w:line="222" w:lineRule="auto"/>
              <w:ind w:left="193"/>
              <w:rPr>
                <w:sz w:val="24"/>
                <w:szCs w:val="24"/>
              </w:rPr>
            </w:pPr>
            <w:r>
              <w:rPr>
                <w:spacing w:val="-3"/>
                <w:sz w:val="24"/>
                <w:szCs w:val="24"/>
              </w:rPr>
              <w:t>参加过的类似项目名称</w:t>
            </w:r>
          </w:p>
        </w:tc>
        <w:tc>
          <w:tcPr>
            <w:tcW w:w="1954" w:type="dxa"/>
            <w:gridSpan w:val="2"/>
            <w:noWrap w:val="0"/>
            <w:vAlign w:val="top"/>
          </w:tcPr>
          <w:p w14:paraId="2F71D058">
            <w:pPr>
              <w:pStyle w:val="55"/>
              <w:spacing w:before="172" w:line="223" w:lineRule="auto"/>
              <w:ind w:left="161"/>
              <w:rPr>
                <w:sz w:val="24"/>
                <w:szCs w:val="24"/>
              </w:rPr>
            </w:pPr>
            <w:r>
              <w:rPr>
                <w:spacing w:val="-4"/>
                <w:sz w:val="24"/>
                <w:szCs w:val="24"/>
              </w:rPr>
              <w:t>工程概况说明</w:t>
            </w:r>
          </w:p>
        </w:tc>
        <w:tc>
          <w:tcPr>
            <w:tcW w:w="2525" w:type="dxa"/>
            <w:gridSpan w:val="2"/>
            <w:noWrap w:val="0"/>
            <w:vAlign w:val="top"/>
          </w:tcPr>
          <w:p w14:paraId="549DF180">
            <w:pPr>
              <w:pStyle w:val="55"/>
              <w:spacing w:before="172" w:line="224" w:lineRule="auto"/>
              <w:ind w:left="166"/>
              <w:rPr>
                <w:sz w:val="24"/>
                <w:szCs w:val="24"/>
              </w:rPr>
            </w:pPr>
            <w:r>
              <w:rPr>
                <w:spacing w:val="-4"/>
                <w:sz w:val="24"/>
                <w:szCs w:val="24"/>
              </w:rPr>
              <w:t>发包人及联系电话</w:t>
            </w:r>
          </w:p>
        </w:tc>
      </w:tr>
      <w:tr w14:paraId="1DCF4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2" w:type="dxa"/>
            <w:noWrap w:val="0"/>
            <w:vAlign w:val="top"/>
          </w:tcPr>
          <w:p w14:paraId="12D7F64D">
            <w:pPr>
              <w:rPr>
                <w:rFonts w:ascii="Arial"/>
                <w:sz w:val="24"/>
                <w:szCs w:val="24"/>
              </w:rPr>
            </w:pPr>
          </w:p>
        </w:tc>
        <w:tc>
          <w:tcPr>
            <w:tcW w:w="3145" w:type="dxa"/>
            <w:gridSpan w:val="4"/>
            <w:noWrap w:val="0"/>
            <w:vAlign w:val="top"/>
          </w:tcPr>
          <w:p w14:paraId="7998A47F">
            <w:pPr>
              <w:rPr>
                <w:rFonts w:ascii="Arial"/>
                <w:sz w:val="24"/>
                <w:szCs w:val="24"/>
              </w:rPr>
            </w:pPr>
          </w:p>
        </w:tc>
        <w:tc>
          <w:tcPr>
            <w:tcW w:w="1954" w:type="dxa"/>
            <w:gridSpan w:val="2"/>
            <w:noWrap w:val="0"/>
            <w:vAlign w:val="top"/>
          </w:tcPr>
          <w:p w14:paraId="4A94BCCB">
            <w:pPr>
              <w:rPr>
                <w:rFonts w:ascii="Arial"/>
                <w:sz w:val="24"/>
                <w:szCs w:val="24"/>
              </w:rPr>
            </w:pPr>
          </w:p>
        </w:tc>
        <w:tc>
          <w:tcPr>
            <w:tcW w:w="2525" w:type="dxa"/>
            <w:gridSpan w:val="2"/>
            <w:noWrap w:val="0"/>
            <w:vAlign w:val="top"/>
          </w:tcPr>
          <w:p w14:paraId="49C14719">
            <w:pPr>
              <w:rPr>
                <w:rFonts w:ascii="Arial"/>
                <w:sz w:val="24"/>
                <w:szCs w:val="24"/>
              </w:rPr>
            </w:pPr>
          </w:p>
        </w:tc>
      </w:tr>
      <w:tr w14:paraId="77DCC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2" w:type="dxa"/>
            <w:noWrap w:val="0"/>
            <w:vAlign w:val="top"/>
          </w:tcPr>
          <w:p w14:paraId="4E0C11FD">
            <w:pPr>
              <w:rPr>
                <w:rFonts w:ascii="Arial"/>
                <w:sz w:val="24"/>
                <w:szCs w:val="24"/>
              </w:rPr>
            </w:pPr>
          </w:p>
        </w:tc>
        <w:tc>
          <w:tcPr>
            <w:tcW w:w="3145" w:type="dxa"/>
            <w:gridSpan w:val="4"/>
            <w:noWrap w:val="0"/>
            <w:vAlign w:val="top"/>
          </w:tcPr>
          <w:p w14:paraId="7D0B55DB">
            <w:pPr>
              <w:rPr>
                <w:rFonts w:ascii="Arial"/>
                <w:sz w:val="24"/>
                <w:szCs w:val="24"/>
              </w:rPr>
            </w:pPr>
          </w:p>
        </w:tc>
        <w:tc>
          <w:tcPr>
            <w:tcW w:w="1954" w:type="dxa"/>
            <w:gridSpan w:val="2"/>
            <w:noWrap w:val="0"/>
            <w:vAlign w:val="top"/>
          </w:tcPr>
          <w:p w14:paraId="5AD87AE6">
            <w:pPr>
              <w:rPr>
                <w:rFonts w:ascii="Arial"/>
                <w:sz w:val="24"/>
                <w:szCs w:val="24"/>
              </w:rPr>
            </w:pPr>
          </w:p>
        </w:tc>
        <w:tc>
          <w:tcPr>
            <w:tcW w:w="2525" w:type="dxa"/>
            <w:gridSpan w:val="2"/>
            <w:noWrap w:val="0"/>
            <w:vAlign w:val="top"/>
          </w:tcPr>
          <w:p w14:paraId="0CAECB30">
            <w:pPr>
              <w:rPr>
                <w:rFonts w:ascii="Arial"/>
                <w:sz w:val="24"/>
                <w:szCs w:val="24"/>
              </w:rPr>
            </w:pPr>
          </w:p>
        </w:tc>
      </w:tr>
      <w:tr w14:paraId="5B8F2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2" w:type="dxa"/>
            <w:noWrap w:val="0"/>
            <w:vAlign w:val="top"/>
          </w:tcPr>
          <w:p w14:paraId="2E358520">
            <w:pPr>
              <w:rPr>
                <w:rFonts w:ascii="Arial"/>
                <w:sz w:val="24"/>
                <w:szCs w:val="24"/>
              </w:rPr>
            </w:pPr>
          </w:p>
        </w:tc>
        <w:tc>
          <w:tcPr>
            <w:tcW w:w="3145" w:type="dxa"/>
            <w:gridSpan w:val="4"/>
            <w:noWrap w:val="0"/>
            <w:vAlign w:val="top"/>
          </w:tcPr>
          <w:p w14:paraId="070A829D">
            <w:pPr>
              <w:rPr>
                <w:rFonts w:ascii="Arial"/>
                <w:sz w:val="24"/>
                <w:szCs w:val="24"/>
              </w:rPr>
            </w:pPr>
          </w:p>
        </w:tc>
        <w:tc>
          <w:tcPr>
            <w:tcW w:w="1954" w:type="dxa"/>
            <w:gridSpan w:val="2"/>
            <w:noWrap w:val="0"/>
            <w:vAlign w:val="top"/>
          </w:tcPr>
          <w:p w14:paraId="153C459C">
            <w:pPr>
              <w:rPr>
                <w:rFonts w:ascii="Arial"/>
                <w:sz w:val="24"/>
                <w:szCs w:val="24"/>
              </w:rPr>
            </w:pPr>
          </w:p>
        </w:tc>
        <w:tc>
          <w:tcPr>
            <w:tcW w:w="2525" w:type="dxa"/>
            <w:gridSpan w:val="2"/>
            <w:noWrap w:val="0"/>
            <w:vAlign w:val="top"/>
          </w:tcPr>
          <w:p w14:paraId="3260C0F0">
            <w:pPr>
              <w:rPr>
                <w:rFonts w:ascii="Arial"/>
                <w:sz w:val="24"/>
                <w:szCs w:val="24"/>
              </w:rPr>
            </w:pPr>
          </w:p>
        </w:tc>
      </w:tr>
      <w:tr w14:paraId="04A80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392" w:type="dxa"/>
            <w:noWrap w:val="0"/>
            <w:vAlign w:val="top"/>
          </w:tcPr>
          <w:p w14:paraId="37873F1E">
            <w:pPr>
              <w:rPr>
                <w:rFonts w:ascii="Arial"/>
                <w:sz w:val="24"/>
                <w:szCs w:val="24"/>
              </w:rPr>
            </w:pPr>
          </w:p>
        </w:tc>
        <w:tc>
          <w:tcPr>
            <w:tcW w:w="3145" w:type="dxa"/>
            <w:gridSpan w:val="4"/>
            <w:noWrap w:val="0"/>
            <w:vAlign w:val="top"/>
          </w:tcPr>
          <w:p w14:paraId="20D04B88">
            <w:pPr>
              <w:rPr>
                <w:rFonts w:ascii="Arial"/>
                <w:sz w:val="24"/>
                <w:szCs w:val="24"/>
              </w:rPr>
            </w:pPr>
          </w:p>
        </w:tc>
        <w:tc>
          <w:tcPr>
            <w:tcW w:w="1954" w:type="dxa"/>
            <w:gridSpan w:val="2"/>
            <w:noWrap w:val="0"/>
            <w:vAlign w:val="top"/>
          </w:tcPr>
          <w:p w14:paraId="3E5D4ECE">
            <w:pPr>
              <w:rPr>
                <w:rFonts w:ascii="Arial"/>
                <w:sz w:val="24"/>
                <w:szCs w:val="24"/>
              </w:rPr>
            </w:pPr>
          </w:p>
        </w:tc>
        <w:tc>
          <w:tcPr>
            <w:tcW w:w="2525" w:type="dxa"/>
            <w:gridSpan w:val="2"/>
            <w:noWrap w:val="0"/>
            <w:vAlign w:val="top"/>
          </w:tcPr>
          <w:p w14:paraId="5BFFBA6A">
            <w:pPr>
              <w:rPr>
                <w:rFonts w:ascii="Arial"/>
                <w:sz w:val="24"/>
                <w:szCs w:val="24"/>
              </w:rPr>
            </w:pPr>
          </w:p>
        </w:tc>
      </w:tr>
    </w:tbl>
    <w:p w14:paraId="07545F89">
      <w:pPr>
        <w:pStyle w:val="8"/>
        <w:spacing w:before="175" w:line="411" w:lineRule="auto"/>
        <w:ind w:right="163" w:firstLine="7"/>
        <w:jc w:val="both"/>
        <w:rPr>
          <w:spacing w:val="-3"/>
          <w:sz w:val="24"/>
          <w:szCs w:val="24"/>
        </w:rPr>
      </w:pPr>
      <w:r>
        <w:rPr>
          <w:spacing w:val="-2"/>
          <w:sz w:val="24"/>
          <w:szCs w:val="24"/>
        </w:rPr>
        <w:t>注：项目经理应附建造师执业资格证书、注册证书、安全生产考核合</w:t>
      </w:r>
      <w:r>
        <w:rPr>
          <w:spacing w:val="-3"/>
          <w:sz w:val="24"/>
          <w:szCs w:val="24"/>
        </w:rPr>
        <w:t>格证书、</w:t>
      </w:r>
      <w:r>
        <w:rPr>
          <w:sz w:val="24"/>
          <w:szCs w:val="24"/>
        </w:rPr>
        <w:t xml:space="preserve"> </w:t>
      </w:r>
      <w:r>
        <w:rPr>
          <w:spacing w:val="-2"/>
          <w:sz w:val="24"/>
          <w:szCs w:val="24"/>
        </w:rPr>
        <w:t>身份证</w:t>
      </w:r>
      <w:r>
        <w:rPr>
          <w:spacing w:val="-2"/>
          <w:sz w:val="24"/>
          <w:szCs w:val="24"/>
          <w:highlight w:val="none"/>
        </w:rPr>
        <w:t>、学历</w:t>
      </w:r>
      <w:r>
        <w:rPr>
          <w:spacing w:val="-2"/>
          <w:sz w:val="24"/>
          <w:szCs w:val="24"/>
        </w:rPr>
        <w:t>证书、</w:t>
      </w:r>
      <w:r>
        <w:rPr>
          <w:rFonts w:hint="eastAsia"/>
          <w:spacing w:val="-2"/>
          <w:sz w:val="24"/>
          <w:szCs w:val="24"/>
          <w:lang w:val="en-US" w:eastAsia="zh-CN"/>
        </w:rPr>
        <w:t>近三个月任意一个月</w:t>
      </w:r>
      <w:r>
        <w:rPr>
          <w:spacing w:val="-3"/>
          <w:sz w:val="24"/>
          <w:szCs w:val="24"/>
        </w:rPr>
        <w:t>的社保证明等复印件以及未担任其他在施建设工程项目项目经理的承诺。</w:t>
      </w:r>
    </w:p>
    <w:p w14:paraId="47F553FA">
      <w:pPr>
        <w:pStyle w:val="8"/>
        <w:spacing w:before="175" w:line="411" w:lineRule="auto"/>
        <w:ind w:right="163" w:firstLine="7"/>
        <w:jc w:val="both"/>
        <w:rPr>
          <w:spacing w:val="-3"/>
          <w:sz w:val="24"/>
          <w:szCs w:val="24"/>
        </w:rPr>
      </w:pPr>
    </w:p>
    <w:p w14:paraId="1EDF380F">
      <w:pPr>
        <w:pStyle w:val="8"/>
        <w:spacing w:before="175" w:line="411" w:lineRule="auto"/>
        <w:ind w:right="163" w:firstLine="7"/>
        <w:jc w:val="both"/>
        <w:rPr>
          <w:spacing w:val="-3"/>
          <w:sz w:val="24"/>
          <w:szCs w:val="24"/>
        </w:rPr>
      </w:pPr>
    </w:p>
    <w:p w14:paraId="5A0FF742">
      <w:pPr>
        <w:pStyle w:val="8"/>
        <w:spacing w:before="188" w:line="228" w:lineRule="auto"/>
        <w:jc w:val="left"/>
        <w:rPr>
          <w:rFonts w:hint="eastAsia" w:ascii="宋体" w:hAnsi="宋体" w:eastAsia="宋体" w:cs="宋体"/>
          <w:b w:val="0"/>
          <w:bCs w:val="0"/>
          <w:spacing w:val="-8"/>
          <w:sz w:val="24"/>
          <w:szCs w:val="24"/>
          <w:lang w:val="en-US" w:eastAsia="zh-CN" w:bidi="zh-CN"/>
        </w:rPr>
      </w:pPr>
      <w:r>
        <w:rPr>
          <w:rFonts w:hint="eastAsia" w:ascii="宋体" w:hAnsi="宋体" w:eastAsia="宋体" w:cs="宋体"/>
          <w:b w:val="0"/>
          <w:bCs w:val="0"/>
          <w:spacing w:val="-8"/>
          <w:sz w:val="24"/>
          <w:szCs w:val="24"/>
          <w:lang w:val="en-US" w:eastAsia="zh-CN" w:bidi="zh-CN"/>
        </w:rPr>
        <w:t>3.其他主要人员配置情况：</w:t>
      </w:r>
    </w:p>
    <w:p w14:paraId="4E3C585B">
      <w:pPr>
        <w:spacing w:line="364" w:lineRule="exact"/>
        <w:ind w:right="-2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kern w:val="2"/>
          <w:sz w:val="32"/>
          <w:szCs w:val="32"/>
          <w:highlight w:val="none"/>
          <w:lang w:val="en-US" w:eastAsia="zh-CN" w:bidi="ar-SA"/>
        </w:rPr>
        <w:t>拟投入项目组成人员简历表</w:t>
      </w:r>
    </w:p>
    <w:p w14:paraId="6C95E638">
      <w:pPr>
        <w:spacing w:before="7" w:line="40" w:lineRule="exact"/>
        <w:rPr>
          <w:rFonts w:asciiTheme="minorEastAsia" w:hAnsiTheme="minorEastAsia" w:eastAsiaTheme="minorEastAsia" w:cstheme="minorEastAsia"/>
          <w:sz w:val="4"/>
          <w:szCs w:val="4"/>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175"/>
        <w:gridCol w:w="1147"/>
        <w:gridCol w:w="1176"/>
        <w:gridCol w:w="1176"/>
        <w:gridCol w:w="1150"/>
        <w:gridCol w:w="1176"/>
        <w:gridCol w:w="1144"/>
      </w:tblGrid>
      <w:tr w14:paraId="2E41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73" w:type="dxa"/>
            <w:vAlign w:val="center"/>
          </w:tcPr>
          <w:p w14:paraId="7D0BCB3E">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w:t>
            </w:r>
          </w:p>
        </w:tc>
        <w:tc>
          <w:tcPr>
            <w:tcW w:w="1175" w:type="dxa"/>
            <w:vAlign w:val="center"/>
          </w:tcPr>
          <w:p w14:paraId="4E3CD269">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身份证号码</w:t>
            </w:r>
          </w:p>
        </w:tc>
        <w:tc>
          <w:tcPr>
            <w:tcW w:w="1147" w:type="dxa"/>
            <w:vAlign w:val="center"/>
          </w:tcPr>
          <w:p w14:paraId="4BCCD38C">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性别</w:t>
            </w:r>
          </w:p>
        </w:tc>
        <w:tc>
          <w:tcPr>
            <w:tcW w:w="1176" w:type="dxa"/>
            <w:vAlign w:val="center"/>
          </w:tcPr>
          <w:p w14:paraId="5884D488">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职称</w:t>
            </w:r>
          </w:p>
        </w:tc>
        <w:tc>
          <w:tcPr>
            <w:tcW w:w="1176" w:type="dxa"/>
            <w:vAlign w:val="center"/>
          </w:tcPr>
          <w:p w14:paraId="74C23D1E">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学历</w:t>
            </w:r>
          </w:p>
        </w:tc>
        <w:tc>
          <w:tcPr>
            <w:tcW w:w="1150" w:type="dxa"/>
            <w:vAlign w:val="center"/>
          </w:tcPr>
          <w:p w14:paraId="66EECC64">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专业</w:t>
            </w:r>
          </w:p>
        </w:tc>
        <w:tc>
          <w:tcPr>
            <w:tcW w:w="1176" w:type="dxa"/>
            <w:vAlign w:val="center"/>
          </w:tcPr>
          <w:p w14:paraId="5D83FCA8">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从事工作年限</w:t>
            </w:r>
          </w:p>
        </w:tc>
        <w:tc>
          <w:tcPr>
            <w:tcW w:w="1144" w:type="dxa"/>
          </w:tcPr>
          <w:p w14:paraId="35A7AF08">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r>
      <w:tr w14:paraId="21B4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0ADFA1D9">
            <w:pPr>
              <w:rPr>
                <w:rFonts w:asciiTheme="minorEastAsia" w:hAnsiTheme="minorEastAsia" w:eastAsiaTheme="minorEastAsia" w:cstheme="minorEastAsia"/>
                <w:sz w:val="24"/>
                <w:szCs w:val="24"/>
                <w:highlight w:val="none"/>
              </w:rPr>
            </w:pPr>
          </w:p>
        </w:tc>
        <w:tc>
          <w:tcPr>
            <w:tcW w:w="1175" w:type="dxa"/>
          </w:tcPr>
          <w:p w14:paraId="7962A630">
            <w:pPr>
              <w:rPr>
                <w:rFonts w:asciiTheme="minorEastAsia" w:hAnsiTheme="minorEastAsia" w:eastAsiaTheme="minorEastAsia" w:cstheme="minorEastAsia"/>
                <w:sz w:val="24"/>
                <w:szCs w:val="24"/>
                <w:highlight w:val="none"/>
              </w:rPr>
            </w:pPr>
          </w:p>
        </w:tc>
        <w:tc>
          <w:tcPr>
            <w:tcW w:w="1147" w:type="dxa"/>
          </w:tcPr>
          <w:p w14:paraId="0B72E00A">
            <w:pPr>
              <w:rPr>
                <w:rFonts w:asciiTheme="minorEastAsia" w:hAnsiTheme="minorEastAsia" w:eastAsiaTheme="minorEastAsia" w:cstheme="minorEastAsia"/>
                <w:sz w:val="24"/>
                <w:szCs w:val="24"/>
                <w:highlight w:val="none"/>
              </w:rPr>
            </w:pPr>
          </w:p>
        </w:tc>
        <w:tc>
          <w:tcPr>
            <w:tcW w:w="1176" w:type="dxa"/>
          </w:tcPr>
          <w:p w14:paraId="3FC702DB">
            <w:pPr>
              <w:rPr>
                <w:rFonts w:asciiTheme="minorEastAsia" w:hAnsiTheme="minorEastAsia" w:eastAsiaTheme="minorEastAsia" w:cstheme="minorEastAsia"/>
                <w:sz w:val="24"/>
                <w:szCs w:val="24"/>
                <w:highlight w:val="none"/>
              </w:rPr>
            </w:pPr>
          </w:p>
        </w:tc>
        <w:tc>
          <w:tcPr>
            <w:tcW w:w="1176" w:type="dxa"/>
          </w:tcPr>
          <w:p w14:paraId="1E110965">
            <w:pPr>
              <w:rPr>
                <w:rFonts w:asciiTheme="minorEastAsia" w:hAnsiTheme="minorEastAsia" w:eastAsiaTheme="minorEastAsia" w:cstheme="minorEastAsia"/>
                <w:sz w:val="24"/>
                <w:szCs w:val="24"/>
                <w:highlight w:val="none"/>
              </w:rPr>
            </w:pPr>
          </w:p>
        </w:tc>
        <w:tc>
          <w:tcPr>
            <w:tcW w:w="1150" w:type="dxa"/>
          </w:tcPr>
          <w:p w14:paraId="0AC77052">
            <w:pPr>
              <w:rPr>
                <w:rFonts w:asciiTheme="minorEastAsia" w:hAnsiTheme="minorEastAsia" w:eastAsiaTheme="minorEastAsia" w:cstheme="minorEastAsia"/>
                <w:sz w:val="24"/>
                <w:szCs w:val="24"/>
                <w:highlight w:val="none"/>
              </w:rPr>
            </w:pPr>
          </w:p>
        </w:tc>
        <w:tc>
          <w:tcPr>
            <w:tcW w:w="1176" w:type="dxa"/>
          </w:tcPr>
          <w:p w14:paraId="514C6EF4">
            <w:pPr>
              <w:rPr>
                <w:rFonts w:asciiTheme="minorEastAsia" w:hAnsiTheme="minorEastAsia" w:eastAsiaTheme="minorEastAsia" w:cstheme="minorEastAsia"/>
                <w:sz w:val="24"/>
                <w:szCs w:val="24"/>
                <w:highlight w:val="none"/>
              </w:rPr>
            </w:pPr>
          </w:p>
        </w:tc>
        <w:tc>
          <w:tcPr>
            <w:tcW w:w="1144" w:type="dxa"/>
          </w:tcPr>
          <w:p w14:paraId="36087E10">
            <w:pPr>
              <w:rPr>
                <w:rFonts w:asciiTheme="minorEastAsia" w:hAnsiTheme="minorEastAsia" w:eastAsiaTheme="minorEastAsia" w:cstheme="minorEastAsia"/>
                <w:sz w:val="24"/>
                <w:szCs w:val="24"/>
                <w:highlight w:val="none"/>
              </w:rPr>
            </w:pPr>
          </w:p>
        </w:tc>
      </w:tr>
      <w:tr w14:paraId="5138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5F084DE9">
            <w:pPr>
              <w:rPr>
                <w:rFonts w:asciiTheme="minorEastAsia" w:hAnsiTheme="minorEastAsia" w:eastAsiaTheme="minorEastAsia" w:cstheme="minorEastAsia"/>
                <w:sz w:val="24"/>
                <w:szCs w:val="24"/>
                <w:highlight w:val="none"/>
              </w:rPr>
            </w:pPr>
          </w:p>
        </w:tc>
        <w:tc>
          <w:tcPr>
            <w:tcW w:w="1175" w:type="dxa"/>
          </w:tcPr>
          <w:p w14:paraId="2CBF20E8">
            <w:pPr>
              <w:rPr>
                <w:rFonts w:asciiTheme="minorEastAsia" w:hAnsiTheme="minorEastAsia" w:eastAsiaTheme="minorEastAsia" w:cstheme="minorEastAsia"/>
                <w:sz w:val="24"/>
                <w:szCs w:val="24"/>
                <w:highlight w:val="none"/>
              </w:rPr>
            </w:pPr>
          </w:p>
        </w:tc>
        <w:tc>
          <w:tcPr>
            <w:tcW w:w="1147" w:type="dxa"/>
          </w:tcPr>
          <w:p w14:paraId="59832D65">
            <w:pPr>
              <w:rPr>
                <w:rFonts w:asciiTheme="minorEastAsia" w:hAnsiTheme="minorEastAsia" w:eastAsiaTheme="minorEastAsia" w:cstheme="minorEastAsia"/>
                <w:sz w:val="24"/>
                <w:szCs w:val="24"/>
                <w:highlight w:val="none"/>
              </w:rPr>
            </w:pPr>
          </w:p>
        </w:tc>
        <w:tc>
          <w:tcPr>
            <w:tcW w:w="1176" w:type="dxa"/>
          </w:tcPr>
          <w:p w14:paraId="699B4963">
            <w:pPr>
              <w:rPr>
                <w:rFonts w:asciiTheme="minorEastAsia" w:hAnsiTheme="minorEastAsia" w:eastAsiaTheme="minorEastAsia" w:cstheme="minorEastAsia"/>
                <w:sz w:val="24"/>
                <w:szCs w:val="24"/>
                <w:highlight w:val="none"/>
              </w:rPr>
            </w:pPr>
          </w:p>
        </w:tc>
        <w:tc>
          <w:tcPr>
            <w:tcW w:w="1176" w:type="dxa"/>
          </w:tcPr>
          <w:p w14:paraId="5FFCC35D">
            <w:pPr>
              <w:rPr>
                <w:rFonts w:asciiTheme="minorEastAsia" w:hAnsiTheme="minorEastAsia" w:eastAsiaTheme="minorEastAsia" w:cstheme="minorEastAsia"/>
                <w:sz w:val="24"/>
                <w:szCs w:val="24"/>
                <w:highlight w:val="none"/>
              </w:rPr>
            </w:pPr>
          </w:p>
        </w:tc>
        <w:tc>
          <w:tcPr>
            <w:tcW w:w="1150" w:type="dxa"/>
          </w:tcPr>
          <w:p w14:paraId="45666648">
            <w:pPr>
              <w:rPr>
                <w:rFonts w:asciiTheme="minorEastAsia" w:hAnsiTheme="minorEastAsia" w:eastAsiaTheme="minorEastAsia" w:cstheme="minorEastAsia"/>
                <w:sz w:val="24"/>
                <w:szCs w:val="24"/>
                <w:highlight w:val="none"/>
              </w:rPr>
            </w:pPr>
          </w:p>
        </w:tc>
        <w:tc>
          <w:tcPr>
            <w:tcW w:w="1176" w:type="dxa"/>
          </w:tcPr>
          <w:p w14:paraId="49795393">
            <w:pPr>
              <w:rPr>
                <w:rFonts w:asciiTheme="minorEastAsia" w:hAnsiTheme="minorEastAsia" w:eastAsiaTheme="minorEastAsia" w:cstheme="minorEastAsia"/>
                <w:sz w:val="24"/>
                <w:szCs w:val="24"/>
                <w:highlight w:val="none"/>
              </w:rPr>
            </w:pPr>
          </w:p>
        </w:tc>
        <w:tc>
          <w:tcPr>
            <w:tcW w:w="1144" w:type="dxa"/>
          </w:tcPr>
          <w:p w14:paraId="4D879699">
            <w:pPr>
              <w:rPr>
                <w:rFonts w:asciiTheme="minorEastAsia" w:hAnsiTheme="minorEastAsia" w:eastAsiaTheme="minorEastAsia" w:cstheme="minorEastAsia"/>
                <w:sz w:val="24"/>
                <w:szCs w:val="24"/>
                <w:highlight w:val="none"/>
              </w:rPr>
            </w:pPr>
          </w:p>
        </w:tc>
      </w:tr>
      <w:tr w14:paraId="0DD1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3BB76410">
            <w:pPr>
              <w:rPr>
                <w:rFonts w:asciiTheme="minorEastAsia" w:hAnsiTheme="minorEastAsia" w:eastAsiaTheme="minorEastAsia" w:cstheme="minorEastAsia"/>
                <w:sz w:val="24"/>
                <w:szCs w:val="24"/>
                <w:highlight w:val="none"/>
              </w:rPr>
            </w:pPr>
          </w:p>
        </w:tc>
        <w:tc>
          <w:tcPr>
            <w:tcW w:w="1175" w:type="dxa"/>
          </w:tcPr>
          <w:p w14:paraId="473031BF">
            <w:pPr>
              <w:rPr>
                <w:rFonts w:asciiTheme="minorEastAsia" w:hAnsiTheme="minorEastAsia" w:eastAsiaTheme="minorEastAsia" w:cstheme="minorEastAsia"/>
                <w:sz w:val="24"/>
                <w:szCs w:val="24"/>
                <w:highlight w:val="none"/>
              </w:rPr>
            </w:pPr>
          </w:p>
        </w:tc>
        <w:tc>
          <w:tcPr>
            <w:tcW w:w="1147" w:type="dxa"/>
          </w:tcPr>
          <w:p w14:paraId="03C370F3">
            <w:pPr>
              <w:rPr>
                <w:rFonts w:asciiTheme="minorEastAsia" w:hAnsiTheme="minorEastAsia" w:eastAsiaTheme="minorEastAsia" w:cstheme="minorEastAsia"/>
                <w:sz w:val="24"/>
                <w:szCs w:val="24"/>
                <w:highlight w:val="none"/>
              </w:rPr>
            </w:pPr>
          </w:p>
        </w:tc>
        <w:tc>
          <w:tcPr>
            <w:tcW w:w="1176" w:type="dxa"/>
          </w:tcPr>
          <w:p w14:paraId="6226994D">
            <w:pPr>
              <w:rPr>
                <w:rFonts w:asciiTheme="minorEastAsia" w:hAnsiTheme="minorEastAsia" w:eastAsiaTheme="minorEastAsia" w:cstheme="minorEastAsia"/>
                <w:sz w:val="24"/>
                <w:szCs w:val="24"/>
                <w:highlight w:val="none"/>
              </w:rPr>
            </w:pPr>
          </w:p>
        </w:tc>
        <w:tc>
          <w:tcPr>
            <w:tcW w:w="1176" w:type="dxa"/>
          </w:tcPr>
          <w:p w14:paraId="7779B2BA">
            <w:pPr>
              <w:rPr>
                <w:rFonts w:asciiTheme="minorEastAsia" w:hAnsiTheme="minorEastAsia" w:eastAsiaTheme="minorEastAsia" w:cstheme="minorEastAsia"/>
                <w:sz w:val="24"/>
                <w:szCs w:val="24"/>
                <w:highlight w:val="none"/>
              </w:rPr>
            </w:pPr>
          </w:p>
        </w:tc>
        <w:tc>
          <w:tcPr>
            <w:tcW w:w="1150" w:type="dxa"/>
          </w:tcPr>
          <w:p w14:paraId="0C0BE7C9">
            <w:pPr>
              <w:rPr>
                <w:rFonts w:asciiTheme="minorEastAsia" w:hAnsiTheme="minorEastAsia" w:eastAsiaTheme="minorEastAsia" w:cstheme="minorEastAsia"/>
                <w:sz w:val="24"/>
                <w:szCs w:val="24"/>
                <w:highlight w:val="none"/>
              </w:rPr>
            </w:pPr>
          </w:p>
        </w:tc>
        <w:tc>
          <w:tcPr>
            <w:tcW w:w="1176" w:type="dxa"/>
          </w:tcPr>
          <w:p w14:paraId="2A1F7496">
            <w:pPr>
              <w:rPr>
                <w:rFonts w:asciiTheme="minorEastAsia" w:hAnsiTheme="minorEastAsia" w:eastAsiaTheme="minorEastAsia" w:cstheme="minorEastAsia"/>
                <w:sz w:val="24"/>
                <w:szCs w:val="24"/>
                <w:highlight w:val="none"/>
              </w:rPr>
            </w:pPr>
          </w:p>
        </w:tc>
        <w:tc>
          <w:tcPr>
            <w:tcW w:w="1144" w:type="dxa"/>
          </w:tcPr>
          <w:p w14:paraId="576DB844">
            <w:pPr>
              <w:rPr>
                <w:rFonts w:asciiTheme="minorEastAsia" w:hAnsiTheme="minorEastAsia" w:eastAsiaTheme="minorEastAsia" w:cstheme="minorEastAsia"/>
                <w:sz w:val="24"/>
                <w:szCs w:val="24"/>
                <w:highlight w:val="none"/>
              </w:rPr>
            </w:pPr>
          </w:p>
        </w:tc>
      </w:tr>
      <w:tr w14:paraId="6845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11057249">
            <w:pPr>
              <w:rPr>
                <w:rFonts w:asciiTheme="minorEastAsia" w:hAnsiTheme="minorEastAsia" w:eastAsiaTheme="minorEastAsia" w:cstheme="minorEastAsia"/>
                <w:sz w:val="24"/>
                <w:szCs w:val="24"/>
                <w:highlight w:val="none"/>
              </w:rPr>
            </w:pPr>
          </w:p>
        </w:tc>
        <w:tc>
          <w:tcPr>
            <w:tcW w:w="1175" w:type="dxa"/>
          </w:tcPr>
          <w:p w14:paraId="5E55738C">
            <w:pPr>
              <w:rPr>
                <w:rFonts w:asciiTheme="minorEastAsia" w:hAnsiTheme="minorEastAsia" w:eastAsiaTheme="minorEastAsia" w:cstheme="minorEastAsia"/>
                <w:sz w:val="24"/>
                <w:szCs w:val="24"/>
                <w:highlight w:val="none"/>
              </w:rPr>
            </w:pPr>
          </w:p>
        </w:tc>
        <w:tc>
          <w:tcPr>
            <w:tcW w:w="1147" w:type="dxa"/>
          </w:tcPr>
          <w:p w14:paraId="13FA03B4">
            <w:pPr>
              <w:rPr>
                <w:rFonts w:asciiTheme="minorEastAsia" w:hAnsiTheme="minorEastAsia" w:eastAsiaTheme="minorEastAsia" w:cstheme="minorEastAsia"/>
                <w:sz w:val="24"/>
                <w:szCs w:val="24"/>
                <w:highlight w:val="none"/>
              </w:rPr>
            </w:pPr>
          </w:p>
        </w:tc>
        <w:tc>
          <w:tcPr>
            <w:tcW w:w="1176" w:type="dxa"/>
          </w:tcPr>
          <w:p w14:paraId="41CB7545">
            <w:pPr>
              <w:rPr>
                <w:rFonts w:asciiTheme="minorEastAsia" w:hAnsiTheme="minorEastAsia" w:eastAsiaTheme="minorEastAsia" w:cstheme="minorEastAsia"/>
                <w:sz w:val="24"/>
                <w:szCs w:val="24"/>
                <w:highlight w:val="none"/>
              </w:rPr>
            </w:pPr>
          </w:p>
        </w:tc>
        <w:tc>
          <w:tcPr>
            <w:tcW w:w="1176" w:type="dxa"/>
          </w:tcPr>
          <w:p w14:paraId="4ED0BE28">
            <w:pPr>
              <w:rPr>
                <w:rFonts w:asciiTheme="minorEastAsia" w:hAnsiTheme="minorEastAsia" w:eastAsiaTheme="minorEastAsia" w:cstheme="minorEastAsia"/>
                <w:sz w:val="24"/>
                <w:szCs w:val="24"/>
                <w:highlight w:val="none"/>
              </w:rPr>
            </w:pPr>
          </w:p>
        </w:tc>
        <w:tc>
          <w:tcPr>
            <w:tcW w:w="1150" w:type="dxa"/>
          </w:tcPr>
          <w:p w14:paraId="3CDB6EEE">
            <w:pPr>
              <w:rPr>
                <w:rFonts w:asciiTheme="minorEastAsia" w:hAnsiTheme="minorEastAsia" w:eastAsiaTheme="minorEastAsia" w:cstheme="minorEastAsia"/>
                <w:sz w:val="24"/>
                <w:szCs w:val="24"/>
                <w:highlight w:val="none"/>
              </w:rPr>
            </w:pPr>
          </w:p>
        </w:tc>
        <w:tc>
          <w:tcPr>
            <w:tcW w:w="1176" w:type="dxa"/>
          </w:tcPr>
          <w:p w14:paraId="31F238A6">
            <w:pPr>
              <w:rPr>
                <w:rFonts w:asciiTheme="minorEastAsia" w:hAnsiTheme="minorEastAsia" w:eastAsiaTheme="minorEastAsia" w:cstheme="minorEastAsia"/>
                <w:sz w:val="24"/>
                <w:szCs w:val="24"/>
                <w:highlight w:val="none"/>
              </w:rPr>
            </w:pPr>
          </w:p>
        </w:tc>
        <w:tc>
          <w:tcPr>
            <w:tcW w:w="1144" w:type="dxa"/>
          </w:tcPr>
          <w:p w14:paraId="53866756">
            <w:pPr>
              <w:rPr>
                <w:rFonts w:asciiTheme="minorEastAsia" w:hAnsiTheme="minorEastAsia" w:eastAsiaTheme="minorEastAsia" w:cstheme="minorEastAsia"/>
                <w:sz w:val="24"/>
                <w:szCs w:val="24"/>
                <w:highlight w:val="none"/>
              </w:rPr>
            </w:pPr>
          </w:p>
        </w:tc>
      </w:tr>
      <w:tr w14:paraId="7061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395773B8">
            <w:pPr>
              <w:rPr>
                <w:rFonts w:asciiTheme="minorEastAsia" w:hAnsiTheme="minorEastAsia" w:eastAsiaTheme="minorEastAsia" w:cstheme="minorEastAsia"/>
                <w:sz w:val="24"/>
                <w:szCs w:val="24"/>
                <w:highlight w:val="none"/>
              </w:rPr>
            </w:pPr>
          </w:p>
        </w:tc>
        <w:tc>
          <w:tcPr>
            <w:tcW w:w="1175" w:type="dxa"/>
          </w:tcPr>
          <w:p w14:paraId="7EDF36AD">
            <w:pPr>
              <w:rPr>
                <w:rFonts w:asciiTheme="minorEastAsia" w:hAnsiTheme="minorEastAsia" w:eastAsiaTheme="minorEastAsia" w:cstheme="minorEastAsia"/>
                <w:sz w:val="24"/>
                <w:szCs w:val="24"/>
                <w:highlight w:val="none"/>
              </w:rPr>
            </w:pPr>
          </w:p>
        </w:tc>
        <w:tc>
          <w:tcPr>
            <w:tcW w:w="1147" w:type="dxa"/>
          </w:tcPr>
          <w:p w14:paraId="2E2DBFB3">
            <w:pPr>
              <w:rPr>
                <w:rFonts w:asciiTheme="minorEastAsia" w:hAnsiTheme="minorEastAsia" w:eastAsiaTheme="minorEastAsia" w:cstheme="minorEastAsia"/>
                <w:sz w:val="24"/>
                <w:szCs w:val="24"/>
                <w:highlight w:val="none"/>
              </w:rPr>
            </w:pPr>
          </w:p>
        </w:tc>
        <w:tc>
          <w:tcPr>
            <w:tcW w:w="1176" w:type="dxa"/>
          </w:tcPr>
          <w:p w14:paraId="1C78D5DF">
            <w:pPr>
              <w:rPr>
                <w:rFonts w:asciiTheme="minorEastAsia" w:hAnsiTheme="minorEastAsia" w:eastAsiaTheme="minorEastAsia" w:cstheme="minorEastAsia"/>
                <w:sz w:val="24"/>
                <w:szCs w:val="24"/>
                <w:highlight w:val="none"/>
              </w:rPr>
            </w:pPr>
          </w:p>
        </w:tc>
        <w:tc>
          <w:tcPr>
            <w:tcW w:w="1176" w:type="dxa"/>
          </w:tcPr>
          <w:p w14:paraId="77348A32">
            <w:pPr>
              <w:rPr>
                <w:rFonts w:asciiTheme="minorEastAsia" w:hAnsiTheme="minorEastAsia" w:eastAsiaTheme="minorEastAsia" w:cstheme="minorEastAsia"/>
                <w:sz w:val="24"/>
                <w:szCs w:val="24"/>
                <w:highlight w:val="none"/>
              </w:rPr>
            </w:pPr>
          </w:p>
        </w:tc>
        <w:tc>
          <w:tcPr>
            <w:tcW w:w="1150" w:type="dxa"/>
          </w:tcPr>
          <w:p w14:paraId="1E6DA20D">
            <w:pPr>
              <w:rPr>
                <w:rFonts w:asciiTheme="minorEastAsia" w:hAnsiTheme="minorEastAsia" w:eastAsiaTheme="minorEastAsia" w:cstheme="minorEastAsia"/>
                <w:sz w:val="24"/>
                <w:szCs w:val="24"/>
                <w:highlight w:val="none"/>
              </w:rPr>
            </w:pPr>
          </w:p>
        </w:tc>
        <w:tc>
          <w:tcPr>
            <w:tcW w:w="1176" w:type="dxa"/>
          </w:tcPr>
          <w:p w14:paraId="728F9074">
            <w:pPr>
              <w:rPr>
                <w:rFonts w:asciiTheme="minorEastAsia" w:hAnsiTheme="minorEastAsia" w:eastAsiaTheme="minorEastAsia" w:cstheme="minorEastAsia"/>
                <w:sz w:val="24"/>
                <w:szCs w:val="24"/>
                <w:highlight w:val="none"/>
              </w:rPr>
            </w:pPr>
          </w:p>
        </w:tc>
        <w:tc>
          <w:tcPr>
            <w:tcW w:w="1144" w:type="dxa"/>
          </w:tcPr>
          <w:p w14:paraId="6E12B517">
            <w:pPr>
              <w:rPr>
                <w:rFonts w:asciiTheme="minorEastAsia" w:hAnsiTheme="minorEastAsia" w:eastAsiaTheme="minorEastAsia" w:cstheme="minorEastAsia"/>
                <w:sz w:val="24"/>
                <w:szCs w:val="24"/>
                <w:highlight w:val="none"/>
              </w:rPr>
            </w:pPr>
          </w:p>
        </w:tc>
      </w:tr>
      <w:tr w14:paraId="11DF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3782F339">
            <w:pPr>
              <w:rPr>
                <w:rFonts w:asciiTheme="minorEastAsia" w:hAnsiTheme="minorEastAsia" w:eastAsiaTheme="minorEastAsia" w:cstheme="minorEastAsia"/>
                <w:sz w:val="24"/>
                <w:szCs w:val="24"/>
                <w:highlight w:val="none"/>
              </w:rPr>
            </w:pPr>
          </w:p>
        </w:tc>
        <w:tc>
          <w:tcPr>
            <w:tcW w:w="1175" w:type="dxa"/>
          </w:tcPr>
          <w:p w14:paraId="679BE5CC">
            <w:pPr>
              <w:rPr>
                <w:rFonts w:asciiTheme="minorEastAsia" w:hAnsiTheme="minorEastAsia" w:eastAsiaTheme="minorEastAsia" w:cstheme="minorEastAsia"/>
                <w:sz w:val="24"/>
                <w:szCs w:val="24"/>
                <w:highlight w:val="none"/>
              </w:rPr>
            </w:pPr>
          </w:p>
        </w:tc>
        <w:tc>
          <w:tcPr>
            <w:tcW w:w="1147" w:type="dxa"/>
          </w:tcPr>
          <w:p w14:paraId="7D5EE514">
            <w:pPr>
              <w:rPr>
                <w:rFonts w:asciiTheme="minorEastAsia" w:hAnsiTheme="minorEastAsia" w:eastAsiaTheme="minorEastAsia" w:cstheme="minorEastAsia"/>
                <w:sz w:val="24"/>
                <w:szCs w:val="24"/>
                <w:highlight w:val="none"/>
              </w:rPr>
            </w:pPr>
          </w:p>
        </w:tc>
        <w:tc>
          <w:tcPr>
            <w:tcW w:w="1176" w:type="dxa"/>
          </w:tcPr>
          <w:p w14:paraId="6EFC1589">
            <w:pPr>
              <w:rPr>
                <w:rFonts w:asciiTheme="minorEastAsia" w:hAnsiTheme="minorEastAsia" w:eastAsiaTheme="minorEastAsia" w:cstheme="minorEastAsia"/>
                <w:sz w:val="24"/>
                <w:szCs w:val="24"/>
                <w:highlight w:val="none"/>
              </w:rPr>
            </w:pPr>
          </w:p>
        </w:tc>
        <w:tc>
          <w:tcPr>
            <w:tcW w:w="1176" w:type="dxa"/>
          </w:tcPr>
          <w:p w14:paraId="518E438B">
            <w:pPr>
              <w:rPr>
                <w:rFonts w:asciiTheme="minorEastAsia" w:hAnsiTheme="minorEastAsia" w:eastAsiaTheme="minorEastAsia" w:cstheme="minorEastAsia"/>
                <w:sz w:val="24"/>
                <w:szCs w:val="24"/>
                <w:highlight w:val="none"/>
              </w:rPr>
            </w:pPr>
          </w:p>
        </w:tc>
        <w:tc>
          <w:tcPr>
            <w:tcW w:w="1150" w:type="dxa"/>
          </w:tcPr>
          <w:p w14:paraId="0852FCB8">
            <w:pPr>
              <w:rPr>
                <w:rFonts w:asciiTheme="minorEastAsia" w:hAnsiTheme="minorEastAsia" w:eastAsiaTheme="minorEastAsia" w:cstheme="minorEastAsia"/>
                <w:sz w:val="24"/>
                <w:szCs w:val="24"/>
                <w:highlight w:val="none"/>
              </w:rPr>
            </w:pPr>
          </w:p>
        </w:tc>
        <w:tc>
          <w:tcPr>
            <w:tcW w:w="1176" w:type="dxa"/>
          </w:tcPr>
          <w:p w14:paraId="0E790724">
            <w:pPr>
              <w:rPr>
                <w:rFonts w:asciiTheme="minorEastAsia" w:hAnsiTheme="minorEastAsia" w:eastAsiaTheme="minorEastAsia" w:cstheme="minorEastAsia"/>
                <w:sz w:val="24"/>
                <w:szCs w:val="24"/>
                <w:highlight w:val="none"/>
              </w:rPr>
            </w:pPr>
          </w:p>
        </w:tc>
        <w:tc>
          <w:tcPr>
            <w:tcW w:w="1144" w:type="dxa"/>
          </w:tcPr>
          <w:p w14:paraId="05A2C45C">
            <w:pPr>
              <w:rPr>
                <w:rFonts w:asciiTheme="minorEastAsia" w:hAnsiTheme="minorEastAsia" w:eastAsiaTheme="minorEastAsia" w:cstheme="minorEastAsia"/>
                <w:sz w:val="24"/>
                <w:szCs w:val="24"/>
                <w:highlight w:val="none"/>
              </w:rPr>
            </w:pPr>
          </w:p>
        </w:tc>
      </w:tr>
      <w:tr w14:paraId="27DB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173" w:type="dxa"/>
          </w:tcPr>
          <w:p w14:paraId="0DE7E545">
            <w:pPr>
              <w:rPr>
                <w:rFonts w:asciiTheme="minorEastAsia" w:hAnsiTheme="minorEastAsia" w:eastAsiaTheme="minorEastAsia" w:cstheme="minorEastAsia"/>
                <w:sz w:val="24"/>
                <w:szCs w:val="24"/>
                <w:highlight w:val="none"/>
              </w:rPr>
            </w:pPr>
          </w:p>
        </w:tc>
        <w:tc>
          <w:tcPr>
            <w:tcW w:w="1175" w:type="dxa"/>
          </w:tcPr>
          <w:p w14:paraId="48988031">
            <w:pPr>
              <w:rPr>
                <w:rFonts w:asciiTheme="minorEastAsia" w:hAnsiTheme="minorEastAsia" w:eastAsiaTheme="minorEastAsia" w:cstheme="minorEastAsia"/>
                <w:sz w:val="24"/>
                <w:szCs w:val="24"/>
                <w:highlight w:val="none"/>
              </w:rPr>
            </w:pPr>
          </w:p>
        </w:tc>
        <w:tc>
          <w:tcPr>
            <w:tcW w:w="1147" w:type="dxa"/>
          </w:tcPr>
          <w:p w14:paraId="279B5DE7">
            <w:pPr>
              <w:rPr>
                <w:rFonts w:asciiTheme="minorEastAsia" w:hAnsiTheme="minorEastAsia" w:eastAsiaTheme="minorEastAsia" w:cstheme="minorEastAsia"/>
                <w:sz w:val="24"/>
                <w:szCs w:val="24"/>
                <w:highlight w:val="none"/>
              </w:rPr>
            </w:pPr>
          </w:p>
        </w:tc>
        <w:tc>
          <w:tcPr>
            <w:tcW w:w="1176" w:type="dxa"/>
          </w:tcPr>
          <w:p w14:paraId="3DC3507B">
            <w:pPr>
              <w:rPr>
                <w:rFonts w:asciiTheme="minorEastAsia" w:hAnsiTheme="minorEastAsia" w:eastAsiaTheme="minorEastAsia" w:cstheme="minorEastAsia"/>
                <w:sz w:val="24"/>
                <w:szCs w:val="24"/>
                <w:highlight w:val="none"/>
              </w:rPr>
            </w:pPr>
          </w:p>
        </w:tc>
        <w:tc>
          <w:tcPr>
            <w:tcW w:w="1176" w:type="dxa"/>
          </w:tcPr>
          <w:p w14:paraId="67B4AA0E">
            <w:pPr>
              <w:rPr>
                <w:rFonts w:asciiTheme="minorEastAsia" w:hAnsiTheme="minorEastAsia" w:eastAsiaTheme="minorEastAsia" w:cstheme="minorEastAsia"/>
                <w:sz w:val="24"/>
                <w:szCs w:val="24"/>
                <w:highlight w:val="none"/>
              </w:rPr>
            </w:pPr>
          </w:p>
        </w:tc>
        <w:tc>
          <w:tcPr>
            <w:tcW w:w="1150" w:type="dxa"/>
          </w:tcPr>
          <w:p w14:paraId="4B0A2EC9">
            <w:pPr>
              <w:rPr>
                <w:rFonts w:asciiTheme="minorEastAsia" w:hAnsiTheme="minorEastAsia" w:eastAsiaTheme="minorEastAsia" w:cstheme="minorEastAsia"/>
                <w:sz w:val="24"/>
                <w:szCs w:val="24"/>
                <w:highlight w:val="none"/>
              </w:rPr>
            </w:pPr>
          </w:p>
        </w:tc>
        <w:tc>
          <w:tcPr>
            <w:tcW w:w="1176" w:type="dxa"/>
          </w:tcPr>
          <w:p w14:paraId="4381078F">
            <w:pPr>
              <w:rPr>
                <w:rFonts w:asciiTheme="minorEastAsia" w:hAnsiTheme="minorEastAsia" w:eastAsiaTheme="minorEastAsia" w:cstheme="minorEastAsia"/>
                <w:sz w:val="24"/>
                <w:szCs w:val="24"/>
                <w:highlight w:val="none"/>
              </w:rPr>
            </w:pPr>
          </w:p>
        </w:tc>
        <w:tc>
          <w:tcPr>
            <w:tcW w:w="1144" w:type="dxa"/>
          </w:tcPr>
          <w:p w14:paraId="14D53D12">
            <w:pPr>
              <w:rPr>
                <w:rFonts w:asciiTheme="minorEastAsia" w:hAnsiTheme="minorEastAsia" w:eastAsiaTheme="minorEastAsia" w:cstheme="minorEastAsia"/>
                <w:sz w:val="24"/>
                <w:szCs w:val="24"/>
                <w:highlight w:val="none"/>
              </w:rPr>
            </w:pPr>
          </w:p>
        </w:tc>
      </w:tr>
    </w:tbl>
    <w:p w14:paraId="7AC379A1">
      <w:pPr>
        <w:spacing w:line="457"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注：后附相关证件（书）</w:t>
      </w:r>
    </w:p>
    <w:p w14:paraId="57F8935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cs="宋体"/>
          <w:sz w:val="24"/>
          <w:szCs w:val="24"/>
          <w:lang w:val="en-US" w:eastAsia="zh-CN"/>
        </w:rPr>
        <w:t>4</w:t>
      </w:r>
      <w:r>
        <w:rPr>
          <w:rFonts w:hint="eastAsia" w:ascii="宋体" w:hAnsi="宋体" w:eastAsia="宋体" w:cs="宋体"/>
          <w:sz w:val="24"/>
          <w:szCs w:val="24"/>
          <w:lang w:val="en-US" w:eastAsia="zh-CN"/>
        </w:rPr>
        <w:t>.不随意更换项目经理、技术负责人及“五大员 ”的承诺</w:t>
      </w:r>
    </w:p>
    <w:p w14:paraId="60A8A6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cs="宋体"/>
          <w:sz w:val="24"/>
          <w:szCs w:val="24"/>
          <w:lang w:val="en-US" w:eastAsia="zh-CN"/>
        </w:rPr>
        <w:t>5</w:t>
      </w:r>
      <w:r>
        <w:rPr>
          <w:rFonts w:hint="eastAsia" w:ascii="宋体" w:hAnsi="宋体" w:eastAsia="宋体" w:cs="宋体"/>
          <w:sz w:val="24"/>
          <w:szCs w:val="24"/>
          <w:lang w:val="en-US" w:eastAsia="zh-CN"/>
        </w:rPr>
        <w:t>.施工方案与技术措施</w:t>
      </w:r>
    </w:p>
    <w:p w14:paraId="191E74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cs="宋体"/>
          <w:sz w:val="24"/>
          <w:szCs w:val="24"/>
          <w:lang w:val="en-US" w:eastAsia="zh-CN"/>
        </w:rPr>
        <w:t>6</w:t>
      </w:r>
      <w:r>
        <w:rPr>
          <w:rFonts w:hint="eastAsia" w:ascii="宋体" w:hAnsi="宋体" w:eastAsia="宋体" w:cs="宋体"/>
          <w:sz w:val="24"/>
          <w:szCs w:val="24"/>
          <w:lang w:val="en-US" w:eastAsia="zh-CN"/>
        </w:rPr>
        <w:t>.质量保证措施和体系</w:t>
      </w:r>
    </w:p>
    <w:p w14:paraId="7D7E8B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cs="宋体"/>
          <w:sz w:val="24"/>
          <w:szCs w:val="24"/>
          <w:lang w:val="en-US" w:eastAsia="zh-CN"/>
        </w:rPr>
        <w:t>7</w:t>
      </w:r>
      <w:r>
        <w:rPr>
          <w:rFonts w:hint="eastAsia" w:ascii="宋体" w:hAnsi="宋体" w:eastAsia="宋体" w:cs="宋体"/>
          <w:sz w:val="24"/>
          <w:szCs w:val="24"/>
          <w:lang w:val="en-US" w:eastAsia="zh-CN"/>
        </w:rPr>
        <w:t>.安全保证措施和体系</w:t>
      </w:r>
    </w:p>
    <w:p w14:paraId="3FADA4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cs="宋体"/>
          <w:sz w:val="24"/>
          <w:szCs w:val="24"/>
          <w:lang w:val="en-US" w:eastAsia="zh-CN"/>
        </w:rPr>
        <w:t>8</w:t>
      </w:r>
      <w:r>
        <w:rPr>
          <w:rFonts w:hint="eastAsia" w:ascii="宋体" w:hAnsi="宋体" w:eastAsia="宋体" w:cs="宋体"/>
          <w:sz w:val="24"/>
          <w:szCs w:val="24"/>
          <w:lang w:val="en-US" w:eastAsia="zh-CN"/>
        </w:rPr>
        <w:t>.环境保护管理体系与措施</w:t>
      </w:r>
    </w:p>
    <w:p w14:paraId="52B1061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s="宋体"/>
          <w:sz w:val="24"/>
          <w:szCs w:val="24"/>
          <w:lang w:val="en-US" w:eastAsia="zh-CN"/>
        </w:rPr>
      </w:pPr>
      <w:r>
        <w:rPr>
          <w:rFonts w:hint="eastAsia" w:cs="宋体"/>
          <w:sz w:val="24"/>
          <w:szCs w:val="24"/>
          <w:lang w:val="en-US" w:eastAsia="zh-CN"/>
        </w:rPr>
        <w:t>9.工程进度计划与措施</w:t>
      </w:r>
    </w:p>
    <w:p w14:paraId="1BE99F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s="宋体"/>
          <w:sz w:val="24"/>
          <w:szCs w:val="24"/>
          <w:lang w:val="en-US" w:eastAsia="zh-CN"/>
        </w:rPr>
      </w:pPr>
      <w:r>
        <w:rPr>
          <w:rFonts w:hint="eastAsia" w:cs="宋体"/>
          <w:sz w:val="24"/>
          <w:szCs w:val="24"/>
          <w:lang w:val="en-US" w:eastAsia="zh-CN"/>
        </w:rPr>
        <w:t>10.资源配备计划</w:t>
      </w:r>
    </w:p>
    <w:p w14:paraId="7FD5FE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11.内容完整性和编制水平</w:t>
      </w:r>
    </w:p>
    <w:p w14:paraId="5862E0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须知</w:t>
      </w:r>
      <w:r>
        <w:rPr>
          <w:rFonts w:hint="eastAsia" w:cs="宋体"/>
          <w:color w:val="auto"/>
          <w:sz w:val="24"/>
          <w:szCs w:val="24"/>
          <w:highlight w:val="none"/>
          <w:lang w:val="en-US" w:eastAsia="zh-CN"/>
        </w:rPr>
        <w:t>第七部分</w:t>
      </w:r>
      <w:r>
        <w:rPr>
          <w:rFonts w:hint="eastAsia" w:ascii="宋体" w:hAnsi="宋体" w:eastAsia="宋体" w:cs="宋体"/>
          <w:color w:val="auto"/>
          <w:sz w:val="24"/>
          <w:szCs w:val="24"/>
          <w:highlight w:val="none"/>
          <w:lang w:val="en-US" w:eastAsia="zh-CN"/>
        </w:rPr>
        <w:t>评审</w:t>
      </w:r>
      <w:r>
        <w:rPr>
          <w:rFonts w:hint="eastAsia"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部</w:t>
      </w:r>
      <w:r>
        <w:rPr>
          <w:rFonts w:hint="eastAsia"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评审内容</w:t>
      </w:r>
      <w:r>
        <w:rPr>
          <w:rFonts w:hint="eastAsia" w:ascii="宋体" w:hAnsi="宋体" w:eastAsia="宋体" w:cs="宋体"/>
          <w:color w:val="auto"/>
          <w:sz w:val="24"/>
          <w:szCs w:val="24"/>
          <w:highlight w:val="none"/>
          <w:lang w:val="en-US" w:eastAsia="zh-CN"/>
        </w:rPr>
        <w:t>提供相应证明材料。</w:t>
      </w:r>
    </w:p>
    <w:p w14:paraId="6818460F">
      <w:pPr>
        <w:pStyle w:val="8"/>
        <w:spacing w:before="188" w:line="228" w:lineRule="auto"/>
        <w:jc w:val="center"/>
        <w:rPr>
          <w:rFonts w:hint="eastAsia" w:asciiTheme="minorEastAsia" w:hAnsiTheme="minorEastAsia" w:eastAsiaTheme="minorEastAsia" w:cstheme="minorEastAsia"/>
          <w:lang w:val="en-US" w:eastAsia="zh-CN"/>
        </w:rPr>
      </w:pPr>
    </w:p>
    <w:p w14:paraId="4D016638">
      <w:pPr>
        <w:pStyle w:val="8"/>
        <w:spacing w:before="188" w:line="228" w:lineRule="auto"/>
        <w:jc w:val="center"/>
        <w:rPr>
          <w:rFonts w:hint="eastAsia" w:asciiTheme="minorEastAsia" w:hAnsiTheme="minorEastAsia" w:eastAsiaTheme="minorEastAsia" w:cstheme="minorEastAsia"/>
          <w:lang w:val="en-US" w:eastAsia="zh-CN"/>
        </w:rPr>
      </w:pPr>
    </w:p>
    <w:p w14:paraId="774C1DEC">
      <w:pPr>
        <w:pStyle w:val="8"/>
        <w:spacing w:before="188" w:line="228" w:lineRule="auto"/>
        <w:jc w:val="center"/>
        <w:rPr>
          <w:rFonts w:hint="eastAsia" w:ascii="宋体" w:hAnsi="宋体" w:eastAsia="宋体" w:cs="宋体"/>
          <w:b w:val="0"/>
          <w:bCs w:val="0"/>
          <w:spacing w:val="-8"/>
          <w:sz w:val="24"/>
          <w:szCs w:val="24"/>
          <w:lang w:val="en-US" w:eastAsia="zh-CN" w:bidi="zh-CN"/>
        </w:rPr>
      </w:pPr>
      <w:r>
        <w:rPr>
          <w:rFonts w:hint="eastAsia" w:ascii="宋体" w:hAnsi="宋体" w:eastAsia="宋体" w:cs="宋体"/>
          <w:b w:val="0"/>
          <w:bCs w:val="0"/>
          <w:spacing w:val="-8"/>
          <w:sz w:val="24"/>
          <w:szCs w:val="24"/>
          <w:lang w:val="en-US" w:eastAsia="zh-CN" w:bidi="zh-CN"/>
        </w:rPr>
        <w:t>12.商务偏离表</w:t>
      </w:r>
    </w:p>
    <w:tbl>
      <w:tblPr>
        <w:tblStyle w:val="20"/>
        <w:tblpPr w:leftFromText="180" w:rightFromText="180" w:vertAnchor="text" w:horzAnchor="page" w:tblpX="2185"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093"/>
        <w:gridCol w:w="2827"/>
        <w:gridCol w:w="1590"/>
        <w:gridCol w:w="870"/>
      </w:tblGrid>
      <w:tr w14:paraId="0828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820" w:type="dxa"/>
            <w:vAlign w:val="center"/>
          </w:tcPr>
          <w:p w14:paraId="322D098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093" w:type="dxa"/>
            <w:vAlign w:val="center"/>
          </w:tcPr>
          <w:p w14:paraId="3CE597FE">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招标</w:t>
            </w:r>
            <w:r>
              <w:rPr>
                <w:rFonts w:hint="eastAsia" w:ascii="宋体" w:hAnsi="宋体" w:eastAsia="宋体" w:cs="宋体"/>
                <w:color w:val="000000"/>
                <w:sz w:val="24"/>
                <w:szCs w:val="24"/>
                <w:highlight w:val="none"/>
                <w:lang w:val="en-US" w:eastAsia="zh-CN"/>
              </w:rPr>
              <w:t>要求</w:t>
            </w:r>
          </w:p>
        </w:tc>
        <w:tc>
          <w:tcPr>
            <w:tcW w:w="2827" w:type="dxa"/>
            <w:vAlign w:val="center"/>
          </w:tcPr>
          <w:p w14:paraId="333E7090">
            <w:pPr>
              <w:pageBreakBefore w:val="0"/>
              <w:kinsoku/>
              <w:wordWrap/>
              <w:overflowPunct/>
              <w:topLinePunct w:val="0"/>
              <w:bidi w:val="0"/>
              <w:adjustRightInd w:val="0"/>
              <w:snapToGrid w:val="0"/>
              <w:spacing w:beforeAutospacing="0" w:afterAutospacing="0" w:line="400" w:lineRule="exact"/>
              <w:jc w:val="center"/>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供应商的响应内容</w:t>
            </w:r>
          </w:p>
        </w:tc>
        <w:tc>
          <w:tcPr>
            <w:tcW w:w="1590" w:type="dxa"/>
            <w:vAlign w:val="center"/>
          </w:tcPr>
          <w:p w14:paraId="34AAC14F">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响应情况</w:t>
            </w:r>
          </w:p>
        </w:tc>
        <w:tc>
          <w:tcPr>
            <w:tcW w:w="870" w:type="dxa"/>
            <w:vAlign w:val="center"/>
          </w:tcPr>
          <w:p w14:paraId="57C4401C">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说明</w:t>
            </w:r>
          </w:p>
        </w:tc>
      </w:tr>
      <w:tr w14:paraId="7C15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820" w:type="dxa"/>
            <w:vAlign w:val="center"/>
          </w:tcPr>
          <w:p w14:paraId="4756E2D3">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093" w:type="dxa"/>
            <w:vAlign w:val="center"/>
          </w:tcPr>
          <w:p w14:paraId="1E7DF73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827" w:type="dxa"/>
            <w:vAlign w:val="center"/>
          </w:tcPr>
          <w:p w14:paraId="152AF46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73A01DB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17DE0131">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2576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20" w:type="dxa"/>
            <w:vAlign w:val="center"/>
          </w:tcPr>
          <w:p w14:paraId="67ED2F50">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093" w:type="dxa"/>
            <w:vAlign w:val="center"/>
          </w:tcPr>
          <w:p w14:paraId="336F09D8">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827" w:type="dxa"/>
            <w:vAlign w:val="center"/>
          </w:tcPr>
          <w:p w14:paraId="1615F19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3ED8665B">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7F550D36">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691B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20" w:type="dxa"/>
            <w:vAlign w:val="center"/>
          </w:tcPr>
          <w:p w14:paraId="4D93F79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093" w:type="dxa"/>
            <w:vAlign w:val="center"/>
          </w:tcPr>
          <w:p w14:paraId="13D284DD">
            <w:pPr>
              <w:pageBreakBefore w:val="0"/>
              <w:kinsoku/>
              <w:wordWrap/>
              <w:overflowPunct/>
              <w:topLinePunct w:val="0"/>
              <w:bidi w:val="0"/>
              <w:adjustRightInd w:val="0"/>
              <w:snapToGrid w:val="0"/>
              <w:spacing w:beforeAutospacing="0" w:afterAutospacing="0" w:line="400" w:lineRule="exact"/>
              <w:jc w:val="center"/>
              <w:rPr>
                <w:rFonts w:hint="default" w:ascii="宋体" w:hAnsi="宋体" w:eastAsia="宋体" w:cs="宋体"/>
                <w:color w:val="000000"/>
                <w:sz w:val="24"/>
                <w:szCs w:val="24"/>
                <w:highlight w:val="none"/>
                <w:lang w:val="en-US" w:eastAsia="zh-CN"/>
              </w:rPr>
            </w:pPr>
          </w:p>
        </w:tc>
        <w:tc>
          <w:tcPr>
            <w:tcW w:w="2827" w:type="dxa"/>
            <w:vAlign w:val="center"/>
          </w:tcPr>
          <w:p w14:paraId="39E01BF7">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0423F8F6">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2EBF4814">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6839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820" w:type="dxa"/>
            <w:vAlign w:val="center"/>
          </w:tcPr>
          <w:p w14:paraId="1154785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4</w:t>
            </w:r>
          </w:p>
        </w:tc>
        <w:tc>
          <w:tcPr>
            <w:tcW w:w="2093" w:type="dxa"/>
            <w:vAlign w:val="center"/>
          </w:tcPr>
          <w:p w14:paraId="30A1642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827" w:type="dxa"/>
            <w:vAlign w:val="center"/>
          </w:tcPr>
          <w:p w14:paraId="6498D950">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3C86B09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2605CB1F">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2E7B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820" w:type="dxa"/>
            <w:vAlign w:val="center"/>
          </w:tcPr>
          <w:p w14:paraId="3D74C9C5">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2093" w:type="dxa"/>
            <w:vAlign w:val="center"/>
          </w:tcPr>
          <w:p w14:paraId="1F496238">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val="en-US" w:eastAsia="zh-CN"/>
              </w:rPr>
            </w:pPr>
          </w:p>
        </w:tc>
        <w:tc>
          <w:tcPr>
            <w:tcW w:w="2827" w:type="dxa"/>
            <w:vAlign w:val="center"/>
          </w:tcPr>
          <w:p w14:paraId="04F6ACF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0655039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186B7B3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4CC3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820" w:type="dxa"/>
            <w:vAlign w:val="center"/>
          </w:tcPr>
          <w:p w14:paraId="6BCBAB6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val="en-US" w:eastAsia="zh-CN"/>
              </w:rPr>
            </w:pPr>
          </w:p>
        </w:tc>
        <w:tc>
          <w:tcPr>
            <w:tcW w:w="2093" w:type="dxa"/>
            <w:vAlign w:val="center"/>
          </w:tcPr>
          <w:p w14:paraId="5BFBB03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val="en-US" w:eastAsia="zh-CN"/>
              </w:rPr>
            </w:pPr>
          </w:p>
        </w:tc>
        <w:tc>
          <w:tcPr>
            <w:tcW w:w="2827" w:type="dxa"/>
            <w:vAlign w:val="center"/>
          </w:tcPr>
          <w:p w14:paraId="456DFDAC">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3731BAD3">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val="en-US" w:eastAsia="zh-CN"/>
              </w:rPr>
            </w:pPr>
          </w:p>
        </w:tc>
        <w:tc>
          <w:tcPr>
            <w:tcW w:w="870" w:type="dxa"/>
            <w:vAlign w:val="center"/>
          </w:tcPr>
          <w:p w14:paraId="30FB35FD">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bl>
    <w:p w14:paraId="05362A75">
      <w:pPr>
        <w:pStyle w:val="68"/>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b w:val="0"/>
          <w:bCs w:val="0"/>
          <w:color w:val="auto"/>
          <w:spacing w:val="-3"/>
          <w:kern w:val="2"/>
          <w:sz w:val="18"/>
          <w:szCs w:val="18"/>
          <w:lang w:val="en-US" w:eastAsia="zh-CN" w:bidi="ar-SA"/>
        </w:rPr>
      </w:pPr>
      <w:r>
        <w:rPr>
          <w:rFonts w:hint="eastAsia" w:ascii="宋体" w:hAnsi="宋体" w:eastAsia="宋体" w:cs="宋体"/>
          <w:b w:val="0"/>
          <w:bCs w:val="0"/>
          <w:color w:val="auto"/>
          <w:spacing w:val="-3"/>
          <w:kern w:val="2"/>
          <w:sz w:val="18"/>
          <w:szCs w:val="18"/>
          <w:lang w:val="en-US" w:eastAsia="zh-CN" w:bidi="ar-SA"/>
        </w:rPr>
        <w:t>注1.“</w:t>
      </w:r>
      <w:r>
        <w:rPr>
          <w:rFonts w:hint="eastAsia" w:ascii="宋体" w:eastAsia="宋体" w:cs="宋体"/>
          <w:b w:val="0"/>
          <w:bCs w:val="0"/>
          <w:color w:val="auto"/>
          <w:spacing w:val="-3"/>
          <w:kern w:val="2"/>
          <w:sz w:val="18"/>
          <w:szCs w:val="18"/>
          <w:lang w:val="en-US" w:eastAsia="zh-CN" w:bidi="ar-SA"/>
        </w:rPr>
        <w:t>供应商</w:t>
      </w:r>
      <w:r>
        <w:rPr>
          <w:rFonts w:hint="eastAsia" w:ascii="宋体" w:hAnsi="宋体" w:eastAsia="宋体" w:cs="宋体"/>
          <w:b w:val="0"/>
          <w:bCs w:val="0"/>
          <w:color w:val="auto"/>
          <w:spacing w:val="-3"/>
          <w:kern w:val="2"/>
          <w:sz w:val="18"/>
          <w:szCs w:val="18"/>
          <w:lang w:val="en-US" w:eastAsia="zh-CN" w:bidi="ar-SA"/>
        </w:rPr>
        <w:t>的响应内容”栏填写</w:t>
      </w:r>
      <w:r>
        <w:rPr>
          <w:rFonts w:hint="eastAsia" w:ascii="宋体" w:eastAsia="宋体" w:cs="宋体"/>
          <w:b w:val="0"/>
          <w:bCs w:val="0"/>
          <w:color w:val="auto"/>
          <w:spacing w:val="-3"/>
          <w:kern w:val="2"/>
          <w:sz w:val="18"/>
          <w:szCs w:val="18"/>
          <w:lang w:val="en-US" w:eastAsia="zh-CN" w:bidi="ar-SA"/>
        </w:rPr>
        <w:t>供应商</w:t>
      </w:r>
      <w:r>
        <w:rPr>
          <w:rFonts w:hint="eastAsia" w:ascii="宋体" w:hAnsi="宋体" w:eastAsia="宋体" w:cs="宋体"/>
          <w:b w:val="0"/>
          <w:bCs w:val="0"/>
          <w:color w:val="auto"/>
          <w:spacing w:val="-3"/>
          <w:kern w:val="2"/>
          <w:sz w:val="18"/>
          <w:szCs w:val="18"/>
          <w:lang w:val="en-US" w:eastAsia="zh-CN" w:bidi="ar-SA"/>
        </w:rPr>
        <w:t>对</w:t>
      </w:r>
      <w:r>
        <w:rPr>
          <w:rFonts w:hint="eastAsia" w:ascii="宋体" w:eastAsia="宋体" w:cs="宋体"/>
          <w:b w:val="0"/>
          <w:bCs w:val="0"/>
          <w:color w:val="auto"/>
          <w:spacing w:val="-3"/>
          <w:kern w:val="2"/>
          <w:sz w:val="18"/>
          <w:szCs w:val="18"/>
          <w:lang w:val="en-US" w:eastAsia="zh-CN" w:bidi="ar-SA"/>
        </w:rPr>
        <w:t>磋商</w:t>
      </w:r>
      <w:r>
        <w:rPr>
          <w:rFonts w:hint="eastAsia" w:ascii="宋体" w:hAnsi="宋体" w:eastAsia="宋体" w:cs="宋体"/>
          <w:b w:val="0"/>
          <w:bCs w:val="0"/>
          <w:color w:val="auto"/>
          <w:spacing w:val="-3"/>
          <w:kern w:val="2"/>
          <w:sz w:val="18"/>
          <w:szCs w:val="18"/>
          <w:lang w:val="en-US" w:eastAsia="zh-CN" w:bidi="ar-SA"/>
        </w:rPr>
        <w:t>文件提出的</w:t>
      </w:r>
      <w:r>
        <w:rPr>
          <w:rFonts w:hint="eastAsia" w:ascii="宋体" w:hAnsi="宋体" w:eastAsia="宋体" w:cs="宋体"/>
          <w:b/>
          <w:bCs/>
          <w:color w:val="auto"/>
          <w:spacing w:val="-3"/>
          <w:kern w:val="2"/>
          <w:sz w:val="18"/>
          <w:szCs w:val="18"/>
          <w:lang w:val="en-US" w:eastAsia="zh-CN" w:bidi="ar-SA"/>
        </w:rPr>
        <w:t>商务条款</w:t>
      </w:r>
      <w:r>
        <w:rPr>
          <w:rFonts w:hint="eastAsia" w:ascii="宋体" w:hAnsi="宋体" w:eastAsia="宋体" w:cs="宋体"/>
          <w:b w:val="0"/>
          <w:bCs w:val="0"/>
          <w:color w:val="auto"/>
          <w:spacing w:val="-3"/>
          <w:kern w:val="2"/>
          <w:sz w:val="18"/>
          <w:szCs w:val="18"/>
          <w:lang w:val="en-US" w:eastAsia="zh-CN" w:bidi="ar-SA"/>
        </w:rPr>
        <w:t>作出的明确响应，并列明具体响应数值或内容。2.“响应情况”栏应据实填写“响应”、“正偏离”或“负偏离”。</w:t>
      </w:r>
    </w:p>
    <w:p w14:paraId="3EBBD9C6">
      <w:pPr>
        <w:pStyle w:val="68"/>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b w:val="0"/>
          <w:bCs w:val="0"/>
          <w:color w:val="auto"/>
          <w:spacing w:val="-3"/>
          <w:kern w:val="2"/>
          <w:sz w:val="18"/>
          <w:szCs w:val="18"/>
          <w:lang w:val="en-US" w:eastAsia="zh-CN" w:bidi="ar-SA"/>
        </w:rPr>
      </w:pPr>
      <w:r>
        <w:rPr>
          <w:rFonts w:hint="eastAsia" w:ascii="宋体" w:hAnsi="宋体" w:eastAsia="宋体" w:cs="宋体"/>
          <w:b w:val="0"/>
          <w:bCs w:val="0"/>
          <w:color w:val="auto"/>
          <w:spacing w:val="-3"/>
          <w:kern w:val="2"/>
          <w:sz w:val="18"/>
          <w:szCs w:val="18"/>
          <w:lang w:val="en-US" w:eastAsia="zh-CN" w:bidi="ar-SA"/>
        </w:rPr>
        <w:t>3“说明”栏可填写偏离情况的具体说明及索引。</w:t>
      </w:r>
    </w:p>
    <w:p w14:paraId="7ED6E7D9">
      <w:pPr>
        <w:pStyle w:val="68"/>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b/>
          <w:bCs/>
          <w:color w:val="auto"/>
          <w:spacing w:val="-3"/>
          <w:kern w:val="2"/>
          <w:sz w:val="18"/>
          <w:szCs w:val="18"/>
          <w:lang w:val="en-US" w:eastAsia="zh-CN" w:bidi="ar-SA"/>
        </w:rPr>
      </w:pPr>
      <w:r>
        <w:rPr>
          <w:rFonts w:hint="eastAsia" w:ascii="宋体" w:hAnsi="宋体" w:eastAsia="宋体" w:cs="宋体"/>
          <w:b w:val="0"/>
          <w:bCs w:val="0"/>
          <w:color w:val="auto"/>
          <w:spacing w:val="-3"/>
          <w:kern w:val="2"/>
          <w:sz w:val="18"/>
          <w:szCs w:val="18"/>
          <w:lang w:val="en-US" w:eastAsia="zh-CN" w:bidi="ar-SA"/>
        </w:rPr>
        <w:t>4.对</w:t>
      </w:r>
      <w:r>
        <w:rPr>
          <w:rFonts w:hint="eastAsia" w:ascii="宋体" w:eastAsia="宋体" w:cs="宋体"/>
          <w:b w:val="0"/>
          <w:bCs w:val="0"/>
          <w:color w:val="auto"/>
          <w:spacing w:val="-3"/>
          <w:kern w:val="2"/>
          <w:sz w:val="18"/>
          <w:szCs w:val="18"/>
          <w:lang w:val="en-US" w:eastAsia="zh-CN" w:bidi="ar-SA"/>
        </w:rPr>
        <w:t>磋商</w:t>
      </w:r>
      <w:r>
        <w:rPr>
          <w:rFonts w:hint="eastAsia" w:ascii="宋体" w:hAnsi="宋体" w:eastAsia="宋体" w:cs="宋体"/>
          <w:b w:val="0"/>
          <w:bCs w:val="0"/>
          <w:color w:val="auto"/>
          <w:spacing w:val="-3"/>
          <w:kern w:val="2"/>
          <w:sz w:val="18"/>
          <w:szCs w:val="18"/>
          <w:lang w:val="en-US" w:eastAsia="zh-CN" w:bidi="ar-SA"/>
        </w:rPr>
        <w:t>文件中的所有商务要求，除本表所列明的所有偏离外，均视作供应商已对之理解和响应。</w:t>
      </w:r>
    </w:p>
    <w:p w14:paraId="3FA6C8B1">
      <w:pPr>
        <w:spacing w:line="457" w:lineRule="auto"/>
        <w:rPr>
          <w:rFonts w:hint="default" w:asciiTheme="minorEastAsia" w:hAnsiTheme="minorEastAsia" w:eastAsiaTheme="minorEastAsia" w:cstheme="minorEastAsia"/>
          <w:spacing w:val="-10"/>
          <w:lang w:val="en-US" w:eastAsia="zh-CN"/>
        </w:rPr>
      </w:pPr>
    </w:p>
    <w:p w14:paraId="5D6A4FD8">
      <w:pPr>
        <w:pStyle w:val="8"/>
        <w:rPr>
          <w:rFonts w:hint="default"/>
          <w:lang w:val="en-US" w:eastAsia="zh-CN"/>
        </w:rPr>
      </w:pPr>
    </w:p>
    <w:p w14:paraId="660C2833">
      <w:pPr>
        <w:pStyle w:val="8"/>
        <w:rPr>
          <w:rFonts w:hint="default"/>
          <w:lang w:val="en-US" w:eastAsia="zh-CN"/>
        </w:rPr>
      </w:pPr>
    </w:p>
    <w:p w14:paraId="36A70CC0">
      <w:pPr>
        <w:pStyle w:val="8"/>
        <w:rPr>
          <w:rFonts w:hint="default"/>
          <w:lang w:val="en-US" w:eastAsia="zh-CN"/>
        </w:rPr>
      </w:pPr>
    </w:p>
    <w:p w14:paraId="73D64A63">
      <w:pPr>
        <w:pStyle w:val="8"/>
        <w:rPr>
          <w:rFonts w:hint="default"/>
          <w:lang w:val="en-US" w:eastAsia="zh-CN"/>
        </w:rPr>
      </w:pPr>
    </w:p>
    <w:p w14:paraId="6DC3962B">
      <w:pPr>
        <w:pStyle w:val="8"/>
        <w:rPr>
          <w:rFonts w:hint="default"/>
          <w:lang w:val="en-US" w:eastAsia="zh-CN"/>
        </w:rPr>
      </w:pPr>
    </w:p>
    <w:p w14:paraId="5F64074F">
      <w:pPr>
        <w:pStyle w:val="8"/>
        <w:spacing w:before="188" w:line="228" w:lineRule="auto"/>
        <w:jc w:val="center"/>
        <w:rPr>
          <w:rFonts w:hint="default" w:ascii="宋体" w:hAnsi="宋体" w:eastAsia="宋体" w:cs="宋体"/>
          <w:b w:val="0"/>
          <w:bCs w:val="0"/>
          <w:spacing w:val="-8"/>
          <w:sz w:val="24"/>
          <w:szCs w:val="24"/>
          <w:lang w:val="en-US" w:eastAsia="zh-CN" w:bidi="zh-CN"/>
        </w:rPr>
      </w:pPr>
      <w:r>
        <w:rPr>
          <w:rFonts w:hint="eastAsia" w:ascii="宋体" w:hAnsi="宋体" w:eastAsia="宋体" w:cs="宋体"/>
          <w:b w:val="0"/>
          <w:bCs w:val="0"/>
          <w:spacing w:val="-8"/>
          <w:sz w:val="24"/>
          <w:szCs w:val="24"/>
          <w:lang w:val="en-US" w:eastAsia="zh-CN" w:bidi="zh-CN"/>
        </w:rPr>
        <w:t>13 .供应商认为需要提供的其他资料</w:t>
      </w:r>
    </w:p>
    <w:p w14:paraId="0C7E02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719324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85341A0">
      <w:pPr>
        <w:keepNext w:val="0"/>
        <w:keepLines w:val="0"/>
        <w:widowControl/>
        <w:suppressLineNumbers w:val="0"/>
        <w:jc w:val="left"/>
        <w:rPr>
          <w:color w:val="auto"/>
          <w:highlight w:val="none"/>
        </w:rPr>
      </w:pPr>
      <w:r>
        <w:rPr>
          <w:rFonts w:hint="eastAsia" w:ascii="宋体" w:hAnsi="宋体" w:eastAsia="宋体" w:cs="宋体"/>
          <w:b/>
          <w:bCs/>
          <w:color w:val="auto"/>
          <w:kern w:val="0"/>
          <w:sz w:val="28"/>
          <w:szCs w:val="28"/>
          <w:highlight w:val="none"/>
          <w:lang w:val="en-US" w:eastAsia="zh-CN" w:bidi="ar"/>
        </w:rPr>
        <w:t xml:space="preserve"> </w:t>
      </w:r>
    </w:p>
    <w:p w14:paraId="09479524">
      <w:pPr>
        <w:keepNext w:val="0"/>
        <w:keepLines w:val="0"/>
        <w:widowControl/>
        <w:suppressLineNumbers w:val="0"/>
        <w:ind w:firstLine="480" w:firstLineChars="2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供应商认为需要提供的其他证明文件或图片、文字说明等其他资料。 </w:t>
      </w:r>
    </w:p>
    <w:p w14:paraId="5FFAB743">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注：本项内容由供应商根据本磋商文件的内容自行决定。 </w:t>
      </w:r>
    </w:p>
    <w:p w14:paraId="25254F4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2793C894">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633CE424">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6BA57898">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3078EF0C">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1F4758C1">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供应商法定代表人（或法定代表人授权代表）签字或签章： </w:t>
      </w:r>
    </w:p>
    <w:p w14:paraId="33D8CBAA">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供应商名称（盖公章）： </w:t>
      </w:r>
    </w:p>
    <w:p w14:paraId="0FD07FF6">
      <w:pPr>
        <w:pStyle w:val="9"/>
        <w:pageBreakBefore w:val="0"/>
        <w:kinsoku/>
        <w:wordWrap/>
        <w:overflowPunct/>
        <w:topLinePunct w:val="0"/>
        <w:bidi w:val="0"/>
        <w:spacing w:beforeAutospacing="0" w:afterAutospacing="0" w:line="400" w:lineRule="exact"/>
        <w:ind w:firstLine="643"/>
        <w:jc w:val="center"/>
        <w:rPr>
          <w:rFonts w:hint="eastAsia" w:ascii="宋体" w:hAnsi="宋体" w:cs="宋体"/>
          <w:b/>
          <w:color w:val="000000"/>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日期： 年 月 日</w:t>
      </w:r>
    </w:p>
    <w:p w14:paraId="3374C887">
      <w:pPr>
        <w:pStyle w:val="9"/>
        <w:pageBreakBefore w:val="0"/>
        <w:kinsoku/>
        <w:wordWrap/>
        <w:overflowPunct/>
        <w:topLinePunct w:val="0"/>
        <w:bidi w:val="0"/>
        <w:spacing w:beforeAutospacing="0" w:afterAutospacing="0" w:line="400" w:lineRule="exact"/>
        <w:ind w:firstLine="643"/>
        <w:jc w:val="center"/>
        <w:rPr>
          <w:rFonts w:hint="eastAsia" w:ascii="宋体" w:hAnsi="宋体" w:cs="宋体"/>
          <w:b/>
          <w:bCs w:val="0"/>
          <w:color w:val="000000"/>
          <w:sz w:val="24"/>
          <w:szCs w:val="24"/>
          <w:highlight w:val="none"/>
          <w:lang w:val="en-US" w:eastAsia="zh-CN"/>
        </w:rPr>
      </w:pPr>
    </w:p>
    <w:p w14:paraId="43C04B8F">
      <w:pPr>
        <w:rPr>
          <w:rFonts w:hint="default" w:ascii="宋体" w:hAnsi="宋体" w:eastAsia="宋体" w:cs="宋体"/>
          <w:sz w:val="24"/>
          <w:lang w:val="en-US" w:eastAsia="zh-CN"/>
        </w:rPr>
      </w:pPr>
    </w:p>
    <w:p w14:paraId="4A367986"/>
    <w:p w14:paraId="06779B4D"/>
    <w:sectPr>
      <w:headerReference r:id="rId22" w:type="default"/>
      <w:footerReference r:id="rId23" w:type="default"/>
      <w:pgSz w:w="11910" w:h="16840"/>
      <w:pgMar w:top="1134" w:right="1531" w:bottom="1134" w:left="1531" w:header="670" w:footer="1041" w:gutter="0"/>
      <w:pgNumType w:fmt="decimal"/>
      <w:cols w:space="0" w:num="1"/>
      <w:rtlGutter w:val="0"/>
      <w:docGrid w:linePitch="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19C7D35-A4FB-490E-8528-809C782F5BFF}"/>
  </w:font>
  <w:font w:name="黑体">
    <w:panose1 w:val="02010609060101010101"/>
    <w:charset w:val="86"/>
    <w:family w:val="auto"/>
    <w:pitch w:val="default"/>
    <w:sig w:usb0="800002BF" w:usb1="38CF7CFA" w:usb2="00000016" w:usb3="00000000" w:csb0="00040001" w:csb1="00000000"/>
    <w:embedRegular r:id="rId2" w:fontKey="{483A7DE1-D9EA-400E-B1DC-38CFFD6585F6}"/>
  </w:font>
  <w:font w:name="Courier New">
    <w:panose1 w:val="02070309020205020404"/>
    <w:charset w:val="01"/>
    <w:family w:val="modern"/>
    <w:pitch w:val="default"/>
    <w:sig w:usb0="E0002EFF" w:usb1="C0007843" w:usb2="00000009" w:usb3="00000000" w:csb0="400001FF" w:csb1="FFFF0000"/>
    <w:embedRegular r:id="rId3" w:fontKey="{2EB50761-A230-40E9-8DD5-BA6C861CF5D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AEDC6E52-A236-4969-AA82-A9CBCE6C7E65}"/>
  </w:font>
  <w:font w:name="微软雅黑">
    <w:panose1 w:val="020B0503020204020204"/>
    <w:charset w:val="86"/>
    <w:family w:val="swiss"/>
    <w:pitch w:val="default"/>
    <w:sig w:usb0="80000287" w:usb1="2ACF3C50" w:usb2="00000016" w:usb3="00000000" w:csb0="0004001F" w:csb1="00000000"/>
    <w:embedRegular r:id="rId5" w:fontKey="{D9DD78F9-DBCD-49EC-946F-44124886DA61}"/>
  </w:font>
  <w:font w:name="仿宋_GB2312">
    <w:panose1 w:val="02010609030101010101"/>
    <w:charset w:val="86"/>
    <w:family w:val="auto"/>
    <w:pitch w:val="default"/>
    <w:sig w:usb0="00000001" w:usb1="080E0000" w:usb2="00000000" w:usb3="00000000" w:csb0="00040000" w:csb1="00000000"/>
    <w:embedRegular r:id="rId6" w:fontKey="{C4623912-DD74-43B7-A9AA-12ECF644BE36}"/>
  </w:font>
  <w:font w:name="Garamond">
    <w:panose1 w:val="02020502050306020203"/>
    <w:charset w:val="00"/>
    <w:family w:val="roman"/>
    <w:pitch w:val="default"/>
    <w:sig w:usb0="00000000" w:usb1="00000000" w:usb2="00000000" w:usb3="00000000" w:csb0="0000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ourier">
    <w:panose1 w:val="02060409020205020404"/>
    <w:charset w:val="00"/>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7" w:fontKey="{541E4232-762A-46A6-BF31-0253D1B432EB}"/>
  </w:font>
  <w:font w:name="Adobe 仿宋 Std R">
    <w:altName w:val="微软雅黑"/>
    <w:panose1 w:val="00000000000000000000"/>
    <w:charset w:val="7A"/>
    <w:family w:val="roman"/>
    <w:pitch w:val="default"/>
    <w:sig w:usb0="00000000" w:usb1="00000000" w:usb2="00000016" w:usb3="00000000" w:csb0="00060007"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99BE1">
    <w:pPr>
      <w:pStyle w:val="13"/>
      <w:ind w:right="36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8BD7D">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4C8BD7D">
                    <w:pPr>
                      <w:pStyle w:val="13"/>
                    </w:pPr>
                    <w:r>
                      <w:fldChar w:fldCharType="begin"/>
                    </w:r>
                    <w:r>
                      <w:instrText xml:space="preserve"> PAGE  \* MERGEFORMAT </w:instrText>
                    </w:r>
                    <w:r>
                      <w:fldChar w:fldCharType="separate"/>
                    </w:r>
                    <w:r>
                      <w:t>0</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posOffset>2535555</wp:posOffset>
              </wp:positionH>
              <wp:positionV relativeFrom="paragraph">
                <wp:posOffset>0</wp:posOffset>
              </wp:positionV>
              <wp:extent cx="114935" cy="153035"/>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wps:spPr>
                    <wps:txbx>
                      <w:txbxContent>
                        <w:p w14:paraId="55A9534F"/>
                      </w:txbxContent>
                    </wps:txbx>
                    <wps:bodyPr wrap="none" lIns="0" tIns="0" rIns="0" bIns="0" upright="1">
                      <a:spAutoFit/>
                    </wps:bodyPr>
                  </wps:wsp>
                </a:graphicData>
              </a:graphic>
            </wp:anchor>
          </w:drawing>
        </mc:Choice>
        <mc:Fallback>
          <w:pict>
            <v:shape id="_x0000_s1026" o:spid="_x0000_s1026" o:spt="202" type="#_x0000_t202" style="position:absolute;left:0pt;margin-left:199.65pt;margin-top:0pt;height:12.05pt;width:9.05pt;mso-position-horizontal-relative:margin;mso-wrap-style:none;z-index:251665408;mso-width-relative:page;mso-height-relative:page;" filled="f" stroked="f" coordsize="21600,21600" o:gfxdata="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BKzybXAAAABwEAAA8AAAAAAAAAAQAg&#10;AAAAIgAAAGRycy9kb3ducmV2LnhtbFBLAQIUABQAAAAIAIdO4kBWvlH41gEAAKMDAAAOAAAAAAAA&#10;AAEAIAAAACYBAABkcnMvZTJvRG9jLnhtbFBLBQYAAAAABgAGAFkBAABuBQAAAAA=&#10;">
              <v:fill on="f" focussize="0,0"/>
              <v:stroke on="f" weight="1.25pt"/>
              <v:imagedata o:title=""/>
              <o:lock v:ext="edit" aspectratio="f"/>
              <v:textbox inset="0mm,0mm,0mm,0mm" style="mso-fit-shape-to-text:t;">
                <w:txbxContent>
                  <w:p w14:paraId="55A9534F"/>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F0AE1">
                          <w:pPr>
                            <w:pStyle w:val="13"/>
                            <w:rPr>
                              <w:rFonts w:hint="default" w:eastAsia="宋体"/>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4BBF0AE1">
                    <w:pPr>
                      <w:pStyle w:val="13"/>
                      <w:rPr>
                        <w:rFonts w:hint="default" w:eastAsia="宋体"/>
                        <w:lang w:val="en-US" w:eastAsia="zh-CN"/>
                      </w:rPr>
                    </w:pPr>
                    <w:r>
                      <w:rPr>
                        <w:rFonts w:hint="eastAsia"/>
                        <w:lang w:val="en-US" w:eastAsia="zh-CN"/>
                      </w:rPr>
                      <w:t>1</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BFB81">
    <w:pPr>
      <w:pStyle w:val="13"/>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C480B">
                          <w:pPr>
                            <w:pStyle w:val="1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319C480B">
                    <w:pPr>
                      <w:pStyle w:val="13"/>
                    </w:pPr>
                    <w:r>
                      <w:fldChar w:fldCharType="begin"/>
                    </w:r>
                    <w:r>
                      <w:instrText xml:space="preserve"> PAGE  \* MERGEFORMAT </w:instrText>
                    </w:r>
                    <w:r>
                      <w:fldChar w:fldCharType="separate"/>
                    </w:r>
                    <w:r>
                      <w:t>62</w:t>
                    </w:r>
                    <w:r>
                      <w:fldChar w:fldCharType="end"/>
                    </w:r>
                  </w:p>
                </w:txbxContent>
              </v:textbox>
            </v:shape>
          </w:pict>
        </mc:Fallback>
      </mc:AlternateContent>
    </w:r>
  </w:p>
  <w:p w14:paraId="08E2AB6A">
    <w:pPr>
      <w:pStyle w:val="13"/>
      <w:jc w:val="center"/>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9B301">
    <w:pPr>
      <w:pStyle w:val="13"/>
      <w:framePr w:wrap="around" w:vAnchor="text" w:hAnchor="margin" w:xAlign="center" w:y="1"/>
      <w:rPr>
        <w:rStyle w:val="24"/>
      </w:rPr>
    </w:pPr>
    <w:r>
      <w:fldChar w:fldCharType="begin"/>
    </w:r>
    <w:r>
      <w:rPr>
        <w:rStyle w:val="24"/>
      </w:rPr>
      <w:instrText xml:space="preserve">PAGE  </w:instrText>
    </w:r>
    <w:r>
      <w:fldChar w:fldCharType="end"/>
    </w:r>
  </w:p>
  <w:p w14:paraId="7E29AF90">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488B7">
    <w:pPr>
      <w:pStyle w:val="13"/>
      <w:tabs>
        <w:tab w:val="center" w:pos="4479"/>
        <w:tab w:val="clear" w:pos="4153"/>
      </w:tabs>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FABFA">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CDFABFA">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7E89C">
                          <w:pPr>
                            <w:pStyle w:val="13"/>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2C7E89C">
                    <w:pPr>
                      <w:pStyle w:val="13"/>
                      <w:rPr>
                        <w:rFonts w:hint="default" w:eastAsia="宋体"/>
                        <w:lang w:val="en-US" w:eastAsia="zh-CN"/>
                      </w:rPr>
                    </w:pP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5303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wps:spPr>
                    <wps:txbx>
                      <w:txbxContent>
                        <w:p w14:paraId="1A5DD4AC"/>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6432;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rs9lPUAAAAAwEAAA8AAAAAAAAAAQAgAAAA&#10;IgAAAGRycy9kb3ducmV2LnhtbFBLAQIUABQAAAAIAIdO4kAYy/2Z1gEAAKMDAAAOAAAAAAAAAAEA&#10;IAAAACMBAABkcnMvZTJvRG9jLnhtbFBLBQYAAAAABgAGAFkBAABrBQAAAAA=&#10;">
              <v:fill on="f" focussize="0,0"/>
              <v:stroke on="f" weight="1.25pt"/>
              <v:imagedata o:title=""/>
              <o:lock v:ext="edit" aspectratio="f"/>
              <v:textbox inset="0mm,0mm,0mm,0mm" style="mso-fit-shape-to-text:t;">
                <w:txbxContent>
                  <w:p w14:paraId="1A5DD4AC"/>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61DA">
    <w:pPr>
      <w:pStyle w:val="8"/>
      <w:spacing w:line="14" w:lineRule="auto"/>
      <w:rPr>
        <w:sz w:val="20"/>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35A7D">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7335A7D">
                    <w:pPr>
                      <w:pStyle w:val="13"/>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3236595</wp:posOffset>
              </wp:positionH>
              <wp:positionV relativeFrom="page">
                <wp:posOffset>9891395</wp:posOffset>
              </wp:positionV>
              <wp:extent cx="1088390" cy="1524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088390" cy="152400"/>
                      </a:xfrm>
                      <a:prstGeom prst="rect">
                        <a:avLst/>
                      </a:prstGeom>
                      <a:noFill/>
                      <a:ln>
                        <a:noFill/>
                      </a:ln>
                    </wps:spPr>
                    <wps:txbx>
                      <w:txbxContent>
                        <w:p w14:paraId="18AD1F3E"/>
                      </w:txbxContent>
                    </wps:txbx>
                    <wps:bodyPr lIns="0" tIns="0" rIns="0" bIns="0" upright="1"/>
                  </wps:wsp>
                </a:graphicData>
              </a:graphic>
            </wp:anchor>
          </w:drawing>
        </mc:Choice>
        <mc:Fallback>
          <w:pict>
            <v:shape id="_x0000_s1026" o:spid="_x0000_s1026" o:spt="202" type="#_x0000_t202" style="position:absolute;left:0pt;margin-left:254.85pt;margin-top:778.85pt;height:12pt;width:85.7pt;mso-position-horizontal-relative:page;mso-position-vertical-relative:page;z-index:-251650048;mso-width-relative:page;mso-height-relative:page;" filled="f" stroked="f" coordsize="21600,21600" o:gfxdata="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067VQ2gAAAA0BAAAPAAAAAAAAAAEAIAAAACIAAABkcnMvZG93bnJldi54bWxQ&#10;SwECFAAUAAAACACHTuJANoP5ELwBAAB0AwAADgAAAAAAAAABACAAAAApAQAAZHJzL2Uyb0RvYy54&#10;bWxQSwUGAAAAAAYABgBZAQAAVwUAAAAA&#10;">
              <v:fill on="f" focussize="0,0"/>
              <v:stroke on="f"/>
              <v:imagedata o:title=""/>
              <o:lock v:ext="edit" aspectratio="f"/>
              <v:textbox inset="0mm,0mm,0mm,0mm">
                <w:txbxContent>
                  <w:p w14:paraId="18AD1F3E"/>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D7048">
    <w:pPr>
      <w:spacing w:line="176" w:lineRule="auto"/>
      <w:ind w:left="48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156AE">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26156AE">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16895">
    <w:pPr>
      <w:pStyle w:val="1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8860D">
                          <w:pPr>
                            <w:pStyle w:val="1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6978860D">
                    <w:pPr>
                      <w:pStyle w:val="1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4B4C2">
    <w:pPr>
      <w:pStyle w:val="13"/>
      <w:jc w:val="cen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C56A1">
                          <w:pPr>
                            <w:pStyle w:val="1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80C56A1">
                    <w:pPr>
                      <w:pStyle w:val="13"/>
                    </w:pPr>
                    <w:r>
                      <w:fldChar w:fldCharType="begin"/>
                    </w:r>
                    <w:r>
                      <w:instrText xml:space="preserve"> PAGE  \* MERGEFORMAT </w:instrText>
                    </w:r>
                    <w:r>
                      <w:fldChar w:fldCharType="separate"/>
                    </w:r>
                    <w:r>
                      <w:t>62</w:t>
                    </w:r>
                    <w:r>
                      <w:fldChar w:fldCharType="end"/>
                    </w:r>
                  </w:p>
                </w:txbxContent>
              </v:textbox>
            </v:shape>
          </w:pict>
        </mc:Fallback>
      </mc:AlternateContent>
    </w:r>
  </w:p>
  <w:p w14:paraId="4E989DD1">
    <w:pPr>
      <w:pStyle w:val="13"/>
      <w:jc w:val="center"/>
      <w:rPr>
        <w:rFonts w:asci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75334">
    <w:pPr>
      <w:pStyle w:val="13"/>
      <w:framePr w:wrap="around" w:vAnchor="text" w:hAnchor="margin" w:xAlign="center" w:y="1"/>
      <w:rPr>
        <w:rStyle w:val="24"/>
      </w:rPr>
    </w:pPr>
    <w:r>
      <w:fldChar w:fldCharType="begin"/>
    </w:r>
    <w:r>
      <w:rPr>
        <w:rStyle w:val="24"/>
      </w:rPr>
      <w:instrText xml:space="preserve"> PAGE </w:instrText>
    </w:r>
    <w:r>
      <w:fldChar w:fldCharType="end"/>
    </w:r>
  </w:p>
  <w:p w14:paraId="3D685452">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D863">
    <w:pPr>
      <w:spacing w:line="176" w:lineRule="auto"/>
      <w:ind w:left="47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CCCCE4">
                          <w:pPr>
                            <w:pStyle w:val="13"/>
                          </w:pPr>
                          <w:r>
                            <w:fldChar w:fldCharType="begin"/>
                          </w:r>
                          <w:r>
                            <w:instrText xml:space="preserve"> PAGE  \* MERGEFORMAT </w:instrText>
                          </w:r>
                          <w:r>
                            <w:fldChar w:fldCharType="separate"/>
                          </w:r>
                          <w:r>
                            <w:t>67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wyWM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OwyWMoBAACbAwAADgAAAAAAAAABACAAAAAeAQAAZHJzL2Uyb0Rv&#10;Yy54bWxQSwUGAAAAAAYABgBZAQAAWgUAAAAA&#10;">
              <v:fill on="f" focussize="0,0"/>
              <v:stroke on="f"/>
              <v:imagedata o:title=""/>
              <o:lock v:ext="edit" aspectratio="f"/>
              <v:textbox inset="0mm,0mm,0mm,0mm" style="mso-fit-shape-to-text:t;">
                <w:txbxContent>
                  <w:p w14:paraId="4ECCCCE4">
                    <w:pPr>
                      <w:pStyle w:val="13"/>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F68E7">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C5AA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68584">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2CFCA">
    <w:pPr>
      <w:pStyle w:val="8"/>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2FD5BB51"/>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1072;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nzKt/LsBAAB0AwAADgAAAAAAAAABACAAAAAnAQAAZHJzL2Uyb0RvYy54bWxQ&#10;SwUGAAAAAAYABgBZAQAAVAUAAAAA&#10;">
              <v:fill on="f" focussize="0,0"/>
              <v:stroke on="f"/>
              <v:imagedata o:title=""/>
              <o:lock v:ext="edit" aspectratio="f"/>
              <v:textbox inset="0mm,0mm,0mm,0mm">
                <w:txbxContent>
                  <w:p w14:paraId="2FD5BB51"/>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F11BF">
    <w:pPr>
      <w:pStyle w:val="8"/>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a:effectLst/>
                    </wps:spPr>
                    <wps:txbx>
                      <w:txbxContent>
                        <w:p w14:paraId="33B5D5A7">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3120;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dqHs52AAAAAkBAAAPAAAAAAAAAAEAIAAAACIAAABkcnMvZG93bnJldi54bWxQ&#10;SwECFAAUAAAACACHTuJAgbVPxL4BAACCAwAADgAAAAAAAAABACAAAAAnAQAAZHJzL2Uyb0RvYy54&#10;bWxQSwUGAAAAAAYABgBZAQAAVwUAAAAA&#10;">
              <v:fill on="f" focussize="0,0"/>
              <v:stroke on="f"/>
              <v:imagedata o:title=""/>
              <o:lock v:ext="edit" aspectratio="f"/>
              <v:textbox inset="0mm,0mm,0mm,0mm">
                <w:txbxContent>
                  <w:p w14:paraId="33B5D5A7">
                    <w:pPr>
                      <w:rPr>
                        <w:rFonts w:hint="eastAsia"/>
                        <w:lang w:eastAsia="zh-CN"/>
                      </w:rPr>
                    </w:pP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a:effectLst/>
                    </wps:spPr>
                    <wps:txbx>
                      <w:txbxContent>
                        <w:p w14:paraId="44205FB5"/>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2096;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KrmlA2AAAAAoBAAAPAAAAAAAAAAEAIAAAACIAAABkcnMvZG93bnJldi54bWxQ&#10;SwECFAAUAAAACACHTuJAzDwivr4BAACCAwAADgAAAAAAAAABACAAAAAnAQAAZHJzL2Uyb0RvYy54&#10;bWxQSwUGAAAAAAYABgBZAQAAVwUAAAAA&#10;">
              <v:fill on="f" focussize="0,0"/>
              <v:stroke on="f"/>
              <v:imagedata o:title=""/>
              <o:lock v:ext="edit" aspectratio="f"/>
              <v:textbox inset="0mm,0mm,0mm,0mm">
                <w:txbxContent>
                  <w:p w14:paraId="44205FB5"/>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1A02E">
    <w:pPr>
      <w:pStyle w:val="8"/>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3CCCC24E"/>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7216;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Rib/FrsBAAB0AwAADgAAAAAAAAABACAAAAAnAQAAZHJzL2Uyb0RvYy54bWxQ&#10;SwUGAAAAAAYABgBZAQAAVAUAAAAA&#10;">
              <v:fill on="f" focussize="0,0"/>
              <v:stroke on="f"/>
              <v:imagedata o:title=""/>
              <o:lock v:ext="edit" aspectratio="f"/>
              <v:textbox inset="0mm,0mm,0mm,0mm">
                <w:txbxContent>
                  <w:p w14:paraId="3CCCC24E"/>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B9321">
    <w:pPr>
      <w:pStyle w:val="14"/>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7F894">
    <w:pPr>
      <w:pStyle w:val="8"/>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22ABD36B"/>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209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euJOH7sBAAB0AwAADgAAAAAAAAABACAAAAAnAQAAZHJzL2Uyb0RvYy54bWxQ&#10;SwUGAAAAAAYABgBZAQAAVAUAAAAA&#10;">
              <v:fill on="f" focussize="0,0"/>
              <v:stroke on="f"/>
              <v:imagedata o:title=""/>
              <o:lock v:ext="edit" aspectratio="f"/>
              <v:textbox inset="0mm,0mm,0mm,0mm">
                <w:txbxContent>
                  <w:p w14:paraId="22ABD36B"/>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2A887990"/>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1072;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ImIbF7sBAAB0AwAADgAAAAAAAAABACAAAAAnAQAAZHJzL2Uyb0RvYy54bWxQ&#10;SwUGAAAAAAYABgBZAQAAVAUAAAAA&#10;">
              <v:fill on="f" focussize="0,0"/>
              <v:stroke on="f"/>
              <v:imagedata o:title=""/>
              <o:lock v:ext="edit" aspectratio="f"/>
              <v:textbox inset="0mm,0mm,0mm,0mm">
                <w:txbxContent>
                  <w:p w14:paraId="2A887990"/>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CF011">
    <w:pPr>
      <w:pStyle w:val="8"/>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6E413B35">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6192;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ah7OdgAAAAJAQAADwAAAAAAAAABACAAAAAiAAAAZHJzL2Rvd25yZXYueG1sUEsB&#10;AhQAFAAAAAgAh07iQDPZKQq8AQAAdAMAAA4AAAAAAAAAAQAgAAAAJwEAAGRycy9lMm9Eb2MueG1s&#10;UEsFBgAAAAAGAAYAWQEAAFUFAAAAAA==&#10;">
              <v:fill on="f" focussize="0,0"/>
              <v:stroke on="f"/>
              <v:imagedata o:title=""/>
              <o:lock v:ext="edit" aspectratio="f"/>
              <v:textbox inset="0mm,0mm,0mm,0mm">
                <w:txbxContent>
                  <w:p w14:paraId="6E413B35">
                    <w:pPr>
                      <w:rPr>
                        <w:rFonts w:hint="eastAsia"/>
                        <w:lang w:eastAsia="zh-CN"/>
                      </w:rPr>
                    </w:pP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6352DCC0">
                          <w:pPr>
                            <w:pStyle w:val="8"/>
                            <w:spacing w:line="251" w:lineRule="exact"/>
                            <w:ind w:left="20"/>
                          </w:pPr>
                        </w:p>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5168;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pnwQ8LsBAAB0AwAADgAAAAAAAAABACAAAAAnAQAAZHJzL2Uyb0RvYy54bWxQ&#10;SwUGAAAAAAYABgBZAQAAVAUAAAAA&#10;">
              <v:fill on="f" focussize="0,0"/>
              <v:stroke on="f"/>
              <v:imagedata o:title=""/>
              <o:lock v:ext="edit" aspectratio="f"/>
              <v:textbox inset="0mm,0mm,0mm,0mm">
                <w:txbxContent>
                  <w:p w14:paraId="6352DCC0">
                    <w:pPr>
                      <w:pStyle w:val="8"/>
                      <w:spacing w:line="251" w:lineRule="exact"/>
                      <w:ind w:left="2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7690C"/>
    <w:multiLevelType w:val="singleLevel"/>
    <w:tmpl w:val="94F7690C"/>
    <w:lvl w:ilvl="0" w:tentative="0">
      <w:start w:val="1"/>
      <w:numFmt w:val="decimal"/>
      <w:suff w:val="nothing"/>
      <w:lvlText w:val="（%1）"/>
      <w:lvlJc w:val="left"/>
    </w:lvl>
  </w:abstractNum>
  <w:abstractNum w:abstractNumId="1">
    <w:nsid w:val="968E1102"/>
    <w:multiLevelType w:val="singleLevel"/>
    <w:tmpl w:val="968E1102"/>
    <w:lvl w:ilvl="0" w:tentative="0">
      <w:start w:val="2"/>
      <w:numFmt w:val="chineseCounting"/>
      <w:suff w:val="nothing"/>
      <w:lvlText w:val="（%1）"/>
      <w:lvlJc w:val="left"/>
      <w:rPr>
        <w:rFonts w:hint="eastAsia"/>
      </w:rPr>
    </w:lvl>
  </w:abstractNum>
  <w:abstractNum w:abstractNumId="2">
    <w:nsid w:val="C00C9C33"/>
    <w:multiLevelType w:val="singleLevel"/>
    <w:tmpl w:val="C00C9C33"/>
    <w:lvl w:ilvl="0" w:tentative="0">
      <w:start w:val="1"/>
      <w:numFmt w:val="chineseCounting"/>
      <w:suff w:val="nothing"/>
      <w:lvlText w:val="%1、"/>
      <w:lvlJc w:val="left"/>
      <w:rPr>
        <w:rFonts w:hint="eastAsia"/>
      </w:rPr>
    </w:lvl>
  </w:abstractNum>
  <w:abstractNum w:abstractNumId="3">
    <w:nsid w:val="10078ABF"/>
    <w:multiLevelType w:val="singleLevel"/>
    <w:tmpl w:val="10078ABF"/>
    <w:lvl w:ilvl="0" w:tentative="0">
      <w:start w:val="4"/>
      <w:numFmt w:val="chineseCounting"/>
      <w:suff w:val="space"/>
      <w:lvlText w:val="第%1部分"/>
      <w:lvlJc w:val="left"/>
      <w:rPr>
        <w:rFonts w:hint="eastAsia"/>
      </w:rPr>
    </w:lvl>
  </w:abstractNum>
  <w:abstractNum w:abstractNumId="4">
    <w:nsid w:val="166B6D96"/>
    <w:multiLevelType w:val="singleLevel"/>
    <w:tmpl w:val="166B6D96"/>
    <w:lvl w:ilvl="0" w:tentative="0">
      <w:start w:val="1"/>
      <w:numFmt w:val="chineseCounting"/>
      <w:suff w:val="nothing"/>
      <w:lvlText w:val="（%1）"/>
      <w:lvlJc w:val="left"/>
      <w:rPr>
        <w:rFonts w:hint="eastAsia"/>
      </w:rPr>
    </w:lvl>
  </w:abstractNum>
  <w:abstractNum w:abstractNumId="5">
    <w:nsid w:val="2F5B17AE"/>
    <w:multiLevelType w:val="singleLevel"/>
    <w:tmpl w:val="2F5B17AE"/>
    <w:lvl w:ilvl="0" w:tentative="0">
      <w:start w:val="1"/>
      <w:numFmt w:val="decimal"/>
      <w:lvlText w:val="%1."/>
      <w:lvlJc w:val="left"/>
      <w:pPr>
        <w:tabs>
          <w:tab w:val="left" w:pos="312"/>
        </w:tabs>
      </w:pPr>
    </w:lvl>
  </w:abstractNum>
  <w:abstractNum w:abstractNumId="6">
    <w:nsid w:val="3D55D76B"/>
    <w:multiLevelType w:val="singleLevel"/>
    <w:tmpl w:val="3D55D76B"/>
    <w:lvl w:ilvl="0" w:tentative="0">
      <w:start w:val="1"/>
      <w:numFmt w:val="chineseCounting"/>
      <w:suff w:val="space"/>
      <w:lvlText w:val="第%1章"/>
      <w:lvlJc w:val="left"/>
      <w:rPr>
        <w:rFonts w:hint="eastAsia"/>
      </w:rPr>
    </w:lvl>
  </w:abstractNum>
  <w:abstractNum w:abstractNumId="7">
    <w:nsid w:val="68FC6059"/>
    <w:multiLevelType w:val="singleLevel"/>
    <w:tmpl w:val="68FC6059"/>
    <w:lvl w:ilvl="0" w:tentative="0">
      <w:start w:val="5"/>
      <w:numFmt w:val="chineseCounting"/>
      <w:suff w:val="space"/>
      <w:lvlText w:val="%1、"/>
      <w:lvlJc w:val="left"/>
      <w:rPr>
        <w:rFonts w:hint="eastAsia"/>
      </w:rPr>
    </w:lvl>
  </w:abstractNum>
  <w:num w:numId="1">
    <w:abstractNumId w:val="6"/>
  </w:num>
  <w:num w:numId="2">
    <w:abstractNumId w:val="4"/>
  </w:num>
  <w:num w:numId="3">
    <w:abstractNumId w:val="5"/>
  </w:num>
  <w:num w:numId="4">
    <w:abstractNumId w:val="1"/>
  </w:num>
  <w:num w:numId="5">
    <w:abstractNumId w:val="7"/>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00000000"/>
    <w:rsid w:val="00082185"/>
    <w:rsid w:val="00092509"/>
    <w:rsid w:val="000B7DB2"/>
    <w:rsid w:val="0015223C"/>
    <w:rsid w:val="001D6501"/>
    <w:rsid w:val="002235CA"/>
    <w:rsid w:val="00265E98"/>
    <w:rsid w:val="00286F66"/>
    <w:rsid w:val="00460EDD"/>
    <w:rsid w:val="004C5EDE"/>
    <w:rsid w:val="004E773E"/>
    <w:rsid w:val="00584EE4"/>
    <w:rsid w:val="005D6E36"/>
    <w:rsid w:val="00655C7F"/>
    <w:rsid w:val="00793B22"/>
    <w:rsid w:val="0079583F"/>
    <w:rsid w:val="007C0F2D"/>
    <w:rsid w:val="00906967"/>
    <w:rsid w:val="00A21A66"/>
    <w:rsid w:val="00A81D22"/>
    <w:rsid w:val="00B24BB6"/>
    <w:rsid w:val="00B52D29"/>
    <w:rsid w:val="00B62819"/>
    <w:rsid w:val="00BF186E"/>
    <w:rsid w:val="00C91C98"/>
    <w:rsid w:val="00DA4B91"/>
    <w:rsid w:val="00E02D21"/>
    <w:rsid w:val="00F26BE8"/>
    <w:rsid w:val="00F8365B"/>
    <w:rsid w:val="00FC206D"/>
    <w:rsid w:val="00FF56BA"/>
    <w:rsid w:val="01052BEB"/>
    <w:rsid w:val="010A29DC"/>
    <w:rsid w:val="010F4EFF"/>
    <w:rsid w:val="01140146"/>
    <w:rsid w:val="012704F5"/>
    <w:rsid w:val="01275B88"/>
    <w:rsid w:val="013B0DE8"/>
    <w:rsid w:val="013C246A"/>
    <w:rsid w:val="015123B9"/>
    <w:rsid w:val="015A2E5C"/>
    <w:rsid w:val="015A57AA"/>
    <w:rsid w:val="01657CDA"/>
    <w:rsid w:val="01802C9E"/>
    <w:rsid w:val="0199766D"/>
    <w:rsid w:val="019978BB"/>
    <w:rsid w:val="019F0A8C"/>
    <w:rsid w:val="01A72B23"/>
    <w:rsid w:val="01A97D30"/>
    <w:rsid w:val="01AD0BB8"/>
    <w:rsid w:val="01B237A8"/>
    <w:rsid w:val="01B36BD0"/>
    <w:rsid w:val="01B446F6"/>
    <w:rsid w:val="01BB09CB"/>
    <w:rsid w:val="01BC39A2"/>
    <w:rsid w:val="01C25065"/>
    <w:rsid w:val="01C42B8B"/>
    <w:rsid w:val="01C56903"/>
    <w:rsid w:val="01C63438"/>
    <w:rsid w:val="01C7267B"/>
    <w:rsid w:val="01CC1A40"/>
    <w:rsid w:val="01CF7782"/>
    <w:rsid w:val="01DB7ED5"/>
    <w:rsid w:val="01DE409E"/>
    <w:rsid w:val="01E21263"/>
    <w:rsid w:val="01E65414"/>
    <w:rsid w:val="01F114A6"/>
    <w:rsid w:val="01F3521E"/>
    <w:rsid w:val="01F65FA9"/>
    <w:rsid w:val="01FF3C6A"/>
    <w:rsid w:val="02012E78"/>
    <w:rsid w:val="021A27AB"/>
    <w:rsid w:val="021A2CC9"/>
    <w:rsid w:val="02277B3E"/>
    <w:rsid w:val="02380E83"/>
    <w:rsid w:val="02397C41"/>
    <w:rsid w:val="023A6EAE"/>
    <w:rsid w:val="02476461"/>
    <w:rsid w:val="02494C6C"/>
    <w:rsid w:val="024C2B81"/>
    <w:rsid w:val="025018CE"/>
    <w:rsid w:val="0255083C"/>
    <w:rsid w:val="02595BF1"/>
    <w:rsid w:val="025C7268"/>
    <w:rsid w:val="02673100"/>
    <w:rsid w:val="026F56AC"/>
    <w:rsid w:val="027345B1"/>
    <w:rsid w:val="027E6E6D"/>
    <w:rsid w:val="027F2F56"/>
    <w:rsid w:val="028429F3"/>
    <w:rsid w:val="02922A98"/>
    <w:rsid w:val="029E2AB3"/>
    <w:rsid w:val="029F4A63"/>
    <w:rsid w:val="02A12ECC"/>
    <w:rsid w:val="02AA5533"/>
    <w:rsid w:val="02AF538F"/>
    <w:rsid w:val="02BC2F91"/>
    <w:rsid w:val="02C40969"/>
    <w:rsid w:val="02C6389C"/>
    <w:rsid w:val="02C80459"/>
    <w:rsid w:val="02DA4630"/>
    <w:rsid w:val="02DC5CB3"/>
    <w:rsid w:val="03015719"/>
    <w:rsid w:val="0303579F"/>
    <w:rsid w:val="030671D3"/>
    <w:rsid w:val="0307783A"/>
    <w:rsid w:val="031D766C"/>
    <w:rsid w:val="032338E1"/>
    <w:rsid w:val="03314FB5"/>
    <w:rsid w:val="03345B70"/>
    <w:rsid w:val="03394EB3"/>
    <w:rsid w:val="03411FB9"/>
    <w:rsid w:val="034D4D51"/>
    <w:rsid w:val="03521CBA"/>
    <w:rsid w:val="035531F3"/>
    <w:rsid w:val="03561F09"/>
    <w:rsid w:val="03600EDC"/>
    <w:rsid w:val="037264B7"/>
    <w:rsid w:val="0374413D"/>
    <w:rsid w:val="037B196F"/>
    <w:rsid w:val="038500F8"/>
    <w:rsid w:val="03874574"/>
    <w:rsid w:val="039736D3"/>
    <w:rsid w:val="03A013D6"/>
    <w:rsid w:val="03A34A22"/>
    <w:rsid w:val="03AA4CBA"/>
    <w:rsid w:val="03B7227C"/>
    <w:rsid w:val="03BD3D36"/>
    <w:rsid w:val="03EA116D"/>
    <w:rsid w:val="04030EC3"/>
    <w:rsid w:val="04187EF1"/>
    <w:rsid w:val="041F28ED"/>
    <w:rsid w:val="04253689"/>
    <w:rsid w:val="04275653"/>
    <w:rsid w:val="042B5143"/>
    <w:rsid w:val="042E1A95"/>
    <w:rsid w:val="0433526B"/>
    <w:rsid w:val="04335DA6"/>
    <w:rsid w:val="04390031"/>
    <w:rsid w:val="043D74D7"/>
    <w:rsid w:val="04477832"/>
    <w:rsid w:val="04486DF4"/>
    <w:rsid w:val="0458580D"/>
    <w:rsid w:val="045905E0"/>
    <w:rsid w:val="045F4DED"/>
    <w:rsid w:val="04635FDA"/>
    <w:rsid w:val="04714B20"/>
    <w:rsid w:val="04781A0B"/>
    <w:rsid w:val="047F723D"/>
    <w:rsid w:val="04802553"/>
    <w:rsid w:val="04815948"/>
    <w:rsid w:val="04854128"/>
    <w:rsid w:val="048C5A1D"/>
    <w:rsid w:val="049031F8"/>
    <w:rsid w:val="04963562"/>
    <w:rsid w:val="04A077F1"/>
    <w:rsid w:val="04AB0032"/>
    <w:rsid w:val="04AC145E"/>
    <w:rsid w:val="04B36EE7"/>
    <w:rsid w:val="04B74C29"/>
    <w:rsid w:val="04BC2297"/>
    <w:rsid w:val="04C66C1A"/>
    <w:rsid w:val="04CF2673"/>
    <w:rsid w:val="04D94D69"/>
    <w:rsid w:val="04DC0AA0"/>
    <w:rsid w:val="04DC34A1"/>
    <w:rsid w:val="04E34662"/>
    <w:rsid w:val="04E62E18"/>
    <w:rsid w:val="04E86B91"/>
    <w:rsid w:val="04EB5A6E"/>
    <w:rsid w:val="04F16EF3"/>
    <w:rsid w:val="05151950"/>
    <w:rsid w:val="051D19FB"/>
    <w:rsid w:val="053022E6"/>
    <w:rsid w:val="05346DD3"/>
    <w:rsid w:val="053718C6"/>
    <w:rsid w:val="054D1796"/>
    <w:rsid w:val="056106F1"/>
    <w:rsid w:val="05634C69"/>
    <w:rsid w:val="05691B27"/>
    <w:rsid w:val="056B1570"/>
    <w:rsid w:val="05757C03"/>
    <w:rsid w:val="05A217DD"/>
    <w:rsid w:val="05A351AD"/>
    <w:rsid w:val="05A502AD"/>
    <w:rsid w:val="05A50F26"/>
    <w:rsid w:val="05B23DFE"/>
    <w:rsid w:val="05B57C30"/>
    <w:rsid w:val="05B90175"/>
    <w:rsid w:val="05BB1A9E"/>
    <w:rsid w:val="05BD4F8F"/>
    <w:rsid w:val="05C1471D"/>
    <w:rsid w:val="05C649F8"/>
    <w:rsid w:val="05DA380E"/>
    <w:rsid w:val="05E00652"/>
    <w:rsid w:val="05F20275"/>
    <w:rsid w:val="05F6195E"/>
    <w:rsid w:val="05FB58E4"/>
    <w:rsid w:val="06060AA7"/>
    <w:rsid w:val="06147E59"/>
    <w:rsid w:val="0616772D"/>
    <w:rsid w:val="061906A3"/>
    <w:rsid w:val="061A14F7"/>
    <w:rsid w:val="062260D2"/>
    <w:rsid w:val="06231E4A"/>
    <w:rsid w:val="06304C93"/>
    <w:rsid w:val="06344057"/>
    <w:rsid w:val="063539E9"/>
    <w:rsid w:val="063B7B7F"/>
    <w:rsid w:val="063D115E"/>
    <w:rsid w:val="064A2E72"/>
    <w:rsid w:val="06546E1C"/>
    <w:rsid w:val="065564A8"/>
    <w:rsid w:val="06595D01"/>
    <w:rsid w:val="06707752"/>
    <w:rsid w:val="06707908"/>
    <w:rsid w:val="06735AF3"/>
    <w:rsid w:val="06764670"/>
    <w:rsid w:val="06774D69"/>
    <w:rsid w:val="068A6A28"/>
    <w:rsid w:val="068C3E93"/>
    <w:rsid w:val="068D6BD2"/>
    <w:rsid w:val="06A64F55"/>
    <w:rsid w:val="06B01054"/>
    <w:rsid w:val="06B225CD"/>
    <w:rsid w:val="06B238FA"/>
    <w:rsid w:val="06B56F46"/>
    <w:rsid w:val="06B66DD1"/>
    <w:rsid w:val="06C54CB0"/>
    <w:rsid w:val="06CC603E"/>
    <w:rsid w:val="06D03D80"/>
    <w:rsid w:val="06D53145"/>
    <w:rsid w:val="06E174A3"/>
    <w:rsid w:val="06F35C7C"/>
    <w:rsid w:val="06F8666A"/>
    <w:rsid w:val="0701092B"/>
    <w:rsid w:val="07013F3A"/>
    <w:rsid w:val="070268E6"/>
    <w:rsid w:val="070C0865"/>
    <w:rsid w:val="071271C7"/>
    <w:rsid w:val="071836A4"/>
    <w:rsid w:val="07267E44"/>
    <w:rsid w:val="07354E8A"/>
    <w:rsid w:val="073B2573"/>
    <w:rsid w:val="073D5C7F"/>
    <w:rsid w:val="073E6F3C"/>
    <w:rsid w:val="07401BC0"/>
    <w:rsid w:val="07585B24"/>
    <w:rsid w:val="075A0111"/>
    <w:rsid w:val="076512BF"/>
    <w:rsid w:val="076B041E"/>
    <w:rsid w:val="077237F0"/>
    <w:rsid w:val="07726BE5"/>
    <w:rsid w:val="0776534E"/>
    <w:rsid w:val="077946F5"/>
    <w:rsid w:val="0781151E"/>
    <w:rsid w:val="078D3874"/>
    <w:rsid w:val="079106EB"/>
    <w:rsid w:val="07964D17"/>
    <w:rsid w:val="07967E0E"/>
    <w:rsid w:val="0797489E"/>
    <w:rsid w:val="079923C4"/>
    <w:rsid w:val="07B13BB2"/>
    <w:rsid w:val="07B6484E"/>
    <w:rsid w:val="07BB5CE1"/>
    <w:rsid w:val="07C63AEF"/>
    <w:rsid w:val="07C92C47"/>
    <w:rsid w:val="07CF5DE6"/>
    <w:rsid w:val="07D36C9F"/>
    <w:rsid w:val="07F12200"/>
    <w:rsid w:val="07F95559"/>
    <w:rsid w:val="07FC7C73"/>
    <w:rsid w:val="08057A5A"/>
    <w:rsid w:val="08122176"/>
    <w:rsid w:val="081E4FBF"/>
    <w:rsid w:val="082750D8"/>
    <w:rsid w:val="083802A9"/>
    <w:rsid w:val="083E11BD"/>
    <w:rsid w:val="083E7A3A"/>
    <w:rsid w:val="0840356C"/>
    <w:rsid w:val="08420AFA"/>
    <w:rsid w:val="08431AA4"/>
    <w:rsid w:val="08465CCC"/>
    <w:rsid w:val="085414A0"/>
    <w:rsid w:val="085D27D6"/>
    <w:rsid w:val="08607386"/>
    <w:rsid w:val="086A3D60"/>
    <w:rsid w:val="08761107"/>
    <w:rsid w:val="0878022B"/>
    <w:rsid w:val="08823A87"/>
    <w:rsid w:val="089F76E9"/>
    <w:rsid w:val="08A220F9"/>
    <w:rsid w:val="08A917A9"/>
    <w:rsid w:val="08A92ADB"/>
    <w:rsid w:val="08AE6343"/>
    <w:rsid w:val="08B65A87"/>
    <w:rsid w:val="08BA0970"/>
    <w:rsid w:val="08C52340"/>
    <w:rsid w:val="08C77405"/>
    <w:rsid w:val="08CF1E16"/>
    <w:rsid w:val="08D2262C"/>
    <w:rsid w:val="08DF64FD"/>
    <w:rsid w:val="08E75201"/>
    <w:rsid w:val="08F0070A"/>
    <w:rsid w:val="08F6004E"/>
    <w:rsid w:val="08FD4BD5"/>
    <w:rsid w:val="08FF201E"/>
    <w:rsid w:val="09036E6D"/>
    <w:rsid w:val="090709EE"/>
    <w:rsid w:val="09072556"/>
    <w:rsid w:val="09095327"/>
    <w:rsid w:val="09160835"/>
    <w:rsid w:val="091627B4"/>
    <w:rsid w:val="09175C96"/>
    <w:rsid w:val="094C3466"/>
    <w:rsid w:val="095742E5"/>
    <w:rsid w:val="095E0675"/>
    <w:rsid w:val="096168DE"/>
    <w:rsid w:val="09664528"/>
    <w:rsid w:val="096A04BC"/>
    <w:rsid w:val="09925ED7"/>
    <w:rsid w:val="09A06F3D"/>
    <w:rsid w:val="09B31CB9"/>
    <w:rsid w:val="09B72FD5"/>
    <w:rsid w:val="09C83435"/>
    <w:rsid w:val="09DE5F99"/>
    <w:rsid w:val="09E0585C"/>
    <w:rsid w:val="09E71B0D"/>
    <w:rsid w:val="09EC23D5"/>
    <w:rsid w:val="09EC2923"/>
    <w:rsid w:val="09EC6100"/>
    <w:rsid w:val="09F47D86"/>
    <w:rsid w:val="0A0A57FB"/>
    <w:rsid w:val="0A133CD2"/>
    <w:rsid w:val="0A1A760F"/>
    <w:rsid w:val="0A261F09"/>
    <w:rsid w:val="0A287A2F"/>
    <w:rsid w:val="0A2A37A7"/>
    <w:rsid w:val="0A314B36"/>
    <w:rsid w:val="0A3F06D3"/>
    <w:rsid w:val="0A436837"/>
    <w:rsid w:val="0A48619C"/>
    <w:rsid w:val="0A540824"/>
    <w:rsid w:val="0A5627EE"/>
    <w:rsid w:val="0A690FE3"/>
    <w:rsid w:val="0A6F38B0"/>
    <w:rsid w:val="0A7333A0"/>
    <w:rsid w:val="0A8C7FBE"/>
    <w:rsid w:val="0AA34D2A"/>
    <w:rsid w:val="0AAA44D8"/>
    <w:rsid w:val="0AAC78F4"/>
    <w:rsid w:val="0AB5060E"/>
    <w:rsid w:val="0AC63129"/>
    <w:rsid w:val="0AD7590D"/>
    <w:rsid w:val="0ADF3B2F"/>
    <w:rsid w:val="0AE147AE"/>
    <w:rsid w:val="0AE4173B"/>
    <w:rsid w:val="0AE41BA8"/>
    <w:rsid w:val="0AEC344C"/>
    <w:rsid w:val="0AEC6CAF"/>
    <w:rsid w:val="0B006B17"/>
    <w:rsid w:val="0B085689"/>
    <w:rsid w:val="0B0E0664"/>
    <w:rsid w:val="0B0F299D"/>
    <w:rsid w:val="0B3443DF"/>
    <w:rsid w:val="0B387E5F"/>
    <w:rsid w:val="0B397676"/>
    <w:rsid w:val="0B40739E"/>
    <w:rsid w:val="0B460A68"/>
    <w:rsid w:val="0B482EAB"/>
    <w:rsid w:val="0B4B7B71"/>
    <w:rsid w:val="0B561090"/>
    <w:rsid w:val="0B5A084B"/>
    <w:rsid w:val="0B5F3925"/>
    <w:rsid w:val="0B64718D"/>
    <w:rsid w:val="0B667E81"/>
    <w:rsid w:val="0B684711"/>
    <w:rsid w:val="0B705B32"/>
    <w:rsid w:val="0B721DFD"/>
    <w:rsid w:val="0B73741B"/>
    <w:rsid w:val="0B7476CC"/>
    <w:rsid w:val="0B7D4C0D"/>
    <w:rsid w:val="0B7F622A"/>
    <w:rsid w:val="0B84338B"/>
    <w:rsid w:val="0B851AE6"/>
    <w:rsid w:val="0B971310"/>
    <w:rsid w:val="0B996E37"/>
    <w:rsid w:val="0BA550E1"/>
    <w:rsid w:val="0BAB2C6B"/>
    <w:rsid w:val="0BB01070"/>
    <w:rsid w:val="0BB11ECA"/>
    <w:rsid w:val="0BBB2B6B"/>
    <w:rsid w:val="0BC76569"/>
    <w:rsid w:val="0BD47E6F"/>
    <w:rsid w:val="0BD6109F"/>
    <w:rsid w:val="0BDF05C2"/>
    <w:rsid w:val="0BFA003D"/>
    <w:rsid w:val="0BFC1F10"/>
    <w:rsid w:val="0BFE4B3A"/>
    <w:rsid w:val="0C142961"/>
    <w:rsid w:val="0C1E0271"/>
    <w:rsid w:val="0C1E5797"/>
    <w:rsid w:val="0C2E444A"/>
    <w:rsid w:val="0C321039"/>
    <w:rsid w:val="0C392E6B"/>
    <w:rsid w:val="0C437518"/>
    <w:rsid w:val="0C4F74F5"/>
    <w:rsid w:val="0C646F22"/>
    <w:rsid w:val="0C684A5B"/>
    <w:rsid w:val="0C6A5728"/>
    <w:rsid w:val="0C733E10"/>
    <w:rsid w:val="0C990DB5"/>
    <w:rsid w:val="0C9A3825"/>
    <w:rsid w:val="0CA43CE5"/>
    <w:rsid w:val="0CAE6912"/>
    <w:rsid w:val="0CB16402"/>
    <w:rsid w:val="0CB97065"/>
    <w:rsid w:val="0CC25F19"/>
    <w:rsid w:val="0CC31C91"/>
    <w:rsid w:val="0CC53C5B"/>
    <w:rsid w:val="0CCA74C4"/>
    <w:rsid w:val="0CD01864"/>
    <w:rsid w:val="0CD520F0"/>
    <w:rsid w:val="0CDB522D"/>
    <w:rsid w:val="0CE42333"/>
    <w:rsid w:val="0CE560AB"/>
    <w:rsid w:val="0CF06F2A"/>
    <w:rsid w:val="0CF34325"/>
    <w:rsid w:val="0CF462EF"/>
    <w:rsid w:val="0CFF587E"/>
    <w:rsid w:val="0D115134"/>
    <w:rsid w:val="0D19439F"/>
    <w:rsid w:val="0D197199"/>
    <w:rsid w:val="0D200E92"/>
    <w:rsid w:val="0D29243C"/>
    <w:rsid w:val="0D3A1F53"/>
    <w:rsid w:val="0D463A32"/>
    <w:rsid w:val="0D5509C8"/>
    <w:rsid w:val="0D646FD0"/>
    <w:rsid w:val="0D742730"/>
    <w:rsid w:val="0D8038E0"/>
    <w:rsid w:val="0D957835"/>
    <w:rsid w:val="0D993335"/>
    <w:rsid w:val="0DA1474E"/>
    <w:rsid w:val="0DB53CD0"/>
    <w:rsid w:val="0DB80411"/>
    <w:rsid w:val="0DC702B4"/>
    <w:rsid w:val="0DD164B1"/>
    <w:rsid w:val="0DD664A8"/>
    <w:rsid w:val="0DDB6EB4"/>
    <w:rsid w:val="0DDD3F20"/>
    <w:rsid w:val="0DDE0C5B"/>
    <w:rsid w:val="0DE01542"/>
    <w:rsid w:val="0DE105E0"/>
    <w:rsid w:val="0DE16873"/>
    <w:rsid w:val="0DE85E53"/>
    <w:rsid w:val="0DEA1BCB"/>
    <w:rsid w:val="0DED346A"/>
    <w:rsid w:val="0DEE649A"/>
    <w:rsid w:val="0DEF5BD8"/>
    <w:rsid w:val="0DFA5954"/>
    <w:rsid w:val="0DFC07C5"/>
    <w:rsid w:val="0DFE11D3"/>
    <w:rsid w:val="0E056A05"/>
    <w:rsid w:val="0E0662D9"/>
    <w:rsid w:val="0E0908A4"/>
    <w:rsid w:val="0E090A68"/>
    <w:rsid w:val="0E1B6F89"/>
    <w:rsid w:val="0E1C0BB0"/>
    <w:rsid w:val="0E2622F8"/>
    <w:rsid w:val="0E3A41D5"/>
    <w:rsid w:val="0E3A76D7"/>
    <w:rsid w:val="0E461AE8"/>
    <w:rsid w:val="0E4B0190"/>
    <w:rsid w:val="0E4D5CB6"/>
    <w:rsid w:val="0E5434E9"/>
    <w:rsid w:val="0E555731"/>
    <w:rsid w:val="0E5700C1"/>
    <w:rsid w:val="0E6360AE"/>
    <w:rsid w:val="0E654555"/>
    <w:rsid w:val="0E682AF0"/>
    <w:rsid w:val="0E6B438E"/>
    <w:rsid w:val="0E6F0323"/>
    <w:rsid w:val="0E6F3E7F"/>
    <w:rsid w:val="0E975183"/>
    <w:rsid w:val="0EA578A0"/>
    <w:rsid w:val="0EA87BA9"/>
    <w:rsid w:val="0EAB73B7"/>
    <w:rsid w:val="0EC06C77"/>
    <w:rsid w:val="0ECF1BBF"/>
    <w:rsid w:val="0ED4462A"/>
    <w:rsid w:val="0EDB32C2"/>
    <w:rsid w:val="0EDF6FFF"/>
    <w:rsid w:val="0EE934BB"/>
    <w:rsid w:val="0EF8535A"/>
    <w:rsid w:val="0F0F7410"/>
    <w:rsid w:val="0F1756DE"/>
    <w:rsid w:val="0F182B40"/>
    <w:rsid w:val="0F1F58A5"/>
    <w:rsid w:val="0F246858"/>
    <w:rsid w:val="0F3330FE"/>
    <w:rsid w:val="0F340C24"/>
    <w:rsid w:val="0F360E40"/>
    <w:rsid w:val="0F476BAA"/>
    <w:rsid w:val="0F5B3692"/>
    <w:rsid w:val="0F683902"/>
    <w:rsid w:val="0F696B20"/>
    <w:rsid w:val="0F7202A9"/>
    <w:rsid w:val="0F735BF1"/>
    <w:rsid w:val="0F7A3F46"/>
    <w:rsid w:val="0F873B4A"/>
    <w:rsid w:val="0F8A773F"/>
    <w:rsid w:val="0F9F2542"/>
    <w:rsid w:val="0FA26AF6"/>
    <w:rsid w:val="0FA44814"/>
    <w:rsid w:val="0FA65982"/>
    <w:rsid w:val="0FAC5E6F"/>
    <w:rsid w:val="0FB002FE"/>
    <w:rsid w:val="0FBE77CA"/>
    <w:rsid w:val="0FC14EC7"/>
    <w:rsid w:val="0FC662AD"/>
    <w:rsid w:val="0FCD238F"/>
    <w:rsid w:val="0FD32213"/>
    <w:rsid w:val="0FD665BD"/>
    <w:rsid w:val="0FD7474F"/>
    <w:rsid w:val="0FD947AA"/>
    <w:rsid w:val="0FDD12BC"/>
    <w:rsid w:val="0FDE750E"/>
    <w:rsid w:val="0FEE3376"/>
    <w:rsid w:val="0FF40AC1"/>
    <w:rsid w:val="100B407B"/>
    <w:rsid w:val="10130B2C"/>
    <w:rsid w:val="101744CC"/>
    <w:rsid w:val="101918CB"/>
    <w:rsid w:val="10196798"/>
    <w:rsid w:val="101A42BE"/>
    <w:rsid w:val="101A5640"/>
    <w:rsid w:val="101D03EC"/>
    <w:rsid w:val="101F063D"/>
    <w:rsid w:val="102B0279"/>
    <w:rsid w:val="1033518C"/>
    <w:rsid w:val="103B1BF6"/>
    <w:rsid w:val="103C0B19"/>
    <w:rsid w:val="104322BF"/>
    <w:rsid w:val="10452AC2"/>
    <w:rsid w:val="104C66F9"/>
    <w:rsid w:val="10651960"/>
    <w:rsid w:val="10675755"/>
    <w:rsid w:val="106D43EE"/>
    <w:rsid w:val="10725EA8"/>
    <w:rsid w:val="10832CF8"/>
    <w:rsid w:val="109220A6"/>
    <w:rsid w:val="10A057E3"/>
    <w:rsid w:val="10A560DD"/>
    <w:rsid w:val="10A63015"/>
    <w:rsid w:val="10B14C22"/>
    <w:rsid w:val="10C304B2"/>
    <w:rsid w:val="10C5247C"/>
    <w:rsid w:val="10C77FA2"/>
    <w:rsid w:val="10C97BB0"/>
    <w:rsid w:val="10ED61CF"/>
    <w:rsid w:val="10F350A1"/>
    <w:rsid w:val="10F867B5"/>
    <w:rsid w:val="11041F12"/>
    <w:rsid w:val="110E0877"/>
    <w:rsid w:val="112E0021"/>
    <w:rsid w:val="113349F9"/>
    <w:rsid w:val="1134315E"/>
    <w:rsid w:val="1144541B"/>
    <w:rsid w:val="114535BD"/>
    <w:rsid w:val="11567578"/>
    <w:rsid w:val="1160654C"/>
    <w:rsid w:val="11673533"/>
    <w:rsid w:val="11712F94"/>
    <w:rsid w:val="117973F2"/>
    <w:rsid w:val="11844488"/>
    <w:rsid w:val="118F2EA3"/>
    <w:rsid w:val="118F65E6"/>
    <w:rsid w:val="11A227BD"/>
    <w:rsid w:val="11AD363C"/>
    <w:rsid w:val="11B438D4"/>
    <w:rsid w:val="11C42512"/>
    <w:rsid w:val="11C646FD"/>
    <w:rsid w:val="11C664AC"/>
    <w:rsid w:val="11CB205D"/>
    <w:rsid w:val="11CC15E8"/>
    <w:rsid w:val="11CF5C40"/>
    <w:rsid w:val="11D17C89"/>
    <w:rsid w:val="11D24983"/>
    <w:rsid w:val="11DA1F57"/>
    <w:rsid w:val="11E22BBA"/>
    <w:rsid w:val="11E60D6E"/>
    <w:rsid w:val="11EB455B"/>
    <w:rsid w:val="11F34CE7"/>
    <w:rsid w:val="11F744EE"/>
    <w:rsid w:val="120668A8"/>
    <w:rsid w:val="120951C1"/>
    <w:rsid w:val="12174F59"/>
    <w:rsid w:val="121C431D"/>
    <w:rsid w:val="122961D3"/>
    <w:rsid w:val="122B3CDA"/>
    <w:rsid w:val="123A016F"/>
    <w:rsid w:val="123E4294"/>
    <w:rsid w:val="12425DA3"/>
    <w:rsid w:val="124318AA"/>
    <w:rsid w:val="124473D0"/>
    <w:rsid w:val="124D44D7"/>
    <w:rsid w:val="124D7FD1"/>
    <w:rsid w:val="125406D3"/>
    <w:rsid w:val="12564F25"/>
    <w:rsid w:val="126179CF"/>
    <w:rsid w:val="12704669"/>
    <w:rsid w:val="12746430"/>
    <w:rsid w:val="12942106"/>
    <w:rsid w:val="12973749"/>
    <w:rsid w:val="129F0AAB"/>
    <w:rsid w:val="12A21CDF"/>
    <w:rsid w:val="12A51D70"/>
    <w:rsid w:val="12A7253B"/>
    <w:rsid w:val="12A90848"/>
    <w:rsid w:val="12B44556"/>
    <w:rsid w:val="12B46304"/>
    <w:rsid w:val="12CA3D79"/>
    <w:rsid w:val="12CB18A0"/>
    <w:rsid w:val="12D47D70"/>
    <w:rsid w:val="12E319F0"/>
    <w:rsid w:val="12E45CE5"/>
    <w:rsid w:val="12E6610F"/>
    <w:rsid w:val="12E82452"/>
    <w:rsid w:val="12F947F6"/>
    <w:rsid w:val="12FC2D17"/>
    <w:rsid w:val="1306003F"/>
    <w:rsid w:val="131814E4"/>
    <w:rsid w:val="1319260B"/>
    <w:rsid w:val="131D2882"/>
    <w:rsid w:val="132A2A6A"/>
    <w:rsid w:val="132F4B0D"/>
    <w:rsid w:val="13370CE3"/>
    <w:rsid w:val="133B47E7"/>
    <w:rsid w:val="133C2C8E"/>
    <w:rsid w:val="1343350F"/>
    <w:rsid w:val="13586E4A"/>
    <w:rsid w:val="13637D2A"/>
    <w:rsid w:val="13665051"/>
    <w:rsid w:val="136D1943"/>
    <w:rsid w:val="13782D35"/>
    <w:rsid w:val="137D2B9A"/>
    <w:rsid w:val="137F2DB6"/>
    <w:rsid w:val="13830445"/>
    <w:rsid w:val="138A5483"/>
    <w:rsid w:val="13A04ADA"/>
    <w:rsid w:val="13A41DB9"/>
    <w:rsid w:val="13A50343"/>
    <w:rsid w:val="13A75119"/>
    <w:rsid w:val="13A8055F"/>
    <w:rsid w:val="13A947E6"/>
    <w:rsid w:val="13A97E33"/>
    <w:rsid w:val="13B127AE"/>
    <w:rsid w:val="13C77B3E"/>
    <w:rsid w:val="13DC21E9"/>
    <w:rsid w:val="13E636CA"/>
    <w:rsid w:val="13EE4B21"/>
    <w:rsid w:val="13F55502"/>
    <w:rsid w:val="13F56BD4"/>
    <w:rsid w:val="13FB5FCE"/>
    <w:rsid w:val="14013E3D"/>
    <w:rsid w:val="1403612A"/>
    <w:rsid w:val="14050323"/>
    <w:rsid w:val="141310A4"/>
    <w:rsid w:val="141A2ADF"/>
    <w:rsid w:val="142859F2"/>
    <w:rsid w:val="14302302"/>
    <w:rsid w:val="1455586C"/>
    <w:rsid w:val="146143A3"/>
    <w:rsid w:val="14763B2C"/>
    <w:rsid w:val="148D3668"/>
    <w:rsid w:val="14922675"/>
    <w:rsid w:val="149B4E68"/>
    <w:rsid w:val="149D24D2"/>
    <w:rsid w:val="14D94748"/>
    <w:rsid w:val="14EB3016"/>
    <w:rsid w:val="14F11A91"/>
    <w:rsid w:val="150177FB"/>
    <w:rsid w:val="15054238"/>
    <w:rsid w:val="150B3871"/>
    <w:rsid w:val="150D43F1"/>
    <w:rsid w:val="15101EBC"/>
    <w:rsid w:val="1516245E"/>
    <w:rsid w:val="151B1DC7"/>
    <w:rsid w:val="15214850"/>
    <w:rsid w:val="152A4FA3"/>
    <w:rsid w:val="152F63E2"/>
    <w:rsid w:val="153876C0"/>
    <w:rsid w:val="15455939"/>
    <w:rsid w:val="155B6F0B"/>
    <w:rsid w:val="155E2E9F"/>
    <w:rsid w:val="155E69FB"/>
    <w:rsid w:val="156E3637"/>
    <w:rsid w:val="15791F29"/>
    <w:rsid w:val="157B6A9C"/>
    <w:rsid w:val="157E709D"/>
    <w:rsid w:val="15806971"/>
    <w:rsid w:val="15877D00"/>
    <w:rsid w:val="158E72E0"/>
    <w:rsid w:val="15995C85"/>
    <w:rsid w:val="15A20FDE"/>
    <w:rsid w:val="15A21D2D"/>
    <w:rsid w:val="15C22611"/>
    <w:rsid w:val="15C70A44"/>
    <w:rsid w:val="15D0259F"/>
    <w:rsid w:val="15D44723"/>
    <w:rsid w:val="15D53161"/>
    <w:rsid w:val="15DB4978"/>
    <w:rsid w:val="15E960C6"/>
    <w:rsid w:val="15F80BFE"/>
    <w:rsid w:val="15FA2BC8"/>
    <w:rsid w:val="15FD7867"/>
    <w:rsid w:val="1600509A"/>
    <w:rsid w:val="16070E41"/>
    <w:rsid w:val="16090798"/>
    <w:rsid w:val="160D6A7E"/>
    <w:rsid w:val="160E4620"/>
    <w:rsid w:val="16157A01"/>
    <w:rsid w:val="1626576B"/>
    <w:rsid w:val="162B6996"/>
    <w:rsid w:val="162C7FB8"/>
    <w:rsid w:val="162F06AA"/>
    <w:rsid w:val="163C1C7F"/>
    <w:rsid w:val="16452C82"/>
    <w:rsid w:val="164976AB"/>
    <w:rsid w:val="164D0F49"/>
    <w:rsid w:val="164F5113"/>
    <w:rsid w:val="16552777"/>
    <w:rsid w:val="165703C5"/>
    <w:rsid w:val="165B1BDF"/>
    <w:rsid w:val="165B2F3A"/>
    <w:rsid w:val="165E67CE"/>
    <w:rsid w:val="16663DB9"/>
    <w:rsid w:val="16667696"/>
    <w:rsid w:val="16747C94"/>
    <w:rsid w:val="167E55A7"/>
    <w:rsid w:val="168144C9"/>
    <w:rsid w:val="168D7598"/>
    <w:rsid w:val="168D7D9B"/>
    <w:rsid w:val="169326D4"/>
    <w:rsid w:val="16AD3796"/>
    <w:rsid w:val="16B07251"/>
    <w:rsid w:val="16B70AB9"/>
    <w:rsid w:val="16BB694C"/>
    <w:rsid w:val="16C84A74"/>
    <w:rsid w:val="16CB00C0"/>
    <w:rsid w:val="16CB3B19"/>
    <w:rsid w:val="16DA0303"/>
    <w:rsid w:val="16DB6903"/>
    <w:rsid w:val="16DF75DF"/>
    <w:rsid w:val="16E573D4"/>
    <w:rsid w:val="16E96798"/>
    <w:rsid w:val="1700420E"/>
    <w:rsid w:val="170E3E60"/>
    <w:rsid w:val="17107A6F"/>
    <w:rsid w:val="17163A31"/>
    <w:rsid w:val="173018D4"/>
    <w:rsid w:val="17365E81"/>
    <w:rsid w:val="173D75F4"/>
    <w:rsid w:val="17407CA5"/>
    <w:rsid w:val="174722BD"/>
    <w:rsid w:val="17475592"/>
    <w:rsid w:val="17526B24"/>
    <w:rsid w:val="17616D14"/>
    <w:rsid w:val="176906DA"/>
    <w:rsid w:val="176E61B1"/>
    <w:rsid w:val="178642C9"/>
    <w:rsid w:val="178D3846"/>
    <w:rsid w:val="17A10E21"/>
    <w:rsid w:val="17A607B9"/>
    <w:rsid w:val="17A70B2D"/>
    <w:rsid w:val="17B279C5"/>
    <w:rsid w:val="17B96D57"/>
    <w:rsid w:val="17BC521D"/>
    <w:rsid w:val="17BF5E29"/>
    <w:rsid w:val="17C40390"/>
    <w:rsid w:val="17D529A7"/>
    <w:rsid w:val="17F17FFA"/>
    <w:rsid w:val="17F36543"/>
    <w:rsid w:val="17F6116D"/>
    <w:rsid w:val="18082C78"/>
    <w:rsid w:val="18175F69"/>
    <w:rsid w:val="183879D7"/>
    <w:rsid w:val="1839691D"/>
    <w:rsid w:val="183D3240"/>
    <w:rsid w:val="183F0D66"/>
    <w:rsid w:val="184867AE"/>
    <w:rsid w:val="18491BE4"/>
    <w:rsid w:val="18615A30"/>
    <w:rsid w:val="1869476C"/>
    <w:rsid w:val="186B1B5B"/>
    <w:rsid w:val="186B56B7"/>
    <w:rsid w:val="187F70FF"/>
    <w:rsid w:val="18803922"/>
    <w:rsid w:val="188067E8"/>
    <w:rsid w:val="1881312C"/>
    <w:rsid w:val="18876000"/>
    <w:rsid w:val="188B535B"/>
    <w:rsid w:val="188D7D23"/>
    <w:rsid w:val="188E5849"/>
    <w:rsid w:val="18A1557C"/>
    <w:rsid w:val="18A24C56"/>
    <w:rsid w:val="18A575F7"/>
    <w:rsid w:val="18A706B9"/>
    <w:rsid w:val="18A75CFC"/>
    <w:rsid w:val="18AD0A0F"/>
    <w:rsid w:val="18AF6F04"/>
    <w:rsid w:val="18C75010"/>
    <w:rsid w:val="18D56FD4"/>
    <w:rsid w:val="18DA283C"/>
    <w:rsid w:val="18DB660E"/>
    <w:rsid w:val="18DF60A5"/>
    <w:rsid w:val="18ED431E"/>
    <w:rsid w:val="18FD7E22"/>
    <w:rsid w:val="190F7A28"/>
    <w:rsid w:val="19202945"/>
    <w:rsid w:val="192A63E1"/>
    <w:rsid w:val="192D0BBE"/>
    <w:rsid w:val="193006AE"/>
    <w:rsid w:val="193A32DB"/>
    <w:rsid w:val="195025C6"/>
    <w:rsid w:val="19643CB5"/>
    <w:rsid w:val="196640D0"/>
    <w:rsid w:val="196B2ACF"/>
    <w:rsid w:val="196C71BF"/>
    <w:rsid w:val="197762DD"/>
    <w:rsid w:val="197902A7"/>
    <w:rsid w:val="19810F0A"/>
    <w:rsid w:val="198F7ACB"/>
    <w:rsid w:val="19940C3D"/>
    <w:rsid w:val="199436A0"/>
    <w:rsid w:val="19AB6542"/>
    <w:rsid w:val="19B968F6"/>
    <w:rsid w:val="19D35A3A"/>
    <w:rsid w:val="19D40979"/>
    <w:rsid w:val="19D674A8"/>
    <w:rsid w:val="19DD0836"/>
    <w:rsid w:val="19E241C1"/>
    <w:rsid w:val="19E27BFB"/>
    <w:rsid w:val="19E65789"/>
    <w:rsid w:val="19EE2A43"/>
    <w:rsid w:val="19EF0454"/>
    <w:rsid w:val="19F37AC0"/>
    <w:rsid w:val="19F67115"/>
    <w:rsid w:val="19F90A68"/>
    <w:rsid w:val="19FB6BA4"/>
    <w:rsid w:val="1A0933D9"/>
    <w:rsid w:val="1A1021E7"/>
    <w:rsid w:val="1A162D24"/>
    <w:rsid w:val="1A174BE2"/>
    <w:rsid w:val="1A2778AC"/>
    <w:rsid w:val="1A3266E5"/>
    <w:rsid w:val="1A457830"/>
    <w:rsid w:val="1A473F02"/>
    <w:rsid w:val="1A5F2FF9"/>
    <w:rsid w:val="1A6E76E0"/>
    <w:rsid w:val="1A7740EA"/>
    <w:rsid w:val="1A7D5B75"/>
    <w:rsid w:val="1A7F18ED"/>
    <w:rsid w:val="1A8B64E4"/>
    <w:rsid w:val="1A963400"/>
    <w:rsid w:val="1A9D2F62"/>
    <w:rsid w:val="1AA357DF"/>
    <w:rsid w:val="1AAA49AC"/>
    <w:rsid w:val="1AAE3F81"/>
    <w:rsid w:val="1AB377E9"/>
    <w:rsid w:val="1AE84512"/>
    <w:rsid w:val="1AE87581"/>
    <w:rsid w:val="1AFF2903"/>
    <w:rsid w:val="1B135931"/>
    <w:rsid w:val="1B1464DA"/>
    <w:rsid w:val="1B1805B2"/>
    <w:rsid w:val="1B1E5751"/>
    <w:rsid w:val="1B25202A"/>
    <w:rsid w:val="1B2A59D4"/>
    <w:rsid w:val="1B2B737F"/>
    <w:rsid w:val="1B3741AC"/>
    <w:rsid w:val="1B401D7A"/>
    <w:rsid w:val="1B425BD7"/>
    <w:rsid w:val="1B462E07"/>
    <w:rsid w:val="1B5468D6"/>
    <w:rsid w:val="1B556F15"/>
    <w:rsid w:val="1B62397B"/>
    <w:rsid w:val="1B6D5BEA"/>
    <w:rsid w:val="1B7538EE"/>
    <w:rsid w:val="1B860A5A"/>
    <w:rsid w:val="1BA17641"/>
    <w:rsid w:val="1BA333BA"/>
    <w:rsid w:val="1BA84E74"/>
    <w:rsid w:val="1BE3448B"/>
    <w:rsid w:val="1BF34341"/>
    <w:rsid w:val="1C0F0A4F"/>
    <w:rsid w:val="1C177904"/>
    <w:rsid w:val="1C255AA5"/>
    <w:rsid w:val="1C2C7853"/>
    <w:rsid w:val="1C333A07"/>
    <w:rsid w:val="1C387FA6"/>
    <w:rsid w:val="1C3E5C55"/>
    <w:rsid w:val="1C4306F9"/>
    <w:rsid w:val="1C58705C"/>
    <w:rsid w:val="1C5B1EE6"/>
    <w:rsid w:val="1C60574F"/>
    <w:rsid w:val="1C6E5776"/>
    <w:rsid w:val="1C7D00AF"/>
    <w:rsid w:val="1C807CA2"/>
    <w:rsid w:val="1C872925"/>
    <w:rsid w:val="1C890801"/>
    <w:rsid w:val="1C8A3CC9"/>
    <w:rsid w:val="1C8B50F3"/>
    <w:rsid w:val="1C8C20A0"/>
    <w:rsid w:val="1C9172AC"/>
    <w:rsid w:val="1C940F54"/>
    <w:rsid w:val="1C981374"/>
    <w:rsid w:val="1C9A47BD"/>
    <w:rsid w:val="1CAA6909"/>
    <w:rsid w:val="1CBC0BD7"/>
    <w:rsid w:val="1CBC49E7"/>
    <w:rsid w:val="1CBD04AB"/>
    <w:rsid w:val="1CBD34DD"/>
    <w:rsid w:val="1CBF36E0"/>
    <w:rsid w:val="1CC45CDD"/>
    <w:rsid w:val="1CD001DE"/>
    <w:rsid w:val="1CD35ABE"/>
    <w:rsid w:val="1CD50AFC"/>
    <w:rsid w:val="1CDD0B4D"/>
    <w:rsid w:val="1CF245F9"/>
    <w:rsid w:val="1CF827B6"/>
    <w:rsid w:val="1D0D3A6E"/>
    <w:rsid w:val="1D1502E7"/>
    <w:rsid w:val="1D152095"/>
    <w:rsid w:val="1D2A34AD"/>
    <w:rsid w:val="1D3616DE"/>
    <w:rsid w:val="1D3A341D"/>
    <w:rsid w:val="1D615880"/>
    <w:rsid w:val="1D644DCB"/>
    <w:rsid w:val="1D65063C"/>
    <w:rsid w:val="1D6E17A5"/>
    <w:rsid w:val="1D6F5C49"/>
    <w:rsid w:val="1D755B79"/>
    <w:rsid w:val="1D7A639C"/>
    <w:rsid w:val="1D7D6213"/>
    <w:rsid w:val="1D807D15"/>
    <w:rsid w:val="1D8316F5"/>
    <w:rsid w:val="1D940A38"/>
    <w:rsid w:val="1D954F84"/>
    <w:rsid w:val="1DB251AA"/>
    <w:rsid w:val="1DB30D23"/>
    <w:rsid w:val="1DB414DB"/>
    <w:rsid w:val="1DB4365C"/>
    <w:rsid w:val="1DBF2E37"/>
    <w:rsid w:val="1DC35F95"/>
    <w:rsid w:val="1DCC0440"/>
    <w:rsid w:val="1DD005F3"/>
    <w:rsid w:val="1DF32F8C"/>
    <w:rsid w:val="1DF47EFC"/>
    <w:rsid w:val="1E0839A8"/>
    <w:rsid w:val="1E0D29FC"/>
    <w:rsid w:val="1E3649B9"/>
    <w:rsid w:val="1E5135A1"/>
    <w:rsid w:val="1E54775C"/>
    <w:rsid w:val="1E5B152D"/>
    <w:rsid w:val="1E687019"/>
    <w:rsid w:val="1E6A3B55"/>
    <w:rsid w:val="1E754291"/>
    <w:rsid w:val="1E7558D1"/>
    <w:rsid w:val="1E7D6144"/>
    <w:rsid w:val="1E913EE8"/>
    <w:rsid w:val="1E9B67FD"/>
    <w:rsid w:val="1EB0458E"/>
    <w:rsid w:val="1EB1403F"/>
    <w:rsid w:val="1EB53B30"/>
    <w:rsid w:val="1EC41FC5"/>
    <w:rsid w:val="1EDD6794"/>
    <w:rsid w:val="1EE52434"/>
    <w:rsid w:val="1EE52A42"/>
    <w:rsid w:val="1EE95587"/>
    <w:rsid w:val="1F0942B3"/>
    <w:rsid w:val="1F0960BD"/>
    <w:rsid w:val="1F0C4279"/>
    <w:rsid w:val="1F0D396C"/>
    <w:rsid w:val="1F0F3C1E"/>
    <w:rsid w:val="1F1545CE"/>
    <w:rsid w:val="1F221709"/>
    <w:rsid w:val="1F242A63"/>
    <w:rsid w:val="1F285FB0"/>
    <w:rsid w:val="1F35015D"/>
    <w:rsid w:val="1F3802BD"/>
    <w:rsid w:val="1F417171"/>
    <w:rsid w:val="1F43738D"/>
    <w:rsid w:val="1F51312D"/>
    <w:rsid w:val="1F5B4119"/>
    <w:rsid w:val="1F5C044F"/>
    <w:rsid w:val="1F602B3B"/>
    <w:rsid w:val="1F616A4A"/>
    <w:rsid w:val="1F6E6A1B"/>
    <w:rsid w:val="1F6F0182"/>
    <w:rsid w:val="1F775289"/>
    <w:rsid w:val="1F7D3F22"/>
    <w:rsid w:val="1F8751BA"/>
    <w:rsid w:val="1F877BDE"/>
    <w:rsid w:val="1F934DDE"/>
    <w:rsid w:val="1FA21DE0"/>
    <w:rsid w:val="1FAA11BB"/>
    <w:rsid w:val="1FB262C1"/>
    <w:rsid w:val="1FBE0C9C"/>
    <w:rsid w:val="1FC5594A"/>
    <w:rsid w:val="1FC5779C"/>
    <w:rsid w:val="1FC658C9"/>
    <w:rsid w:val="1FDB75C6"/>
    <w:rsid w:val="1FDE0E64"/>
    <w:rsid w:val="1FDF6D29"/>
    <w:rsid w:val="1FE86AA5"/>
    <w:rsid w:val="1FEB2BFF"/>
    <w:rsid w:val="1FF70178"/>
    <w:rsid w:val="201204B5"/>
    <w:rsid w:val="2022125E"/>
    <w:rsid w:val="20250841"/>
    <w:rsid w:val="20295BFF"/>
    <w:rsid w:val="203D202F"/>
    <w:rsid w:val="204204F5"/>
    <w:rsid w:val="20453D48"/>
    <w:rsid w:val="20476D9D"/>
    <w:rsid w:val="204E3AFA"/>
    <w:rsid w:val="204F3B10"/>
    <w:rsid w:val="20582A63"/>
    <w:rsid w:val="20597EB3"/>
    <w:rsid w:val="208A4B48"/>
    <w:rsid w:val="208A63D5"/>
    <w:rsid w:val="208D377B"/>
    <w:rsid w:val="209634ED"/>
    <w:rsid w:val="209B0B03"/>
    <w:rsid w:val="20A268F0"/>
    <w:rsid w:val="20AD2C5F"/>
    <w:rsid w:val="20BA367F"/>
    <w:rsid w:val="20BE2B36"/>
    <w:rsid w:val="20C66F34"/>
    <w:rsid w:val="20D364EF"/>
    <w:rsid w:val="20D40166"/>
    <w:rsid w:val="20D93EFA"/>
    <w:rsid w:val="20E26732"/>
    <w:rsid w:val="20F052F3"/>
    <w:rsid w:val="21027314"/>
    <w:rsid w:val="21042B4C"/>
    <w:rsid w:val="210743EB"/>
    <w:rsid w:val="21096D6A"/>
    <w:rsid w:val="211803A6"/>
    <w:rsid w:val="21191CC6"/>
    <w:rsid w:val="211E2172"/>
    <w:rsid w:val="2120368E"/>
    <w:rsid w:val="21260D15"/>
    <w:rsid w:val="2129610F"/>
    <w:rsid w:val="212B5596"/>
    <w:rsid w:val="213351E0"/>
    <w:rsid w:val="213827F6"/>
    <w:rsid w:val="2152200F"/>
    <w:rsid w:val="21562C7C"/>
    <w:rsid w:val="21625AFD"/>
    <w:rsid w:val="216A16BA"/>
    <w:rsid w:val="216D06F2"/>
    <w:rsid w:val="216D47FE"/>
    <w:rsid w:val="2178448A"/>
    <w:rsid w:val="21852F37"/>
    <w:rsid w:val="218625F5"/>
    <w:rsid w:val="218847E3"/>
    <w:rsid w:val="218872DA"/>
    <w:rsid w:val="218A3047"/>
    <w:rsid w:val="218C5659"/>
    <w:rsid w:val="21A729A7"/>
    <w:rsid w:val="21AC2EBA"/>
    <w:rsid w:val="21B67509"/>
    <w:rsid w:val="21D50045"/>
    <w:rsid w:val="21D569EF"/>
    <w:rsid w:val="21E00BD6"/>
    <w:rsid w:val="21E23A88"/>
    <w:rsid w:val="21E94084"/>
    <w:rsid w:val="21EB1CB2"/>
    <w:rsid w:val="21F032CF"/>
    <w:rsid w:val="21F20677"/>
    <w:rsid w:val="21F92CFC"/>
    <w:rsid w:val="220C594D"/>
    <w:rsid w:val="222521E6"/>
    <w:rsid w:val="222F0AD7"/>
    <w:rsid w:val="22353CCB"/>
    <w:rsid w:val="224F0636"/>
    <w:rsid w:val="2250591D"/>
    <w:rsid w:val="225278E7"/>
    <w:rsid w:val="225673D8"/>
    <w:rsid w:val="22574EFE"/>
    <w:rsid w:val="22854F87"/>
    <w:rsid w:val="228850B7"/>
    <w:rsid w:val="228928AA"/>
    <w:rsid w:val="22A136A4"/>
    <w:rsid w:val="22A2109D"/>
    <w:rsid w:val="22A46395"/>
    <w:rsid w:val="22AD02C3"/>
    <w:rsid w:val="22AD2D70"/>
    <w:rsid w:val="22AD4C06"/>
    <w:rsid w:val="22BB6B16"/>
    <w:rsid w:val="22BF54A3"/>
    <w:rsid w:val="22C629FC"/>
    <w:rsid w:val="22CD4172"/>
    <w:rsid w:val="22D622C7"/>
    <w:rsid w:val="22D629CA"/>
    <w:rsid w:val="22D7047E"/>
    <w:rsid w:val="22EC3898"/>
    <w:rsid w:val="22FD5AA5"/>
    <w:rsid w:val="23007343"/>
    <w:rsid w:val="2322550C"/>
    <w:rsid w:val="2332360F"/>
    <w:rsid w:val="23336A07"/>
    <w:rsid w:val="23566FBD"/>
    <w:rsid w:val="2359387E"/>
    <w:rsid w:val="23612282"/>
    <w:rsid w:val="23677E76"/>
    <w:rsid w:val="23841D23"/>
    <w:rsid w:val="239301B8"/>
    <w:rsid w:val="239406FE"/>
    <w:rsid w:val="23A15A2A"/>
    <w:rsid w:val="23A57662"/>
    <w:rsid w:val="23A93537"/>
    <w:rsid w:val="23B75C54"/>
    <w:rsid w:val="23C16AD3"/>
    <w:rsid w:val="23C44815"/>
    <w:rsid w:val="23CB5346"/>
    <w:rsid w:val="23CC6936"/>
    <w:rsid w:val="23CE11F0"/>
    <w:rsid w:val="23DE5C34"/>
    <w:rsid w:val="23DF164F"/>
    <w:rsid w:val="23E66539"/>
    <w:rsid w:val="23E91248"/>
    <w:rsid w:val="23EA7531"/>
    <w:rsid w:val="23EB1259"/>
    <w:rsid w:val="24262DDA"/>
    <w:rsid w:val="243472A5"/>
    <w:rsid w:val="24440291"/>
    <w:rsid w:val="244D480A"/>
    <w:rsid w:val="24561810"/>
    <w:rsid w:val="245A2A83"/>
    <w:rsid w:val="245E3385"/>
    <w:rsid w:val="246519F2"/>
    <w:rsid w:val="24910720"/>
    <w:rsid w:val="24922AD7"/>
    <w:rsid w:val="24AD2733"/>
    <w:rsid w:val="24BD6CC4"/>
    <w:rsid w:val="24BE4D5C"/>
    <w:rsid w:val="24C6321B"/>
    <w:rsid w:val="24C77539"/>
    <w:rsid w:val="24C968FF"/>
    <w:rsid w:val="24CC0DB6"/>
    <w:rsid w:val="24CC4C52"/>
    <w:rsid w:val="24CD76F9"/>
    <w:rsid w:val="24D10F97"/>
    <w:rsid w:val="24D4056B"/>
    <w:rsid w:val="24D467CB"/>
    <w:rsid w:val="24D92020"/>
    <w:rsid w:val="24DC1868"/>
    <w:rsid w:val="24DD11D5"/>
    <w:rsid w:val="24E214E5"/>
    <w:rsid w:val="24E74595"/>
    <w:rsid w:val="2502577D"/>
    <w:rsid w:val="250B4FC2"/>
    <w:rsid w:val="250E5D48"/>
    <w:rsid w:val="251C753A"/>
    <w:rsid w:val="251E5686"/>
    <w:rsid w:val="252A06A8"/>
    <w:rsid w:val="25416C61"/>
    <w:rsid w:val="2549505A"/>
    <w:rsid w:val="25561959"/>
    <w:rsid w:val="25643BBA"/>
    <w:rsid w:val="256911D0"/>
    <w:rsid w:val="257139A1"/>
    <w:rsid w:val="257629DE"/>
    <w:rsid w:val="25891872"/>
    <w:rsid w:val="258B4A59"/>
    <w:rsid w:val="25904372"/>
    <w:rsid w:val="25932412"/>
    <w:rsid w:val="25A14E0E"/>
    <w:rsid w:val="25A22934"/>
    <w:rsid w:val="25A92037"/>
    <w:rsid w:val="25AC4869"/>
    <w:rsid w:val="25AF7916"/>
    <w:rsid w:val="25B6018D"/>
    <w:rsid w:val="25BB6185"/>
    <w:rsid w:val="25C64874"/>
    <w:rsid w:val="25C805EC"/>
    <w:rsid w:val="25CB28DB"/>
    <w:rsid w:val="25D11374"/>
    <w:rsid w:val="25D246D4"/>
    <w:rsid w:val="25E35426"/>
    <w:rsid w:val="25E652E2"/>
    <w:rsid w:val="25FF3590"/>
    <w:rsid w:val="260357AC"/>
    <w:rsid w:val="26086C3B"/>
    <w:rsid w:val="260B672B"/>
    <w:rsid w:val="26105AEF"/>
    <w:rsid w:val="2610789E"/>
    <w:rsid w:val="26136E77"/>
    <w:rsid w:val="26235823"/>
    <w:rsid w:val="26246161"/>
    <w:rsid w:val="26252385"/>
    <w:rsid w:val="263521FC"/>
    <w:rsid w:val="263537A8"/>
    <w:rsid w:val="2637307C"/>
    <w:rsid w:val="26396195"/>
    <w:rsid w:val="263D0A01"/>
    <w:rsid w:val="264973C7"/>
    <w:rsid w:val="26535483"/>
    <w:rsid w:val="265C2AE3"/>
    <w:rsid w:val="266D2C13"/>
    <w:rsid w:val="26794CD9"/>
    <w:rsid w:val="267F0C45"/>
    <w:rsid w:val="26887D7C"/>
    <w:rsid w:val="268D7140"/>
    <w:rsid w:val="268E17FC"/>
    <w:rsid w:val="26901ED6"/>
    <w:rsid w:val="26924756"/>
    <w:rsid w:val="2694227D"/>
    <w:rsid w:val="26AC1C2D"/>
    <w:rsid w:val="26C30DB4"/>
    <w:rsid w:val="26CC6975"/>
    <w:rsid w:val="26CF59AB"/>
    <w:rsid w:val="26D329F4"/>
    <w:rsid w:val="26D40F41"/>
    <w:rsid w:val="26E86A6C"/>
    <w:rsid w:val="26EA6341"/>
    <w:rsid w:val="27001741"/>
    <w:rsid w:val="271D04C4"/>
    <w:rsid w:val="27204934"/>
    <w:rsid w:val="272A498F"/>
    <w:rsid w:val="27321A96"/>
    <w:rsid w:val="27363334"/>
    <w:rsid w:val="2737519E"/>
    <w:rsid w:val="27383550"/>
    <w:rsid w:val="274C2C9A"/>
    <w:rsid w:val="276F4A98"/>
    <w:rsid w:val="277D71B5"/>
    <w:rsid w:val="277F1439"/>
    <w:rsid w:val="27820665"/>
    <w:rsid w:val="279810BC"/>
    <w:rsid w:val="279B38AB"/>
    <w:rsid w:val="279C2D49"/>
    <w:rsid w:val="27A95FEA"/>
    <w:rsid w:val="27AF22E7"/>
    <w:rsid w:val="27CF123F"/>
    <w:rsid w:val="27D019DA"/>
    <w:rsid w:val="27E83FCC"/>
    <w:rsid w:val="27F12988"/>
    <w:rsid w:val="28004179"/>
    <w:rsid w:val="28063286"/>
    <w:rsid w:val="28100562"/>
    <w:rsid w:val="28123DA1"/>
    <w:rsid w:val="28132417"/>
    <w:rsid w:val="28173DFE"/>
    <w:rsid w:val="28237D5C"/>
    <w:rsid w:val="28247630"/>
    <w:rsid w:val="282C4737"/>
    <w:rsid w:val="282D04C8"/>
    <w:rsid w:val="28334B09"/>
    <w:rsid w:val="28341F69"/>
    <w:rsid w:val="28342BC9"/>
    <w:rsid w:val="283830DC"/>
    <w:rsid w:val="283D593F"/>
    <w:rsid w:val="283D6944"/>
    <w:rsid w:val="28426737"/>
    <w:rsid w:val="286A466A"/>
    <w:rsid w:val="286A598B"/>
    <w:rsid w:val="28700E51"/>
    <w:rsid w:val="28702875"/>
    <w:rsid w:val="2874680A"/>
    <w:rsid w:val="28754330"/>
    <w:rsid w:val="287C56BE"/>
    <w:rsid w:val="2884619D"/>
    <w:rsid w:val="28874D02"/>
    <w:rsid w:val="288A3814"/>
    <w:rsid w:val="289C366A"/>
    <w:rsid w:val="28B616CA"/>
    <w:rsid w:val="28C370BC"/>
    <w:rsid w:val="28CB21A2"/>
    <w:rsid w:val="28EF5261"/>
    <w:rsid w:val="28F24ED1"/>
    <w:rsid w:val="28FA7D08"/>
    <w:rsid w:val="29000280"/>
    <w:rsid w:val="29080516"/>
    <w:rsid w:val="290A3CD5"/>
    <w:rsid w:val="29136553"/>
    <w:rsid w:val="29241437"/>
    <w:rsid w:val="292518B2"/>
    <w:rsid w:val="2927562A"/>
    <w:rsid w:val="293F1838"/>
    <w:rsid w:val="294039D2"/>
    <w:rsid w:val="2940493E"/>
    <w:rsid w:val="29502E5A"/>
    <w:rsid w:val="29567CBD"/>
    <w:rsid w:val="295757E3"/>
    <w:rsid w:val="295C6C72"/>
    <w:rsid w:val="29655320"/>
    <w:rsid w:val="29670025"/>
    <w:rsid w:val="2977326A"/>
    <w:rsid w:val="297A76C4"/>
    <w:rsid w:val="29853DEE"/>
    <w:rsid w:val="2989519F"/>
    <w:rsid w:val="2996455E"/>
    <w:rsid w:val="29A15975"/>
    <w:rsid w:val="29A21154"/>
    <w:rsid w:val="29A922F1"/>
    <w:rsid w:val="29BA010B"/>
    <w:rsid w:val="29BB5D72"/>
    <w:rsid w:val="29C76E0D"/>
    <w:rsid w:val="29C968BF"/>
    <w:rsid w:val="29CA4207"/>
    <w:rsid w:val="29CC61D1"/>
    <w:rsid w:val="29D64538"/>
    <w:rsid w:val="29DB20A0"/>
    <w:rsid w:val="29E11C7D"/>
    <w:rsid w:val="29E55DC8"/>
    <w:rsid w:val="29F14AF4"/>
    <w:rsid w:val="29F770DD"/>
    <w:rsid w:val="29FC6AB7"/>
    <w:rsid w:val="2A045C55"/>
    <w:rsid w:val="2A0B0AA8"/>
    <w:rsid w:val="2A1262DA"/>
    <w:rsid w:val="2A141EEF"/>
    <w:rsid w:val="2A190AA4"/>
    <w:rsid w:val="2A1E2567"/>
    <w:rsid w:val="2A282DB1"/>
    <w:rsid w:val="2A375D41"/>
    <w:rsid w:val="2A457487"/>
    <w:rsid w:val="2A4B5348"/>
    <w:rsid w:val="2A64606A"/>
    <w:rsid w:val="2A6B1546"/>
    <w:rsid w:val="2A6B7798"/>
    <w:rsid w:val="2A6D401C"/>
    <w:rsid w:val="2A7538D0"/>
    <w:rsid w:val="2A87476C"/>
    <w:rsid w:val="2A914EE7"/>
    <w:rsid w:val="2A96180B"/>
    <w:rsid w:val="2A9C3B5D"/>
    <w:rsid w:val="2AB00660"/>
    <w:rsid w:val="2ABE3801"/>
    <w:rsid w:val="2AC77529"/>
    <w:rsid w:val="2AD73080"/>
    <w:rsid w:val="2AD96DF8"/>
    <w:rsid w:val="2ADA2CD5"/>
    <w:rsid w:val="2ADF3CE2"/>
    <w:rsid w:val="2AE35581"/>
    <w:rsid w:val="2AEA0E0D"/>
    <w:rsid w:val="2AF05EF0"/>
    <w:rsid w:val="2AF14141"/>
    <w:rsid w:val="2AF8771E"/>
    <w:rsid w:val="2B0175C8"/>
    <w:rsid w:val="2B027BD8"/>
    <w:rsid w:val="2B0C0F7B"/>
    <w:rsid w:val="2B114BA4"/>
    <w:rsid w:val="2B12230A"/>
    <w:rsid w:val="2B2251B9"/>
    <w:rsid w:val="2B243C3F"/>
    <w:rsid w:val="2B2E419E"/>
    <w:rsid w:val="2B396C5B"/>
    <w:rsid w:val="2B3B6C3E"/>
    <w:rsid w:val="2B3E6C5B"/>
    <w:rsid w:val="2B4E3C62"/>
    <w:rsid w:val="2B5029F7"/>
    <w:rsid w:val="2B5215A8"/>
    <w:rsid w:val="2B5953D5"/>
    <w:rsid w:val="2B5D1EB0"/>
    <w:rsid w:val="2B613648"/>
    <w:rsid w:val="2B620B9B"/>
    <w:rsid w:val="2B7D7783"/>
    <w:rsid w:val="2B896C48"/>
    <w:rsid w:val="2B8C3E6A"/>
    <w:rsid w:val="2B970537"/>
    <w:rsid w:val="2B97311C"/>
    <w:rsid w:val="2B9952AB"/>
    <w:rsid w:val="2B9B40AD"/>
    <w:rsid w:val="2B9C2452"/>
    <w:rsid w:val="2BA006EC"/>
    <w:rsid w:val="2BA21A80"/>
    <w:rsid w:val="2BA33828"/>
    <w:rsid w:val="2BA718D6"/>
    <w:rsid w:val="2BB12452"/>
    <w:rsid w:val="2BB14068"/>
    <w:rsid w:val="2BBD2276"/>
    <w:rsid w:val="2BC10346"/>
    <w:rsid w:val="2BC13F57"/>
    <w:rsid w:val="2BC7343E"/>
    <w:rsid w:val="2BC929C8"/>
    <w:rsid w:val="2BEF5160"/>
    <w:rsid w:val="2C056896"/>
    <w:rsid w:val="2C4B71C7"/>
    <w:rsid w:val="2C5C366B"/>
    <w:rsid w:val="2C637E83"/>
    <w:rsid w:val="2C6426F1"/>
    <w:rsid w:val="2C6470D6"/>
    <w:rsid w:val="2C671545"/>
    <w:rsid w:val="2C723BD5"/>
    <w:rsid w:val="2C78134A"/>
    <w:rsid w:val="2C7C109E"/>
    <w:rsid w:val="2C8044FE"/>
    <w:rsid w:val="2C8C3B52"/>
    <w:rsid w:val="2C9840B4"/>
    <w:rsid w:val="2CA72D41"/>
    <w:rsid w:val="2CAF4A00"/>
    <w:rsid w:val="2CB35427"/>
    <w:rsid w:val="2CB46496"/>
    <w:rsid w:val="2CB9668D"/>
    <w:rsid w:val="2CBA4A07"/>
    <w:rsid w:val="2CC15482"/>
    <w:rsid w:val="2CC74102"/>
    <w:rsid w:val="2CC96292"/>
    <w:rsid w:val="2CD77367"/>
    <w:rsid w:val="2CD848D8"/>
    <w:rsid w:val="2CDA29B3"/>
    <w:rsid w:val="2CDF7FCA"/>
    <w:rsid w:val="2CEB696E"/>
    <w:rsid w:val="2D095047"/>
    <w:rsid w:val="2D1074CC"/>
    <w:rsid w:val="2D147D79"/>
    <w:rsid w:val="2D183F3B"/>
    <w:rsid w:val="2D1D47A5"/>
    <w:rsid w:val="2D200D0E"/>
    <w:rsid w:val="2D233DAE"/>
    <w:rsid w:val="2D3C773F"/>
    <w:rsid w:val="2D417641"/>
    <w:rsid w:val="2D486857"/>
    <w:rsid w:val="2D4A5D8B"/>
    <w:rsid w:val="2D4C45A1"/>
    <w:rsid w:val="2D502C75"/>
    <w:rsid w:val="2D55028C"/>
    <w:rsid w:val="2D57771E"/>
    <w:rsid w:val="2D594220"/>
    <w:rsid w:val="2D5E7941"/>
    <w:rsid w:val="2D6173D3"/>
    <w:rsid w:val="2D6E52E4"/>
    <w:rsid w:val="2D8079FF"/>
    <w:rsid w:val="2D88240F"/>
    <w:rsid w:val="2D9D50A1"/>
    <w:rsid w:val="2DB56D45"/>
    <w:rsid w:val="2DB933F0"/>
    <w:rsid w:val="2DC25921"/>
    <w:rsid w:val="2DC662C7"/>
    <w:rsid w:val="2DCD054A"/>
    <w:rsid w:val="2DCD48CC"/>
    <w:rsid w:val="2DD90EBD"/>
    <w:rsid w:val="2DDC528E"/>
    <w:rsid w:val="2DE105B7"/>
    <w:rsid w:val="2DE955A4"/>
    <w:rsid w:val="2DEC5BA7"/>
    <w:rsid w:val="2DF67CC1"/>
    <w:rsid w:val="2E00644A"/>
    <w:rsid w:val="2E163EBF"/>
    <w:rsid w:val="2E165C6D"/>
    <w:rsid w:val="2E1F51D1"/>
    <w:rsid w:val="2E264D44"/>
    <w:rsid w:val="2E3B51C6"/>
    <w:rsid w:val="2E3D1B0D"/>
    <w:rsid w:val="2E4B1DBB"/>
    <w:rsid w:val="2E5D564A"/>
    <w:rsid w:val="2E66596B"/>
    <w:rsid w:val="2E725599"/>
    <w:rsid w:val="2E8E2F84"/>
    <w:rsid w:val="2E94741A"/>
    <w:rsid w:val="2E980D78"/>
    <w:rsid w:val="2EAE5EA6"/>
    <w:rsid w:val="2EBD258D"/>
    <w:rsid w:val="2EC55694"/>
    <w:rsid w:val="2ECE02F6"/>
    <w:rsid w:val="2ED26038"/>
    <w:rsid w:val="2EDA199F"/>
    <w:rsid w:val="2EDE3AB9"/>
    <w:rsid w:val="2EE541E3"/>
    <w:rsid w:val="2EE82738"/>
    <w:rsid w:val="2EF20488"/>
    <w:rsid w:val="2EF6443C"/>
    <w:rsid w:val="2EF865E7"/>
    <w:rsid w:val="2EFA48E6"/>
    <w:rsid w:val="2EFE507F"/>
    <w:rsid w:val="2F0245FB"/>
    <w:rsid w:val="2F062DC8"/>
    <w:rsid w:val="2F193C67"/>
    <w:rsid w:val="2F1E7104"/>
    <w:rsid w:val="2F210D6D"/>
    <w:rsid w:val="2F3445FD"/>
    <w:rsid w:val="2F370591"/>
    <w:rsid w:val="2F384D99"/>
    <w:rsid w:val="2F3F6EC9"/>
    <w:rsid w:val="2F460C75"/>
    <w:rsid w:val="2F6166D8"/>
    <w:rsid w:val="2F6B3D97"/>
    <w:rsid w:val="2F6F3887"/>
    <w:rsid w:val="2F7215C9"/>
    <w:rsid w:val="2F794B22"/>
    <w:rsid w:val="2F7A2842"/>
    <w:rsid w:val="2F7D1AFE"/>
    <w:rsid w:val="2F8A6913"/>
    <w:rsid w:val="2F9666D5"/>
    <w:rsid w:val="2F994DA8"/>
    <w:rsid w:val="2FA17D86"/>
    <w:rsid w:val="2FB2501E"/>
    <w:rsid w:val="2FC531BC"/>
    <w:rsid w:val="2FCC3367"/>
    <w:rsid w:val="2FCD67FF"/>
    <w:rsid w:val="2FD1009E"/>
    <w:rsid w:val="301D6290"/>
    <w:rsid w:val="302723B3"/>
    <w:rsid w:val="3029612C"/>
    <w:rsid w:val="30316D8E"/>
    <w:rsid w:val="303F76FD"/>
    <w:rsid w:val="3046098A"/>
    <w:rsid w:val="30466D45"/>
    <w:rsid w:val="30585BF6"/>
    <w:rsid w:val="305D7B83"/>
    <w:rsid w:val="30696528"/>
    <w:rsid w:val="306A63AC"/>
    <w:rsid w:val="30744ECD"/>
    <w:rsid w:val="307B7C0B"/>
    <w:rsid w:val="307E06D4"/>
    <w:rsid w:val="30AA08EF"/>
    <w:rsid w:val="30AA49AD"/>
    <w:rsid w:val="30AF4D9B"/>
    <w:rsid w:val="30B604B5"/>
    <w:rsid w:val="30C164BB"/>
    <w:rsid w:val="30C5120B"/>
    <w:rsid w:val="30D009FB"/>
    <w:rsid w:val="30D46A2B"/>
    <w:rsid w:val="30DA11D4"/>
    <w:rsid w:val="30EF6ABD"/>
    <w:rsid w:val="30F35BEE"/>
    <w:rsid w:val="30F3703E"/>
    <w:rsid w:val="310B518B"/>
    <w:rsid w:val="310B6F5E"/>
    <w:rsid w:val="31197BCE"/>
    <w:rsid w:val="311C359A"/>
    <w:rsid w:val="31327BBC"/>
    <w:rsid w:val="313F09DB"/>
    <w:rsid w:val="31413001"/>
    <w:rsid w:val="314E57F8"/>
    <w:rsid w:val="31531F49"/>
    <w:rsid w:val="31594C51"/>
    <w:rsid w:val="31714677"/>
    <w:rsid w:val="317701A2"/>
    <w:rsid w:val="317F0FFC"/>
    <w:rsid w:val="318C7F18"/>
    <w:rsid w:val="319054C4"/>
    <w:rsid w:val="3193190E"/>
    <w:rsid w:val="319959BA"/>
    <w:rsid w:val="319A375A"/>
    <w:rsid w:val="319F44BB"/>
    <w:rsid w:val="31A1229A"/>
    <w:rsid w:val="31A65F4E"/>
    <w:rsid w:val="31AB40A0"/>
    <w:rsid w:val="31B03840"/>
    <w:rsid w:val="31B929D5"/>
    <w:rsid w:val="31C3610C"/>
    <w:rsid w:val="31C6519A"/>
    <w:rsid w:val="31CD5F5D"/>
    <w:rsid w:val="31EA2753"/>
    <w:rsid w:val="31EB11BF"/>
    <w:rsid w:val="31F369F1"/>
    <w:rsid w:val="31F661EA"/>
    <w:rsid w:val="32086C90"/>
    <w:rsid w:val="32096434"/>
    <w:rsid w:val="321769EE"/>
    <w:rsid w:val="32180206"/>
    <w:rsid w:val="32230959"/>
    <w:rsid w:val="32380BAE"/>
    <w:rsid w:val="323D57AC"/>
    <w:rsid w:val="325D030E"/>
    <w:rsid w:val="326071AE"/>
    <w:rsid w:val="3268508C"/>
    <w:rsid w:val="32696CB3"/>
    <w:rsid w:val="326F1DF0"/>
    <w:rsid w:val="32747048"/>
    <w:rsid w:val="32750DD6"/>
    <w:rsid w:val="3275127F"/>
    <w:rsid w:val="32843928"/>
    <w:rsid w:val="32847649"/>
    <w:rsid w:val="328F3A80"/>
    <w:rsid w:val="32A060A9"/>
    <w:rsid w:val="32A25D21"/>
    <w:rsid w:val="32AD19F6"/>
    <w:rsid w:val="32AE7C54"/>
    <w:rsid w:val="32B55A55"/>
    <w:rsid w:val="32BD0DAD"/>
    <w:rsid w:val="32C1089D"/>
    <w:rsid w:val="32CD0517"/>
    <w:rsid w:val="32CD4003"/>
    <w:rsid w:val="32CE4D68"/>
    <w:rsid w:val="32D44088"/>
    <w:rsid w:val="32D63C1D"/>
    <w:rsid w:val="32DE2C7F"/>
    <w:rsid w:val="32DF2AD1"/>
    <w:rsid w:val="32E26351"/>
    <w:rsid w:val="32EB591A"/>
    <w:rsid w:val="32EF1395"/>
    <w:rsid w:val="33114C55"/>
    <w:rsid w:val="33146D34"/>
    <w:rsid w:val="333450F4"/>
    <w:rsid w:val="333948D8"/>
    <w:rsid w:val="333B38C4"/>
    <w:rsid w:val="334A7AF9"/>
    <w:rsid w:val="334B63B9"/>
    <w:rsid w:val="335E433E"/>
    <w:rsid w:val="336F7299"/>
    <w:rsid w:val="33722D11"/>
    <w:rsid w:val="33780B7D"/>
    <w:rsid w:val="337C6572"/>
    <w:rsid w:val="337C76E9"/>
    <w:rsid w:val="33A23C03"/>
    <w:rsid w:val="33A978E7"/>
    <w:rsid w:val="33AA0994"/>
    <w:rsid w:val="33B201E6"/>
    <w:rsid w:val="33BB77BD"/>
    <w:rsid w:val="33C817B8"/>
    <w:rsid w:val="33D04B10"/>
    <w:rsid w:val="33D91C17"/>
    <w:rsid w:val="33DC1707"/>
    <w:rsid w:val="33DF4544"/>
    <w:rsid w:val="33E04D53"/>
    <w:rsid w:val="33E5680D"/>
    <w:rsid w:val="33F1366C"/>
    <w:rsid w:val="33FC6915"/>
    <w:rsid w:val="33FF47B0"/>
    <w:rsid w:val="340842AA"/>
    <w:rsid w:val="34173AF7"/>
    <w:rsid w:val="34192013"/>
    <w:rsid w:val="341A2462"/>
    <w:rsid w:val="341D5FA7"/>
    <w:rsid w:val="342A402B"/>
    <w:rsid w:val="34316F99"/>
    <w:rsid w:val="344057F2"/>
    <w:rsid w:val="344E1E9C"/>
    <w:rsid w:val="34532913"/>
    <w:rsid w:val="34560914"/>
    <w:rsid w:val="34592D57"/>
    <w:rsid w:val="345B262C"/>
    <w:rsid w:val="345C31CC"/>
    <w:rsid w:val="34777446"/>
    <w:rsid w:val="347E7C30"/>
    <w:rsid w:val="348144F0"/>
    <w:rsid w:val="348953EB"/>
    <w:rsid w:val="348D3C27"/>
    <w:rsid w:val="348E0C53"/>
    <w:rsid w:val="349439BA"/>
    <w:rsid w:val="34A16844"/>
    <w:rsid w:val="34A2025B"/>
    <w:rsid w:val="34B17E94"/>
    <w:rsid w:val="34BD6E42"/>
    <w:rsid w:val="34CC3529"/>
    <w:rsid w:val="34E1239D"/>
    <w:rsid w:val="350A7F97"/>
    <w:rsid w:val="350C1B78"/>
    <w:rsid w:val="351D0610"/>
    <w:rsid w:val="35234E2B"/>
    <w:rsid w:val="35364743"/>
    <w:rsid w:val="354E03E2"/>
    <w:rsid w:val="3566572C"/>
    <w:rsid w:val="35671771"/>
    <w:rsid w:val="35735BFE"/>
    <w:rsid w:val="357D24BC"/>
    <w:rsid w:val="35832C49"/>
    <w:rsid w:val="358B5193"/>
    <w:rsid w:val="35A34C73"/>
    <w:rsid w:val="35AF4BCA"/>
    <w:rsid w:val="35AF7A0E"/>
    <w:rsid w:val="35B31528"/>
    <w:rsid w:val="35B73DF2"/>
    <w:rsid w:val="35BB4EC7"/>
    <w:rsid w:val="35BF6BEA"/>
    <w:rsid w:val="35C05896"/>
    <w:rsid w:val="35CE6467"/>
    <w:rsid w:val="35D74A1E"/>
    <w:rsid w:val="35DA1C76"/>
    <w:rsid w:val="35DF3E2C"/>
    <w:rsid w:val="36032F7B"/>
    <w:rsid w:val="36146F36"/>
    <w:rsid w:val="36162CAE"/>
    <w:rsid w:val="361D3F72"/>
    <w:rsid w:val="362A5559"/>
    <w:rsid w:val="362C089A"/>
    <w:rsid w:val="362F1FC2"/>
    <w:rsid w:val="363807BF"/>
    <w:rsid w:val="36394BEF"/>
    <w:rsid w:val="3639699D"/>
    <w:rsid w:val="36527A5E"/>
    <w:rsid w:val="365928D2"/>
    <w:rsid w:val="365979C0"/>
    <w:rsid w:val="36605D09"/>
    <w:rsid w:val="36721EAF"/>
    <w:rsid w:val="36783969"/>
    <w:rsid w:val="367E5B21"/>
    <w:rsid w:val="3681431A"/>
    <w:rsid w:val="36873BAC"/>
    <w:rsid w:val="36883480"/>
    <w:rsid w:val="36A42101"/>
    <w:rsid w:val="36AA1648"/>
    <w:rsid w:val="36BD195D"/>
    <w:rsid w:val="36BE6EA2"/>
    <w:rsid w:val="36C56376"/>
    <w:rsid w:val="36D641EB"/>
    <w:rsid w:val="36DF0319"/>
    <w:rsid w:val="36EB6901"/>
    <w:rsid w:val="36F86858"/>
    <w:rsid w:val="36FD79CA"/>
    <w:rsid w:val="3721531B"/>
    <w:rsid w:val="372F7F47"/>
    <w:rsid w:val="373553B6"/>
    <w:rsid w:val="37384221"/>
    <w:rsid w:val="37386C54"/>
    <w:rsid w:val="373A29CC"/>
    <w:rsid w:val="374101FF"/>
    <w:rsid w:val="37465815"/>
    <w:rsid w:val="37466EB1"/>
    <w:rsid w:val="374B4BD9"/>
    <w:rsid w:val="37533A8E"/>
    <w:rsid w:val="375C6DE7"/>
    <w:rsid w:val="37637E81"/>
    <w:rsid w:val="37691503"/>
    <w:rsid w:val="376E1C50"/>
    <w:rsid w:val="377243F9"/>
    <w:rsid w:val="37751C56"/>
    <w:rsid w:val="37767A90"/>
    <w:rsid w:val="3778356C"/>
    <w:rsid w:val="377C7CB3"/>
    <w:rsid w:val="37865C12"/>
    <w:rsid w:val="37906A90"/>
    <w:rsid w:val="37931EDE"/>
    <w:rsid w:val="37945CB7"/>
    <w:rsid w:val="37962D89"/>
    <w:rsid w:val="37A367C3"/>
    <w:rsid w:val="37A565BA"/>
    <w:rsid w:val="37BA43A1"/>
    <w:rsid w:val="37BB3CBF"/>
    <w:rsid w:val="37CB7AC8"/>
    <w:rsid w:val="37EA2644"/>
    <w:rsid w:val="37EA5A2E"/>
    <w:rsid w:val="37FC4126"/>
    <w:rsid w:val="3800556D"/>
    <w:rsid w:val="3801798E"/>
    <w:rsid w:val="38305B7D"/>
    <w:rsid w:val="383250E7"/>
    <w:rsid w:val="383B4C4E"/>
    <w:rsid w:val="38482EC7"/>
    <w:rsid w:val="385178A7"/>
    <w:rsid w:val="38602906"/>
    <w:rsid w:val="38622181"/>
    <w:rsid w:val="38684865"/>
    <w:rsid w:val="38690043"/>
    <w:rsid w:val="386F33DE"/>
    <w:rsid w:val="387E56CB"/>
    <w:rsid w:val="38A72689"/>
    <w:rsid w:val="38B65561"/>
    <w:rsid w:val="38BB18EB"/>
    <w:rsid w:val="38C93326"/>
    <w:rsid w:val="38CC0810"/>
    <w:rsid w:val="38CD3EB4"/>
    <w:rsid w:val="38D1259E"/>
    <w:rsid w:val="38F11738"/>
    <w:rsid w:val="38F27A29"/>
    <w:rsid w:val="390607A4"/>
    <w:rsid w:val="390A6409"/>
    <w:rsid w:val="391478AF"/>
    <w:rsid w:val="39283E9C"/>
    <w:rsid w:val="392B4CC2"/>
    <w:rsid w:val="392C3443"/>
    <w:rsid w:val="39307BB7"/>
    <w:rsid w:val="39322AC2"/>
    <w:rsid w:val="39395293"/>
    <w:rsid w:val="39423DBA"/>
    <w:rsid w:val="39452125"/>
    <w:rsid w:val="394538AA"/>
    <w:rsid w:val="395104A1"/>
    <w:rsid w:val="395E172B"/>
    <w:rsid w:val="395E6A65"/>
    <w:rsid w:val="3972675D"/>
    <w:rsid w:val="39783C80"/>
    <w:rsid w:val="39810D86"/>
    <w:rsid w:val="39822409"/>
    <w:rsid w:val="399A783D"/>
    <w:rsid w:val="39A42A1E"/>
    <w:rsid w:val="39A95F2D"/>
    <w:rsid w:val="39AB2FFD"/>
    <w:rsid w:val="39AB7BB1"/>
    <w:rsid w:val="39AE6F4B"/>
    <w:rsid w:val="39C67435"/>
    <w:rsid w:val="39D445BF"/>
    <w:rsid w:val="39D93FBE"/>
    <w:rsid w:val="39E03BCC"/>
    <w:rsid w:val="39F74BA5"/>
    <w:rsid w:val="3A0472C2"/>
    <w:rsid w:val="3A071B65"/>
    <w:rsid w:val="3A1922C0"/>
    <w:rsid w:val="3A1F234D"/>
    <w:rsid w:val="3A2E4DC8"/>
    <w:rsid w:val="3A386EB0"/>
    <w:rsid w:val="3A3C2633"/>
    <w:rsid w:val="3A405B16"/>
    <w:rsid w:val="3A48135C"/>
    <w:rsid w:val="3A742699"/>
    <w:rsid w:val="3A8242BD"/>
    <w:rsid w:val="3A83468A"/>
    <w:rsid w:val="3A8D5509"/>
    <w:rsid w:val="3AA0523C"/>
    <w:rsid w:val="3AA97735"/>
    <w:rsid w:val="3AC0143A"/>
    <w:rsid w:val="3AD0311D"/>
    <w:rsid w:val="3AD66EB0"/>
    <w:rsid w:val="3ADE3FB6"/>
    <w:rsid w:val="3AE7148B"/>
    <w:rsid w:val="3AE7497A"/>
    <w:rsid w:val="3B082DE1"/>
    <w:rsid w:val="3B0A1D66"/>
    <w:rsid w:val="3B1874C8"/>
    <w:rsid w:val="3B1D430B"/>
    <w:rsid w:val="3B1F0465"/>
    <w:rsid w:val="3B334302"/>
    <w:rsid w:val="3B365BA1"/>
    <w:rsid w:val="3B3D33BB"/>
    <w:rsid w:val="3B3E51B9"/>
    <w:rsid w:val="3B412635"/>
    <w:rsid w:val="3B4200A1"/>
    <w:rsid w:val="3B497BE3"/>
    <w:rsid w:val="3B587CED"/>
    <w:rsid w:val="3B7D31C1"/>
    <w:rsid w:val="3B8E1539"/>
    <w:rsid w:val="3B9017EB"/>
    <w:rsid w:val="3BA174BE"/>
    <w:rsid w:val="3BAB3438"/>
    <w:rsid w:val="3BAC19BF"/>
    <w:rsid w:val="3BB4439D"/>
    <w:rsid w:val="3BB536CB"/>
    <w:rsid w:val="3BC36E9D"/>
    <w:rsid w:val="3BDB6E6E"/>
    <w:rsid w:val="3BE7032B"/>
    <w:rsid w:val="3BE759A6"/>
    <w:rsid w:val="3BEE0229"/>
    <w:rsid w:val="3BF50822"/>
    <w:rsid w:val="3BFD56A0"/>
    <w:rsid w:val="3C045F61"/>
    <w:rsid w:val="3C167BDD"/>
    <w:rsid w:val="3C1A2B8D"/>
    <w:rsid w:val="3C202EE7"/>
    <w:rsid w:val="3C291261"/>
    <w:rsid w:val="3C294F12"/>
    <w:rsid w:val="3C3F0A85"/>
    <w:rsid w:val="3C502C92"/>
    <w:rsid w:val="3C557447"/>
    <w:rsid w:val="3C6373B8"/>
    <w:rsid w:val="3C6F136A"/>
    <w:rsid w:val="3C6F4254"/>
    <w:rsid w:val="3C7E6A56"/>
    <w:rsid w:val="3C8A3F06"/>
    <w:rsid w:val="3C8D359E"/>
    <w:rsid w:val="3C926889"/>
    <w:rsid w:val="3C9506A5"/>
    <w:rsid w:val="3CA02CAD"/>
    <w:rsid w:val="3CA52FDE"/>
    <w:rsid w:val="3CA87FC1"/>
    <w:rsid w:val="3CAA05F4"/>
    <w:rsid w:val="3CB27B2D"/>
    <w:rsid w:val="3CBE0051"/>
    <w:rsid w:val="3CC35212"/>
    <w:rsid w:val="3CC549B2"/>
    <w:rsid w:val="3CD230C6"/>
    <w:rsid w:val="3CDE0024"/>
    <w:rsid w:val="3CE33B06"/>
    <w:rsid w:val="3CEB09D4"/>
    <w:rsid w:val="3CEC5F7B"/>
    <w:rsid w:val="3CF0423F"/>
    <w:rsid w:val="3D080A88"/>
    <w:rsid w:val="3D18555E"/>
    <w:rsid w:val="3D1912D6"/>
    <w:rsid w:val="3D197C5D"/>
    <w:rsid w:val="3D1E68EC"/>
    <w:rsid w:val="3D321D80"/>
    <w:rsid w:val="3D347271"/>
    <w:rsid w:val="3D53179E"/>
    <w:rsid w:val="3D6222EE"/>
    <w:rsid w:val="3D6327DD"/>
    <w:rsid w:val="3D7D7AB7"/>
    <w:rsid w:val="3D803103"/>
    <w:rsid w:val="3D806841"/>
    <w:rsid w:val="3D842BF3"/>
    <w:rsid w:val="3D8C4848"/>
    <w:rsid w:val="3D995500"/>
    <w:rsid w:val="3D9B4727"/>
    <w:rsid w:val="3D9F17DB"/>
    <w:rsid w:val="3D9F527F"/>
    <w:rsid w:val="3DA838FF"/>
    <w:rsid w:val="3DAA0180"/>
    <w:rsid w:val="3DAB4624"/>
    <w:rsid w:val="3DB01C3A"/>
    <w:rsid w:val="3DB57251"/>
    <w:rsid w:val="3DB83FC5"/>
    <w:rsid w:val="3DC456E6"/>
    <w:rsid w:val="3DC46238"/>
    <w:rsid w:val="3DC56CDD"/>
    <w:rsid w:val="3DD31485"/>
    <w:rsid w:val="3DD42C95"/>
    <w:rsid w:val="3DD57B16"/>
    <w:rsid w:val="3DEB0EC4"/>
    <w:rsid w:val="3DFB62D0"/>
    <w:rsid w:val="3E023DB1"/>
    <w:rsid w:val="3E0D0E3B"/>
    <w:rsid w:val="3E0E070F"/>
    <w:rsid w:val="3E104AC7"/>
    <w:rsid w:val="3E1321C9"/>
    <w:rsid w:val="3E1F0B6E"/>
    <w:rsid w:val="3E233163"/>
    <w:rsid w:val="3E344619"/>
    <w:rsid w:val="3E497595"/>
    <w:rsid w:val="3E547794"/>
    <w:rsid w:val="3E617929"/>
    <w:rsid w:val="3E630A5B"/>
    <w:rsid w:val="3E75253C"/>
    <w:rsid w:val="3E8433D8"/>
    <w:rsid w:val="3E914280"/>
    <w:rsid w:val="3E9A5811"/>
    <w:rsid w:val="3E9A6FAE"/>
    <w:rsid w:val="3EAC674E"/>
    <w:rsid w:val="3EB047EF"/>
    <w:rsid w:val="3EC534C3"/>
    <w:rsid w:val="3EC764A6"/>
    <w:rsid w:val="3EDE4585"/>
    <w:rsid w:val="3EDE68A6"/>
    <w:rsid w:val="3EE33FDE"/>
    <w:rsid w:val="3EE64576"/>
    <w:rsid w:val="3EE67CEA"/>
    <w:rsid w:val="3EEE50D8"/>
    <w:rsid w:val="3EF8323F"/>
    <w:rsid w:val="3EFA14EE"/>
    <w:rsid w:val="3F004999"/>
    <w:rsid w:val="3F083E58"/>
    <w:rsid w:val="3F0C1EF1"/>
    <w:rsid w:val="3F112089"/>
    <w:rsid w:val="3F155427"/>
    <w:rsid w:val="3F253F62"/>
    <w:rsid w:val="3F4635A2"/>
    <w:rsid w:val="3F47212A"/>
    <w:rsid w:val="3F475F7D"/>
    <w:rsid w:val="3F5F313B"/>
    <w:rsid w:val="3F713B15"/>
    <w:rsid w:val="3F786788"/>
    <w:rsid w:val="3F7B2D15"/>
    <w:rsid w:val="3F836EDA"/>
    <w:rsid w:val="3F872CE1"/>
    <w:rsid w:val="3F890995"/>
    <w:rsid w:val="3F8C2233"/>
    <w:rsid w:val="3F8E57DE"/>
    <w:rsid w:val="3F955D9F"/>
    <w:rsid w:val="3FAE21A9"/>
    <w:rsid w:val="3FAE3F57"/>
    <w:rsid w:val="3FB157F6"/>
    <w:rsid w:val="3FB84EEE"/>
    <w:rsid w:val="3FBA0DAF"/>
    <w:rsid w:val="3FC37237"/>
    <w:rsid w:val="3FC65AEC"/>
    <w:rsid w:val="3FCE0156"/>
    <w:rsid w:val="3FCF152A"/>
    <w:rsid w:val="3FE209BF"/>
    <w:rsid w:val="3FF22CF9"/>
    <w:rsid w:val="40070A53"/>
    <w:rsid w:val="40175665"/>
    <w:rsid w:val="40377B31"/>
    <w:rsid w:val="403B42BF"/>
    <w:rsid w:val="406805AA"/>
    <w:rsid w:val="406B3BF6"/>
    <w:rsid w:val="4070745F"/>
    <w:rsid w:val="407D65A6"/>
    <w:rsid w:val="40890521"/>
    <w:rsid w:val="40891FAA"/>
    <w:rsid w:val="40920D1A"/>
    <w:rsid w:val="40A3710B"/>
    <w:rsid w:val="40D35049"/>
    <w:rsid w:val="40E51BFB"/>
    <w:rsid w:val="40EA5463"/>
    <w:rsid w:val="40EE65D6"/>
    <w:rsid w:val="41095CC0"/>
    <w:rsid w:val="411570A6"/>
    <w:rsid w:val="41163E57"/>
    <w:rsid w:val="411B561D"/>
    <w:rsid w:val="411E510D"/>
    <w:rsid w:val="411F7A6D"/>
    <w:rsid w:val="412D35A2"/>
    <w:rsid w:val="413967CE"/>
    <w:rsid w:val="414601C0"/>
    <w:rsid w:val="4148394F"/>
    <w:rsid w:val="4155536A"/>
    <w:rsid w:val="415B1EBD"/>
    <w:rsid w:val="416D399E"/>
    <w:rsid w:val="417337A3"/>
    <w:rsid w:val="41734511"/>
    <w:rsid w:val="41756760"/>
    <w:rsid w:val="41795897"/>
    <w:rsid w:val="41881862"/>
    <w:rsid w:val="41884265"/>
    <w:rsid w:val="418D3932"/>
    <w:rsid w:val="4191768D"/>
    <w:rsid w:val="41A25E91"/>
    <w:rsid w:val="41BC45CF"/>
    <w:rsid w:val="41D35EF7"/>
    <w:rsid w:val="41DE4E43"/>
    <w:rsid w:val="41DE664A"/>
    <w:rsid w:val="41EC59B9"/>
    <w:rsid w:val="41F40B49"/>
    <w:rsid w:val="42134767"/>
    <w:rsid w:val="42176B1E"/>
    <w:rsid w:val="42310E70"/>
    <w:rsid w:val="423E1303"/>
    <w:rsid w:val="42415557"/>
    <w:rsid w:val="424A292D"/>
    <w:rsid w:val="424C3C39"/>
    <w:rsid w:val="426E4414"/>
    <w:rsid w:val="42733236"/>
    <w:rsid w:val="42823479"/>
    <w:rsid w:val="428D254A"/>
    <w:rsid w:val="4294732F"/>
    <w:rsid w:val="429A5DEF"/>
    <w:rsid w:val="429F227D"/>
    <w:rsid w:val="42A744B9"/>
    <w:rsid w:val="42AD3612"/>
    <w:rsid w:val="42B6123C"/>
    <w:rsid w:val="42BB2E6C"/>
    <w:rsid w:val="42BE6BA7"/>
    <w:rsid w:val="42C9430A"/>
    <w:rsid w:val="42D261AF"/>
    <w:rsid w:val="42D33CD5"/>
    <w:rsid w:val="42E068D9"/>
    <w:rsid w:val="42E102FD"/>
    <w:rsid w:val="42E14644"/>
    <w:rsid w:val="42E40883"/>
    <w:rsid w:val="42E5365A"/>
    <w:rsid w:val="42F01311"/>
    <w:rsid w:val="42FC5EFD"/>
    <w:rsid w:val="430218B4"/>
    <w:rsid w:val="43087A30"/>
    <w:rsid w:val="430B346F"/>
    <w:rsid w:val="430E701E"/>
    <w:rsid w:val="431E7670"/>
    <w:rsid w:val="432D6C45"/>
    <w:rsid w:val="432F2A9F"/>
    <w:rsid w:val="433E035F"/>
    <w:rsid w:val="43515CE6"/>
    <w:rsid w:val="436037BB"/>
    <w:rsid w:val="436239D7"/>
    <w:rsid w:val="43663CEB"/>
    <w:rsid w:val="43746378"/>
    <w:rsid w:val="43754D8C"/>
    <w:rsid w:val="43784FA8"/>
    <w:rsid w:val="437B4B83"/>
    <w:rsid w:val="437D25BE"/>
    <w:rsid w:val="43853221"/>
    <w:rsid w:val="43975501"/>
    <w:rsid w:val="439E0787"/>
    <w:rsid w:val="43A075B7"/>
    <w:rsid w:val="43A13C0B"/>
    <w:rsid w:val="43AB10E1"/>
    <w:rsid w:val="43B65AD0"/>
    <w:rsid w:val="43BC023E"/>
    <w:rsid w:val="43CD4BC8"/>
    <w:rsid w:val="43DE1C6F"/>
    <w:rsid w:val="43F400B3"/>
    <w:rsid w:val="44022AC4"/>
    <w:rsid w:val="44041B52"/>
    <w:rsid w:val="440709DF"/>
    <w:rsid w:val="44071A17"/>
    <w:rsid w:val="440F3111"/>
    <w:rsid w:val="441519DE"/>
    <w:rsid w:val="44156192"/>
    <w:rsid w:val="441E3989"/>
    <w:rsid w:val="44483D85"/>
    <w:rsid w:val="445F529F"/>
    <w:rsid w:val="447A3488"/>
    <w:rsid w:val="447D31D0"/>
    <w:rsid w:val="44882599"/>
    <w:rsid w:val="44A57770"/>
    <w:rsid w:val="44A60263"/>
    <w:rsid w:val="44A7469E"/>
    <w:rsid w:val="44B53A55"/>
    <w:rsid w:val="44BA514C"/>
    <w:rsid w:val="44BC2C73"/>
    <w:rsid w:val="44C028D3"/>
    <w:rsid w:val="44C257D4"/>
    <w:rsid w:val="44DA57EF"/>
    <w:rsid w:val="44DB6E6E"/>
    <w:rsid w:val="44DF1057"/>
    <w:rsid w:val="44E35950"/>
    <w:rsid w:val="44EA3A8A"/>
    <w:rsid w:val="44ED393A"/>
    <w:rsid w:val="44FF0DF9"/>
    <w:rsid w:val="450534B4"/>
    <w:rsid w:val="450B59A8"/>
    <w:rsid w:val="45142781"/>
    <w:rsid w:val="45234EE5"/>
    <w:rsid w:val="45240818"/>
    <w:rsid w:val="45280575"/>
    <w:rsid w:val="4540575D"/>
    <w:rsid w:val="45433394"/>
    <w:rsid w:val="454669E0"/>
    <w:rsid w:val="454A2AF9"/>
    <w:rsid w:val="454D7D6F"/>
    <w:rsid w:val="455E66DB"/>
    <w:rsid w:val="455F57C9"/>
    <w:rsid w:val="456926CF"/>
    <w:rsid w:val="4579008B"/>
    <w:rsid w:val="45796B3B"/>
    <w:rsid w:val="458A316C"/>
    <w:rsid w:val="45934E1E"/>
    <w:rsid w:val="45990EFA"/>
    <w:rsid w:val="45AB3E07"/>
    <w:rsid w:val="45C42C62"/>
    <w:rsid w:val="45CA3FB8"/>
    <w:rsid w:val="45CE5353"/>
    <w:rsid w:val="45D64EE0"/>
    <w:rsid w:val="45EF7078"/>
    <w:rsid w:val="4606307C"/>
    <w:rsid w:val="46101FCC"/>
    <w:rsid w:val="4614088C"/>
    <w:rsid w:val="461F6144"/>
    <w:rsid w:val="461F6BBA"/>
    <w:rsid w:val="462036D5"/>
    <w:rsid w:val="46205483"/>
    <w:rsid w:val="462A06D3"/>
    <w:rsid w:val="462A6302"/>
    <w:rsid w:val="463B050F"/>
    <w:rsid w:val="463C1AC9"/>
    <w:rsid w:val="465B5DCE"/>
    <w:rsid w:val="46647A66"/>
    <w:rsid w:val="467A1461"/>
    <w:rsid w:val="467E386E"/>
    <w:rsid w:val="46872C73"/>
    <w:rsid w:val="468E4AE3"/>
    <w:rsid w:val="469556DD"/>
    <w:rsid w:val="46957C1F"/>
    <w:rsid w:val="469D4D26"/>
    <w:rsid w:val="46A77952"/>
    <w:rsid w:val="46BE34E7"/>
    <w:rsid w:val="46BE6B5C"/>
    <w:rsid w:val="46CC1167"/>
    <w:rsid w:val="46D1677D"/>
    <w:rsid w:val="46D834D4"/>
    <w:rsid w:val="46DF52CB"/>
    <w:rsid w:val="46F14C34"/>
    <w:rsid w:val="46F5246C"/>
    <w:rsid w:val="46FB7DC6"/>
    <w:rsid w:val="47013507"/>
    <w:rsid w:val="47297420"/>
    <w:rsid w:val="472A1390"/>
    <w:rsid w:val="47482EE3"/>
    <w:rsid w:val="47574ED5"/>
    <w:rsid w:val="475E752D"/>
    <w:rsid w:val="47633879"/>
    <w:rsid w:val="47655843"/>
    <w:rsid w:val="47835CCA"/>
    <w:rsid w:val="47860E2F"/>
    <w:rsid w:val="478D08F6"/>
    <w:rsid w:val="47A03D38"/>
    <w:rsid w:val="47AF2F63"/>
    <w:rsid w:val="47C3256A"/>
    <w:rsid w:val="47CC58C3"/>
    <w:rsid w:val="47D50476"/>
    <w:rsid w:val="47D91D8D"/>
    <w:rsid w:val="47DE0E2A"/>
    <w:rsid w:val="47DF3D79"/>
    <w:rsid w:val="47FC782A"/>
    <w:rsid w:val="47FE76D7"/>
    <w:rsid w:val="480212E4"/>
    <w:rsid w:val="4833327D"/>
    <w:rsid w:val="483B2A48"/>
    <w:rsid w:val="483D2F80"/>
    <w:rsid w:val="483D49AD"/>
    <w:rsid w:val="48403BBB"/>
    <w:rsid w:val="484E7138"/>
    <w:rsid w:val="485706ED"/>
    <w:rsid w:val="485805A6"/>
    <w:rsid w:val="48693111"/>
    <w:rsid w:val="486C0E54"/>
    <w:rsid w:val="48713324"/>
    <w:rsid w:val="48724537"/>
    <w:rsid w:val="4878361E"/>
    <w:rsid w:val="487C1E4D"/>
    <w:rsid w:val="489F5472"/>
    <w:rsid w:val="48AE6D76"/>
    <w:rsid w:val="48B62DBE"/>
    <w:rsid w:val="48C95384"/>
    <w:rsid w:val="48CC544E"/>
    <w:rsid w:val="48CE7418"/>
    <w:rsid w:val="48D204B0"/>
    <w:rsid w:val="48E45D61"/>
    <w:rsid w:val="48F1069A"/>
    <w:rsid w:val="48F30C2D"/>
    <w:rsid w:val="4900165A"/>
    <w:rsid w:val="49047674"/>
    <w:rsid w:val="49060F7A"/>
    <w:rsid w:val="49097142"/>
    <w:rsid w:val="490B115C"/>
    <w:rsid w:val="491357D2"/>
    <w:rsid w:val="49241FE3"/>
    <w:rsid w:val="49311755"/>
    <w:rsid w:val="49377BA2"/>
    <w:rsid w:val="493D5006"/>
    <w:rsid w:val="495C4A24"/>
    <w:rsid w:val="4970227E"/>
    <w:rsid w:val="49753D38"/>
    <w:rsid w:val="497E1814"/>
    <w:rsid w:val="49867CF3"/>
    <w:rsid w:val="498C0651"/>
    <w:rsid w:val="499D49C4"/>
    <w:rsid w:val="49AB775A"/>
    <w:rsid w:val="49AD62D6"/>
    <w:rsid w:val="49B52386"/>
    <w:rsid w:val="49B642BE"/>
    <w:rsid w:val="49C01457"/>
    <w:rsid w:val="49C32CF5"/>
    <w:rsid w:val="49C8030C"/>
    <w:rsid w:val="49C83A47"/>
    <w:rsid w:val="49C9141A"/>
    <w:rsid w:val="49DE7F41"/>
    <w:rsid w:val="49E36EF3"/>
    <w:rsid w:val="49E84E4C"/>
    <w:rsid w:val="49F05721"/>
    <w:rsid w:val="4A007AA5"/>
    <w:rsid w:val="4A1043C2"/>
    <w:rsid w:val="4A1C05B0"/>
    <w:rsid w:val="4A2D63C1"/>
    <w:rsid w:val="4A2F456A"/>
    <w:rsid w:val="4A323C2B"/>
    <w:rsid w:val="4A392FB7"/>
    <w:rsid w:val="4A4A5D6B"/>
    <w:rsid w:val="4A4F4589"/>
    <w:rsid w:val="4A5D56A3"/>
    <w:rsid w:val="4A623617"/>
    <w:rsid w:val="4A6242BC"/>
    <w:rsid w:val="4A772A2A"/>
    <w:rsid w:val="4A7E749E"/>
    <w:rsid w:val="4A8A1057"/>
    <w:rsid w:val="4A8D13EF"/>
    <w:rsid w:val="4A8E4F9A"/>
    <w:rsid w:val="4A8F0E29"/>
    <w:rsid w:val="4A8F7DB6"/>
    <w:rsid w:val="4A934E3E"/>
    <w:rsid w:val="4A946146"/>
    <w:rsid w:val="4AA76173"/>
    <w:rsid w:val="4AB10DA0"/>
    <w:rsid w:val="4AB332C5"/>
    <w:rsid w:val="4ABB259D"/>
    <w:rsid w:val="4AC30AA9"/>
    <w:rsid w:val="4AC629FC"/>
    <w:rsid w:val="4AD54A8E"/>
    <w:rsid w:val="4AE20F59"/>
    <w:rsid w:val="4AE61A22"/>
    <w:rsid w:val="4AF60EA8"/>
    <w:rsid w:val="4B007631"/>
    <w:rsid w:val="4B01056E"/>
    <w:rsid w:val="4B054C48"/>
    <w:rsid w:val="4B166E55"/>
    <w:rsid w:val="4B1A6E45"/>
    <w:rsid w:val="4B1B12D4"/>
    <w:rsid w:val="4B233370"/>
    <w:rsid w:val="4B2E2886"/>
    <w:rsid w:val="4B2E419E"/>
    <w:rsid w:val="4B491DE2"/>
    <w:rsid w:val="4B4A4148"/>
    <w:rsid w:val="4B4C2876"/>
    <w:rsid w:val="4B4E2A92"/>
    <w:rsid w:val="4B505EBD"/>
    <w:rsid w:val="4B581FEE"/>
    <w:rsid w:val="4B5B0D64"/>
    <w:rsid w:val="4B5D4A84"/>
    <w:rsid w:val="4B6469EB"/>
    <w:rsid w:val="4B6936F9"/>
    <w:rsid w:val="4B8B15F1"/>
    <w:rsid w:val="4B923F4B"/>
    <w:rsid w:val="4BA45F7F"/>
    <w:rsid w:val="4BAB57EF"/>
    <w:rsid w:val="4BB513C0"/>
    <w:rsid w:val="4BBD5522"/>
    <w:rsid w:val="4BC71DDA"/>
    <w:rsid w:val="4BCE14DD"/>
    <w:rsid w:val="4BD623FF"/>
    <w:rsid w:val="4BD765E4"/>
    <w:rsid w:val="4BDD6412"/>
    <w:rsid w:val="4BEB540D"/>
    <w:rsid w:val="4BF76373"/>
    <w:rsid w:val="4BFA737C"/>
    <w:rsid w:val="4C001587"/>
    <w:rsid w:val="4C101AF6"/>
    <w:rsid w:val="4C2C2DD4"/>
    <w:rsid w:val="4C2D2F51"/>
    <w:rsid w:val="4C371B6A"/>
    <w:rsid w:val="4C417F01"/>
    <w:rsid w:val="4C6406E4"/>
    <w:rsid w:val="4C653BF0"/>
    <w:rsid w:val="4C716A38"/>
    <w:rsid w:val="4C94384C"/>
    <w:rsid w:val="4C975D73"/>
    <w:rsid w:val="4C9D15DC"/>
    <w:rsid w:val="4CBD1C7E"/>
    <w:rsid w:val="4CC36B68"/>
    <w:rsid w:val="4CD43BFB"/>
    <w:rsid w:val="4CDE6982"/>
    <w:rsid w:val="4CE30926"/>
    <w:rsid w:val="4CE629A2"/>
    <w:rsid w:val="4CE85D46"/>
    <w:rsid w:val="4CF029F8"/>
    <w:rsid w:val="4CF46F71"/>
    <w:rsid w:val="4D007DBC"/>
    <w:rsid w:val="4D0C31CE"/>
    <w:rsid w:val="4D0E24D9"/>
    <w:rsid w:val="4D0F224C"/>
    <w:rsid w:val="4D1D2513"/>
    <w:rsid w:val="4D2461B3"/>
    <w:rsid w:val="4D2970E7"/>
    <w:rsid w:val="4D437429"/>
    <w:rsid w:val="4D471771"/>
    <w:rsid w:val="4D4B1874"/>
    <w:rsid w:val="4D613EB0"/>
    <w:rsid w:val="4D7165FB"/>
    <w:rsid w:val="4D720CBA"/>
    <w:rsid w:val="4D7D140D"/>
    <w:rsid w:val="4D8409ED"/>
    <w:rsid w:val="4D8608E4"/>
    <w:rsid w:val="4D8A7823"/>
    <w:rsid w:val="4D8B1F41"/>
    <w:rsid w:val="4D8E7176"/>
    <w:rsid w:val="4D924EB8"/>
    <w:rsid w:val="4D9F75D5"/>
    <w:rsid w:val="4DA1334D"/>
    <w:rsid w:val="4DB6336C"/>
    <w:rsid w:val="4DC71A91"/>
    <w:rsid w:val="4DCC30F3"/>
    <w:rsid w:val="4DD01472"/>
    <w:rsid w:val="4DD43D1E"/>
    <w:rsid w:val="4DD97D0D"/>
    <w:rsid w:val="4DDB7025"/>
    <w:rsid w:val="4DDE0767"/>
    <w:rsid w:val="4DDE62FD"/>
    <w:rsid w:val="4DDF7E5A"/>
    <w:rsid w:val="4DEB57CD"/>
    <w:rsid w:val="4DFA480C"/>
    <w:rsid w:val="4DFC4A28"/>
    <w:rsid w:val="4E035269"/>
    <w:rsid w:val="4E12786B"/>
    <w:rsid w:val="4E2448D3"/>
    <w:rsid w:val="4E245D2B"/>
    <w:rsid w:val="4E3D7DA9"/>
    <w:rsid w:val="4E490870"/>
    <w:rsid w:val="4E534F9B"/>
    <w:rsid w:val="4E57517D"/>
    <w:rsid w:val="4E766588"/>
    <w:rsid w:val="4E7C3473"/>
    <w:rsid w:val="4E821D07"/>
    <w:rsid w:val="4E8C06FB"/>
    <w:rsid w:val="4E8D6674"/>
    <w:rsid w:val="4E947510"/>
    <w:rsid w:val="4E96204B"/>
    <w:rsid w:val="4EAB5EB9"/>
    <w:rsid w:val="4EAB740D"/>
    <w:rsid w:val="4EAD5D22"/>
    <w:rsid w:val="4EC049F7"/>
    <w:rsid w:val="4EC24D34"/>
    <w:rsid w:val="4EC76DE4"/>
    <w:rsid w:val="4ECA68D4"/>
    <w:rsid w:val="4ECF05AD"/>
    <w:rsid w:val="4EDB0584"/>
    <w:rsid w:val="4EF151DC"/>
    <w:rsid w:val="4EF460F6"/>
    <w:rsid w:val="4EF81243"/>
    <w:rsid w:val="4EF86F9D"/>
    <w:rsid w:val="4EFB0B2C"/>
    <w:rsid w:val="4EFD4C50"/>
    <w:rsid w:val="4F0A1380"/>
    <w:rsid w:val="4F0A6CD0"/>
    <w:rsid w:val="4F0D33ED"/>
    <w:rsid w:val="4F2149B4"/>
    <w:rsid w:val="4F224B62"/>
    <w:rsid w:val="4F261C03"/>
    <w:rsid w:val="4F343D4D"/>
    <w:rsid w:val="4F411D97"/>
    <w:rsid w:val="4F4C50C9"/>
    <w:rsid w:val="4F587A3C"/>
    <w:rsid w:val="4F5B577E"/>
    <w:rsid w:val="4F7725B8"/>
    <w:rsid w:val="4F792398"/>
    <w:rsid w:val="4F7A5C04"/>
    <w:rsid w:val="4F7D7C5D"/>
    <w:rsid w:val="4F846A83"/>
    <w:rsid w:val="4F890E35"/>
    <w:rsid w:val="4F8F375E"/>
    <w:rsid w:val="4FA16E5C"/>
    <w:rsid w:val="4FBD67D3"/>
    <w:rsid w:val="4FBF7ABB"/>
    <w:rsid w:val="4FC10DCD"/>
    <w:rsid w:val="4FD316E2"/>
    <w:rsid w:val="4FDD43E5"/>
    <w:rsid w:val="4FDD5236"/>
    <w:rsid w:val="4FDE2637"/>
    <w:rsid w:val="4FFA4F97"/>
    <w:rsid w:val="4FFE26B9"/>
    <w:rsid w:val="50001490"/>
    <w:rsid w:val="50003DB9"/>
    <w:rsid w:val="50020B50"/>
    <w:rsid w:val="500A2BAF"/>
    <w:rsid w:val="50210776"/>
    <w:rsid w:val="5024194A"/>
    <w:rsid w:val="502913D8"/>
    <w:rsid w:val="50292D83"/>
    <w:rsid w:val="503E65F8"/>
    <w:rsid w:val="50586D12"/>
    <w:rsid w:val="50615016"/>
    <w:rsid w:val="50746AF7"/>
    <w:rsid w:val="507879EC"/>
    <w:rsid w:val="508A1DA5"/>
    <w:rsid w:val="5095081C"/>
    <w:rsid w:val="50966A6E"/>
    <w:rsid w:val="50976EA9"/>
    <w:rsid w:val="50A33062"/>
    <w:rsid w:val="50A55251"/>
    <w:rsid w:val="50A70C7B"/>
    <w:rsid w:val="50AA2C30"/>
    <w:rsid w:val="50AF18DD"/>
    <w:rsid w:val="50AF5D81"/>
    <w:rsid w:val="50BB24F7"/>
    <w:rsid w:val="50C13E5A"/>
    <w:rsid w:val="50C22140"/>
    <w:rsid w:val="50C35389"/>
    <w:rsid w:val="50C85885"/>
    <w:rsid w:val="50D50B7A"/>
    <w:rsid w:val="50D91537"/>
    <w:rsid w:val="50DF79C4"/>
    <w:rsid w:val="50E45AA3"/>
    <w:rsid w:val="50E6470E"/>
    <w:rsid w:val="50FE67E5"/>
    <w:rsid w:val="510513BA"/>
    <w:rsid w:val="5113532F"/>
    <w:rsid w:val="51183927"/>
    <w:rsid w:val="512978E2"/>
    <w:rsid w:val="512E3501"/>
    <w:rsid w:val="5133250E"/>
    <w:rsid w:val="51361FFF"/>
    <w:rsid w:val="51363DAD"/>
    <w:rsid w:val="51401D53"/>
    <w:rsid w:val="51453FF0"/>
    <w:rsid w:val="5147420C"/>
    <w:rsid w:val="514D7E89"/>
    <w:rsid w:val="516052FD"/>
    <w:rsid w:val="517143AC"/>
    <w:rsid w:val="5176064D"/>
    <w:rsid w:val="517843C5"/>
    <w:rsid w:val="518C1C1F"/>
    <w:rsid w:val="518D03E1"/>
    <w:rsid w:val="518E3BE9"/>
    <w:rsid w:val="51987CBC"/>
    <w:rsid w:val="519D5616"/>
    <w:rsid w:val="51A74CAA"/>
    <w:rsid w:val="51A927D1"/>
    <w:rsid w:val="51CB6BEB"/>
    <w:rsid w:val="51CD67EE"/>
    <w:rsid w:val="51D31ABF"/>
    <w:rsid w:val="51E43809"/>
    <w:rsid w:val="51E46461"/>
    <w:rsid w:val="51E87E4E"/>
    <w:rsid w:val="51EC063D"/>
    <w:rsid w:val="51F2795F"/>
    <w:rsid w:val="51F577C4"/>
    <w:rsid w:val="51F85506"/>
    <w:rsid w:val="52075B24"/>
    <w:rsid w:val="520D445E"/>
    <w:rsid w:val="5221680B"/>
    <w:rsid w:val="52284795"/>
    <w:rsid w:val="522B768A"/>
    <w:rsid w:val="52305AAC"/>
    <w:rsid w:val="523816F1"/>
    <w:rsid w:val="52462715"/>
    <w:rsid w:val="52490CB4"/>
    <w:rsid w:val="524A1396"/>
    <w:rsid w:val="5252421B"/>
    <w:rsid w:val="525272B0"/>
    <w:rsid w:val="5253098E"/>
    <w:rsid w:val="5253273C"/>
    <w:rsid w:val="526E6E3E"/>
    <w:rsid w:val="52770B21"/>
    <w:rsid w:val="527A6550"/>
    <w:rsid w:val="527C2294"/>
    <w:rsid w:val="527E3FC2"/>
    <w:rsid w:val="52860582"/>
    <w:rsid w:val="528B1ED6"/>
    <w:rsid w:val="52952D55"/>
    <w:rsid w:val="529A65BD"/>
    <w:rsid w:val="529C40E3"/>
    <w:rsid w:val="529D3EE4"/>
    <w:rsid w:val="529F214D"/>
    <w:rsid w:val="52AD2D5C"/>
    <w:rsid w:val="52B61649"/>
    <w:rsid w:val="52BA4AFD"/>
    <w:rsid w:val="52C33D66"/>
    <w:rsid w:val="52C76A5D"/>
    <w:rsid w:val="52C7716E"/>
    <w:rsid w:val="52D46648"/>
    <w:rsid w:val="52E30ED8"/>
    <w:rsid w:val="52E359E2"/>
    <w:rsid w:val="52E579D6"/>
    <w:rsid w:val="52E87329"/>
    <w:rsid w:val="52ED0DE3"/>
    <w:rsid w:val="52EF1C4A"/>
    <w:rsid w:val="52F6132D"/>
    <w:rsid w:val="5303259D"/>
    <w:rsid w:val="530E3233"/>
    <w:rsid w:val="5311062D"/>
    <w:rsid w:val="532E7431"/>
    <w:rsid w:val="53310CD0"/>
    <w:rsid w:val="533B3627"/>
    <w:rsid w:val="536212FA"/>
    <w:rsid w:val="537266F4"/>
    <w:rsid w:val="53777E6D"/>
    <w:rsid w:val="538C4158"/>
    <w:rsid w:val="538F45EA"/>
    <w:rsid w:val="53963229"/>
    <w:rsid w:val="539F032F"/>
    <w:rsid w:val="539F3E8B"/>
    <w:rsid w:val="53A5521A"/>
    <w:rsid w:val="53AA020A"/>
    <w:rsid w:val="53AC050C"/>
    <w:rsid w:val="53B4545D"/>
    <w:rsid w:val="53BC50A8"/>
    <w:rsid w:val="53C265C7"/>
    <w:rsid w:val="53CB1FF1"/>
    <w:rsid w:val="53DA223D"/>
    <w:rsid w:val="53DF5431"/>
    <w:rsid w:val="53E90A53"/>
    <w:rsid w:val="53EA064B"/>
    <w:rsid w:val="53EB4926"/>
    <w:rsid w:val="53F00B8B"/>
    <w:rsid w:val="53F34990"/>
    <w:rsid w:val="53FD7AB8"/>
    <w:rsid w:val="54065CB8"/>
    <w:rsid w:val="540A502D"/>
    <w:rsid w:val="540D6224"/>
    <w:rsid w:val="54105BC6"/>
    <w:rsid w:val="54135959"/>
    <w:rsid w:val="54156CC8"/>
    <w:rsid w:val="54181E8F"/>
    <w:rsid w:val="541879C0"/>
    <w:rsid w:val="542E4D21"/>
    <w:rsid w:val="542E5629"/>
    <w:rsid w:val="5430022A"/>
    <w:rsid w:val="543625A5"/>
    <w:rsid w:val="54363A17"/>
    <w:rsid w:val="54370568"/>
    <w:rsid w:val="543C792C"/>
    <w:rsid w:val="544225A6"/>
    <w:rsid w:val="544C5423"/>
    <w:rsid w:val="544D6010"/>
    <w:rsid w:val="54534C76"/>
    <w:rsid w:val="54546517"/>
    <w:rsid w:val="54560490"/>
    <w:rsid w:val="54582A29"/>
    <w:rsid w:val="545D7674"/>
    <w:rsid w:val="547C0E3C"/>
    <w:rsid w:val="547E4657"/>
    <w:rsid w:val="54817A35"/>
    <w:rsid w:val="54845F1A"/>
    <w:rsid w:val="548C0A01"/>
    <w:rsid w:val="54901A26"/>
    <w:rsid w:val="54920A3C"/>
    <w:rsid w:val="5495703C"/>
    <w:rsid w:val="54A327AC"/>
    <w:rsid w:val="54AA3A11"/>
    <w:rsid w:val="54B8027F"/>
    <w:rsid w:val="54B92B9F"/>
    <w:rsid w:val="54BA23FA"/>
    <w:rsid w:val="54D00729"/>
    <w:rsid w:val="54D45DB6"/>
    <w:rsid w:val="54D9517B"/>
    <w:rsid w:val="54DB5397"/>
    <w:rsid w:val="54F549BE"/>
    <w:rsid w:val="54F63162"/>
    <w:rsid w:val="55020B76"/>
    <w:rsid w:val="550A7A2A"/>
    <w:rsid w:val="55131F35"/>
    <w:rsid w:val="55137725"/>
    <w:rsid w:val="551720FD"/>
    <w:rsid w:val="551E5284"/>
    <w:rsid w:val="55255AC7"/>
    <w:rsid w:val="55381463"/>
    <w:rsid w:val="553F71DB"/>
    <w:rsid w:val="554972D9"/>
    <w:rsid w:val="554A7E27"/>
    <w:rsid w:val="554C24E5"/>
    <w:rsid w:val="5553279E"/>
    <w:rsid w:val="556D1D67"/>
    <w:rsid w:val="558A3956"/>
    <w:rsid w:val="55962A27"/>
    <w:rsid w:val="55A51501"/>
    <w:rsid w:val="55B26DA9"/>
    <w:rsid w:val="55B856D8"/>
    <w:rsid w:val="55B86AF9"/>
    <w:rsid w:val="55BF6A67"/>
    <w:rsid w:val="55C24453"/>
    <w:rsid w:val="55C53951"/>
    <w:rsid w:val="55C73B6D"/>
    <w:rsid w:val="55C83395"/>
    <w:rsid w:val="55D80A2A"/>
    <w:rsid w:val="55D83684"/>
    <w:rsid w:val="55E24503"/>
    <w:rsid w:val="55E262B1"/>
    <w:rsid w:val="56155ACB"/>
    <w:rsid w:val="561F08D2"/>
    <w:rsid w:val="562543F0"/>
    <w:rsid w:val="5630526E"/>
    <w:rsid w:val="56356D29"/>
    <w:rsid w:val="56382375"/>
    <w:rsid w:val="564778C3"/>
    <w:rsid w:val="564C7744"/>
    <w:rsid w:val="565151E5"/>
    <w:rsid w:val="567325C1"/>
    <w:rsid w:val="56757125"/>
    <w:rsid w:val="568339A9"/>
    <w:rsid w:val="56842490"/>
    <w:rsid w:val="568B4B9B"/>
    <w:rsid w:val="568D645B"/>
    <w:rsid w:val="56A46172"/>
    <w:rsid w:val="56C046D1"/>
    <w:rsid w:val="56C124E0"/>
    <w:rsid w:val="56C67981"/>
    <w:rsid w:val="56D06A51"/>
    <w:rsid w:val="56F27015"/>
    <w:rsid w:val="56F5488D"/>
    <w:rsid w:val="56FA762A"/>
    <w:rsid w:val="56FE05EF"/>
    <w:rsid w:val="57014E5D"/>
    <w:rsid w:val="570F633F"/>
    <w:rsid w:val="571132F2"/>
    <w:rsid w:val="57123422"/>
    <w:rsid w:val="571701DC"/>
    <w:rsid w:val="572C3407"/>
    <w:rsid w:val="572D17AE"/>
    <w:rsid w:val="572D5C52"/>
    <w:rsid w:val="573408D3"/>
    <w:rsid w:val="57340D8E"/>
    <w:rsid w:val="573C40E7"/>
    <w:rsid w:val="573E7F16"/>
    <w:rsid w:val="574E5B20"/>
    <w:rsid w:val="575D4693"/>
    <w:rsid w:val="575E405D"/>
    <w:rsid w:val="57672F12"/>
    <w:rsid w:val="576E06D8"/>
    <w:rsid w:val="578D049F"/>
    <w:rsid w:val="57910D30"/>
    <w:rsid w:val="57911D3D"/>
    <w:rsid w:val="57914578"/>
    <w:rsid w:val="579B09E0"/>
    <w:rsid w:val="57A4224B"/>
    <w:rsid w:val="57BB500C"/>
    <w:rsid w:val="57BD26CF"/>
    <w:rsid w:val="57BD54F1"/>
    <w:rsid w:val="57CC7219"/>
    <w:rsid w:val="57DA0331"/>
    <w:rsid w:val="57DE0CFA"/>
    <w:rsid w:val="57F871FF"/>
    <w:rsid w:val="57F92A7C"/>
    <w:rsid w:val="57F95B34"/>
    <w:rsid w:val="58044368"/>
    <w:rsid w:val="580B4A9B"/>
    <w:rsid w:val="580C03E7"/>
    <w:rsid w:val="5810617A"/>
    <w:rsid w:val="58124FC9"/>
    <w:rsid w:val="58136BF6"/>
    <w:rsid w:val="581B1814"/>
    <w:rsid w:val="58274A78"/>
    <w:rsid w:val="582E3A6C"/>
    <w:rsid w:val="583A23D4"/>
    <w:rsid w:val="583B7EFB"/>
    <w:rsid w:val="583E1A0D"/>
    <w:rsid w:val="584274DB"/>
    <w:rsid w:val="585A7E7E"/>
    <w:rsid w:val="58604841"/>
    <w:rsid w:val="586E2E86"/>
    <w:rsid w:val="586F2AEE"/>
    <w:rsid w:val="58775D4B"/>
    <w:rsid w:val="58814A90"/>
    <w:rsid w:val="58896EB8"/>
    <w:rsid w:val="58911202"/>
    <w:rsid w:val="58A73CBE"/>
    <w:rsid w:val="58A81A34"/>
    <w:rsid w:val="58B71C77"/>
    <w:rsid w:val="58BA547C"/>
    <w:rsid w:val="58BD4DB3"/>
    <w:rsid w:val="58CD52E6"/>
    <w:rsid w:val="58D45880"/>
    <w:rsid w:val="58D70726"/>
    <w:rsid w:val="58DE20CD"/>
    <w:rsid w:val="58DF121D"/>
    <w:rsid w:val="58E3481A"/>
    <w:rsid w:val="58E95BA9"/>
    <w:rsid w:val="58F419FA"/>
    <w:rsid w:val="58F42681"/>
    <w:rsid w:val="58F52598"/>
    <w:rsid w:val="58FA064D"/>
    <w:rsid w:val="590029F6"/>
    <w:rsid w:val="59117203"/>
    <w:rsid w:val="591250FF"/>
    <w:rsid w:val="591C5F7E"/>
    <w:rsid w:val="5920039B"/>
    <w:rsid w:val="59231D05"/>
    <w:rsid w:val="59305585"/>
    <w:rsid w:val="59417793"/>
    <w:rsid w:val="59457D91"/>
    <w:rsid w:val="59726422"/>
    <w:rsid w:val="597A4A53"/>
    <w:rsid w:val="59A53FC9"/>
    <w:rsid w:val="59A87812"/>
    <w:rsid w:val="59B91ACE"/>
    <w:rsid w:val="59BB73DF"/>
    <w:rsid w:val="59BE7035"/>
    <w:rsid w:val="59C068BE"/>
    <w:rsid w:val="59C81C62"/>
    <w:rsid w:val="59C92EC4"/>
    <w:rsid w:val="59CA7788"/>
    <w:rsid w:val="59D0163F"/>
    <w:rsid w:val="59D33627"/>
    <w:rsid w:val="59E7033A"/>
    <w:rsid w:val="59E92BD6"/>
    <w:rsid w:val="5A027D02"/>
    <w:rsid w:val="5A056A12"/>
    <w:rsid w:val="5A0F6BEE"/>
    <w:rsid w:val="5A184997"/>
    <w:rsid w:val="5A250E62"/>
    <w:rsid w:val="5A33202B"/>
    <w:rsid w:val="5A37459D"/>
    <w:rsid w:val="5A453A57"/>
    <w:rsid w:val="5A4A001E"/>
    <w:rsid w:val="5A4B3D7D"/>
    <w:rsid w:val="5A597F3B"/>
    <w:rsid w:val="5A5A108A"/>
    <w:rsid w:val="5A5A6D5E"/>
    <w:rsid w:val="5A5D684E"/>
    <w:rsid w:val="5A623E64"/>
    <w:rsid w:val="5A663955"/>
    <w:rsid w:val="5A670EED"/>
    <w:rsid w:val="5A6A4D3D"/>
    <w:rsid w:val="5A7A2F5C"/>
    <w:rsid w:val="5A9D5E48"/>
    <w:rsid w:val="5AB7282E"/>
    <w:rsid w:val="5AB741B0"/>
    <w:rsid w:val="5AB75F5E"/>
    <w:rsid w:val="5AD02AFD"/>
    <w:rsid w:val="5ADC379C"/>
    <w:rsid w:val="5AF076C2"/>
    <w:rsid w:val="5AF20139"/>
    <w:rsid w:val="5AF97116"/>
    <w:rsid w:val="5AFF2BFD"/>
    <w:rsid w:val="5AFF7905"/>
    <w:rsid w:val="5B0D5B7E"/>
    <w:rsid w:val="5B4075E1"/>
    <w:rsid w:val="5B44356A"/>
    <w:rsid w:val="5B5B6D1A"/>
    <w:rsid w:val="5B6339F0"/>
    <w:rsid w:val="5B6A162C"/>
    <w:rsid w:val="5B6C2124"/>
    <w:rsid w:val="5B712E03"/>
    <w:rsid w:val="5B7C2D04"/>
    <w:rsid w:val="5B89568B"/>
    <w:rsid w:val="5B8F6B42"/>
    <w:rsid w:val="5B9774A3"/>
    <w:rsid w:val="5B993E74"/>
    <w:rsid w:val="5BA01302"/>
    <w:rsid w:val="5BA65FD3"/>
    <w:rsid w:val="5BA87F9D"/>
    <w:rsid w:val="5BB93137"/>
    <w:rsid w:val="5BBD57F6"/>
    <w:rsid w:val="5BBE331C"/>
    <w:rsid w:val="5BBE43E7"/>
    <w:rsid w:val="5BC30933"/>
    <w:rsid w:val="5BDC12DF"/>
    <w:rsid w:val="5BE70AC5"/>
    <w:rsid w:val="5BF13B3F"/>
    <w:rsid w:val="5BFA0713"/>
    <w:rsid w:val="5BFC2FEE"/>
    <w:rsid w:val="5BFF3E21"/>
    <w:rsid w:val="5C3637FE"/>
    <w:rsid w:val="5C49558A"/>
    <w:rsid w:val="5C4A2E02"/>
    <w:rsid w:val="5C4D08B6"/>
    <w:rsid w:val="5C547FB3"/>
    <w:rsid w:val="5C56756F"/>
    <w:rsid w:val="5C5910DD"/>
    <w:rsid w:val="5C5C174A"/>
    <w:rsid w:val="5C660C34"/>
    <w:rsid w:val="5C66635B"/>
    <w:rsid w:val="5C6A7000"/>
    <w:rsid w:val="5C6B0C96"/>
    <w:rsid w:val="5C6B5F84"/>
    <w:rsid w:val="5C790492"/>
    <w:rsid w:val="5C7C054B"/>
    <w:rsid w:val="5C817227"/>
    <w:rsid w:val="5C86208C"/>
    <w:rsid w:val="5C9522CF"/>
    <w:rsid w:val="5C98591B"/>
    <w:rsid w:val="5C9D73D6"/>
    <w:rsid w:val="5CA50CC0"/>
    <w:rsid w:val="5CBB7EA9"/>
    <w:rsid w:val="5CBF40FC"/>
    <w:rsid w:val="5CBF734C"/>
    <w:rsid w:val="5CCB51D1"/>
    <w:rsid w:val="5CCE30DB"/>
    <w:rsid w:val="5CDA46C6"/>
    <w:rsid w:val="5CDC1CAC"/>
    <w:rsid w:val="5CE45005"/>
    <w:rsid w:val="5CE50C85"/>
    <w:rsid w:val="5CEE53C4"/>
    <w:rsid w:val="5CEF60E5"/>
    <w:rsid w:val="5D046552"/>
    <w:rsid w:val="5D07484F"/>
    <w:rsid w:val="5D086ED8"/>
    <w:rsid w:val="5D0905C7"/>
    <w:rsid w:val="5D0E2082"/>
    <w:rsid w:val="5D126DFC"/>
    <w:rsid w:val="5D174567"/>
    <w:rsid w:val="5D1778D7"/>
    <w:rsid w:val="5D1C02FB"/>
    <w:rsid w:val="5D1D78B2"/>
    <w:rsid w:val="5D245401"/>
    <w:rsid w:val="5D283143"/>
    <w:rsid w:val="5D290C69"/>
    <w:rsid w:val="5D2B49E2"/>
    <w:rsid w:val="5D2E002E"/>
    <w:rsid w:val="5D32527B"/>
    <w:rsid w:val="5D414205"/>
    <w:rsid w:val="5D4646B0"/>
    <w:rsid w:val="5D586AB3"/>
    <w:rsid w:val="5D5A63AF"/>
    <w:rsid w:val="5D5B019B"/>
    <w:rsid w:val="5D640AF7"/>
    <w:rsid w:val="5D665A1A"/>
    <w:rsid w:val="5D714752"/>
    <w:rsid w:val="5D78456B"/>
    <w:rsid w:val="5D784B93"/>
    <w:rsid w:val="5D79399F"/>
    <w:rsid w:val="5D7D676A"/>
    <w:rsid w:val="5DAD53F7"/>
    <w:rsid w:val="5DB20C5F"/>
    <w:rsid w:val="5DB34C90"/>
    <w:rsid w:val="5DE132F2"/>
    <w:rsid w:val="5DE4431B"/>
    <w:rsid w:val="5DE54B90"/>
    <w:rsid w:val="5DEC36B0"/>
    <w:rsid w:val="5DF12E7C"/>
    <w:rsid w:val="5DF37348"/>
    <w:rsid w:val="5DF64FF0"/>
    <w:rsid w:val="5DF748C4"/>
    <w:rsid w:val="5DF83001"/>
    <w:rsid w:val="5DFD7092"/>
    <w:rsid w:val="5DFD7C17"/>
    <w:rsid w:val="5E1E66E4"/>
    <w:rsid w:val="5E224037"/>
    <w:rsid w:val="5E265FEF"/>
    <w:rsid w:val="5E2B3C63"/>
    <w:rsid w:val="5E2B43F0"/>
    <w:rsid w:val="5E545D2E"/>
    <w:rsid w:val="5E656238"/>
    <w:rsid w:val="5E6F4DA2"/>
    <w:rsid w:val="5E7457CA"/>
    <w:rsid w:val="5E79352B"/>
    <w:rsid w:val="5E832C5E"/>
    <w:rsid w:val="5E9860A7"/>
    <w:rsid w:val="5E9B16F3"/>
    <w:rsid w:val="5EB44D5F"/>
    <w:rsid w:val="5EBA7F81"/>
    <w:rsid w:val="5EC65F91"/>
    <w:rsid w:val="5ECA57A0"/>
    <w:rsid w:val="5ED47F94"/>
    <w:rsid w:val="5EE969FF"/>
    <w:rsid w:val="5EF01A3F"/>
    <w:rsid w:val="5EF64B7B"/>
    <w:rsid w:val="5F053010"/>
    <w:rsid w:val="5F0674B4"/>
    <w:rsid w:val="5F122981"/>
    <w:rsid w:val="5F161E55"/>
    <w:rsid w:val="5F1C0A86"/>
    <w:rsid w:val="5F307A57"/>
    <w:rsid w:val="5F38751B"/>
    <w:rsid w:val="5F3A715E"/>
    <w:rsid w:val="5F435A75"/>
    <w:rsid w:val="5F443B39"/>
    <w:rsid w:val="5F56089F"/>
    <w:rsid w:val="5F5E109E"/>
    <w:rsid w:val="5F5E44B8"/>
    <w:rsid w:val="5F6F6A29"/>
    <w:rsid w:val="5F7740DD"/>
    <w:rsid w:val="5F812FDF"/>
    <w:rsid w:val="5F98434D"/>
    <w:rsid w:val="5FA55D1D"/>
    <w:rsid w:val="5FAF0B65"/>
    <w:rsid w:val="5FB663DC"/>
    <w:rsid w:val="5FB97F54"/>
    <w:rsid w:val="5FD142F6"/>
    <w:rsid w:val="5FDE2AE5"/>
    <w:rsid w:val="5FDF06DF"/>
    <w:rsid w:val="5FDF0EC5"/>
    <w:rsid w:val="5FE505D1"/>
    <w:rsid w:val="5FF67529"/>
    <w:rsid w:val="5FF67F8B"/>
    <w:rsid w:val="6004075F"/>
    <w:rsid w:val="6005151A"/>
    <w:rsid w:val="600A073C"/>
    <w:rsid w:val="60121E89"/>
    <w:rsid w:val="60140FB0"/>
    <w:rsid w:val="602A7D19"/>
    <w:rsid w:val="602D281F"/>
    <w:rsid w:val="602E618A"/>
    <w:rsid w:val="604007A4"/>
    <w:rsid w:val="60403315"/>
    <w:rsid w:val="604D4C6F"/>
    <w:rsid w:val="605A20CD"/>
    <w:rsid w:val="6060660E"/>
    <w:rsid w:val="60844B35"/>
    <w:rsid w:val="60850CC8"/>
    <w:rsid w:val="608A66C7"/>
    <w:rsid w:val="60927E40"/>
    <w:rsid w:val="60956D42"/>
    <w:rsid w:val="609863C2"/>
    <w:rsid w:val="60995CEB"/>
    <w:rsid w:val="609D3550"/>
    <w:rsid w:val="609E04DD"/>
    <w:rsid w:val="60A25B71"/>
    <w:rsid w:val="60C27AD9"/>
    <w:rsid w:val="60CC2038"/>
    <w:rsid w:val="60D27E15"/>
    <w:rsid w:val="60D809DC"/>
    <w:rsid w:val="60DC7DF6"/>
    <w:rsid w:val="60EF3731"/>
    <w:rsid w:val="60F33A68"/>
    <w:rsid w:val="60FE7C04"/>
    <w:rsid w:val="61087F2B"/>
    <w:rsid w:val="61185E12"/>
    <w:rsid w:val="611F485D"/>
    <w:rsid w:val="61202383"/>
    <w:rsid w:val="613563FB"/>
    <w:rsid w:val="6139505F"/>
    <w:rsid w:val="61573966"/>
    <w:rsid w:val="615F0F9F"/>
    <w:rsid w:val="617213B6"/>
    <w:rsid w:val="617D1584"/>
    <w:rsid w:val="61826B9A"/>
    <w:rsid w:val="61831714"/>
    <w:rsid w:val="618359EF"/>
    <w:rsid w:val="61850653"/>
    <w:rsid w:val="618D0081"/>
    <w:rsid w:val="618F680B"/>
    <w:rsid w:val="619E12DE"/>
    <w:rsid w:val="619F599E"/>
    <w:rsid w:val="61A94E66"/>
    <w:rsid w:val="61AE0914"/>
    <w:rsid w:val="61B171B9"/>
    <w:rsid w:val="61BC3CA7"/>
    <w:rsid w:val="61C94AD0"/>
    <w:rsid w:val="61D077E8"/>
    <w:rsid w:val="61D25B5E"/>
    <w:rsid w:val="61D5316E"/>
    <w:rsid w:val="61E1377C"/>
    <w:rsid w:val="61E6665C"/>
    <w:rsid w:val="61F432E9"/>
    <w:rsid w:val="61FF49E6"/>
    <w:rsid w:val="620D6DAC"/>
    <w:rsid w:val="621109F7"/>
    <w:rsid w:val="621912AD"/>
    <w:rsid w:val="621A4BF4"/>
    <w:rsid w:val="6221527E"/>
    <w:rsid w:val="62314848"/>
    <w:rsid w:val="62326CD0"/>
    <w:rsid w:val="624150E8"/>
    <w:rsid w:val="624445CD"/>
    <w:rsid w:val="62483940"/>
    <w:rsid w:val="62554079"/>
    <w:rsid w:val="62586279"/>
    <w:rsid w:val="625B3673"/>
    <w:rsid w:val="627004CB"/>
    <w:rsid w:val="627757F5"/>
    <w:rsid w:val="627841E1"/>
    <w:rsid w:val="627C0BE2"/>
    <w:rsid w:val="62802C81"/>
    <w:rsid w:val="628647C6"/>
    <w:rsid w:val="629570A7"/>
    <w:rsid w:val="62AE3BC9"/>
    <w:rsid w:val="62B66CD9"/>
    <w:rsid w:val="62C91692"/>
    <w:rsid w:val="62D36B7D"/>
    <w:rsid w:val="62D55870"/>
    <w:rsid w:val="62E90032"/>
    <w:rsid w:val="62EF64B1"/>
    <w:rsid w:val="62F87114"/>
    <w:rsid w:val="62FC74AA"/>
    <w:rsid w:val="63027F93"/>
    <w:rsid w:val="63047645"/>
    <w:rsid w:val="631023A5"/>
    <w:rsid w:val="631A52DC"/>
    <w:rsid w:val="631F3BDD"/>
    <w:rsid w:val="632501AE"/>
    <w:rsid w:val="63260125"/>
    <w:rsid w:val="632D7850"/>
    <w:rsid w:val="63385032"/>
    <w:rsid w:val="633A7B59"/>
    <w:rsid w:val="63564FE9"/>
    <w:rsid w:val="63567918"/>
    <w:rsid w:val="636B5B38"/>
    <w:rsid w:val="636F7AB5"/>
    <w:rsid w:val="63762FDD"/>
    <w:rsid w:val="637A5D7B"/>
    <w:rsid w:val="637C7D45"/>
    <w:rsid w:val="637D586B"/>
    <w:rsid w:val="637F5A87"/>
    <w:rsid w:val="63873431"/>
    <w:rsid w:val="63A70B3A"/>
    <w:rsid w:val="63AE798A"/>
    <w:rsid w:val="63BE65AF"/>
    <w:rsid w:val="63CE60C7"/>
    <w:rsid w:val="63E81E7E"/>
    <w:rsid w:val="63F035B2"/>
    <w:rsid w:val="63F40352"/>
    <w:rsid w:val="63F45964"/>
    <w:rsid w:val="63F5399B"/>
    <w:rsid w:val="64002BE9"/>
    <w:rsid w:val="64002DAD"/>
    <w:rsid w:val="64073490"/>
    <w:rsid w:val="64255E6C"/>
    <w:rsid w:val="642B3519"/>
    <w:rsid w:val="64310B49"/>
    <w:rsid w:val="643B19AE"/>
    <w:rsid w:val="64432C2F"/>
    <w:rsid w:val="64564E9C"/>
    <w:rsid w:val="646B641E"/>
    <w:rsid w:val="64794C32"/>
    <w:rsid w:val="64811712"/>
    <w:rsid w:val="648B3FB8"/>
    <w:rsid w:val="64986E00"/>
    <w:rsid w:val="64AE2DFD"/>
    <w:rsid w:val="64BD0F73"/>
    <w:rsid w:val="64C42DBE"/>
    <w:rsid w:val="64D020F2"/>
    <w:rsid w:val="64D1688D"/>
    <w:rsid w:val="64D63DE3"/>
    <w:rsid w:val="64E92B52"/>
    <w:rsid w:val="64F9030A"/>
    <w:rsid w:val="65021F15"/>
    <w:rsid w:val="650C50F9"/>
    <w:rsid w:val="651C400C"/>
    <w:rsid w:val="652060DB"/>
    <w:rsid w:val="65271E57"/>
    <w:rsid w:val="654523B9"/>
    <w:rsid w:val="6557694F"/>
    <w:rsid w:val="655A36F4"/>
    <w:rsid w:val="6567096C"/>
    <w:rsid w:val="656960A7"/>
    <w:rsid w:val="657A6D9C"/>
    <w:rsid w:val="657C2593"/>
    <w:rsid w:val="65815AE7"/>
    <w:rsid w:val="65887357"/>
    <w:rsid w:val="658C6239"/>
    <w:rsid w:val="65960E66"/>
    <w:rsid w:val="65982AA7"/>
    <w:rsid w:val="659F5F6D"/>
    <w:rsid w:val="65A47CEF"/>
    <w:rsid w:val="65A65A7A"/>
    <w:rsid w:val="65AB634D"/>
    <w:rsid w:val="65AC068A"/>
    <w:rsid w:val="65B71508"/>
    <w:rsid w:val="65C21C5B"/>
    <w:rsid w:val="65E21D27"/>
    <w:rsid w:val="65E77415"/>
    <w:rsid w:val="65E80116"/>
    <w:rsid w:val="65EB0784"/>
    <w:rsid w:val="65EC2816"/>
    <w:rsid w:val="65EE2A50"/>
    <w:rsid w:val="65F513EC"/>
    <w:rsid w:val="65FD3F7D"/>
    <w:rsid w:val="6602276E"/>
    <w:rsid w:val="660404C6"/>
    <w:rsid w:val="660E6EB8"/>
    <w:rsid w:val="66252916"/>
    <w:rsid w:val="6641012B"/>
    <w:rsid w:val="66415276"/>
    <w:rsid w:val="664B2F13"/>
    <w:rsid w:val="66524D8D"/>
    <w:rsid w:val="665925BF"/>
    <w:rsid w:val="66664513"/>
    <w:rsid w:val="666F1DE3"/>
    <w:rsid w:val="6692588C"/>
    <w:rsid w:val="66984CE5"/>
    <w:rsid w:val="66A20A47"/>
    <w:rsid w:val="66A9090B"/>
    <w:rsid w:val="66BD29F8"/>
    <w:rsid w:val="66C8787B"/>
    <w:rsid w:val="66CA0555"/>
    <w:rsid w:val="66CA3A4C"/>
    <w:rsid w:val="66CA7019"/>
    <w:rsid w:val="66F444C3"/>
    <w:rsid w:val="66F70FB4"/>
    <w:rsid w:val="66FD73EF"/>
    <w:rsid w:val="670118FF"/>
    <w:rsid w:val="67103B55"/>
    <w:rsid w:val="67136C12"/>
    <w:rsid w:val="671C18FE"/>
    <w:rsid w:val="67206C39"/>
    <w:rsid w:val="672506F4"/>
    <w:rsid w:val="67362CD8"/>
    <w:rsid w:val="673E5DDC"/>
    <w:rsid w:val="673F7A07"/>
    <w:rsid w:val="67422A7A"/>
    <w:rsid w:val="676C04B5"/>
    <w:rsid w:val="676D7292"/>
    <w:rsid w:val="677E1BB2"/>
    <w:rsid w:val="67862D2F"/>
    <w:rsid w:val="678C2521"/>
    <w:rsid w:val="67A45ABC"/>
    <w:rsid w:val="67A7312F"/>
    <w:rsid w:val="67AC671F"/>
    <w:rsid w:val="67B23308"/>
    <w:rsid w:val="67B8073B"/>
    <w:rsid w:val="67BC1D30"/>
    <w:rsid w:val="67C617B4"/>
    <w:rsid w:val="67C630ED"/>
    <w:rsid w:val="67C85EDA"/>
    <w:rsid w:val="67CA42A6"/>
    <w:rsid w:val="67CA4DF7"/>
    <w:rsid w:val="67D0240D"/>
    <w:rsid w:val="67D83F5A"/>
    <w:rsid w:val="67E22141"/>
    <w:rsid w:val="67F24A7A"/>
    <w:rsid w:val="67FB2B72"/>
    <w:rsid w:val="68014CBD"/>
    <w:rsid w:val="680E73DA"/>
    <w:rsid w:val="681871B6"/>
    <w:rsid w:val="681D761D"/>
    <w:rsid w:val="68235F37"/>
    <w:rsid w:val="68273FF7"/>
    <w:rsid w:val="6837444B"/>
    <w:rsid w:val="683C1071"/>
    <w:rsid w:val="683C3F47"/>
    <w:rsid w:val="683C7CBB"/>
    <w:rsid w:val="684921C0"/>
    <w:rsid w:val="684A65EF"/>
    <w:rsid w:val="684F3C7A"/>
    <w:rsid w:val="6856082A"/>
    <w:rsid w:val="687A5F1F"/>
    <w:rsid w:val="687C216C"/>
    <w:rsid w:val="68923B67"/>
    <w:rsid w:val="68955405"/>
    <w:rsid w:val="68987192"/>
    <w:rsid w:val="689A791B"/>
    <w:rsid w:val="689D4A69"/>
    <w:rsid w:val="689F6284"/>
    <w:rsid w:val="68B8486C"/>
    <w:rsid w:val="68BA785E"/>
    <w:rsid w:val="68BB130F"/>
    <w:rsid w:val="68BF6285"/>
    <w:rsid w:val="68D43659"/>
    <w:rsid w:val="68DB3760"/>
    <w:rsid w:val="68E31BD1"/>
    <w:rsid w:val="68EC6070"/>
    <w:rsid w:val="68F55EA4"/>
    <w:rsid w:val="68FC200E"/>
    <w:rsid w:val="68FC5484"/>
    <w:rsid w:val="6903064C"/>
    <w:rsid w:val="690537AA"/>
    <w:rsid w:val="690F3409"/>
    <w:rsid w:val="69187DBC"/>
    <w:rsid w:val="691A35EB"/>
    <w:rsid w:val="69252C2D"/>
    <w:rsid w:val="69274C15"/>
    <w:rsid w:val="692E7D33"/>
    <w:rsid w:val="693764BC"/>
    <w:rsid w:val="69492A51"/>
    <w:rsid w:val="69510D16"/>
    <w:rsid w:val="69564B94"/>
    <w:rsid w:val="695D5F23"/>
    <w:rsid w:val="695F6EEE"/>
    <w:rsid w:val="69672F68"/>
    <w:rsid w:val="696C3DAE"/>
    <w:rsid w:val="696F192A"/>
    <w:rsid w:val="69753738"/>
    <w:rsid w:val="6992402C"/>
    <w:rsid w:val="69951B60"/>
    <w:rsid w:val="69A42E48"/>
    <w:rsid w:val="69A55B1C"/>
    <w:rsid w:val="69B664FD"/>
    <w:rsid w:val="69C46096"/>
    <w:rsid w:val="69CB37D4"/>
    <w:rsid w:val="69D35793"/>
    <w:rsid w:val="69E42CF5"/>
    <w:rsid w:val="69F22218"/>
    <w:rsid w:val="69FD14B4"/>
    <w:rsid w:val="69FD3262"/>
    <w:rsid w:val="6A0C239A"/>
    <w:rsid w:val="6A164498"/>
    <w:rsid w:val="6A1C2563"/>
    <w:rsid w:val="6A22076C"/>
    <w:rsid w:val="6A3D7B02"/>
    <w:rsid w:val="6A470B0C"/>
    <w:rsid w:val="6A493E11"/>
    <w:rsid w:val="6A4A2EDA"/>
    <w:rsid w:val="6A560CED"/>
    <w:rsid w:val="6A620167"/>
    <w:rsid w:val="6A63694A"/>
    <w:rsid w:val="6A761AF8"/>
    <w:rsid w:val="6A840F9A"/>
    <w:rsid w:val="6A85194E"/>
    <w:rsid w:val="6A8676FB"/>
    <w:rsid w:val="6A876FCF"/>
    <w:rsid w:val="6A93078D"/>
    <w:rsid w:val="6AA40160"/>
    <w:rsid w:val="6AAF6C52"/>
    <w:rsid w:val="6AB0205E"/>
    <w:rsid w:val="6AB500CB"/>
    <w:rsid w:val="6AB6347D"/>
    <w:rsid w:val="6AC65D4A"/>
    <w:rsid w:val="6AD1795C"/>
    <w:rsid w:val="6AD54632"/>
    <w:rsid w:val="6ADE3093"/>
    <w:rsid w:val="6ADF0BB9"/>
    <w:rsid w:val="6AF5754E"/>
    <w:rsid w:val="6AFA4A81"/>
    <w:rsid w:val="6B00125C"/>
    <w:rsid w:val="6B0249A7"/>
    <w:rsid w:val="6B03416C"/>
    <w:rsid w:val="6B07083C"/>
    <w:rsid w:val="6B0845B4"/>
    <w:rsid w:val="6B1C5D1F"/>
    <w:rsid w:val="6B1E5B86"/>
    <w:rsid w:val="6B363B66"/>
    <w:rsid w:val="6B3C600C"/>
    <w:rsid w:val="6B4A6E5D"/>
    <w:rsid w:val="6B5A4350"/>
    <w:rsid w:val="6B6F4633"/>
    <w:rsid w:val="6B842395"/>
    <w:rsid w:val="6B9D6AAA"/>
    <w:rsid w:val="6B9E0A74"/>
    <w:rsid w:val="6BA53000"/>
    <w:rsid w:val="6BA73DCD"/>
    <w:rsid w:val="6BAC3191"/>
    <w:rsid w:val="6BAF1A37"/>
    <w:rsid w:val="6BB12556"/>
    <w:rsid w:val="6BC406D4"/>
    <w:rsid w:val="6BCC7390"/>
    <w:rsid w:val="6BD373D3"/>
    <w:rsid w:val="6BDD21B8"/>
    <w:rsid w:val="6BE070C8"/>
    <w:rsid w:val="6BEB1F0C"/>
    <w:rsid w:val="6BFB59B8"/>
    <w:rsid w:val="6C0703C8"/>
    <w:rsid w:val="6C0E79A8"/>
    <w:rsid w:val="6C136D6D"/>
    <w:rsid w:val="6C1D08E9"/>
    <w:rsid w:val="6C2C4784"/>
    <w:rsid w:val="6C3C5FA7"/>
    <w:rsid w:val="6C4038DA"/>
    <w:rsid w:val="6C4137D9"/>
    <w:rsid w:val="6C745CB9"/>
    <w:rsid w:val="6C8662B2"/>
    <w:rsid w:val="6C8E782C"/>
    <w:rsid w:val="6C9500C9"/>
    <w:rsid w:val="6C9818B5"/>
    <w:rsid w:val="6C9E6322"/>
    <w:rsid w:val="6C9F55AE"/>
    <w:rsid w:val="6CA129BA"/>
    <w:rsid w:val="6CA55910"/>
    <w:rsid w:val="6CAB6374"/>
    <w:rsid w:val="6CAC1B44"/>
    <w:rsid w:val="6CB30550"/>
    <w:rsid w:val="6CB760A5"/>
    <w:rsid w:val="6CC12C6C"/>
    <w:rsid w:val="6CCC6017"/>
    <w:rsid w:val="6CD656E8"/>
    <w:rsid w:val="6CDC5DFB"/>
    <w:rsid w:val="6CEA4B62"/>
    <w:rsid w:val="6CED20D5"/>
    <w:rsid w:val="6CF12F16"/>
    <w:rsid w:val="6CF941B4"/>
    <w:rsid w:val="6CFA617E"/>
    <w:rsid w:val="6D0F1C2A"/>
    <w:rsid w:val="6D107750"/>
    <w:rsid w:val="6D211FB3"/>
    <w:rsid w:val="6D2B5EE8"/>
    <w:rsid w:val="6D387E73"/>
    <w:rsid w:val="6D4D37F6"/>
    <w:rsid w:val="6D5939A1"/>
    <w:rsid w:val="6D5B4E6F"/>
    <w:rsid w:val="6D614340"/>
    <w:rsid w:val="6D6522C5"/>
    <w:rsid w:val="6D673814"/>
    <w:rsid w:val="6D761CA9"/>
    <w:rsid w:val="6D797432"/>
    <w:rsid w:val="6D7F1D07"/>
    <w:rsid w:val="6D840DA7"/>
    <w:rsid w:val="6D874D3F"/>
    <w:rsid w:val="6DA22A9E"/>
    <w:rsid w:val="6DAA3BEC"/>
    <w:rsid w:val="6DAE4EDC"/>
    <w:rsid w:val="6DC42A14"/>
    <w:rsid w:val="6DC63D25"/>
    <w:rsid w:val="6DC742B3"/>
    <w:rsid w:val="6DC9627D"/>
    <w:rsid w:val="6DCC5190"/>
    <w:rsid w:val="6DCE6C51"/>
    <w:rsid w:val="6DEF2231"/>
    <w:rsid w:val="6DF1132F"/>
    <w:rsid w:val="6E0472B5"/>
    <w:rsid w:val="6E082072"/>
    <w:rsid w:val="6E13574A"/>
    <w:rsid w:val="6E163A84"/>
    <w:rsid w:val="6E1B3D45"/>
    <w:rsid w:val="6E274D51"/>
    <w:rsid w:val="6E3457F4"/>
    <w:rsid w:val="6E3A4A84"/>
    <w:rsid w:val="6E407BC1"/>
    <w:rsid w:val="6E5B1B92"/>
    <w:rsid w:val="6E5D4C17"/>
    <w:rsid w:val="6E5D69C5"/>
    <w:rsid w:val="6E625F3F"/>
    <w:rsid w:val="6E71421E"/>
    <w:rsid w:val="6E851D42"/>
    <w:rsid w:val="6E895D4B"/>
    <w:rsid w:val="6EA13894"/>
    <w:rsid w:val="6EAC03BF"/>
    <w:rsid w:val="6EB8799F"/>
    <w:rsid w:val="6EC15E31"/>
    <w:rsid w:val="6ECD3B4B"/>
    <w:rsid w:val="6ED05D7B"/>
    <w:rsid w:val="6ED50C51"/>
    <w:rsid w:val="6EE32699"/>
    <w:rsid w:val="6EEE6378"/>
    <w:rsid w:val="6EF03395"/>
    <w:rsid w:val="6EFA3B42"/>
    <w:rsid w:val="6EFC6357"/>
    <w:rsid w:val="6F037E5A"/>
    <w:rsid w:val="6F062B1D"/>
    <w:rsid w:val="6F0C7FD5"/>
    <w:rsid w:val="6F215C44"/>
    <w:rsid w:val="6F235BB6"/>
    <w:rsid w:val="6F255FBF"/>
    <w:rsid w:val="6F2F0361"/>
    <w:rsid w:val="6F3C5AED"/>
    <w:rsid w:val="6F45316F"/>
    <w:rsid w:val="6F453824"/>
    <w:rsid w:val="6F457543"/>
    <w:rsid w:val="6F4E7950"/>
    <w:rsid w:val="6F4F0945"/>
    <w:rsid w:val="6F5E252A"/>
    <w:rsid w:val="6F664401"/>
    <w:rsid w:val="6F667AFB"/>
    <w:rsid w:val="6F7377C1"/>
    <w:rsid w:val="6F751AEC"/>
    <w:rsid w:val="6F7E41E1"/>
    <w:rsid w:val="6F7F02EA"/>
    <w:rsid w:val="6F865AA7"/>
    <w:rsid w:val="6F8929B2"/>
    <w:rsid w:val="6F975F07"/>
    <w:rsid w:val="6F9878D6"/>
    <w:rsid w:val="6F9A2F0D"/>
    <w:rsid w:val="6F9C0A0D"/>
    <w:rsid w:val="6F9F7B2E"/>
    <w:rsid w:val="6FA7439C"/>
    <w:rsid w:val="6FBA585B"/>
    <w:rsid w:val="6FC04B77"/>
    <w:rsid w:val="6FC860C0"/>
    <w:rsid w:val="6FCD18C6"/>
    <w:rsid w:val="6FD10631"/>
    <w:rsid w:val="6FE50A20"/>
    <w:rsid w:val="6FE56C72"/>
    <w:rsid w:val="700215D2"/>
    <w:rsid w:val="70075747"/>
    <w:rsid w:val="70090758"/>
    <w:rsid w:val="701D0E2C"/>
    <w:rsid w:val="701E7C50"/>
    <w:rsid w:val="703025E3"/>
    <w:rsid w:val="70457C69"/>
    <w:rsid w:val="704F233D"/>
    <w:rsid w:val="70531E2E"/>
    <w:rsid w:val="705E7870"/>
    <w:rsid w:val="70623260"/>
    <w:rsid w:val="706563DC"/>
    <w:rsid w:val="706B6565"/>
    <w:rsid w:val="706C3C5F"/>
    <w:rsid w:val="707A1AB0"/>
    <w:rsid w:val="7084648B"/>
    <w:rsid w:val="708E4251"/>
    <w:rsid w:val="70A72179"/>
    <w:rsid w:val="70C03E6F"/>
    <w:rsid w:val="70F51137"/>
    <w:rsid w:val="70FE1851"/>
    <w:rsid w:val="71017ADB"/>
    <w:rsid w:val="710475CC"/>
    <w:rsid w:val="710863D7"/>
    <w:rsid w:val="710B6BAC"/>
    <w:rsid w:val="7117203C"/>
    <w:rsid w:val="711B78B6"/>
    <w:rsid w:val="7122127C"/>
    <w:rsid w:val="7127397C"/>
    <w:rsid w:val="71376307"/>
    <w:rsid w:val="71384D7B"/>
    <w:rsid w:val="71485851"/>
    <w:rsid w:val="714B77BC"/>
    <w:rsid w:val="715776FB"/>
    <w:rsid w:val="715A4658"/>
    <w:rsid w:val="716E52AF"/>
    <w:rsid w:val="718D136F"/>
    <w:rsid w:val="71A010A2"/>
    <w:rsid w:val="71A05546"/>
    <w:rsid w:val="71A53F32"/>
    <w:rsid w:val="71C93B41"/>
    <w:rsid w:val="71D90A58"/>
    <w:rsid w:val="71DA5CC7"/>
    <w:rsid w:val="71DE1BCB"/>
    <w:rsid w:val="71DF3CE5"/>
    <w:rsid w:val="71ED1E0E"/>
    <w:rsid w:val="71F92EA9"/>
    <w:rsid w:val="71FE38FC"/>
    <w:rsid w:val="72001B41"/>
    <w:rsid w:val="72113D4E"/>
    <w:rsid w:val="7219067C"/>
    <w:rsid w:val="721E4002"/>
    <w:rsid w:val="72233A82"/>
    <w:rsid w:val="72323CC5"/>
    <w:rsid w:val="724063E2"/>
    <w:rsid w:val="72425427"/>
    <w:rsid w:val="724B2D44"/>
    <w:rsid w:val="726152EF"/>
    <w:rsid w:val="726E063E"/>
    <w:rsid w:val="727B38BE"/>
    <w:rsid w:val="727E273B"/>
    <w:rsid w:val="727F515C"/>
    <w:rsid w:val="72A01879"/>
    <w:rsid w:val="72B26270"/>
    <w:rsid w:val="72C62748"/>
    <w:rsid w:val="72CC4119"/>
    <w:rsid w:val="72DA7105"/>
    <w:rsid w:val="72E32C08"/>
    <w:rsid w:val="72ED4F8E"/>
    <w:rsid w:val="72F03865"/>
    <w:rsid w:val="72F21E9A"/>
    <w:rsid w:val="72F27C01"/>
    <w:rsid w:val="72FD6E6A"/>
    <w:rsid w:val="72FF44EF"/>
    <w:rsid w:val="73071583"/>
    <w:rsid w:val="73133F1E"/>
    <w:rsid w:val="731370ED"/>
    <w:rsid w:val="73155AC0"/>
    <w:rsid w:val="73287602"/>
    <w:rsid w:val="732C5ED6"/>
    <w:rsid w:val="733775DA"/>
    <w:rsid w:val="7338355D"/>
    <w:rsid w:val="733D544F"/>
    <w:rsid w:val="734817F7"/>
    <w:rsid w:val="7354206C"/>
    <w:rsid w:val="73663D1E"/>
    <w:rsid w:val="736670D3"/>
    <w:rsid w:val="73727061"/>
    <w:rsid w:val="73754EE7"/>
    <w:rsid w:val="73804C6D"/>
    <w:rsid w:val="73970146"/>
    <w:rsid w:val="73A17354"/>
    <w:rsid w:val="73A429A0"/>
    <w:rsid w:val="73AF7B5F"/>
    <w:rsid w:val="73B057E9"/>
    <w:rsid w:val="73BB4867"/>
    <w:rsid w:val="73BD2028"/>
    <w:rsid w:val="73C170FD"/>
    <w:rsid w:val="73C361DB"/>
    <w:rsid w:val="73CE4A1F"/>
    <w:rsid w:val="73E3171A"/>
    <w:rsid w:val="73E72640"/>
    <w:rsid w:val="73E969AB"/>
    <w:rsid w:val="73F11C9A"/>
    <w:rsid w:val="73F27BAF"/>
    <w:rsid w:val="74092E99"/>
    <w:rsid w:val="740D1624"/>
    <w:rsid w:val="74220495"/>
    <w:rsid w:val="743A014A"/>
    <w:rsid w:val="74416441"/>
    <w:rsid w:val="74450BAF"/>
    <w:rsid w:val="74511097"/>
    <w:rsid w:val="745368A0"/>
    <w:rsid w:val="74557DCE"/>
    <w:rsid w:val="745844B4"/>
    <w:rsid w:val="745939EF"/>
    <w:rsid w:val="745F3497"/>
    <w:rsid w:val="746133B9"/>
    <w:rsid w:val="74640AAD"/>
    <w:rsid w:val="74772881"/>
    <w:rsid w:val="74781E72"/>
    <w:rsid w:val="74842EFD"/>
    <w:rsid w:val="74880582"/>
    <w:rsid w:val="74913239"/>
    <w:rsid w:val="74A17ACC"/>
    <w:rsid w:val="74AD0DE9"/>
    <w:rsid w:val="74B17A6A"/>
    <w:rsid w:val="74DB215F"/>
    <w:rsid w:val="74DC1C15"/>
    <w:rsid w:val="74DE1A70"/>
    <w:rsid w:val="74ED7D0D"/>
    <w:rsid w:val="74F46631"/>
    <w:rsid w:val="74F65FDA"/>
    <w:rsid w:val="74FA31C0"/>
    <w:rsid w:val="75025D14"/>
    <w:rsid w:val="75045C97"/>
    <w:rsid w:val="750A2CD7"/>
    <w:rsid w:val="750C2CDE"/>
    <w:rsid w:val="752042E6"/>
    <w:rsid w:val="752072DC"/>
    <w:rsid w:val="752124FA"/>
    <w:rsid w:val="75236EB8"/>
    <w:rsid w:val="75243D99"/>
    <w:rsid w:val="75250343"/>
    <w:rsid w:val="7537210A"/>
    <w:rsid w:val="753C09DA"/>
    <w:rsid w:val="75581EB0"/>
    <w:rsid w:val="755B67E2"/>
    <w:rsid w:val="75771AE7"/>
    <w:rsid w:val="757A7C7B"/>
    <w:rsid w:val="75843084"/>
    <w:rsid w:val="758A5266"/>
    <w:rsid w:val="759541D1"/>
    <w:rsid w:val="759C65CD"/>
    <w:rsid w:val="75A45F3C"/>
    <w:rsid w:val="75A5137D"/>
    <w:rsid w:val="75B0028D"/>
    <w:rsid w:val="75B3511C"/>
    <w:rsid w:val="75B82733"/>
    <w:rsid w:val="75BF1D13"/>
    <w:rsid w:val="75BF692C"/>
    <w:rsid w:val="75C50751"/>
    <w:rsid w:val="75CC0F27"/>
    <w:rsid w:val="75DC0B17"/>
    <w:rsid w:val="75E44CC4"/>
    <w:rsid w:val="75E672A0"/>
    <w:rsid w:val="75F165AD"/>
    <w:rsid w:val="75F35076"/>
    <w:rsid w:val="7601057E"/>
    <w:rsid w:val="760A0B45"/>
    <w:rsid w:val="760B6D06"/>
    <w:rsid w:val="760F2C9B"/>
    <w:rsid w:val="76100DF8"/>
    <w:rsid w:val="76110F29"/>
    <w:rsid w:val="76225E14"/>
    <w:rsid w:val="762C68B4"/>
    <w:rsid w:val="762E5214"/>
    <w:rsid w:val="763B583E"/>
    <w:rsid w:val="764C17F9"/>
    <w:rsid w:val="76651BD2"/>
    <w:rsid w:val="76675A5D"/>
    <w:rsid w:val="76696660"/>
    <w:rsid w:val="767E572A"/>
    <w:rsid w:val="767E730C"/>
    <w:rsid w:val="768865A9"/>
    <w:rsid w:val="76931173"/>
    <w:rsid w:val="76944A39"/>
    <w:rsid w:val="76950FBC"/>
    <w:rsid w:val="76BD44A5"/>
    <w:rsid w:val="76BE1FCB"/>
    <w:rsid w:val="76C32392"/>
    <w:rsid w:val="76CD062C"/>
    <w:rsid w:val="76CF1A5A"/>
    <w:rsid w:val="76D4359C"/>
    <w:rsid w:val="76D67314"/>
    <w:rsid w:val="76DA1CAD"/>
    <w:rsid w:val="76F33371"/>
    <w:rsid w:val="76F37EC6"/>
    <w:rsid w:val="76F8090B"/>
    <w:rsid w:val="77033710"/>
    <w:rsid w:val="77093EA9"/>
    <w:rsid w:val="77163BB5"/>
    <w:rsid w:val="77206AB2"/>
    <w:rsid w:val="772B089E"/>
    <w:rsid w:val="772C076B"/>
    <w:rsid w:val="773B7C13"/>
    <w:rsid w:val="773F4EBA"/>
    <w:rsid w:val="7741313E"/>
    <w:rsid w:val="77525387"/>
    <w:rsid w:val="775868CA"/>
    <w:rsid w:val="775B1D3E"/>
    <w:rsid w:val="775C1F10"/>
    <w:rsid w:val="77613082"/>
    <w:rsid w:val="777032C5"/>
    <w:rsid w:val="77777D44"/>
    <w:rsid w:val="77954095"/>
    <w:rsid w:val="779E47F4"/>
    <w:rsid w:val="77A80CB1"/>
    <w:rsid w:val="77AA175A"/>
    <w:rsid w:val="77B070F5"/>
    <w:rsid w:val="77B67AF6"/>
    <w:rsid w:val="77B70EF4"/>
    <w:rsid w:val="77B71080"/>
    <w:rsid w:val="77B855B6"/>
    <w:rsid w:val="77BA4E88"/>
    <w:rsid w:val="77BE6726"/>
    <w:rsid w:val="780A196C"/>
    <w:rsid w:val="780D3330"/>
    <w:rsid w:val="780D467C"/>
    <w:rsid w:val="78153E6C"/>
    <w:rsid w:val="781770A0"/>
    <w:rsid w:val="781C02D3"/>
    <w:rsid w:val="782567A5"/>
    <w:rsid w:val="78306EF8"/>
    <w:rsid w:val="7839732A"/>
    <w:rsid w:val="7840713B"/>
    <w:rsid w:val="784120E7"/>
    <w:rsid w:val="78632E2A"/>
    <w:rsid w:val="786A6675"/>
    <w:rsid w:val="7881167C"/>
    <w:rsid w:val="78852DA0"/>
    <w:rsid w:val="788A485A"/>
    <w:rsid w:val="78A1455F"/>
    <w:rsid w:val="78A17F99"/>
    <w:rsid w:val="78B164B4"/>
    <w:rsid w:val="78B2790D"/>
    <w:rsid w:val="78B44EA3"/>
    <w:rsid w:val="78B95140"/>
    <w:rsid w:val="78BD078C"/>
    <w:rsid w:val="78C52B63"/>
    <w:rsid w:val="78D42392"/>
    <w:rsid w:val="78E214F8"/>
    <w:rsid w:val="78E722A6"/>
    <w:rsid w:val="78EA52F9"/>
    <w:rsid w:val="78EF7E10"/>
    <w:rsid w:val="78F10436"/>
    <w:rsid w:val="790463BB"/>
    <w:rsid w:val="79070A72"/>
    <w:rsid w:val="79116E06"/>
    <w:rsid w:val="7916284E"/>
    <w:rsid w:val="79166785"/>
    <w:rsid w:val="7917715F"/>
    <w:rsid w:val="791B3704"/>
    <w:rsid w:val="792C17FD"/>
    <w:rsid w:val="792C3B64"/>
    <w:rsid w:val="793629F7"/>
    <w:rsid w:val="794A5A1C"/>
    <w:rsid w:val="794B3FEA"/>
    <w:rsid w:val="794D31B6"/>
    <w:rsid w:val="795030F2"/>
    <w:rsid w:val="79595022"/>
    <w:rsid w:val="79646E59"/>
    <w:rsid w:val="796B5A23"/>
    <w:rsid w:val="796D676C"/>
    <w:rsid w:val="79870D9A"/>
    <w:rsid w:val="798C6425"/>
    <w:rsid w:val="79A6492F"/>
    <w:rsid w:val="79A85561"/>
    <w:rsid w:val="79B25482"/>
    <w:rsid w:val="79C95DCF"/>
    <w:rsid w:val="79CA1ABB"/>
    <w:rsid w:val="79D00993"/>
    <w:rsid w:val="79EE4319"/>
    <w:rsid w:val="79FF1D67"/>
    <w:rsid w:val="7A0423EA"/>
    <w:rsid w:val="7A1A39BC"/>
    <w:rsid w:val="7A274CFC"/>
    <w:rsid w:val="7A2B09D6"/>
    <w:rsid w:val="7A3410D9"/>
    <w:rsid w:val="7A3902E6"/>
    <w:rsid w:val="7A4874F5"/>
    <w:rsid w:val="7A513882"/>
    <w:rsid w:val="7A540C7C"/>
    <w:rsid w:val="7A5944E4"/>
    <w:rsid w:val="7A597291"/>
    <w:rsid w:val="7A6335B5"/>
    <w:rsid w:val="7A760650"/>
    <w:rsid w:val="7A887BF2"/>
    <w:rsid w:val="7A94551C"/>
    <w:rsid w:val="7A9543A7"/>
    <w:rsid w:val="7A965738"/>
    <w:rsid w:val="7A9C6A34"/>
    <w:rsid w:val="7AA24531"/>
    <w:rsid w:val="7AA31C03"/>
    <w:rsid w:val="7AB30E59"/>
    <w:rsid w:val="7ABB252F"/>
    <w:rsid w:val="7AC0649B"/>
    <w:rsid w:val="7ACB3368"/>
    <w:rsid w:val="7AD24297"/>
    <w:rsid w:val="7AEB5324"/>
    <w:rsid w:val="7AF1141E"/>
    <w:rsid w:val="7AF1296F"/>
    <w:rsid w:val="7AF97A75"/>
    <w:rsid w:val="7B02692A"/>
    <w:rsid w:val="7B063660"/>
    <w:rsid w:val="7B0D644D"/>
    <w:rsid w:val="7B120190"/>
    <w:rsid w:val="7B18614D"/>
    <w:rsid w:val="7B1C4F98"/>
    <w:rsid w:val="7B212602"/>
    <w:rsid w:val="7B2E3BC3"/>
    <w:rsid w:val="7B3311D9"/>
    <w:rsid w:val="7B406C2D"/>
    <w:rsid w:val="7B42766E"/>
    <w:rsid w:val="7B4B2CFB"/>
    <w:rsid w:val="7B503B39"/>
    <w:rsid w:val="7B520CA7"/>
    <w:rsid w:val="7B5A4576"/>
    <w:rsid w:val="7B642CC8"/>
    <w:rsid w:val="7B672C31"/>
    <w:rsid w:val="7B8657AD"/>
    <w:rsid w:val="7B8A7A76"/>
    <w:rsid w:val="7B8F1963"/>
    <w:rsid w:val="7B95779E"/>
    <w:rsid w:val="7B9713FD"/>
    <w:rsid w:val="7B9D48A5"/>
    <w:rsid w:val="7BA05D6F"/>
    <w:rsid w:val="7BA305F1"/>
    <w:rsid w:val="7BBC2F7D"/>
    <w:rsid w:val="7BBC3376"/>
    <w:rsid w:val="7BBD20D4"/>
    <w:rsid w:val="7BD31429"/>
    <w:rsid w:val="7BD61B65"/>
    <w:rsid w:val="7BDD1298"/>
    <w:rsid w:val="7BDE0A0C"/>
    <w:rsid w:val="7BE20509"/>
    <w:rsid w:val="7BE81DB8"/>
    <w:rsid w:val="7BEC1F58"/>
    <w:rsid w:val="7C044924"/>
    <w:rsid w:val="7C122B9D"/>
    <w:rsid w:val="7C1508DF"/>
    <w:rsid w:val="7C1576C6"/>
    <w:rsid w:val="7C1A66F4"/>
    <w:rsid w:val="7C1C1C6D"/>
    <w:rsid w:val="7C3012D4"/>
    <w:rsid w:val="7C307D2D"/>
    <w:rsid w:val="7C3F770A"/>
    <w:rsid w:val="7C54440B"/>
    <w:rsid w:val="7C5B3307"/>
    <w:rsid w:val="7C611D76"/>
    <w:rsid w:val="7C6747C6"/>
    <w:rsid w:val="7C684EB3"/>
    <w:rsid w:val="7C6E3EFC"/>
    <w:rsid w:val="7C6F1677"/>
    <w:rsid w:val="7C703DFB"/>
    <w:rsid w:val="7C85377B"/>
    <w:rsid w:val="7C887303"/>
    <w:rsid w:val="7C8F68E3"/>
    <w:rsid w:val="7C907F65"/>
    <w:rsid w:val="7C9A7858"/>
    <w:rsid w:val="7CA155CE"/>
    <w:rsid w:val="7CAD4FBB"/>
    <w:rsid w:val="7CB93A93"/>
    <w:rsid w:val="7CBF43FD"/>
    <w:rsid w:val="7CD12A58"/>
    <w:rsid w:val="7CE002CB"/>
    <w:rsid w:val="7CE81B50"/>
    <w:rsid w:val="7D08662D"/>
    <w:rsid w:val="7D0F6ECD"/>
    <w:rsid w:val="7D180687"/>
    <w:rsid w:val="7D1961AD"/>
    <w:rsid w:val="7D1C21F6"/>
    <w:rsid w:val="7D1F353E"/>
    <w:rsid w:val="7D2256E0"/>
    <w:rsid w:val="7D2471AE"/>
    <w:rsid w:val="7D2A660C"/>
    <w:rsid w:val="7D384885"/>
    <w:rsid w:val="7D3F0F24"/>
    <w:rsid w:val="7D3F20B7"/>
    <w:rsid w:val="7D403060"/>
    <w:rsid w:val="7D481BF3"/>
    <w:rsid w:val="7D4E22FA"/>
    <w:rsid w:val="7D5919D9"/>
    <w:rsid w:val="7D5C3AF1"/>
    <w:rsid w:val="7D7426FB"/>
    <w:rsid w:val="7D7B45CB"/>
    <w:rsid w:val="7D7D673C"/>
    <w:rsid w:val="7D8E0949"/>
    <w:rsid w:val="7DB55ED6"/>
    <w:rsid w:val="7DB60EBE"/>
    <w:rsid w:val="7DB76AA5"/>
    <w:rsid w:val="7DB83C18"/>
    <w:rsid w:val="7DBB54B6"/>
    <w:rsid w:val="7DCE51E9"/>
    <w:rsid w:val="7DD547CA"/>
    <w:rsid w:val="7DDC7906"/>
    <w:rsid w:val="7DDE2EAA"/>
    <w:rsid w:val="7DE844FD"/>
    <w:rsid w:val="7DF45FDD"/>
    <w:rsid w:val="7DF76897"/>
    <w:rsid w:val="7E106A78"/>
    <w:rsid w:val="7E1352F2"/>
    <w:rsid w:val="7E166F02"/>
    <w:rsid w:val="7E17093E"/>
    <w:rsid w:val="7E176B90"/>
    <w:rsid w:val="7E1E6E06"/>
    <w:rsid w:val="7E2766A8"/>
    <w:rsid w:val="7E3C09C0"/>
    <w:rsid w:val="7E3E2A9C"/>
    <w:rsid w:val="7E3F7E95"/>
    <w:rsid w:val="7E470AF8"/>
    <w:rsid w:val="7E4807C8"/>
    <w:rsid w:val="7E6228D9"/>
    <w:rsid w:val="7E630B36"/>
    <w:rsid w:val="7E6873EC"/>
    <w:rsid w:val="7E6E2528"/>
    <w:rsid w:val="7E6F0F4D"/>
    <w:rsid w:val="7E6F5FE6"/>
    <w:rsid w:val="7E7044F2"/>
    <w:rsid w:val="7E745D91"/>
    <w:rsid w:val="7E751B09"/>
    <w:rsid w:val="7E77762F"/>
    <w:rsid w:val="7E794EEE"/>
    <w:rsid w:val="7E8615CA"/>
    <w:rsid w:val="7E9975A5"/>
    <w:rsid w:val="7E9F624D"/>
    <w:rsid w:val="7EA67F14"/>
    <w:rsid w:val="7EAE296C"/>
    <w:rsid w:val="7EAF3E0E"/>
    <w:rsid w:val="7EB6125E"/>
    <w:rsid w:val="7ECA1799"/>
    <w:rsid w:val="7ED600FB"/>
    <w:rsid w:val="7EE43205"/>
    <w:rsid w:val="7EEF3669"/>
    <w:rsid w:val="7EF26CB5"/>
    <w:rsid w:val="7F0A00D7"/>
    <w:rsid w:val="7F26384E"/>
    <w:rsid w:val="7F2C13EE"/>
    <w:rsid w:val="7F2D4191"/>
    <w:rsid w:val="7F2D7CEE"/>
    <w:rsid w:val="7F3D630C"/>
    <w:rsid w:val="7F3E003F"/>
    <w:rsid w:val="7F413799"/>
    <w:rsid w:val="7F556C77"/>
    <w:rsid w:val="7F6C2F0C"/>
    <w:rsid w:val="7F6E6151"/>
    <w:rsid w:val="7F7555FC"/>
    <w:rsid w:val="7F7818B1"/>
    <w:rsid w:val="7F86183D"/>
    <w:rsid w:val="7F972415"/>
    <w:rsid w:val="7F982E42"/>
    <w:rsid w:val="7FA0738E"/>
    <w:rsid w:val="7FA20C8F"/>
    <w:rsid w:val="7FA53D28"/>
    <w:rsid w:val="7FAA7590"/>
    <w:rsid w:val="7FAC3308"/>
    <w:rsid w:val="7FAF431D"/>
    <w:rsid w:val="7FB46DC4"/>
    <w:rsid w:val="7FBB79EF"/>
    <w:rsid w:val="7FC16E81"/>
    <w:rsid w:val="7FCA0C9B"/>
    <w:rsid w:val="7FCC39AA"/>
    <w:rsid w:val="7FCD7592"/>
    <w:rsid w:val="7FD34A5A"/>
    <w:rsid w:val="7FDC2445"/>
    <w:rsid w:val="7FDD1714"/>
    <w:rsid w:val="7FF41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2"/>
    <w:basedOn w:val="1"/>
    <w:next w:val="1"/>
    <w:autoRedefine/>
    <w:qFormat/>
    <w:uiPriority w:val="1"/>
    <w:pPr>
      <w:spacing w:before="12"/>
      <w:ind w:left="3685"/>
      <w:outlineLvl w:val="1"/>
    </w:pPr>
    <w:rPr>
      <w:rFonts w:ascii="微软雅黑" w:hAnsi="微软雅黑" w:eastAsia="微软雅黑" w:cs="微软雅黑"/>
      <w:b/>
      <w:bCs/>
      <w:sz w:val="32"/>
      <w:szCs w:val="32"/>
      <w:lang w:val="zh-CN" w:eastAsia="zh-CN" w:bidi="zh-CN"/>
    </w:rPr>
  </w:style>
  <w:style w:type="paragraph" w:styleId="3">
    <w:name w:val="heading 3"/>
    <w:basedOn w:val="1"/>
    <w:next w:val="1"/>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4">
    <w:name w:val="heading 4"/>
    <w:basedOn w:val="1"/>
    <w:next w:val="1"/>
    <w:autoRedefine/>
    <w:qFormat/>
    <w:uiPriority w:val="1"/>
    <w:pPr>
      <w:jc w:val="center"/>
      <w:outlineLvl w:val="3"/>
    </w:pPr>
    <w:rPr>
      <w:rFonts w:ascii="微软雅黑" w:hAnsi="微软雅黑" w:eastAsia="微软雅黑" w:cs="微软雅黑"/>
      <w:b/>
      <w:bCs/>
      <w:sz w:val="28"/>
      <w:szCs w:val="28"/>
      <w:lang w:val="zh-CN" w:eastAsia="zh-CN" w:bidi="zh-CN"/>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firstLine="420"/>
    </w:pPr>
    <w:rPr>
      <w:sz w:val="21"/>
    </w:rPr>
  </w:style>
  <w:style w:type="paragraph" w:styleId="6">
    <w:name w:val="toa heading"/>
    <w:basedOn w:val="1"/>
    <w:next w:val="1"/>
    <w:autoRedefine/>
    <w:qFormat/>
    <w:uiPriority w:val="0"/>
    <w:pPr>
      <w:spacing w:before="120"/>
    </w:pPr>
    <w:rPr>
      <w:rFonts w:ascii="Arial" w:hAnsi="Arial"/>
      <w:sz w:val="24"/>
      <w:szCs w:val="21"/>
    </w:rPr>
  </w:style>
  <w:style w:type="paragraph" w:styleId="7">
    <w:name w:val="index 6"/>
    <w:basedOn w:val="1"/>
    <w:next w:val="1"/>
    <w:autoRedefine/>
    <w:qFormat/>
    <w:uiPriority w:val="99"/>
    <w:pPr>
      <w:ind w:left="2100"/>
    </w:pPr>
  </w:style>
  <w:style w:type="paragraph" w:styleId="8">
    <w:name w:val="Body Text"/>
    <w:basedOn w:val="1"/>
    <w:autoRedefine/>
    <w:qFormat/>
    <w:uiPriority w:val="1"/>
    <w:rPr>
      <w:rFonts w:ascii="宋体" w:hAnsi="宋体" w:eastAsia="宋体" w:cs="宋体"/>
      <w:sz w:val="21"/>
      <w:szCs w:val="21"/>
      <w:lang w:val="zh-CN" w:eastAsia="zh-CN" w:bidi="zh-CN"/>
    </w:rPr>
  </w:style>
  <w:style w:type="paragraph" w:styleId="9">
    <w:name w:val="Body Text Indent"/>
    <w:basedOn w:val="1"/>
    <w:next w:val="1"/>
    <w:autoRedefine/>
    <w:qFormat/>
    <w:uiPriority w:val="0"/>
    <w:pPr>
      <w:spacing w:line="360" w:lineRule="auto"/>
      <w:ind w:firstLine="560" w:firstLineChars="200"/>
    </w:pPr>
    <w:rPr>
      <w:sz w:val="28"/>
    </w:rPr>
  </w:style>
  <w:style w:type="paragraph" w:styleId="10">
    <w:name w:val="HTML Address"/>
    <w:basedOn w:val="1"/>
    <w:next w:val="8"/>
    <w:unhideWhenUsed/>
    <w:qFormat/>
    <w:uiPriority w:val="99"/>
    <w:pPr>
      <w:topLinePunct/>
    </w:pPr>
  </w:style>
  <w:style w:type="paragraph" w:styleId="11">
    <w:name w:val="Plain Text"/>
    <w:basedOn w:val="1"/>
    <w:autoRedefine/>
    <w:qFormat/>
    <w:uiPriority w:val="0"/>
    <w:rPr>
      <w:rFonts w:ascii="宋体" w:hAnsi="Courier New"/>
      <w:szCs w:val="20"/>
    </w:rPr>
  </w:style>
  <w:style w:type="paragraph" w:styleId="12">
    <w:name w:val="Date"/>
    <w:basedOn w:val="1"/>
    <w:next w:val="1"/>
    <w:autoRedefine/>
    <w:qFormat/>
    <w:uiPriority w:val="0"/>
    <w:rPr>
      <w:szCs w:val="24"/>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footnote text"/>
    <w:basedOn w:val="1"/>
    <w:autoRedefine/>
    <w:qFormat/>
    <w:uiPriority w:val="0"/>
    <w:pPr>
      <w:snapToGrid w:val="0"/>
      <w:spacing w:line="240" w:lineRule="auto"/>
      <w:jc w:val="left"/>
    </w:pPr>
    <w:rPr>
      <w:kern w:val="0"/>
      <w:sz w:val="18"/>
      <w:szCs w:val="18"/>
    </w:rPr>
  </w:style>
  <w:style w:type="paragraph" w:styleId="16">
    <w:name w:val="Message Header"/>
    <w:basedOn w:val="1"/>
    <w:next w:val="11"/>
    <w:autoRedefine/>
    <w:qFormat/>
    <w:uiPriority w:val="0"/>
    <w:pPr>
      <w:keepLines/>
      <w:widowControl/>
      <w:spacing w:after="40" w:line="140" w:lineRule="atLeast"/>
      <w:ind w:left="360"/>
      <w:jc w:val="left"/>
    </w:pPr>
    <w:rPr>
      <w:rFonts w:ascii="Garamond" w:hAnsi="Garamond" w:eastAsia="PMingLiU"/>
      <w:spacing w:val="-5"/>
      <w:kern w:val="0"/>
      <w:sz w:val="24"/>
      <w:szCs w:val="20"/>
      <w:lang w:eastAsia="zh-TW"/>
    </w:rPr>
  </w:style>
  <w:style w:type="paragraph" w:styleId="17">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18">
    <w:name w:val="Body Text First Indent"/>
    <w:basedOn w:val="8"/>
    <w:autoRedefine/>
    <w:qFormat/>
    <w:uiPriority w:val="0"/>
    <w:pPr>
      <w:spacing w:line="360" w:lineRule="auto"/>
      <w:ind w:firstLine="200" w:firstLineChars="200"/>
    </w:pPr>
    <w:rPr>
      <w:rFonts w:ascii="仿宋_GB2312" w:eastAsia="仿宋_GB2312"/>
      <w:sz w:val="30"/>
      <w:szCs w:val="30"/>
    </w:rPr>
  </w:style>
  <w:style w:type="paragraph" w:styleId="19">
    <w:name w:val="Body Text First Indent 2"/>
    <w:basedOn w:val="9"/>
    <w:autoRedefine/>
    <w:unhideWhenUsed/>
    <w:qFormat/>
    <w:uiPriority w:val="0"/>
    <w:pPr>
      <w:spacing w:after="120" w:line="240" w:lineRule="auto"/>
      <w:ind w:left="420" w:leftChars="200" w:firstLine="420"/>
    </w:pPr>
    <w:rPr>
      <w:sz w:val="21"/>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page number"/>
    <w:basedOn w:val="22"/>
    <w:autoRedefine/>
    <w:qFormat/>
    <w:uiPriority w:val="99"/>
  </w:style>
  <w:style w:type="character" w:styleId="25">
    <w:name w:val="Emphasis"/>
    <w:basedOn w:val="22"/>
    <w:autoRedefine/>
    <w:qFormat/>
    <w:uiPriority w:val="0"/>
    <w:rPr>
      <w:i/>
    </w:rPr>
  </w:style>
  <w:style w:type="character" w:styleId="26">
    <w:name w:val="HTML Sample"/>
    <w:basedOn w:val="22"/>
    <w:autoRedefine/>
    <w:qFormat/>
    <w:uiPriority w:val="0"/>
    <w:rPr>
      <w:rFonts w:ascii="Courier New" w:hAnsi="Courier New"/>
    </w:rPr>
  </w:style>
  <w:style w:type="paragraph" w:customStyle="1" w:styleId="27">
    <w:name w:val="文档正文"/>
    <w:basedOn w:val="5"/>
    <w:autoRedefine/>
    <w:qFormat/>
    <w:uiPriority w:val="0"/>
    <w:pPr>
      <w:spacing w:line="480" w:lineRule="atLeast"/>
      <w:textAlignment w:val="baseline"/>
    </w:pPr>
    <w:rPr>
      <w:kern w:val="0"/>
      <w:sz w:val="24"/>
    </w:rPr>
  </w:style>
  <w:style w:type="paragraph" w:customStyle="1" w:styleId="28">
    <w:name w:val="正文格式"/>
    <w:basedOn w:val="1"/>
    <w:autoRedefine/>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9">
    <w:name w:val="Style1"/>
    <w:basedOn w:val="1"/>
    <w:autoRedefine/>
    <w:qFormat/>
    <w:uiPriority w:val="0"/>
    <w:pPr>
      <w:overflowPunct w:val="0"/>
      <w:autoSpaceDE w:val="0"/>
      <w:autoSpaceDN w:val="0"/>
      <w:adjustRightInd w:val="0"/>
      <w:jc w:val="left"/>
      <w:textAlignment w:val="baseline"/>
    </w:pPr>
    <w:rPr>
      <w:rFonts w:ascii="Courier" w:hAnsi="Courier"/>
      <w:kern w:val="0"/>
      <w:sz w:val="20"/>
      <w:szCs w:val="20"/>
    </w:rPr>
  </w:style>
  <w:style w:type="paragraph" w:customStyle="1" w:styleId="30">
    <w:name w:val="目录 81"/>
    <w:basedOn w:val="1"/>
    <w:next w:val="1"/>
    <w:autoRedefine/>
    <w:qFormat/>
    <w:uiPriority w:val="0"/>
    <w:pPr>
      <w:ind w:left="1470"/>
      <w:jc w:val="left"/>
    </w:pPr>
    <w:rPr>
      <w:rFonts w:ascii="Times New Roman" w:hAnsi="Times New Roman" w:eastAsia="宋体" w:cs="Times New Roman"/>
      <w:szCs w:val="21"/>
    </w:rPr>
  </w:style>
  <w:style w:type="paragraph" w:customStyle="1" w:styleId="31">
    <w:name w:val="Normal_1"/>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32">
    <w:name w:val="Normal_1_0"/>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33">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34">
    <w:name w:val="Table Paragraph"/>
    <w:basedOn w:val="1"/>
    <w:autoRedefine/>
    <w:qFormat/>
    <w:uiPriority w:val="1"/>
    <w:rPr>
      <w:rFonts w:ascii="宋体" w:hAnsi="宋体" w:eastAsia="宋体" w:cs="宋体"/>
      <w:lang w:val="zh-CN" w:eastAsia="zh-CN" w:bidi="zh-CN"/>
    </w:rPr>
  </w:style>
  <w:style w:type="paragraph" w:customStyle="1" w:styleId="35">
    <w:name w:val="样式 标题 2 + Times New Roman 四号 非加粗 段前: 5 磅 段后: 0 磅 行距: 固定值 20..."/>
    <w:basedOn w:val="2"/>
    <w:autoRedefine/>
    <w:qFormat/>
    <w:uiPriority w:val="0"/>
    <w:pPr>
      <w:spacing w:before="100" w:after="0" w:line="400" w:lineRule="exact"/>
    </w:pPr>
    <w:rPr>
      <w:rFonts w:ascii="Times New Roman" w:hAnsi="Times New Roman" w:cs="宋体"/>
      <w:b w:val="0"/>
      <w:bCs w:val="0"/>
      <w:sz w:val="28"/>
      <w:szCs w:val="20"/>
      <w:lang w:bidi="ar-SA"/>
    </w:rPr>
  </w:style>
  <w:style w:type="paragraph" w:customStyle="1" w:styleId="36">
    <w:name w:val="正文_1_0"/>
    <w:basedOn w:val="37"/>
    <w:next w:val="4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2_0_0"/>
    <w:basedOn w:val="38"/>
    <w:next w:val="39"/>
    <w:autoRedefine/>
    <w:qFormat/>
    <w:uiPriority w:val="0"/>
    <w:rPr>
      <w:rFonts w:ascii="Calibri" w:hAnsi="Calibri"/>
      <w:szCs w:val="22"/>
    </w:rPr>
  </w:style>
  <w:style w:type="paragraph" w:customStyle="1" w:styleId="38">
    <w:name w:val="正文_3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文本_0_1"/>
    <w:basedOn w:val="40"/>
    <w:autoRedefine/>
    <w:qFormat/>
    <w:uiPriority w:val="0"/>
    <w:pPr>
      <w:spacing w:after="120"/>
    </w:pPr>
    <w:rPr>
      <w:rFonts w:ascii="Calibri" w:hAnsi="Calibri"/>
      <w:kern w:val="0"/>
      <w:sz w:val="20"/>
    </w:rPr>
  </w:style>
  <w:style w:type="paragraph" w:customStyle="1" w:styleId="40">
    <w:name w:val="正文_2_2"/>
    <w:next w:val="4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首行缩进 2_0"/>
    <w:basedOn w:val="42"/>
    <w:autoRedefine/>
    <w:qFormat/>
    <w:uiPriority w:val="0"/>
    <w:pPr>
      <w:ind w:firstLine="420" w:firstLineChars="200"/>
    </w:pPr>
  </w:style>
  <w:style w:type="paragraph" w:customStyle="1" w:styleId="42">
    <w:name w:val="正文文本缩进_0_1"/>
    <w:basedOn w:val="38"/>
    <w:autoRedefine/>
    <w:qFormat/>
    <w:uiPriority w:val="0"/>
    <w:pPr>
      <w:spacing w:line="500" w:lineRule="exact"/>
      <w:ind w:left="1588" w:leftChars="832" w:firstLine="433" w:firstLineChars="196"/>
    </w:pPr>
    <w:rPr>
      <w:rFonts w:ascii="Calibri" w:hAnsi="Calibri"/>
      <w:sz w:val="24"/>
    </w:rPr>
  </w:style>
  <w:style w:type="paragraph" w:customStyle="1" w:styleId="43">
    <w:name w:val="正文首行缩进1"/>
    <w:basedOn w:val="44"/>
    <w:autoRedefine/>
    <w:unhideWhenUsed/>
    <w:qFormat/>
    <w:uiPriority w:val="99"/>
    <w:pPr>
      <w:ind w:firstLine="201" w:firstLineChars="100"/>
      <w:jc w:val="left"/>
    </w:pPr>
    <w:rPr>
      <w:rFonts w:ascii="仿宋" w:hAnsi="仿宋" w:eastAsia="仿宋"/>
      <w:b/>
      <w:color w:val="0000FF"/>
      <w:szCs w:val="22"/>
    </w:rPr>
  </w:style>
  <w:style w:type="paragraph" w:customStyle="1" w:styleId="44">
    <w:name w:val="正文文本_0_0"/>
    <w:basedOn w:val="45"/>
    <w:autoRedefine/>
    <w:qFormat/>
    <w:uiPriority w:val="0"/>
    <w:pPr>
      <w:spacing w:after="120"/>
    </w:pPr>
    <w:rPr>
      <w:rFonts w:ascii="Calibri" w:hAnsi="Calibri"/>
      <w:kern w:val="0"/>
      <w:sz w:val="20"/>
    </w:rPr>
  </w:style>
  <w:style w:type="paragraph" w:customStyle="1" w:styleId="45">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列出段落1"/>
    <w:basedOn w:val="1"/>
    <w:autoRedefine/>
    <w:qFormat/>
    <w:uiPriority w:val="0"/>
    <w:pPr>
      <w:spacing w:line="240" w:lineRule="auto"/>
      <w:ind w:firstLine="420" w:firstLineChars="200"/>
    </w:pPr>
    <w:rPr>
      <w:sz w:val="21"/>
      <w:szCs w:val="24"/>
    </w:rPr>
  </w:style>
  <w:style w:type="paragraph" w:customStyle="1" w:styleId="47">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8">
    <w:name w:val="WPSOffice手动目录 1"/>
    <w:autoRedefine/>
    <w:qFormat/>
    <w:uiPriority w:val="0"/>
    <w:pPr>
      <w:ind w:leftChars="0"/>
    </w:pPr>
    <w:rPr>
      <w:rFonts w:ascii="Times New Roman" w:hAnsi="Times New Roman" w:eastAsia="宋体" w:cs="Times New Roman"/>
      <w:sz w:val="20"/>
      <w:szCs w:val="20"/>
    </w:rPr>
  </w:style>
  <w:style w:type="paragraph" w:customStyle="1" w:styleId="49">
    <w:name w:val="样式 首行缩进:  2 字符"/>
    <w:basedOn w:val="1"/>
    <w:autoRedefine/>
    <w:qFormat/>
    <w:uiPriority w:val="99"/>
    <w:pPr>
      <w:spacing w:beforeLines="50" w:afterLines="50"/>
      <w:ind w:firstLine="200" w:firstLineChars="200"/>
    </w:pPr>
    <w:rPr>
      <w:rFonts w:eastAsia="仿宋" w:cs="宋体"/>
      <w:sz w:val="24"/>
      <w:szCs w:val="20"/>
    </w:rPr>
  </w:style>
  <w:style w:type="paragraph" w:customStyle="1" w:styleId="50">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51">
    <w:name w:val="WPS Plain"/>
    <w:autoRedefine/>
    <w:qFormat/>
    <w:uiPriority w:val="99"/>
    <w:rPr>
      <w:rFonts w:ascii="Times New Roman" w:hAnsi="Times New Roman" w:eastAsia="宋体" w:cs="Times New Roman"/>
      <w:sz w:val="21"/>
      <w:szCs w:val="22"/>
      <w:lang w:val="en-US" w:eastAsia="zh-CN" w:bidi="ar-SA"/>
    </w:rPr>
  </w:style>
  <w:style w:type="paragraph" w:customStyle="1" w:styleId="52">
    <w:name w:val="正文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53">
    <w:name w:val="正文缩进1"/>
    <w:basedOn w:val="1"/>
    <w:autoRedefine/>
    <w:qFormat/>
    <w:uiPriority w:val="0"/>
    <w:pPr>
      <w:ind w:firstLine="567"/>
    </w:pPr>
    <w:rPr>
      <w:rFonts w:ascii="Times New Roman" w:hAnsi="Times New Roman" w:eastAsia="宋体" w:cs="Times New Roman"/>
      <w:spacing w:val="20"/>
      <w:sz w:val="24"/>
    </w:rPr>
  </w:style>
  <w:style w:type="paragraph" w:customStyle="1" w:styleId="5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5">
    <w:name w:val="Table Text"/>
    <w:basedOn w:val="1"/>
    <w:autoRedefine/>
    <w:semiHidden/>
    <w:qFormat/>
    <w:uiPriority w:val="0"/>
    <w:rPr>
      <w:rFonts w:ascii="宋体" w:hAnsi="宋体" w:eastAsia="宋体" w:cs="宋体"/>
      <w:sz w:val="22"/>
      <w:szCs w:val="22"/>
      <w:lang w:val="en-US" w:eastAsia="en-US" w:bidi="ar-SA"/>
    </w:rPr>
  </w:style>
  <w:style w:type="table" w:customStyle="1" w:styleId="56">
    <w:name w:val="Table Normal"/>
    <w:semiHidden/>
    <w:unhideWhenUsed/>
    <w:qFormat/>
    <w:uiPriority w:val="0"/>
    <w:tblPr>
      <w:tblCellMar>
        <w:top w:w="0" w:type="dxa"/>
        <w:left w:w="0" w:type="dxa"/>
        <w:bottom w:w="0" w:type="dxa"/>
        <w:right w:w="0" w:type="dxa"/>
      </w:tblCellMar>
    </w:tblPr>
  </w:style>
  <w:style w:type="character" w:customStyle="1" w:styleId="57">
    <w:name w:val="NormalCharacter"/>
    <w:link w:val="58"/>
    <w:autoRedefine/>
    <w:semiHidden/>
    <w:qFormat/>
    <w:uiPriority w:val="0"/>
  </w:style>
  <w:style w:type="paragraph" w:customStyle="1" w:styleId="58">
    <w:name w:val="UserStyle_5"/>
    <w:basedOn w:val="1"/>
    <w:link w:val="57"/>
    <w:autoRedefine/>
    <w:qFormat/>
    <w:uiPriority w:val="0"/>
    <w:pPr>
      <w:widowControl/>
      <w:spacing w:after="160" w:line="240" w:lineRule="exact"/>
      <w:jc w:val="left"/>
      <w:textAlignment w:val="baseline"/>
    </w:pPr>
  </w:style>
  <w:style w:type="paragraph" w:customStyle="1" w:styleId="59">
    <w:name w:val="Normal_0"/>
    <w:qFormat/>
    <w:uiPriority w:val="0"/>
    <w:rPr>
      <w:rFonts w:ascii="Times New Roman" w:hAnsi="Times New Roman" w:eastAsia="Times New Roman" w:cs="Times New Roman"/>
      <w:sz w:val="24"/>
      <w:szCs w:val="24"/>
      <w:lang w:val="en-US" w:eastAsia="zh-CN" w:bidi="ar-SA"/>
    </w:rPr>
  </w:style>
  <w:style w:type="paragraph" w:customStyle="1" w:styleId="60">
    <w:name w:val="BodyText1I2"/>
    <w:basedOn w:val="61"/>
    <w:next w:val="61"/>
    <w:qFormat/>
    <w:uiPriority w:val="0"/>
    <w:pPr>
      <w:ind w:firstLine="420" w:firstLineChars="200"/>
    </w:pPr>
    <w:rPr>
      <w:szCs w:val="24"/>
    </w:rPr>
  </w:style>
  <w:style w:type="paragraph" w:customStyle="1" w:styleId="61">
    <w:name w:val="BodyTextIndent"/>
    <w:basedOn w:val="1"/>
    <w:qFormat/>
    <w:uiPriority w:val="0"/>
    <w:pPr>
      <w:spacing w:after="120"/>
      <w:ind w:left="420" w:leftChars="200"/>
    </w:pPr>
    <w:rPr>
      <w:szCs w:val="22"/>
    </w:rPr>
  </w:style>
  <w:style w:type="paragraph" w:customStyle="1" w:styleId="62">
    <w:name w:val="Normal_0_0"/>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63">
    <w:name w:val="Default Text"/>
    <w:basedOn w:val="64"/>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4">
    <w:name w:val="正文_0"/>
    <w:basedOn w:val="65"/>
    <w:autoRedefine/>
    <w:qFormat/>
    <w:uiPriority w:val="0"/>
    <w:rPr>
      <w:szCs w:val="22"/>
    </w:rPr>
  </w:style>
  <w:style w:type="paragraph" w:customStyle="1" w:styleId="65">
    <w:name w:val="正文_1"/>
    <w:basedOn w:val="66"/>
    <w:next w:val="67"/>
    <w:autoRedefine/>
    <w:qFormat/>
    <w:uiPriority w:val="0"/>
    <w:rPr>
      <w:szCs w:val="24"/>
    </w:rPr>
  </w:style>
  <w:style w:type="paragraph" w:customStyle="1" w:styleId="66">
    <w:name w:val="正文_2_0"/>
    <w:next w:val="6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正文文本_0"/>
    <w:basedOn w:val="66"/>
    <w:autoRedefine/>
    <w:qFormat/>
    <w:uiPriority w:val="0"/>
    <w:pPr>
      <w:spacing w:after="120"/>
    </w:pPr>
    <w:rPr>
      <w:kern w:val="0"/>
      <w:sz w:val="20"/>
    </w:rPr>
  </w:style>
  <w:style w:type="paragraph" w:customStyle="1" w:styleId="68">
    <w:name w:val="标书正文"/>
    <w:basedOn w:val="1"/>
    <w:autoRedefine/>
    <w:qFormat/>
    <w:uiPriority w:val="0"/>
    <w:pPr>
      <w:spacing w:line="560" w:lineRule="exact"/>
      <w:ind w:firstLine="723" w:firstLineChars="200"/>
      <w:jc w:val="center"/>
    </w:pPr>
    <w:rPr>
      <w:rFonts w:ascii="仿宋_GB2312" w:eastAsia="仿宋_GB2312"/>
      <w:b/>
      <w:sz w:val="36"/>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38855</Words>
  <Characters>41292</Characters>
  <Lines>0</Lines>
  <Paragraphs>0</Paragraphs>
  <TotalTime>476</TotalTime>
  <ScaleCrop>false</ScaleCrop>
  <LinksUpToDate>false</LinksUpToDate>
  <CharactersWithSpaces>45616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2023-05-18T09:27:00Z</dcterms:created>
  <dc:creator>Administrator</dc:creator>
  <cp:lastModifiedBy>Administrator</cp:lastModifiedBy>
  <cp:lastPrinted>2023-05-19T08:51:00Z</cp:lastPrinted>
  <dcterms:modified xsi:type="dcterms:W3CDTF">2026-06-11T08:42:36Z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B432A89171B6407BA01F6D6E608034F6_13</vt:lpwstr>
  </property>
  <property fmtid="{D5CDD505-2E9C-101B-9397-08002B2CF9AE}" pid="4" name="KSOTemplateDocerSaveRecord">
    <vt:lpwstr>eyJoZGlkIjoiYmVkODczY2Y2ZWYxNzQxN2M3ZjAxYjNhMzI2NDIwOGQiLCJ1c2VySWQiOiIxNTQ4NTc1Mzk2In0=</vt:lpwstr>
  </property>
</Properties>
</file>