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BC1B5">
      <w:pPr>
        <w:spacing w:line="360" w:lineRule="auto"/>
        <w:jc w:val="center"/>
        <w:rPr>
          <w:b/>
          <w:color w:val="auto"/>
          <w:sz w:val="48"/>
          <w:szCs w:val="48"/>
          <w:highlight w:val="none"/>
        </w:rPr>
      </w:pPr>
    </w:p>
    <w:p w14:paraId="2982E616">
      <w:pPr>
        <w:spacing w:line="360" w:lineRule="auto"/>
        <w:jc w:val="center"/>
        <w:rPr>
          <w:b/>
          <w:color w:val="auto"/>
          <w:sz w:val="48"/>
          <w:szCs w:val="48"/>
          <w:highlight w:val="none"/>
        </w:rPr>
      </w:pPr>
    </w:p>
    <w:p w14:paraId="5D7235EE">
      <w:pPr>
        <w:spacing w:line="360" w:lineRule="auto"/>
        <w:jc w:val="center"/>
        <w:rPr>
          <w:b/>
          <w:color w:val="auto"/>
          <w:sz w:val="72"/>
          <w:szCs w:val="72"/>
          <w:highlight w:val="none"/>
        </w:rPr>
      </w:pPr>
      <w:r>
        <w:rPr>
          <w:b/>
          <w:color w:val="auto"/>
          <w:sz w:val="72"/>
          <w:szCs w:val="72"/>
          <w:highlight w:val="none"/>
        </w:rPr>
        <w:t>公开招标采购文件</w:t>
      </w:r>
    </w:p>
    <w:p w14:paraId="5507FB58">
      <w:pPr>
        <w:spacing w:line="360" w:lineRule="auto"/>
        <w:jc w:val="center"/>
        <w:rPr>
          <w:b/>
          <w:color w:val="auto"/>
          <w:sz w:val="72"/>
          <w:szCs w:val="72"/>
          <w:highlight w:val="none"/>
        </w:rPr>
      </w:pPr>
    </w:p>
    <w:p w14:paraId="156915AF">
      <w:pPr>
        <w:snapToGrid w:val="0"/>
        <w:spacing w:line="360" w:lineRule="auto"/>
        <w:rPr>
          <w:b/>
          <w:color w:val="auto"/>
          <w:sz w:val="28"/>
          <w:szCs w:val="28"/>
          <w:highlight w:val="none"/>
        </w:rPr>
      </w:pPr>
    </w:p>
    <w:p w14:paraId="0433643A">
      <w:pPr>
        <w:pStyle w:val="40"/>
        <w:tabs>
          <w:tab w:val="left" w:pos="6615"/>
        </w:tabs>
        <w:snapToGrid w:val="0"/>
        <w:spacing w:line="360" w:lineRule="auto"/>
        <w:ind w:firstLine="1285" w:firstLineChars="400"/>
        <w:rPr>
          <w:rFonts w:ascii="Times New Roman" w:hAnsi="Times New Roman"/>
          <w:b/>
          <w:bCs/>
          <w:color w:val="auto"/>
          <w:sz w:val="32"/>
          <w:szCs w:val="32"/>
          <w:highlight w:val="none"/>
        </w:rPr>
      </w:pPr>
      <w:r>
        <w:rPr>
          <w:rFonts w:ascii="Times New Roman" w:hAnsi="Times New Roman"/>
          <w:b/>
          <w:bCs/>
          <w:color w:val="auto"/>
          <w:sz w:val="32"/>
          <w:szCs w:val="32"/>
          <w:highlight w:val="none"/>
        </w:rPr>
        <w:t>项目编号：330400260660210000011-</w:t>
      </w:r>
      <w:r>
        <w:rPr>
          <w:color w:val="auto"/>
          <w:highlight w:val="none"/>
        </w:rPr>
        <w:fldChar w:fldCharType="begin"/>
      </w:r>
      <w:r>
        <w:rPr>
          <w:color w:val="auto"/>
          <w:highlight w:val="none"/>
        </w:rPr>
        <w:instrText xml:space="preserve"> HYPERLINK "javascript:void(0)" \o "ZJ-2630578" </w:instrText>
      </w:r>
      <w:r>
        <w:rPr>
          <w:color w:val="auto"/>
          <w:highlight w:val="none"/>
        </w:rPr>
        <w:fldChar w:fldCharType="separate"/>
      </w:r>
      <w:r>
        <w:rPr>
          <w:rFonts w:hint="eastAsia" w:ascii="Times New Roman" w:hAnsi="Times New Roman"/>
          <w:b/>
          <w:bCs/>
          <w:color w:val="auto"/>
          <w:sz w:val="32"/>
          <w:szCs w:val="32"/>
          <w:highlight w:val="none"/>
        </w:rPr>
        <w:t>ZJ-2631198</w:t>
      </w:r>
      <w:r>
        <w:rPr>
          <w:rFonts w:hint="eastAsia" w:ascii="Times New Roman" w:hAnsi="Times New Roman"/>
          <w:b/>
          <w:bCs/>
          <w:color w:val="auto"/>
          <w:sz w:val="32"/>
          <w:szCs w:val="32"/>
          <w:highlight w:val="none"/>
        </w:rPr>
        <w:fldChar w:fldCharType="end"/>
      </w:r>
    </w:p>
    <w:p w14:paraId="0E786B92">
      <w:pPr>
        <w:pStyle w:val="40"/>
        <w:snapToGrid w:val="0"/>
        <w:spacing w:line="360" w:lineRule="auto"/>
        <w:ind w:firstLine="1285" w:firstLineChars="400"/>
        <w:rPr>
          <w:rFonts w:ascii="Times New Roman" w:hAnsi="Times New Roman"/>
          <w:b/>
          <w:color w:val="auto"/>
          <w:sz w:val="32"/>
          <w:szCs w:val="32"/>
          <w:highlight w:val="none"/>
        </w:rPr>
      </w:pPr>
      <w:r>
        <w:rPr>
          <w:rFonts w:ascii="Times New Roman" w:hAnsi="Times New Roman"/>
          <w:b/>
          <w:color w:val="auto"/>
          <w:sz w:val="32"/>
          <w:szCs w:val="32"/>
          <w:highlight w:val="none"/>
        </w:rPr>
        <w:t>项目名称：</w:t>
      </w:r>
      <w:r>
        <w:rPr>
          <w:rFonts w:hint="eastAsia" w:ascii="Times New Roman" w:hAnsi="Times New Roman"/>
          <w:b/>
          <w:color w:val="auto"/>
          <w:sz w:val="32"/>
          <w:szCs w:val="32"/>
          <w:highlight w:val="none"/>
        </w:rPr>
        <w:t>新院区信息化迁建改造</w:t>
      </w:r>
    </w:p>
    <w:p w14:paraId="39487274">
      <w:pPr>
        <w:pStyle w:val="40"/>
        <w:snapToGrid w:val="0"/>
        <w:spacing w:line="360" w:lineRule="auto"/>
        <w:ind w:firstLine="841" w:firstLineChars="294"/>
        <w:rPr>
          <w:rFonts w:ascii="Times New Roman" w:hAnsi="Times New Roman"/>
          <w:b/>
          <w:bCs/>
          <w:color w:val="auto"/>
          <w:w w:val="95"/>
          <w:sz w:val="30"/>
          <w:szCs w:val="30"/>
          <w:highlight w:val="none"/>
        </w:rPr>
      </w:pPr>
    </w:p>
    <w:p w14:paraId="5C0941AB">
      <w:pPr>
        <w:pStyle w:val="40"/>
        <w:snapToGrid w:val="0"/>
        <w:spacing w:line="360" w:lineRule="auto"/>
        <w:ind w:firstLine="841" w:firstLineChars="294"/>
        <w:rPr>
          <w:rFonts w:ascii="Times New Roman" w:hAnsi="Times New Roman"/>
          <w:b/>
          <w:bCs/>
          <w:color w:val="auto"/>
          <w:w w:val="95"/>
          <w:sz w:val="30"/>
          <w:szCs w:val="30"/>
          <w:highlight w:val="none"/>
        </w:rPr>
      </w:pPr>
    </w:p>
    <w:p w14:paraId="32E2D151">
      <w:pPr>
        <w:pStyle w:val="40"/>
        <w:snapToGrid w:val="0"/>
        <w:spacing w:line="360" w:lineRule="auto"/>
        <w:ind w:firstLine="841" w:firstLineChars="294"/>
        <w:rPr>
          <w:rFonts w:ascii="Times New Roman" w:hAnsi="Times New Roman"/>
          <w:b/>
          <w:bCs/>
          <w:color w:val="auto"/>
          <w:w w:val="95"/>
          <w:sz w:val="30"/>
          <w:szCs w:val="30"/>
          <w:highlight w:val="none"/>
        </w:rPr>
      </w:pPr>
    </w:p>
    <w:p w14:paraId="232CD954">
      <w:pPr>
        <w:pStyle w:val="40"/>
        <w:snapToGrid w:val="0"/>
        <w:spacing w:line="360" w:lineRule="auto"/>
        <w:ind w:firstLine="841" w:firstLineChars="294"/>
        <w:rPr>
          <w:rFonts w:ascii="Times New Roman" w:hAnsi="Times New Roman"/>
          <w:b/>
          <w:bCs/>
          <w:color w:val="auto"/>
          <w:w w:val="95"/>
          <w:sz w:val="30"/>
          <w:szCs w:val="30"/>
          <w:highlight w:val="none"/>
        </w:rPr>
      </w:pPr>
    </w:p>
    <w:p w14:paraId="73AA6A0D">
      <w:pPr>
        <w:pStyle w:val="40"/>
        <w:snapToGrid w:val="0"/>
        <w:spacing w:line="360" w:lineRule="auto"/>
        <w:ind w:firstLine="841" w:firstLineChars="294"/>
        <w:rPr>
          <w:rFonts w:ascii="Times New Roman" w:hAnsi="Times New Roman"/>
          <w:b/>
          <w:bCs/>
          <w:color w:val="auto"/>
          <w:w w:val="95"/>
          <w:sz w:val="30"/>
          <w:szCs w:val="30"/>
          <w:highlight w:val="none"/>
        </w:rPr>
      </w:pPr>
    </w:p>
    <w:p w14:paraId="0CE80A91">
      <w:pPr>
        <w:pStyle w:val="40"/>
        <w:snapToGrid w:val="0"/>
        <w:spacing w:line="360" w:lineRule="auto"/>
        <w:ind w:firstLine="841" w:firstLineChars="294"/>
        <w:rPr>
          <w:rFonts w:ascii="Times New Roman" w:hAnsi="Times New Roman"/>
          <w:b/>
          <w:bCs/>
          <w:color w:val="auto"/>
          <w:w w:val="95"/>
          <w:sz w:val="30"/>
          <w:szCs w:val="30"/>
          <w:highlight w:val="none"/>
        </w:rPr>
      </w:pPr>
    </w:p>
    <w:p w14:paraId="5BE194E6">
      <w:pPr>
        <w:pStyle w:val="40"/>
        <w:snapToGrid w:val="0"/>
        <w:spacing w:line="360" w:lineRule="auto"/>
        <w:ind w:firstLine="841" w:firstLineChars="294"/>
        <w:rPr>
          <w:rFonts w:ascii="Times New Roman" w:hAnsi="Times New Roman"/>
          <w:b/>
          <w:bCs/>
          <w:color w:val="auto"/>
          <w:w w:val="95"/>
          <w:sz w:val="30"/>
          <w:szCs w:val="30"/>
          <w:highlight w:val="none"/>
        </w:rPr>
      </w:pPr>
    </w:p>
    <w:p w14:paraId="5A70E077">
      <w:pPr>
        <w:pStyle w:val="40"/>
        <w:snapToGrid w:val="0"/>
        <w:spacing w:line="360" w:lineRule="auto"/>
        <w:ind w:firstLine="841" w:firstLineChars="294"/>
        <w:rPr>
          <w:rFonts w:ascii="Times New Roman" w:hAnsi="Times New Roman"/>
          <w:b/>
          <w:bCs/>
          <w:color w:val="auto"/>
          <w:w w:val="95"/>
          <w:sz w:val="30"/>
          <w:szCs w:val="30"/>
          <w:highlight w:val="none"/>
        </w:rPr>
      </w:pPr>
    </w:p>
    <w:p w14:paraId="24AD63DE">
      <w:pPr>
        <w:pStyle w:val="40"/>
        <w:snapToGrid w:val="0"/>
        <w:spacing w:line="360" w:lineRule="auto"/>
        <w:ind w:firstLine="841" w:firstLineChars="294"/>
        <w:rPr>
          <w:rFonts w:ascii="Times New Roman" w:hAnsi="Times New Roman"/>
          <w:b/>
          <w:bCs/>
          <w:color w:val="auto"/>
          <w:w w:val="95"/>
          <w:sz w:val="30"/>
          <w:szCs w:val="30"/>
          <w:highlight w:val="none"/>
        </w:rPr>
      </w:pPr>
    </w:p>
    <w:p w14:paraId="0D507A01">
      <w:pPr>
        <w:widowControl/>
        <w:autoSpaceDE w:val="0"/>
        <w:autoSpaceDN w:val="0"/>
        <w:jc w:val="center"/>
        <w:textAlignment w:val="bottom"/>
        <w:rPr>
          <w:b/>
          <w:bCs/>
          <w:color w:val="auto"/>
          <w:w w:val="95"/>
          <w:sz w:val="32"/>
          <w:szCs w:val="32"/>
          <w:highlight w:val="none"/>
        </w:rPr>
      </w:pPr>
      <w:r>
        <w:rPr>
          <w:rFonts w:hint="eastAsia"/>
          <w:b/>
          <w:bCs/>
          <w:color w:val="auto"/>
          <w:w w:val="95"/>
          <w:sz w:val="32"/>
          <w:szCs w:val="32"/>
          <w:highlight w:val="none"/>
        </w:rPr>
        <w:t>嘉兴市第二医院</w:t>
      </w:r>
    </w:p>
    <w:p w14:paraId="2598F487">
      <w:pPr>
        <w:widowControl/>
        <w:autoSpaceDE w:val="0"/>
        <w:autoSpaceDN w:val="0"/>
        <w:jc w:val="center"/>
        <w:textAlignment w:val="bottom"/>
        <w:rPr>
          <w:b/>
          <w:bCs/>
          <w:color w:val="auto"/>
          <w:w w:val="95"/>
          <w:sz w:val="32"/>
          <w:szCs w:val="32"/>
          <w:highlight w:val="none"/>
        </w:rPr>
      </w:pPr>
    </w:p>
    <w:p w14:paraId="71FCC576">
      <w:pPr>
        <w:widowControl/>
        <w:autoSpaceDE w:val="0"/>
        <w:autoSpaceDN w:val="0"/>
        <w:jc w:val="center"/>
        <w:textAlignment w:val="bottom"/>
        <w:rPr>
          <w:b/>
          <w:bCs/>
          <w:color w:val="auto"/>
          <w:w w:val="95"/>
          <w:sz w:val="32"/>
          <w:szCs w:val="32"/>
          <w:highlight w:val="none"/>
        </w:rPr>
      </w:pPr>
      <w:r>
        <w:rPr>
          <w:rFonts w:hint="eastAsia"/>
          <w:b/>
          <w:bCs/>
          <w:color w:val="auto"/>
          <w:w w:val="95"/>
          <w:sz w:val="32"/>
          <w:szCs w:val="32"/>
          <w:highlight w:val="none"/>
        </w:rPr>
        <w:t>浙江国际招投标有限公司</w:t>
      </w:r>
    </w:p>
    <w:p w14:paraId="3744BEB2">
      <w:pPr>
        <w:widowControl/>
        <w:autoSpaceDE w:val="0"/>
        <w:autoSpaceDN w:val="0"/>
        <w:jc w:val="center"/>
        <w:textAlignment w:val="bottom"/>
        <w:rPr>
          <w:b/>
          <w:bCs/>
          <w:color w:val="auto"/>
          <w:w w:val="95"/>
          <w:sz w:val="32"/>
          <w:szCs w:val="32"/>
          <w:highlight w:val="none"/>
        </w:rPr>
      </w:pPr>
    </w:p>
    <w:p w14:paraId="493E7D97">
      <w:pPr>
        <w:snapToGrid w:val="0"/>
        <w:spacing w:line="360" w:lineRule="auto"/>
        <w:jc w:val="center"/>
        <w:rPr>
          <w:color w:val="auto"/>
          <w:sz w:val="30"/>
          <w:szCs w:val="20"/>
          <w:highlight w:val="none"/>
        </w:rPr>
      </w:pPr>
      <w:r>
        <w:rPr>
          <w:rFonts w:hint="eastAsia"/>
          <w:b/>
          <w:bCs/>
          <w:color w:val="auto"/>
          <w:w w:val="95"/>
          <w:sz w:val="32"/>
          <w:szCs w:val="32"/>
          <w:highlight w:val="none"/>
        </w:rPr>
        <w:t>2026年5月</w:t>
      </w:r>
    </w:p>
    <w:p w14:paraId="39E367EF">
      <w:pPr>
        <w:spacing w:line="480" w:lineRule="auto"/>
        <w:jc w:val="center"/>
        <w:rPr>
          <w:b/>
          <w:color w:val="auto"/>
          <w:sz w:val="44"/>
          <w:szCs w:val="44"/>
          <w:highlight w:val="none"/>
        </w:rPr>
      </w:pPr>
      <w:r>
        <w:rPr>
          <w:color w:val="auto"/>
          <w:szCs w:val="32"/>
          <w:highlight w:val="none"/>
        </w:rPr>
        <w:br w:type="page"/>
      </w:r>
      <w:r>
        <w:rPr>
          <w:b/>
          <w:color w:val="auto"/>
          <w:sz w:val="44"/>
          <w:szCs w:val="44"/>
          <w:highlight w:val="none"/>
        </w:rPr>
        <w:t>目  录</w:t>
      </w:r>
    </w:p>
    <w:p w14:paraId="7B968133">
      <w:pPr>
        <w:spacing w:line="480" w:lineRule="auto"/>
        <w:jc w:val="center"/>
        <w:rPr>
          <w:color w:val="auto"/>
          <w:sz w:val="28"/>
          <w:szCs w:val="28"/>
          <w:highlight w:val="none"/>
        </w:rPr>
      </w:pPr>
    </w:p>
    <w:p w14:paraId="6E4802BC">
      <w:pPr>
        <w:pStyle w:val="55"/>
        <w:spacing w:line="480" w:lineRule="auto"/>
        <w:rPr>
          <w:rFonts w:ascii="Times New Roman" w:hAnsi="Times New Roman"/>
          <w:b w:val="0"/>
          <w:bCs w:val="0"/>
          <w:caps w:val="0"/>
          <w:color w:val="auto"/>
          <w:sz w:val="28"/>
          <w:szCs w:val="28"/>
          <w:highlight w:val="none"/>
        </w:rPr>
      </w:pPr>
      <w:r>
        <w:rPr>
          <w:rFonts w:ascii="Times New Roman" w:hAnsi="Times New Roman"/>
          <w:b w:val="0"/>
          <w:bCs w:val="0"/>
          <w:caps w:val="0"/>
          <w:color w:val="auto"/>
          <w:sz w:val="28"/>
          <w:szCs w:val="28"/>
          <w:highlight w:val="none"/>
        </w:rPr>
        <w:fldChar w:fldCharType="begin"/>
      </w:r>
      <w:r>
        <w:rPr>
          <w:rFonts w:ascii="Times New Roman" w:hAnsi="Times New Roman"/>
          <w:b w:val="0"/>
          <w:bCs w:val="0"/>
          <w:caps w:val="0"/>
          <w:color w:val="auto"/>
          <w:sz w:val="28"/>
          <w:szCs w:val="28"/>
          <w:highlight w:val="none"/>
        </w:rPr>
        <w:instrText xml:space="preserve"> TOC \o "1-1" \h \z </w:instrText>
      </w:r>
      <w:r>
        <w:rPr>
          <w:rFonts w:ascii="Times New Roman" w:hAnsi="Times New Roman"/>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"_Toc495317667" </w:instrText>
      </w:r>
      <w:r>
        <w:rPr>
          <w:color w:val="auto"/>
          <w:highlight w:val="none"/>
        </w:rPr>
        <w:fldChar w:fldCharType="separate"/>
      </w:r>
      <w:r>
        <w:rPr>
          <w:rStyle w:val="90"/>
          <w:rFonts w:ascii="Times New Roman" w:hAnsi="Times New Roman"/>
          <w:b w:val="0"/>
          <w:color w:val="auto"/>
          <w:sz w:val="28"/>
          <w:szCs w:val="28"/>
          <w:highlight w:val="none"/>
        </w:rPr>
        <w:t>第一章  招标公告</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_Toc495317667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3</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28AA5235">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"_Toc495317668" </w:instrText>
      </w:r>
      <w:r>
        <w:rPr>
          <w:color w:val="auto"/>
          <w:highlight w:val="none"/>
        </w:rPr>
        <w:fldChar w:fldCharType="separate"/>
      </w:r>
      <w:r>
        <w:rPr>
          <w:rStyle w:val="90"/>
          <w:rFonts w:hint="eastAsia" w:ascii="Times New Roman" w:hAnsi="Times New Roman"/>
          <w:b w:val="0"/>
          <w:color w:val="auto"/>
          <w:sz w:val="28"/>
          <w:szCs w:val="28"/>
          <w:highlight w:val="none"/>
        </w:rPr>
        <w:t>供应商</w:t>
      </w:r>
      <w:r>
        <w:rPr>
          <w:rStyle w:val="90"/>
          <w:rFonts w:ascii="Times New Roman" w:hAnsi="Times New Roman"/>
          <w:b w:val="0"/>
          <w:color w:val="auto"/>
          <w:sz w:val="28"/>
          <w:szCs w:val="28"/>
          <w:highlight w:val="none"/>
        </w:rPr>
        <w:t>须知前附表</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_Toc495317668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6</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5371EB89">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"_Toc495317669" </w:instrText>
      </w:r>
      <w:r>
        <w:rPr>
          <w:color w:val="auto"/>
          <w:highlight w:val="none"/>
        </w:rPr>
        <w:fldChar w:fldCharType="separate"/>
      </w:r>
      <w:r>
        <w:rPr>
          <w:rStyle w:val="90"/>
          <w:rFonts w:ascii="Times New Roman" w:hAnsi="Times New Roman"/>
          <w:b w:val="0"/>
          <w:color w:val="auto"/>
          <w:sz w:val="28"/>
          <w:szCs w:val="28"/>
          <w:highlight w:val="none"/>
        </w:rPr>
        <w:t>第二章  采购内容及需求</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_Toc495317669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12</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39D4BF6D">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"_Toc495317670" </w:instrText>
      </w:r>
      <w:r>
        <w:rPr>
          <w:color w:val="auto"/>
          <w:highlight w:val="none"/>
        </w:rPr>
        <w:fldChar w:fldCharType="separate"/>
      </w:r>
      <w:r>
        <w:rPr>
          <w:rStyle w:val="90"/>
          <w:rFonts w:ascii="Times New Roman" w:hAnsi="Times New Roman"/>
          <w:b w:val="0"/>
          <w:color w:val="auto"/>
          <w:sz w:val="28"/>
          <w:szCs w:val="28"/>
          <w:highlight w:val="none"/>
        </w:rPr>
        <w:t xml:space="preserve">第三章  </w:t>
      </w:r>
      <w:r>
        <w:rPr>
          <w:rStyle w:val="90"/>
          <w:rFonts w:hint="eastAsia" w:ascii="Times New Roman" w:hAnsi="Times New Roman"/>
          <w:b w:val="0"/>
          <w:color w:val="auto"/>
          <w:sz w:val="28"/>
          <w:szCs w:val="28"/>
          <w:highlight w:val="none"/>
        </w:rPr>
        <w:t>供应商</w:t>
      </w:r>
      <w:r>
        <w:rPr>
          <w:rStyle w:val="90"/>
          <w:rFonts w:ascii="Times New Roman" w:hAnsi="Times New Roman"/>
          <w:b w:val="0"/>
          <w:color w:val="auto"/>
          <w:sz w:val="28"/>
          <w:szCs w:val="28"/>
          <w:highlight w:val="none"/>
        </w:rPr>
        <w:t>须知</w:t>
      </w:r>
      <w:r>
        <w:rPr>
          <w:rFonts w:ascii="Times New Roman" w:hAnsi="Times New Roman"/>
          <w:b w:val="0"/>
          <w:color w:val="auto"/>
          <w:sz w:val="28"/>
          <w:szCs w:val="28"/>
          <w:highlight w:val="none"/>
        </w:rPr>
        <w:tab/>
      </w:r>
      <w:r>
        <w:rPr>
          <w:rFonts w:hint="eastAsia" w:ascii="Times New Roman" w:hAnsi="Times New Roman"/>
          <w:b w:val="0"/>
          <w:color w:val="auto"/>
          <w:sz w:val="28"/>
          <w:szCs w:val="28"/>
          <w:highlight w:val="none"/>
        </w:rPr>
        <w:t>8</w:t>
      </w:r>
      <w:r>
        <w:rPr>
          <w:rFonts w:hint="eastAsia" w:ascii="Times New Roman" w:hAnsi="Times New Roman"/>
          <w:b w:val="0"/>
          <w:color w:val="auto"/>
          <w:sz w:val="28"/>
          <w:szCs w:val="28"/>
          <w:highlight w:val="none"/>
        </w:rPr>
        <w:fldChar w:fldCharType="end"/>
      </w:r>
      <w:r>
        <w:rPr>
          <w:rFonts w:hint="eastAsia" w:ascii="Times New Roman" w:hAnsi="Times New Roman"/>
          <w:b w:val="0"/>
          <w:color w:val="auto"/>
          <w:sz w:val="28"/>
          <w:szCs w:val="28"/>
          <w:highlight w:val="none"/>
        </w:rPr>
        <w:t>8</w:t>
      </w:r>
    </w:p>
    <w:p w14:paraId="2DF1323C">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"_Toc495317671" </w:instrText>
      </w:r>
      <w:r>
        <w:rPr>
          <w:color w:val="auto"/>
          <w:highlight w:val="none"/>
        </w:rPr>
        <w:fldChar w:fldCharType="separate"/>
      </w:r>
      <w:r>
        <w:rPr>
          <w:rStyle w:val="90"/>
          <w:rFonts w:ascii="Times New Roman" w:hAnsi="Times New Roman"/>
          <w:b w:val="0"/>
          <w:color w:val="auto"/>
          <w:sz w:val="28"/>
          <w:szCs w:val="28"/>
          <w:highlight w:val="none"/>
        </w:rPr>
        <w:t>第四章  评标办法</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_Toc495317671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102</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0651384F">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"_Toc495317672" </w:instrText>
      </w:r>
      <w:r>
        <w:rPr>
          <w:color w:val="auto"/>
          <w:highlight w:val="none"/>
        </w:rPr>
        <w:fldChar w:fldCharType="separate"/>
      </w:r>
      <w:r>
        <w:rPr>
          <w:rStyle w:val="90"/>
          <w:rFonts w:ascii="Times New Roman" w:hAnsi="Times New Roman"/>
          <w:b w:val="0"/>
          <w:color w:val="auto"/>
          <w:sz w:val="28"/>
          <w:szCs w:val="28"/>
          <w:highlight w:val="none"/>
        </w:rPr>
        <w:t>第五章  采购合同</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begin"/>
      </w:r>
      <w:r>
        <w:rPr>
          <w:rFonts w:ascii="Times New Roman" w:hAnsi="Times New Roman"/>
          <w:b w:val="0"/>
          <w:color w:val="auto"/>
          <w:sz w:val="28"/>
          <w:szCs w:val="28"/>
          <w:highlight w:val="none"/>
        </w:rPr>
        <w:instrText xml:space="preserve"> PAGEREF _Toc495317672 \h </w:instrText>
      </w:r>
      <w:r>
        <w:rPr>
          <w:rFonts w:ascii="Times New Roman" w:hAnsi="Times New Roman"/>
          <w:b w:val="0"/>
          <w:color w:val="auto"/>
          <w:sz w:val="28"/>
          <w:szCs w:val="28"/>
          <w:highlight w:val="none"/>
        </w:rPr>
        <w:fldChar w:fldCharType="separate"/>
      </w:r>
      <w:r>
        <w:rPr>
          <w:rFonts w:ascii="Times New Roman" w:hAnsi="Times New Roman"/>
          <w:b w:val="0"/>
          <w:color w:val="auto"/>
          <w:sz w:val="28"/>
          <w:szCs w:val="28"/>
          <w:highlight w:val="none"/>
        </w:rPr>
        <w:t>109</w:t>
      </w:r>
      <w:r>
        <w:rPr>
          <w:rFonts w:ascii="Times New Roman" w:hAnsi="Times New Roman"/>
          <w:b w:val="0"/>
          <w:color w:val="auto"/>
          <w:sz w:val="28"/>
          <w:szCs w:val="28"/>
          <w:highlight w:val="none"/>
        </w:rPr>
        <w:fldChar w:fldCharType="end"/>
      </w:r>
      <w:r>
        <w:rPr>
          <w:rFonts w:ascii="Times New Roman" w:hAnsi="Times New Roman"/>
          <w:b w:val="0"/>
          <w:color w:val="auto"/>
          <w:sz w:val="28"/>
          <w:szCs w:val="28"/>
          <w:highlight w:val="none"/>
        </w:rPr>
        <w:fldChar w:fldCharType="end"/>
      </w:r>
    </w:p>
    <w:p w14:paraId="56F75DE5">
      <w:pPr>
        <w:pStyle w:val="55"/>
        <w:spacing w:line="480" w:lineRule="auto"/>
        <w:rPr>
          <w:rFonts w:ascii="Times New Roman" w:hAnsi="Times New Roman"/>
          <w:b w:val="0"/>
          <w:bCs w:val="0"/>
          <w:caps w:val="0"/>
          <w:color w:val="auto"/>
          <w:sz w:val="28"/>
          <w:szCs w:val="28"/>
          <w:highlight w:val="none"/>
        </w:rPr>
      </w:pPr>
      <w:r>
        <w:rPr>
          <w:color w:val="auto"/>
          <w:highlight w:val="none"/>
        </w:rPr>
        <w:fldChar w:fldCharType="begin"/>
      </w:r>
      <w:r>
        <w:rPr>
          <w:color w:val="auto"/>
          <w:highlight w:val="none"/>
        </w:rPr>
        <w:instrText xml:space="preserve"> HYPERLINK \l "_Toc495317673" </w:instrText>
      </w:r>
      <w:r>
        <w:rPr>
          <w:color w:val="auto"/>
          <w:highlight w:val="none"/>
        </w:rPr>
        <w:fldChar w:fldCharType="separate"/>
      </w:r>
      <w:r>
        <w:rPr>
          <w:rStyle w:val="90"/>
          <w:rFonts w:ascii="Times New Roman" w:hAnsi="Times New Roman"/>
          <w:b w:val="0"/>
          <w:color w:val="auto"/>
          <w:sz w:val="28"/>
          <w:szCs w:val="28"/>
          <w:highlight w:val="none"/>
        </w:rPr>
        <w:t>第六章  投标文件格式</w:t>
      </w:r>
      <w:r>
        <w:rPr>
          <w:rFonts w:ascii="Times New Roman" w:hAnsi="Times New Roman"/>
          <w:b w:val="0"/>
          <w:color w:val="auto"/>
          <w:sz w:val="28"/>
          <w:szCs w:val="28"/>
          <w:highlight w:val="none"/>
        </w:rPr>
        <w:tab/>
      </w:r>
      <w:r>
        <w:rPr>
          <w:rFonts w:ascii="Times New Roman" w:hAnsi="Times New Roman"/>
          <w:b w:val="0"/>
          <w:color w:val="auto"/>
          <w:sz w:val="28"/>
          <w:szCs w:val="28"/>
          <w:highlight w:val="none"/>
        </w:rPr>
        <w:fldChar w:fldCharType="end"/>
      </w:r>
      <w:r>
        <w:rPr>
          <w:rFonts w:hint="eastAsia" w:ascii="Times New Roman" w:hAnsi="Times New Roman"/>
          <w:b w:val="0"/>
          <w:color w:val="auto"/>
          <w:sz w:val="28"/>
          <w:szCs w:val="28"/>
          <w:highlight w:val="none"/>
        </w:rPr>
        <w:t>113</w:t>
      </w:r>
    </w:p>
    <w:p w14:paraId="02A2D2CA">
      <w:pPr>
        <w:pStyle w:val="2"/>
        <w:snapToGrid w:val="0"/>
        <w:rPr>
          <w:rFonts w:ascii="Times New Roman" w:hAnsi="Times New Roman" w:eastAsia="宋体"/>
          <w:color w:val="auto"/>
          <w:highlight w:val="none"/>
        </w:rPr>
      </w:pPr>
      <w:r>
        <w:rPr>
          <w:rFonts w:ascii="Times New Roman" w:hAnsi="Times New Roman" w:eastAsia="宋体"/>
          <w:b w:val="0"/>
          <w:bCs/>
          <w:caps/>
          <w:color w:val="auto"/>
          <w:sz w:val="28"/>
          <w:szCs w:val="28"/>
          <w:highlight w:val="none"/>
        </w:rPr>
        <w:fldChar w:fldCharType="end"/>
      </w:r>
      <w:r>
        <w:rPr>
          <w:rFonts w:ascii="Times New Roman" w:hAnsi="Times New Roman" w:eastAsia="宋体"/>
          <w:bCs/>
          <w:caps/>
          <w:color w:val="auto"/>
          <w:sz w:val="24"/>
          <w:highlight w:val="none"/>
        </w:rPr>
        <w:br w:type="page"/>
      </w:r>
      <w:bookmarkStart w:id="0" w:name="_Toc293343927"/>
      <w:bookmarkStart w:id="1" w:name="_Toc495317667"/>
      <w:r>
        <w:rPr>
          <w:rFonts w:ascii="Times New Roman" w:hAnsi="Times New Roman" w:eastAsia="宋体"/>
          <w:color w:val="auto"/>
          <w:highlight w:val="none"/>
        </w:rPr>
        <w:t>第一章  招标公告</w:t>
      </w:r>
      <w:bookmarkEnd w:id="0"/>
      <w:bookmarkEnd w:id="1"/>
    </w:p>
    <w:p w14:paraId="6BAC3343">
      <w:pPr>
        <w:spacing w:line="360" w:lineRule="auto"/>
        <w:ind w:firstLine="420" w:firstLineChars="200"/>
        <w:rPr>
          <w:color w:val="auto"/>
          <w:highlight w:val="none"/>
        </w:rPr>
      </w:pPr>
      <w:r>
        <w:rPr>
          <w:color w:val="auto"/>
          <w:highlight w:val="none"/>
        </w:rPr>
        <w:t>项目概况</w:t>
      </w:r>
    </w:p>
    <w:p w14:paraId="1CE6333A">
      <w:pPr>
        <w:spacing w:line="360" w:lineRule="auto"/>
        <w:ind w:firstLine="420" w:firstLineChars="200"/>
        <w:rPr>
          <w:color w:val="auto"/>
          <w:highlight w:val="none"/>
        </w:rPr>
      </w:pPr>
      <w:r>
        <w:rPr>
          <w:rFonts w:hint="eastAsia"/>
          <w:color w:val="auto"/>
          <w:kern w:val="0"/>
          <w:szCs w:val="21"/>
          <w:highlight w:val="none"/>
        </w:rPr>
        <w:t>嘉兴市第二医院新院区信息化迁建改造项目</w:t>
      </w:r>
      <w:r>
        <w:rPr>
          <w:rFonts w:hint="eastAsia"/>
          <w:color w:val="auto"/>
          <w:highlight w:val="none"/>
        </w:rPr>
        <w:t>的潜在投标人应在政府采购云平台（www.zcygov.cn）获取（下载）招标文件，并于2026年</w:t>
      </w:r>
      <w:r>
        <w:rPr>
          <w:rFonts w:hint="eastAsia"/>
          <w:color w:val="auto"/>
          <w:highlight w:val="none"/>
          <w:lang w:eastAsia="zh-CN"/>
        </w:rPr>
        <w:t>6月2</w:t>
      </w:r>
      <w:r>
        <w:rPr>
          <w:rFonts w:hint="eastAsia"/>
          <w:color w:val="auto"/>
          <w:highlight w:val="none"/>
        </w:rPr>
        <w:t>日9:30（北京时间）前递交（上传）投标文件。</w:t>
      </w:r>
    </w:p>
    <w:p w14:paraId="6AA917D5">
      <w:pPr>
        <w:spacing w:line="360" w:lineRule="auto"/>
        <w:ind w:firstLine="420" w:firstLineChars="200"/>
        <w:rPr>
          <w:color w:val="auto"/>
          <w:highlight w:val="none"/>
        </w:rPr>
      </w:pPr>
      <w:r>
        <w:rPr>
          <w:color w:val="auto"/>
          <w:highlight w:val="none"/>
        </w:rPr>
        <w:t>一、项目基本情况</w:t>
      </w:r>
    </w:p>
    <w:p w14:paraId="37CBAD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项目编号：330400260660210000011-</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"javascript:void(0)" \o "ZJ-2630578" </w:instrText>
      </w:r>
      <w:r>
        <w:rPr>
          <w:rFonts w:hint="eastAsia" w:ascii="宋体" w:hAnsi="宋体" w:cs="宋体"/>
          <w:color w:val="auto"/>
          <w:highlight w:val="none"/>
        </w:rPr>
        <w:fldChar w:fldCharType="separate"/>
      </w:r>
      <w:r>
        <w:rPr>
          <w:rFonts w:hint="eastAsia" w:ascii="宋体" w:hAnsi="宋体" w:cs="宋体"/>
          <w:color w:val="auto"/>
          <w:highlight w:val="none"/>
        </w:rPr>
        <w:t>ZJ-2631198</w:t>
      </w:r>
      <w:r>
        <w:rPr>
          <w:rFonts w:hint="eastAsia" w:ascii="宋体" w:hAnsi="宋体" w:cs="宋体"/>
          <w:color w:val="auto"/>
          <w:highlight w:val="none"/>
        </w:rPr>
        <w:fldChar w:fldCharType="end"/>
      </w:r>
    </w:p>
    <w:p w14:paraId="498F299B">
      <w:pPr>
        <w:spacing w:line="360" w:lineRule="auto"/>
        <w:ind w:firstLine="420" w:firstLineChars="200"/>
        <w:rPr>
          <w:color w:val="auto"/>
          <w:kern w:val="0"/>
          <w:szCs w:val="21"/>
          <w:highlight w:val="none"/>
        </w:rPr>
      </w:pPr>
      <w:r>
        <w:rPr>
          <w:rFonts w:hint="eastAsia" w:ascii="宋体" w:hAnsi="宋体" w:cs="宋体"/>
          <w:color w:val="auto"/>
          <w:highlight w:val="none"/>
        </w:rPr>
        <w:t>项目名称：嘉兴市第二医院新院区信息化迁建改造</w:t>
      </w:r>
    </w:p>
    <w:p w14:paraId="12211A12">
      <w:pPr>
        <w:spacing w:line="360" w:lineRule="auto"/>
        <w:ind w:firstLine="420" w:firstLineChars="200"/>
        <w:rPr>
          <w:color w:val="auto"/>
          <w:highlight w:val="none"/>
        </w:rPr>
      </w:pPr>
      <w:r>
        <w:rPr>
          <w:rFonts w:hint="eastAsia"/>
          <w:color w:val="auto"/>
          <w:highlight w:val="none"/>
        </w:rPr>
        <w:t>预算金额（元）：11300000</w:t>
      </w:r>
    </w:p>
    <w:p w14:paraId="793461D6">
      <w:pPr>
        <w:spacing w:line="360" w:lineRule="auto"/>
        <w:ind w:firstLine="420" w:firstLineChars="200"/>
        <w:rPr>
          <w:color w:val="auto"/>
          <w:highlight w:val="none"/>
        </w:rPr>
      </w:pPr>
      <w:r>
        <w:rPr>
          <w:rFonts w:hint="eastAsia"/>
          <w:color w:val="auto"/>
          <w:highlight w:val="none"/>
        </w:rPr>
        <w:t>最高限价（元）：11300000</w:t>
      </w:r>
    </w:p>
    <w:p w14:paraId="4D1F99F9">
      <w:pPr>
        <w:spacing w:line="360" w:lineRule="auto"/>
        <w:ind w:firstLine="420" w:firstLineChars="200"/>
        <w:rPr>
          <w:color w:val="auto"/>
          <w:highlight w:val="none"/>
        </w:rPr>
      </w:pPr>
      <w:r>
        <w:rPr>
          <w:rFonts w:hint="eastAsia"/>
          <w:color w:val="auto"/>
          <w:highlight w:val="none"/>
        </w:rPr>
        <w:t>采购需求：</w:t>
      </w:r>
    </w:p>
    <w:p w14:paraId="6CF30E3F">
      <w:pPr>
        <w:spacing w:line="360" w:lineRule="auto"/>
        <w:ind w:firstLine="420" w:firstLineChars="200"/>
        <w:rPr>
          <w:color w:val="auto"/>
          <w:highlight w:val="none"/>
        </w:rPr>
      </w:pPr>
      <w:r>
        <w:rPr>
          <w:rFonts w:hint="eastAsia"/>
          <w:color w:val="auto"/>
          <w:highlight w:val="none"/>
        </w:rPr>
        <w:t>标项名称：新院区信息化迁建改造</w:t>
      </w:r>
    </w:p>
    <w:p w14:paraId="6B12689D">
      <w:pPr>
        <w:spacing w:line="360" w:lineRule="auto"/>
        <w:ind w:firstLine="420" w:firstLineChars="200"/>
        <w:rPr>
          <w:color w:val="auto"/>
          <w:highlight w:val="none"/>
        </w:rPr>
      </w:pPr>
      <w:r>
        <w:rPr>
          <w:rFonts w:hint="eastAsia"/>
          <w:color w:val="auto"/>
          <w:highlight w:val="none"/>
        </w:rPr>
        <w:t>数量：1项</w:t>
      </w:r>
    </w:p>
    <w:p w14:paraId="53858127">
      <w:pPr>
        <w:spacing w:line="360" w:lineRule="auto"/>
        <w:ind w:firstLine="420" w:firstLineChars="200"/>
        <w:rPr>
          <w:color w:val="auto"/>
          <w:highlight w:val="none"/>
        </w:rPr>
      </w:pPr>
      <w:r>
        <w:rPr>
          <w:rFonts w:hint="eastAsia"/>
          <w:color w:val="auto"/>
          <w:highlight w:val="none"/>
        </w:rPr>
        <w:t>预算金额（元）：11300000</w:t>
      </w:r>
    </w:p>
    <w:p w14:paraId="0581AFE2">
      <w:pPr>
        <w:spacing w:line="360" w:lineRule="auto"/>
        <w:ind w:firstLine="420" w:firstLineChars="200"/>
        <w:rPr>
          <w:color w:val="auto"/>
          <w:highlight w:val="none"/>
        </w:rPr>
      </w:pPr>
      <w:r>
        <w:rPr>
          <w:rFonts w:hint="eastAsia"/>
          <w:color w:val="auto"/>
          <w:highlight w:val="none"/>
        </w:rPr>
        <w:t>简要规格描述或项目基本概况介绍、用途：详见采购文件</w:t>
      </w:r>
    </w:p>
    <w:p w14:paraId="628BBE46">
      <w:pPr>
        <w:spacing w:line="360" w:lineRule="auto"/>
        <w:ind w:firstLine="420" w:firstLineChars="200"/>
        <w:rPr>
          <w:color w:val="auto"/>
          <w:highlight w:val="none"/>
        </w:rPr>
      </w:pPr>
      <w:r>
        <w:rPr>
          <w:rFonts w:hint="eastAsia"/>
          <w:color w:val="auto"/>
          <w:highlight w:val="none"/>
        </w:rPr>
        <w:t>备注：</w:t>
      </w:r>
    </w:p>
    <w:p w14:paraId="498DCFA2">
      <w:pPr>
        <w:spacing w:line="360" w:lineRule="auto"/>
        <w:ind w:firstLine="420" w:firstLineChars="200"/>
        <w:rPr>
          <w:color w:val="auto"/>
          <w:highlight w:val="none"/>
        </w:rPr>
      </w:pPr>
      <w:r>
        <w:rPr>
          <w:rFonts w:hint="eastAsia"/>
          <w:color w:val="auto"/>
          <w:highlight w:val="none"/>
        </w:rPr>
        <w:t>合同履约期限：</w:t>
      </w:r>
      <w:r>
        <w:rPr>
          <w:rFonts w:hint="eastAsia"/>
          <w:color w:val="auto"/>
          <w:kern w:val="0"/>
          <w:szCs w:val="21"/>
          <w:highlight w:val="none"/>
        </w:rPr>
        <w:t>按采购文件要求</w:t>
      </w:r>
    </w:p>
    <w:p w14:paraId="26AE86A8">
      <w:pPr>
        <w:spacing w:line="360" w:lineRule="auto"/>
        <w:ind w:firstLine="420" w:firstLineChars="200"/>
        <w:rPr>
          <w:color w:val="auto"/>
          <w:highlight w:val="none"/>
        </w:rPr>
      </w:pPr>
      <w:r>
        <w:rPr>
          <w:rFonts w:hint="eastAsia"/>
          <w:color w:val="auto"/>
          <w:highlight w:val="none"/>
        </w:rPr>
        <w:t>本项目（是）接受联合体投标。</w:t>
      </w:r>
    </w:p>
    <w:p w14:paraId="68259999">
      <w:pPr>
        <w:spacing w:line="360" w:lineRule="auto"/>
        <w:ind w:firstLine="420" w:firstLineChars="200"/>
        <w:rPr>
          <w:color w:val="auto"/>
          <w:highlight w:val="none"/>
        </w:rPr>
      </w:pPr>
      <w:r>
        <w:rPr>
          <w:color w:val="auto"/>
          <w:highlight w:val="none"/>
        </w:rPr>
        <w:t>二、申请人的资格要求：</w:t>
      </w:r>
    </w:p>
    <w:p w14:paraId="2F755AFA">
      <w:pPr>
        <w:spacing w:line="360" w:lineRule="auto"/>
        <w:ind w:firstLine="42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F48E617">
      <w:pPr>
        <w:spacing w:line="360" w:lineRule="auto"/>
        <w:ind w:firstLine="420" w:firstLineChars="200"/>
        <w:rPr>
          <w:color w:val="auto"/>
          <w:highlight w:val="none"/>
        </w:rPr>
      </w:pPr>
      <w:r>
        <w:rPr>
          <w:rFonts w:hint="eastAsia"/>
          <w:color w:val="auto"/>
          <w:highlight w:val="none"/>
        </w:rPr>
        <w:t>2.落实政府采购政策需满足的资格要求：无</w:t>
      </w:r>
    </w:p>
    <w:p w14:paraId="14D7FB7B">
      <w:pPr>
        <w:spacing w:line="360" w:lineRule="auto"/>
        <w:ind w:firstLine="420" w:firstLineChars="200"/>
        <w:rPr>
          <w:color w:val="auto"/>
          <w:highlight w:val="none"/>
        </w:rPr>
      </w:pPr>
      <w:r>
        <w:rPr>
          <w:rFonts w:hint="eastAsia"/>
          <w:color w:val="auto"/>
          <w:highlight w:val="none"/>
        </w:rPr>
        <w:t>3.本项目的特定资格要求：</w:t>
      </w:r>
      <w:r>
        <w:rPr>
          <w:rFonts w:hint="eastAsia" w:ascii="宋体" w:hAnsi="宋体" w:cs="宋体"/>
          <w:color w:val="auto"/>
          <w:highlight w:val="none"/>
        </w:rPr>
        <w:t>无</w:t>
      </w:r>
      <w:r>
        <w:rPr>
          <w:rFonts w:hint="eastAsia"/>
          <w:color w:val="auto"/>
          <w:highlight w:val="none"/>
        </w:rPr>
        <w:t>。</w:t>
      </w:r>
    </w:p>
    <w:p w14:paraId="47F081CA">
      <w:pPr>
        <w:spacing w:line="360" w:lineRule="auto"/>
        <w:ind w:firstLine="420" w:firstLineChars="200"/>
        <w:rPr>
          <w:color w:val="auto"/>
          <w:highlight w:val="none"/>
        </w:rPr>
      </w:pPr>
      <w:r>
        <w:rPr>
          <w:color w:val="auto"/>
          <w:highlight w:val="none"/>
        </w:rPr>
        <w:t>三、获取招标文件</w:t>
      </w:r>
    </w:p>
    <w:p w14:paraId="2DD47E68">
      <w:pPr>
        <w:spacing w:line="360" w:lineRule="auto"/>
        <w:ind w:firstLine="420" w:firstLineChars="200"/>
        <w:rPr>
          <w:color w:val="auto"/>
          <w:highlight w:val="none"/>
        </w:rPr>
      </w:pPr>
      <w:r>
        <w:rPr>
          <w:rFonts w:hint="eastAsia"/>
          <w:color w:val="auto"/>
          <w:highlight w:val="none"/>
        </w:rPr>
        <w:t>时间：/至2026年</w:t>
      </w:r>
      <w:r>
        <w:rPr>
          <w:rFonts w:hint="eastAsia"/>
          <w:color w:val="auto"/>
          <w:highlight w:val="none"/>
          <w:lang w:eastAsia="zh-CN"/>
        </w:rPr>
        <w:t>6月2</w:t>
      </w:r>
      <w:r>
        <w:rPr>
          <w:rFonts w:hint="eastAsia"/>
          <w:color w:val="auto"/>
          <w:highlight w:val="none"/>
        </w:rPr>
        <w:t>日，每天上午00：00至12：00，下午12：00至23：59（北京时间，线上获取法定节假日均可，线下获取文件法定节假日除外）</w:t>
      </w:r>
    </w:p>
    <w:p w14:paraId="478713AE">
      <w:pPr>
        <w:spacing w:line="360" w:lineRule="auto"/>
        <w:ind w:firstLine="420" w:firstLineChars="200"/>
        <w:rPr>
          <w:color w:val="auto"/>
          <w:highlight w:val="none"/>
        </w:rPr>
      </w:pPr>
      <w:r>
        <w:rPr>
          <w:rFonts w:hint="eastAsia"/>
          <w:color w:val="auto"/>
          <w:highlight w:val="none"/>
        </w:rPr>
        <w:t>地点（网址）：政府采购云平台（www.zcygov.cn）</w:t>
      </w:r>
    </w:p>
    <w:p w14:paraId="5344054B">
      <w:pPr>
        <w:spacing w:line="360" w:lineRule="auto"/>
        <w:ind w:firstLine="420" w:firstLineChars="200"/>
        <w:rPr>
          <w:color w:val="auto"/>
          <w:highlight w:val="none"/>
        </w:rPr>
      </w:pPr>
      <w:r>
        <w:rPr>
          <w:rFonts w:hint="eastAsia"/>
          <w:color w:val="auto"/>
          <w:highlight w:val="none"/>
        </w:rPr>
        <w:t>方式：在线获取</w:t>
      </w:r>
    </w:p>
    <w:p w14:paraId="1C50711E">
      <w:pPr>
        <w:spacing w:line="360" w:lineRule="auto"/>
        <w:ind w:firstLine="420" w:firstLineChars="200"/>
        <w:rPr>
          <w:color w:val="auto"/>
          <w:highlight w:val="none"/>
        </w:rPr>
      </w:pPr>
      <w:r>
        <w:rPr>
          <w:rFonts w:hint="eastAsia"/>
          <w:color w:val="auto"/>
          <w:highlight w:val="none"/>
        </w:rPr>
        <w:t>售价（元）：0</w:t>
      </w:r>
    </w:p>
    <w:p w14:paraId="15081A11">
      <w:pPr>
        <w:spacing w:line="360" w:lineRule="auto"/>
        <w:ind w:firstLine="420" w:firstLineChars="200"/>
        <w:rPr>
          <w:color w:val="auto"/>
          <w:highlight w:val="none"/>
        </w:rPr>
      </w:pPr>
      <w:r>
        <w:rPr>
          <w:color w:val="auto"/>
          <w:highlight w:val="none"/>
        </w:rPr>
        <w:t>四、提交投标文件截止时间、开标时间和地点</w:t>
      </w:r>
    </w:p>
    <w:p w14:paraId="19AEFA7D">
      <w:pPr>
        <w:spacing w:line="360" w:lineRule="auto"/>
        <w:ind w:firstLine="420" w:firstLineChars="200"/>
        <w:rPr>
          <w:color w:val="auto"/>
          <w:highlight w:val="none"/>
        </w:rPr>
      </w:pPr>
      <w:r>
        <w:rPr>
          <w:rFonts w:hint="eastAsia"/>
          <w:color w:val="auto"/>
          <w:highlight w:val="none"/>
        </w:rPr>
        <w:t>提交投标文件截止时间：2026年</w:t>
      </w:r>
      <w:r>
        <w:rPr>
          <w:rFonts w:hint="eastAsia"/>
          <w:color w:val="auto"/>
          <w:highlight w:val="none"/>
          <w:lang w:eastAsia="zh-CN"/>
        </w:rPr>
        <w:t>6月2</w:t>
      </w:r>
      <w:r>
        <w:rPr>
          <w:rFonts w:hint="eastAsia"/>
          <w:color w:val="auto"/>
          <w:highlight w:val="none"/>
        </w:rPr>
        <w:t>日9:30（北京时间）</w:t>
      </w:r>
    </w:p>
    <w:p w14:paraId="42D80805">
      <w:pPr>
        <w:spacing w:line="360" w:lineRule="auto"/>
        <w:ind w:firstLine="420" w:firstLineChars="200"/>
        <w:rPr>
          <w:color w:val="auto"/>
          <w:highlight w:val="none"/>
        </w:rPr>
      </w:pPr>
      <w:r>
        <w:rPr>
          <w:rFonts w:hint="eastAsia"/>
          <w:color w:val="auto"/>
          <w:highlight w:val="none"/>
        </w:rPr>
        <w:t>投标地点（网址）：请登录政采云投标客户端投标</w:t>
      </w:r>
    </w:p>
    <w:p w14:paraId="4B5E1870">
      <w:pPr>
        <w:spacing w:line="360" w:lineRule="auto"/>
        <w:ind w:firstLine="420" w:firstLineChars="200"/>
        <w:rPr>
          <w:color w:val="auto"/>
          <w:highlight w:val="none"/>
        </w:rPr>
      </w:pPr>
      <w:r>
        <w:rPr>
          <w:rFonts w:hint="eastAsia"/>
          <w:color w:val="auto"/>
          <w:highlight w:val="none"/>
        </w:rPr>
        <w:t>开标时间：2026年</w:t>
      </w:r>
      <w:r>
        <w:rPr>
          <w:rFonts w:hint="eastAsia"/>
          <w:color w:val="auto"/>
          <w:highlight w:val="none"/>
          <w:lang w:eastAsia="zh-CN"/>
        </w:rPr>
        <w:t>6月2</w:t>
      </w:r>
      <w:r>
        <w:rPr>
          <w:rFonts w:hint="eastAsia"/>
          <w:color w:val="auto"/>
          <w:highlight w:val="none"/>
        </w:rPr>
        <w:t>日9:30（北京时间）</w:t>
      </w:r>
    </w:p>
    <w:p w14:paraId="7A6F3250">
      <w:pPr>
        <w:spacing w:line="360" w:lineRule="auto"/>
        <w:ind w:firstLine="420" w:firstLineChars="200"/>
        <w:rPr>
          <w:color w:val="auto"/>
          <w:highlight w:val="none"/>
        </w:rPr>
      </w:pPr>
      <w:r>
        <w:rPr>
          <w:rFonts w:hint="eastAsia"/>
          <w:color w:val="auto"/>
          <w:highlight w:val="none"/>
        </w:rPr>
        <w:t>开标地点（网址）：线上（政府采购云平台（www.zcygov.cn））</w:t>
      </w:r>
    </w:p>
    <w:p w14:paraId="79544BAD">
      <w:pPr>
        <w:spacing w:line="360" w:lineRule="auto"/>
        <w:ind w:firstLine="420" w:firstLineChars="200"/>
        <w:rPr>
          <w:color w:val="auto"/>
          <w:highlight w:val="none"/>
        </w:rPr>
      </w:pPr>
      <w:r>
        <w:rPr>
          <w:color w:val="auto"/>
          <w:highlight w:val="none"/>
        </w:rPr>
        <w:t>五、公告期限</w:t>
      </w:r>
    </w:p>
    <w:p w14:paraId="0CAAC483">
      <w:pPr>
        <w:spacing w:line="360" w:lineRule="auto"/>
        <w:ind w:firstLine="420" w:firstLineChars="200"/>
        <w:rPr>
          <w:color w:val="auto"/>
          <w:highlight w:val="none"/>
        </w:rPr>
      </w:pPr>
      <w:r>
        <w:rPr>
          <w:rFonts w:hint="eastAsia"/>
          <w:color w:val="auto"/>
          <w:highlight w:val="none"/>
        </w:rPr>
        <w:t>自本公告发布之日起5个工作日。</w:t>
      </w:r>
    </w:p>
    <w:p w14:paraId="7C28938C">
      <w:pPr>
        <w:spacing w:line="360" w:lineRule="auto"/>
        <w:ind w:firstLine="420" w:firstLineChars="200"/>
        <w:rPr>
          <w:color w:val="auto"/>
          <w:highlight w:val="none"/>
        </w:rPr>
      </w:pPr>
      <w:r>
        <w:rPr>
          <w:color w:val="auto"/>
          <w:highlight w:val="none"/>
        </w:rPr>
        <w:t>六、其他补充事宜</w:t>
      </w:r>
    </w:p>
    <w:p w14:paraId="2F4C4526">
      <w:pPr>
        <w:spacing w:line="360" w:lineRule="auto"/>
        <w:ind w:firstLine="420" w:firstLineChars="200"/>
        <w:rPr>
          <w:color w:val="auto"/>
          <w:highlight w:val="none"/>
        </w:rPr>
      </w:pPr>
      <w:r>
        <w:rPr>
          <w:rFonts w:hint="eastAsia"/>
          <w:color w:val="auto"/>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8AA34B8">
      <w:pPr>
        <w:spacing w:line="360" w:lineRule="auto"/>
        <w:ind w:firstLine="420" w:firstLineChars="200"/>
        <w:rPr>
          <w:color w:val="auto"/>
          <w:highlight w:val="none"/>
        </w:rPr>
      </w:pPr>
      <w:r>
        <w:rPr>
          <w:rFonts w:hint="eastAsia"/>
          <w:color w:val="auto"/>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796C7B14">
      <w:pPr>
        <w:spacing w:line="360" w:lineRule="auto"/>
        <w:ind w:firstLine="420" w:firstLineChars="200"/>
        <w:rPr>
          <w:color w:val="auto"/>
          <w:highlight w:val="none"/>
        </w:rPr>
      </w:pPr>
      <w:r>
        <w:rPr>
          <w:rFonts w:hint="eastAsia"/>
          <w:color w:val="auto"/>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2D4A7DD">
      <w:pPr>
        <w:spacing w:line="360" w:lineRule="auto"/>
        <w:ind w:firstLine="420" w:firstLineChars="200"/>
        <w:rPr>
          <w:color w:val="auto"/>
          <w:highlight w:val="none"/>
        </w:rPr>
      </w:pPr>
      <w:r>
        <w:rPr>
          <w:rFonts w:hint="eastAsia"/>
          <w:color w:val="auto"/>
          <w:highlight w:val="none"/>
        </w:rPr>
        <w:t>4.其他事项：（1）采购项目需要落实的政府采购政策：《政府采购促进中小企业发展管理办法》（财库﹝2020﹞46号）、《关于促进残疾人就业政府采购政策的通知》（财库〔2017〕141号）、《关于政府采购支持监狱企业发展有关问题的通知》（财库[2014]68号）、《关于调整优化节能产品环境标志产品政府采购执行机制的通知》（财库[2019]9号）。</w:t>
      </w:r>
    </w:p>
    <w:p w14:paraId="2AD5547E">
      <w:pPr>
        <w:spacing w:line="360" w:lineRule="auto"/>
        <w:ind w:firstLine="420" w:firstLineChars="200"/>
        <w:rPr>
          <w:color w:val="auto"/>
          <w:highlight w:val="none"/>
        </w:rPr>
      </w:pPr>
      <w:r>
        <w:rPr>
          <w:rFonts w:hint="eastAsia"/>
          <w:color w:val="auto"/>
          <w:highlight w:val="none"/>
        </w:rPr>
        <w:t>（2）根据《浙江省财政厅关于规范政府采购供应商资格设定及资格审查的通知》（浙财采监[2013]24号）第6条规定接受金融、保险、通讯等特定行业的全国性企业所设立的区域性分支机构，以及个体工商户、个人独资企业、合伙企业，且已经依法办理了工商、税务和社保登记手续，并且获得总机构授权或能够提供房产权证或其他有效财产证明材料，证明其具备实际承担责任的能力和法定的缔结合同能力。</w:t>
      </w:r>
    </w:p>
    <w:p w14:paraId="3B1C46BA">
      <w:pPr>
        <w:spacing w:line="360" w:lineRule="auto"/>
        <w:ind w:firstLine="420" w:firstLineChars="200"/>
        <w:rPr>
          <w:color w:val="auto"/>
          <w:highlight w:val="none"/>
        </w:rPr>
      </w:pPr>
      <w:r>
        <w:rPr>
          <w:rFonts w:hint="eastAsia"/>
          <w:color w:val="auto"/>
          <w:highlight w:val="none"/>
        </w:rPr>
        <w:t>（3）单位负责人为同一人或者存在直接控股、管理关系的不同供应商，不得同时参加同一合同项下的投标。</w:t>
      </w:r>
    </w:p>
    <w:p w14:paraId="3DCA4681">
      <w:pPr>
        <w:spacing w:line="360" w:lineRule="auto"/>
        <w:ind w:firstLine="420" w:firstLineChars="200"/>
        <w:rPr>
          <w:color w:val="auto"/>
          <w:highlight w:val="none"/>
        </w:rPr>
      </w:pPr>
      <w:r>
        <w:rPr>
          <w:rFonts w:hint="eastAsia"/>
          <w:color w:val="auto"/>
          <w:highlight w:val="none"/>
        </w:rPr>
        <w:t>（4）为项目提供整体设计、规范编制或者项目管理、监理、检测等服务的供应商，不得参加该项目的投标。</w:t>
      </w:r>
    </w:p>
    <w:p w14:paraId="732AAD32">
      <w:pPr>
        <w:spacing w:line="360" w:lineRule="auto"/>
        <w:ind w:firstLine="420" w:firstLineChars="200"/>
        <w:rPr>
          <w:color w:val="auto"/>
          <w:highlight w:val="none"/>
        </w:rPr>
      </w:pPr>
      <w:r>
        <w:rPr>
          <w:rFonts w:hint="eastAsia"/>
          <w:color w:val="auto"/>
          <w:highlight w:val="none"/>
        </w:rPr>
        <w:t>（5）本项目采购文件公告期限为本公告发布之日起5个工作日。</w:t>
      </w:r>
    </w:p>
    <w:p w14:paraId="673C552C">
      <w:pPr>
        <w:widowControl/>
        <w:snapToGrid w:val="0"/>
        <w:spacing w:line="360" w:lineRule="auto"/>
        <w:jc w:val="left"/>
        <w:rPr>
          <w:color w:val="auto"/>
          <w:highlight w:val="none"/>
        </w:rPr>
      </w:pPr>
      <w:r>
        <w:rPr>
          <w:rFonts w:hint="eastAsia"/>
          <w:color w:val="auto"/>
          <w:highlight w:val="none"/>
        </w:rPr>
        <w:t>5.本项目采取电子招投标，电子招投标有关事项说明：</w:t>
      </w:r>
      <w:r>
        <w:rPr>
          <w:rFonts w:hint="eastAsia"/>
          <w:color w:val="auto"/>
          <w:highlight w:val="none"/>
        </w:rPr>
        <w:br w:type="textWrapping"/>
      </w:r>
      <w:r>
        <w:rPr>
          <w:rFonts w:hint="eastAsia"/>
          <w:color w:val="auto"/>
          <w:highlight w:val="none"/>
        </w:rPr>
        <w:t>A.本项目通过“浙江政府采购网（http://zfcg.czt.zj.gov.cn）”实行电子投标，供应商须安装客户端软件，并按照采购文件和电子交易平台的要求制作投标文件。</w:t>
      </w:r>
      <w:r>
        <w:rPr>
          <w:rFonts w:hint="eastAsia"/>
          <w:color w:val="auto"/>
          <w:highlight w:val="none"/>
        </w:rPr>
        <w:br w:type="textWrapping"/>
      </w:r>
      <w:r>
        <w:rPr>
          <w:rFonts w:hint="eastAsia"/>
          <w:color w:val="auto"/>
          <w:highlight w:val="none"/>
        </w:rPr>
        <w:t>客户端软件下载方式：供应商可通过“浙江政府采购网-下载专区-电子交易客户端”进行下载。</w:t>
      </w:r>
      <w:r>
        <w:rPr>
          <w:rFonts w:hint="eastAsia"/>
          <w:color w:val="auto"/>
          <w:highlight w:val="none"/>
        </w:rPr>
        <w:br w:type="textWrapping"/>
      </w:r>
      <w:r>
        <w:rPr>
          <w:rFonts w:hint="eastAsia"/>
          <w:color w:val="auto"/>
          <w:highlight w:val="none"/>
        </w:rPr>
        <w:t>B.供应商须申领CA，并在浙江政府采购网完成绑定方可进行投标文件的编制，CA相关操作可参考“浙江政府采购网-下载专区-电子交易客户端-CA驱动和申领流程”。</w:t>
      </w:r>
      <w:r>
        <w:rPr>
          <w:rFonts w:hint="eastAsia"/>
          <w:color w:val="auto"/>
          <w:highlight w:val="none"/>
        </w:rPr>
        <w:br w:type="textWrapping"/>
      </w:r>
      <w:r>
        <w:rPr>
          <w:rFonts w:hint="eastAsia"/>
          <w:color w:val="auto"/>
          <w:highlight w:val="none"/>
        </w:rPr>
        <w:t>若对项目采购电子交易系统操作有疑问，可登录政采云。</w:t>
      </w:r>
      <w:r>
        <w:rPr>
          <w:rFonts w:hint="eastAsia"/>
          <w:color w:val="auto"/>
          <w:highlight w:val="none"/>
        </w:rPr>
        <w:br w:type="textWrapping"/>
      </w:r>
      <w:r>
        <w:rPr>
          <w:rFonts w:hint="eastAsia"/>
          <w:color w:val="auto"/>
          <w:highlight w:val="none"/>
        </w:rPr>
        <w:t>七、对本次采购提出询问、质疑、投诉，请按以下方式联系</w:t>
      </w:r>
    </w:p>
    <w:p w14:paraId="0580E514">
      <w:pPr>
        <w:widowControl/>
        <w:snapToGrid w:val="0"/>
        <w:spacing w:line="360" w:lineRule="auto"/>
        <w:jc w:val="left"/>
        <w:rPr>
          <w:color w:val="auto"/>
          <w:highlight w:val="none"/>
        </w:rPr>
      </w:pPr>
      <w:r>
        <w:rPr>
          <w:rFonts w:hint="eastAsia"/>
          <w:color w:val="auto"/>
          <w:highlight w:val="none"/>
        </w:rPr>
        <w:t xml:space="preserve">    1.采购人信息</w:t>
      </w:r>
    </w:p>
    <w:p w14:paraId="2DC3D4EA">
      <w:pPr>
        <w:widowControl/>
        <w:snapToGrid w:val="0"/>
        <w:spacing w:line="360" w:lineRule="auto"/>
        <w:jc w:val="left"/>
        <w:rPr>
          <w:color w:val="auto"/>
          <w:highlight w:val="none"/>
        </w:rPr>
      </w:pPr>
      <w:r>
        <w:rPr>
          <w:rFonts w:hint="eastAsia"/>
          <w:color w:val="auto"/>
          <w:highlight w:val="none"/>
        </w:rPr>
        <w:t>     名    称：嘉兴市第二医院 </w:t>
      </w:r>
    </w:p>
    <w:p w14:paraId="587AC744">
      <w:pPr>
        <w:widowControl/>
        <w:snapToGrid w:val="0"/>
        <w:spacing w:line="360" w:lineRule="auto"/>
        <w:jc w:val="left"/>
        <w:rPr>
          <w:color w:val="auto"/>
          <w:highlight w:val="none"/>
        </w:rPr>
      </w:pPr>
      <w:r>
        <w:rPr>
          <w:rFonts w:hint="eastAsia"/>
          <w:color w:val="auto"/>
          <w:highlight w:val="none"/>
        </w:rPr>
        <w:t>     地    址：嘉兴市环城北路1518号</w:t>
      </w:r>
    </w:p>
    <w:p w14:paraId="443F74D2">
      <w:pPr>
        <w:widowControl/>
        <w:snapToGrid w:val="0"/>
        <w:spacing w:line="360" w:lineRule="auto"/>
        <w:jc w:val="left"/>
        <w:rPr>
          <w:color w:val="auto"/>
          <w:highlight w:val="none"/>
        </w:rPr>
      </w:pPr>
      <w:r>
        <w:rPr>
          <w:rFonts w:hint="eastAsia"/>
          <w:color w:val="auto"/>
          <w:highlight w:val="none"/>
        </w:rPr>
        <w:t>    传     真：/</w:t>
      </w:r>
    </w:p>
    <w:p w14:paraId="02CB9239">
      <w:pPr>
        <w:widowControl/>
        <w:snapToGrid w:val="0"/>
        <w:spacing w:line="360" w:lineRule="auto"/>
        <w:jc w:val="left"/>
        <w:rPr>
          <w:color w:val="auto"/>
          <w:highlight w:val="none"/>
        </w:rPr>
      </w:pPr>
      <w:r>
        <w:rPr>
          <w:rFonts w:hint="eastAsia"/>
          <w:color w:val="auto"/>
          <w:highlight w:val="none"/>
        </w:rPr>
        <w:t>    项目联系人（询问）：杨先生</w:t>
      </w:r>
    </w:p>
    <w:p w14:paraId="117E3219">
      <w:pPr>
        <w:widowControl/>
        <w:snapToGrid w:val="0"/>
        <w:spacing w:line="360" w:lineRule="auto"/>
        <w:jc w:val="left"/>
        <w:rPr>
          <w:color w:val="auto"/>
          <w:highlight w:val="none"/>
        </w:rPr>
      </w:pPr>
      <w:r>
        <w:rPr>
          <w:rFonts w:hint="eastAsia"/>
          <w:color w:val="auto"/>
          <w:highlight w:val="none"/>
        </w:rPr>
        <w:t>    项目联系方式（询问）：0573-82303217</w:t>
      </w:r>
    </w:p>
    <w:p w14:paraId="1CA11379">
      <w:pPr>
        <w:widowControl/>
        <w:snapToGrid w:val="0"/>
        <w:spacing w:line="360" w:lineRule="auto"/>
        <w:jc w:val="left"/>
        <w:rPr>
          <w:color w:val="auto"/>
          <w:highlight w:val="none"/>
        </w:rPr>
      </w:pPr>
      <w:r>
        <w:rPr>
          <w:rFonts w:hint="eastAsia"/>
          <w:color w:val="auto"/>
          <w:highlight w:val="none"/>
        </w:rPr>
        <w:t>    质疑联系人：涂先生</w:t>
      </w:r>
    </w:p>
    <w:p w14:paraId="2544B33D">
      <w:pPr>
        <w:widowControl/>
        <w:snapToGrid w:val="0"/>
        <w:spacing w:line="360" w:lineRule="auto"/>
        <w:jc w:val="left"/>
        <w:rPr>
          <w:color w:val="auto"/>
          <w:highlight w:val="none"/>
        </w:rPr>
      </w:pPr>
      <w:r>
        <w:rPr>
          <w:rFonts w:hint="eastAsia"/>
          <w:color w:val="auto"/>
          <w:highlight w:val="none"/>
        </w:rPr>
        <w:t>    质疑联系方式：0573-82059080</w:t>
      </w:r>
    </w:p>
    <w:p w14:paraId="621C6A52">
      <w:pPr>
        <w:widowControl/>
        <w:snapToGrid w:val="0"/>
        <w:spacing w:line="360" w:lineRule="auto"/>
        <w:jc w:val="left"/>
        <w:rPr>
          <w:color w:val="auto"/>
          <w:highlight w:val="none"/>
        </w:rPr>
      </w:pPr>
      <w:r>
        <w:rPr>
          <w:rFonts w:hint="eastAsia"/>
          <w:color w:val="auto"/>
          <w:highlight w:val="none"/>
        </w:rPr>
        <w:t>    2.采购代理机构信息            </w:t>
      </w:r>
    </w:p>
    <w:p w14:paraId="122DC78D">
      <w:pPr>
        <w:widowControl/>
        <w:snapToGrid w:val="0"/>
        <w:spacing w:line="360" w:lineRule="auto"/>
        <w:jc w:val="left"/>
        <w:rPr>
          <w:color w:val="auto"/>
          <w:highlight w:val="none"/>
        </w:rPr>
      </w:pPr>
      <w:r>
        <w:rPr>
          <w:rFonts w:hint="eastAsia"/>
          <w:color w:val="auto"/>
          <w:highlight w:val="none"/>
        </w:rPr>
        <w:t>    名    称：浙江国际招投标有限公司             </w:t>
      </w:r>
    </w:p>
    <w:p w14:paraId="28536997">
      <w:pPr>
        <w:widowControl/>
        <w:snapToGrid w:val="0"/>
        <w:spacing w:line="360" w:lineRule="auto"/>
        <w:jc w:val="left"/>
        <w:rPr>
          <w:color w:val="auto"/>
          <w:highlight w:val="none"/>
        </w:rPr>
      </w:pPr>
      <w:r>
        <w:rPr>
          <w:rFonts w:hint="eastAsia"/>
          <w:color w:val="auto"/>
          <w:highlight w:val="none"/>
        </w:rPr>
        <w:t>    地    址：杭州市文三路90号东部软件园1号楼3楼             </w:t>
      </w:r>
    </w:p>
    <w:p w14:paraId="69F7CE4D">
      <w:pPr>
        <w:widowControl/>
        <w:snapToGrid w:val="0"/>
        <w:spacing w:line="360" w:lineRule="auto"/>
        <w:jc w:val="left"/>
        <w:rPr>
          <w:color w:val="auto"/>
          <w:highlight w:val="none"/>
        </w:rPr>
      </w:pPr>
      <w:r>
        <w:rPr>
          <w:rFonts w:hint="eastAsia"/>
          <w:color w:val="auto"/>
          <w:highlight w:val="none"/>
        </w:rPr>
        <w:t>    传     真：/             </w:t>
      </w:r>
    </w:p>
    <w:p w14:paraId="06CE1863">
      <w:pPr>
        <w:widowControl/>
        <w:snapToGrid w:val="0"/>
        <w:spacing w:line="360" w:lineRule="auto"/>
        <w:jc w:val="left"/>
        <w:rPr>
          <w:color w:val="auto"/>
          <w:highlight w:val="none"/>
        </w:rPr>
      </w:pPr>
      <w:r>
        <w:rPr>
          <w:rFonts w:hint="eastAsia"/>
          <w:color w:val="auto"/>
          <w:highlight w:val="none"/>
        </w:rPr>
        <w:t>    项目联系人（询问）：苑洪春，李博</w:t>
      </w:r>
    </w:p>
    <w:p w14:paraId="64B825DC">
      <w:pPr>
        <w:widowControl/>
        <w:snapToGrid w:val="0"/>
        <w:spacing w:line="360" w:lineRule="auto"/>
        <w:jc w:val="left"/>
        <w:rPr>
          <w:color w:val="auto"/>
          <w:highlight w:val="none"/>
        </w:rPr>
      </w:pPr>
      <w:r>
        <w:rPr>
          <w:rFonts w:hint="eastAsia"/>
          <w:color w:val="auto"/>
          <w:highlight w:val="none"/>
        </w:rPr>
        <w:t>    项目联系方式（询问）：0571-81061814</w:t>
      </w:r>
    </w:p>
    <w:p w14:paraId="54020E11">
      <w:pPr>
        <w:widowControl/>
        <w:snapToGrid w:val="0"/>
        <w:spacing w:line="360" w:lineRule="auto"/>
        <w:jc w:val="left"/>
        <w:rPr>
          <w:color w:val="auto"/>
          <w:highlight w:val="none"/>
        </w:rPr>
      </w:pPr>
      <w:r>
        <w:rPr>
          <w:rFonts w:hint="eastAsia"/>
          <w:color w:val="auto"/>
          <w:highlight w:val="none"/>
        </w:rPr>
        <w:t>    质疑联系人：张域            </w:t>
      </w:r>
    </w:p>
    <w:p w14:paraId="731D9627">
      <w:pPr>
        <w:widowControl/>
        <w:snapToGrid w:val="0"/>
        <w:spacing w:line="360" w:lineRule="auto"/>
        <w:jc w:val="left"/>
        <w:rPr>
          <w:color w:val="auto"/>
          <w:highlight w:val="none"/>
        </w:rPr>
      </w:pPr>
      <w:r>
        <w:rPr>
          <w:rFonts w:hint="eastAsia"/>
          <w:color w:val="auto"/>
          <w:highlight w:val="none"/>
        </w:rPr>
        <w:t>    质疑联系方式：0571-81061813 　　　　　　         </w:t>
      </w:r>
    </w:p>
    <w:p w14:paraId="47AD6759">
      <w:pPr>
        <w:widowControl/>
        <w:snapToGrid w:val="0"/>
        <w:spacing w:line="360" w:lineRule="auto"/>
        <w:jc w:val="left"/>
        <w:rPr>
          <w:color w:val="auto"/>
          <w:highlight w:val="none"/>
        </w:rPr>
      </w:pPr>
      <w:r>
        <w:rPr>
          <w:rFonts w:hint="eastAsia"/>
          <w:color w:val="auto"/>
          <w:highlight w:val="none"/>
        </w:rPr>
        <w:t>     3.同级政府采购监督管理部门            </w:t>
      </w:r>
    </w:p>
    <w:p w14:paraId="4F1CEFE6">
      <w:pPr>
        <w:widowControl/>
        <w:snapToGrid w:val="0"/>
        <w:spacing w:line="360" w:lineRule="auto"/>
        <w:jc w:val="left"/>
        <w:rPr>
          <w:color w:val="auto"/>
          <w:highlight w:val="none"/>
        </w:rPr>
      </w:pPr>
      <w:r>
        <w:rPr>
          <w:rFonts w:hint="eastAsia"/>
          <w:color w:val="auto"/>
          <w:highlight w:val="none"/>
        </w:rPr>
        <w:t>    名    称：嘉兴市财政局             </w:t>
      </w:r>
    </w:p>
    <w:p w14:paraId="04796C7F">
      <w:pPr>
        <w:widowControl/>
        <w:snapToGrid w:val="0"/>
        <w:spacing w:line="360" w:lineRule="auto"/>
        <w:jc w:val="left"/>
        <w:rPr>
          <w:color w:val="auto"/>
          <w:highlight w:val="none"/>
        </w:rPr>
      </w:pPr>
      <w:r>
        <w:rPr>
          <w:rFonts w:hint="eastAsia"/>
          <w:color w:val="auto"/>
          <w:highlight w:val="none"/>
        </w:rPr>
        <w:t>    地    址：嘉兴市南湖区环城西路55号             </w:t>
      </w:r>
    </w:p>
    <w:p w14:paraId="6B8ED973">
      <w:pPr>
        <w:widowControl/>
        <w:snapToGrid w:val="0"/>
        <w:spacing w:line="360" w:lineRule="auto"/>
        <w:jc w:val="left"/>
        <w:rPr>
          <w:color w:val="auto"/>
          <w:highlight w:val="none"/>
        </w:rPr>
      </w:pPr>
      <w:r>
        <w:rPr>
          <w:rFonts w:hint="eastAsia"/>
          <w:color w:val="auto"/>
          <w:highlight w:val="none"/>
        </w:rPr>
        <w:t>    传    真：/             </w:t>
      </w:r>
    </w:p>
    <w:p w14:paraId="6777DAD0">
      <w:pPr>
        <w:widowControl/>
        <w:snapToGrid w:val="0"/>
        <w:spacing w:line="360" w:lineRule="auto"/>
        <w:jc w:val="left"/>
        <w:rPr>
          <w:color w:val="auto"/>
          <w:highlight w:val="none"/>
        </w:rPr>
      </w:pPr>
      <w:r>
        <w:rPr>
          <w:rFonts w:hint="eastAsia"/>
          <w:color w:val="auto"/>
          <w:highlight w:val="none"/>
        </w:rPr>
        <w:t>    联系人：姚工             </w:t>
      </w:r>
    </w:p>
    <w:p w14:paraId="766FDF2B">
      <w:pPr>
        <w:widowControl/>
        <w:snapToGrid w:val="0"/>
        <w:spacing w:line="360" w:lineRule="auto"/>
        <w:jc w:val="left"/>
        <w:rPr>
          <w:color w:val="auto"/>
          <w:highlight w:val="none"/>
        </w:rPr>
      </w:pPr>
      <w:r>
        <w:rPr>
          <w:rFonts w:hint="eastAsia"/>
          <w:color w:val="auto"/>
          <w:highlight w:val="none"/>
        </w:rPr>
        <w:t xml:space="preserve">监督投诉电话：0573-82031217   </w:t>
      </w:r>
    </w:p>
    <w:p w14:paraId="7625F461">
      <w:pPr>
        <w:widowControl/>
        <w:snapToGrid w:val="0"/>
        <w:spacing w:line="360" w:lineRule="auto"/>
        <w:jc w:val="left"/>
        <w:rPr>
          <w:color w:val="auto"/>
          <w:highlight w:val="none"/>
        </w:rPr>
      </w:pPr>
      <w:r>
        <w:rPr>
          <w:rFonts w:hint="eastAsia"/>
          <w:color w:val="auto"/>
          <w:highlight w:val="none"/>
        </w:rPr>
        <w:t>若对项目采购电子交易系统操作有疑问，可登录政采云（https://www.zcygov.cn/），点击右侧咨询小采，获取采小蜜智能服务管家帮助，或拨打政采云服务热线400-881-7190获取热线服务帮助。</w:t>
      </w:r>
    </w:p>
    <w:p w14:paraId="292EEE67">
      <w:pPr>
        <w:widowControl/>
        <w:snapToGrid w:val="0"/>
        <w:spacing w:line="360" w:lineRule="auto"/>
        <w:jc w:val="left"/>
        <w:rPr>
          <w:rFonts w:hint="eastAsia" w:ascii="宋体" w:hAnsi="宋体" w:cs="宋体"/>
          <w:color w:val="auto"/>
          <w:highlight w:val="none"/>
        </w:rPr>
      </w:pPr>
      <w:r>
        <w:rPr>
          <w:rFonts w:hint="eastAsia"/>
          <w:color w:val="auto"/>
          <w:highlight w:val="none"/>
        </w:rPr>
        <w:t>CA问题联系电话（人工）：汇信CA 400-888-4636；天谷CA 400-087-8198。</w:t>
      </w:r>
    </w:p>
    <w:p w14:paraId="73743BEB">
      <w:pPr>
        <w:pStyle w:val="2"/>
        <w:snapToGrid w:val="0"/>
        <w:rPr>
          <w:rFonts w:ascii="Times New Roman" w:hAnsi="Times New Roman" w:eastAsia="宋体"/>
          <w:color w:val="auto"/>
          <w:highlight w:val="none"/>
        </w:rPr>
      </w:pPr>
      <w:r>
        <w:rPr>
          <w:rFonts w:ascii="Times New Roman" w:hAnsi="Times New Roman" w:eastAsia="宋体"/>
          <w:color w:val="auto"/>
          <w:kern w:val="0"/>
          <w:szCs w:val="21"/>
          <w:highlight w:val="none"/>
        </w:rPr>
        <w:br w:type="page"/>
      </w:r>
      <w:bookmarkStart w:id="2" w:name="_Toc495317668"/>
      <w:r>
        <w:rPr>
          <w:rFonts w:hint="eastAsia" w:ascii="Times New Roman" w:hAnsi="Times New Roman" w:eastAsia="宋体"/>
          <w:color w:val="auto"/>
          <w:highlight w:val="none"/>
        </w:rPr>
        <w:t>供应商</w:t>
      </w:r>
      <w:r>
        <w:rPr>
          <w:rFonts w:ascii="Times New Roman" w:hAnsi="Times New Roman" w:eastAsia="宋体"/>
          <w:color w:val="auto"/>
          <w:highlight w:val="none"/>
        </w:rPr>
        <w:t>须知前附表</w:t>
      </w:r>
      <w:bookmarkEnd w:id="2"/>
    </w:p>
    <w:tbl>
      <w:tblPr>
        <w:tblStyle w:val="8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7"/>
        <w:gridCol w:w="1830"/>
        <w:gridCol w:w="6604"/>
      </w:tblGrid>
      <w:tr w14:paraId="5FBA56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B58DD3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序号</w:t>
            </w:r>
          </w:p>
        </w:tc>
        <w:tc>
          <w:tcPr>
            <w:tcW w:w="1830" w:type="dxa"/>
            <w:vAlign w:val="center"/>
          </w:tcPr>
          <w:p w14:paraId="1B0A4959">
            <w:pPr>
              <w:pStyle w:val="142"/>
              <w:snapToGrid w:val="0"/>
              <w:spacing w:line="360" w:lineRule="auto"/>
              <w:ind w:firstLine="0" w:firstLineChars="0"/>
              <w:jc w:val="center"/>
              <w:rPr>
                <w:rFonts w:ascii="Times New Roman" w:hAnsi="Times New Roman"/>
                <w:color w:val="auto"/>
                <w:highlight w:val="none"/>
              </w:rPr>
            </w:pPr>
            <w:r>
              <w:rPr>
                <w:rFonts w:ascii="Times New Roman" w:hAnsi="Times New Roman"/>
                <w:color w:val="auto"/>
                <w:highlight w:val="none"/>
              </w:rPr>
              <w:t>名称</w:t>
            </w:r>
          </w:p>
        </w:tc>
        <w:tc>
          <w:tcPr>
            <w:tcW w:w="6604" w:type="dxa"/>
            <w:vAlign w:val="center"/>
          </w:tcPr>
          <w:p w14:paraId="39D2AE92">
            <w:pPr>
              <w:pStyle w:val="142"/>
              <w:snapToGrid w:val="0"/>
              <w:spacing w:line="360" w:lineRule="auto"/>
              <w:ind w:firstLine="0" w:firstLineChars="0"/>
              <w:jc w:val="center"/>
              <w:rPr>
                <w:rFonts w:ascii="Times New Roman" w:hAnsi="Times New Roman"/>
                <w:color w:val="auto"/>
                <w:highlight w:val="none"/>
              </w:rPr>
            </w:pPr>
            <w:r>
              <w:rPr>
                <w:rFonts w:ascii="Times New Roman" w:hAnsi="Times New Roman"/>
                <w:color w:val="auto"/>
                <w:highlight w:val="none"/>
              </w:rPr>
              <w:t>内容</w:t>
            </w:r>
          </w:p>
        </w:tc>
      </w:tr>
      <w:tr w14:paraId="2C8E3D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08C9540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w:t>
            </w:r>
          </w:p>
        </w:tc>
        <w:tc>
          <w:tcPr>
            <w:tcW w:w="1830" w:type="dxa"/>
            <w:vAlign w:val="center"/>
          </w:tcPr>
          <w:p w14:paraId="6D019ED6">
            <w:pPr>
              <w:autoSpaceDE w:val="0"/>
              <w:autoSpaceDN w:val="0"/>
              <w:adjustRightInd w:val="0"/>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6604" w:type="dxa"/>
            <w:vAlign w:val="center"/>
          </w:tcPr>
          <w:p w14:paraId="68A7C95E">
            <w:pPr>
              <w:pStyle w:val="142"/>
              <w:snapToGrid w:val="0"/>
              <w:spacing w:line="360" w:lineRule="auto"/>
              <w:ind w:firstLine="0" w:firstLineChars="0"/>
              <w:rPr>
                <w:rFonts w:hint="eastAsia" w:ascii="宋体" w:hAnsi="宋体"/>
                <w:color w:val="auto"/>
                <w:highlight w:val="none"/>
              </w:rPr>
            </w:pPr>
            <w:r>
              <w:rPr>
                <w:rFonts w:hint="eastAsia" w:ascii="宋体" w:hAnsi="宋体"/>
                <w:color w:val="auto"/>
                <w:highlight w:val="none"/>
              </w:rPr>
              <w:t>采购人：嘉兴市第二医院</w:t>
            </w:r>
          </w:p>
          <w:p w14:paraId="79D7943E">
            <w:pPr>
              <w:spacing w:line="360" w:lineRule="auto"/>
              <w:rPr>
                <w:rFonts w:hint="eastAsia" w:ascii="宋体" w:hAnsi="宋体"/>
                <w:color w:val="auto"/>
                <w:highlight w:val="none"/>
              </w:rPr>
            </w:pPr>
            <w:r>
              <w:rPr>
                <w:rFonts w:hint="eastAsia" w:ascii="宋体" w:hAnsi="宋体"/>
                <w:color w:val="auto"/>
                <w:highlight w:val="none"/>
              </w:rPr>
              <w:t>采购人地址：嘉兴市环城北路1518号</w:t>
            </w:r>
          </w:p>
          <w:p w14:paraId="29946AD4">
            <w:pPr>
              <w:pStyle w:val="142"/>
              <w:snapToGrid w:val="0"/>
              <w:spacing w:line="360" w:lineRule="auto"/>
              <w:ind w:firstLine="0" w:firstLineChars="0"/>
              <w:rPr>
                <w:rFonts w:hint="eastAsia" w:ascii="宋体" w:hAnsi="宋体"/>
                <w:color w:val="auto"/>
                <w:highlight w:val="none"/>
              </w:rPr>
            </w:pPr>
            <w:r>
              <w:rPr>
                <w:rFonts w:hint="eastAsia" w:ascii="宋体" w:hAnsi="宋体"/>
                <w:color w:val="auto"/>
                <w:highlight w:val="none"/>
              </w:rPr>
              <w:t>联系人：</w:t>
            </w:r>
            <w:r>
              <w:rPr>
                <w:rFonts w:hint="eastAsia" w:ascii="宋体" w:hAnsi="宋体" w:cs="宋体"/>
                <w:color w:val="auto"/>
                <w:szCs w:val="21"/>
                <w:highlight w:val="none"/>
              </w:rPr>
              <w:t>杨先生</w:t>
            </w:r>
          </w:p>
          <w:p w14:paraId="5876B8C8">
            <w:pPr>
              <w:pStyle w:val="142"/>
              <w:snapToGrid w:val="0"/>
              <w:spacing w:line="360" w:lineRule="auto"/>
              <w:ind w:firstLine="0" w:firstLineChars="0"/>
              <w:rPr>
                <w:rFonts w:hint="eastAsia" w:ascii="宋体" w:hAnsi="宋体"/>
                <w:color w:val="auto"/>
                <w:highlight w:val="none"/>
              </w:rPr>
            </w:pPr>
            <w:r>
              <w:rPr>
                <w:rFonts w:hint="eastAsia" w:ascii="宋体" w:hAnsi="宋体"/>
                <w:color w:val="auto"/>
                <w:highlight w:val="none"/>
              </w:rPr>
              <w:t>联系电话：</w:t>
            </w:r>
            <w:r>
              <w:rPr>
                <w:rFonts w:hint="eastAsia" w:ascii="宋体" w:hAnsi="宋体" w:cs="宋体"/>
                <w:color w:val="auto"/>
                <w:kern w:val="0"/>
                <w:szCs w:val="21"/>
                <w:highlight w:val="none"/>
              </w:rPr>
              <w:t>0573-82303217</w:t>
            </w:r>
          </w:p>
        </w:tc>
      </w:tr>
      <w:tr w14:paraId="56AB34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154A51A">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2</w:t>
            </w:r>
          </w:p>
        </w:tc>
        <w:tc>
          <w:tcPr>
            <w:tcW w:w="1830" w:type="dxa"/>
            <w:vAlign w:val="center"/>
          </w:tcPr>
          <w:p w14:paraId="20AB3C53">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采购代理机构</w:t>
            </w:r>
          </w:p>
        </w:tc>
        <w:tc>
          <w:tcPr>
            <w:tcW w:w="6604" w:type="dxa"/>
            <w:vAlign w:val="center"/>
          </w:tcPr>
          <w:p w14:paraId="1C839214">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名称：浙江国际招投标有限公司</w:t>
            </w:r>
          </w:p>
          <w:p w14:paraId="0012B422">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地址：杭州市文三路90号东部软件园1号楼3楼</w:t>
            </w:r>
          </w:p>
          <w:p w14:paraId="29860DC6">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联系人：苑洪春，李博</w:t>
            </w:r>
          </w:p>
          <w:p w14:paraId="14F43A48">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联系电话：0571-81061814、13065702633</w:t>
            </w:r>
          </w:p>
          <w:p w14:paraId="652AFA89">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邮编：310012</w:t>
            </w:r>
          </w:p>
          <w:p w14:paraId="39DFB5D6">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Email：14847913@qq.com</w:t>
            </w:r>
          </w:p>
        </w:tc>
      </w:tr>
      <w:tr w14:paraId="2A1742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0BFA77B0">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3</w:t>
            </w:r>
          </w:p>
        </w:tc>
        <w:tc>
          <w:tcPr>
            <w:tcW w:w="1830" w:type="dxa"/>
            <w:vAlign w:val="center"/>
          </w:tcPr>
          <w:p w14:paraId="2B8FBA82">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踏勘现场</w:t>
            </w:r>
          </w:p>
        </w:tc>
        <w:tc>
          <w:tcPr>
            <w:tcW w:w="6604" w:type="dxa"/>
            <w:vAlign w:val="center"/>
          </w:tcPr>
          <w:p w14:paraId="2D40BCB9">
            <w:pPr>
              <w:snapToGrid w:val="0"/>
              <w:spacing w:line="360" w:lineRule="auto"/>
              <w:rPr>
                <w:rFonts w:hint="eastAsia" w:ascii="宋体" w:hAnsi="宋体" w:cs="宋体"/>
                <w:color w:val="auto"/>
                <w:kern w:val="0"/>
                <w:szCs w:val="21"/>
                <w:highlight w:val="none"/>
              </w:rPr>
            </w:pPr>
            <w:r>
              <w:rPr>
                <w:rFonts w:hint="eastAsia" w:ascii="宋体" w:hAnsi="宋体"/>
                <w:bCs/>
                <w:color w:val="auto"/>
                <w:szCs w:val="21"/>
                <w:highlight w:val="none"/>
              </w:rPr>
              <w:t>投标人自行踏勘，联系人：高先生，联系方式：15990382026</w:t>
            </w:r>
          </w:p>
        </w:tc>
      </w:tr>
      <w:tr w14:paraId="783373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B430946">
            <w:pPr>
              <w:pStyle w:val="142"/>
              <w:snapToGrid w:val="0"/>
              <w:spacing w:line="36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4</w:t>
            </w:r>
          </w:p>
        </w:tc>
        <w:tc>
          <w:tcPr>
            <w:tcW w:w="1830" w:type="dxa"/>
            <w:vAlign w:val="center"/>
          </w:tcPr>
          <w:p w14:paraId="2794498F">
            <w:pPr>
              <w:pStyle w:val="142"/>
              <w:snapToGrid w:val="0"/>
              <w:spacing w:line="360" w:lineRule="auto"/>
              <w:ind w:firstLine="0" w:firstLineChars="0"/>
              <w:jc w:val="left"/>
              <w:rPr>
                <w:rFonts w:ascii="Times New Roman" w:hAnsi="Times New Roman"/>
                <w:color w:val="auto"/>
                <w:szCs w:val="21"/>
                <w:highlight w:val="none"/>
              </w:rPr>
            </w:pPr>
            <w:r>
              <w:rPr>
                <w:rFonts w:ascii="Times New Roman" w:hAnsi="Times New Roman"/>
                <w:color w:val="auto"/>
                <w:szCs w:val="21"/>
                <w:highlight w:val="none"/>
              </w:rPr>
              <w:t>资金来源</w:t>
            </w:r>
          </w:p>
        </w:tc>
        <w:tc>
          <w:tcPr>
            <w:tcW w:w="6604" w:type="dxa"/>
            <w:vAlign w:val="center"/>
          </w:tcPr>
          <w:p w14:paraId="618A53FB">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已落实</w:t>
            </w:r>
          </w:p>
        </w:tc>
      </w:tr>
      <w:tr w14:paraId="593CF3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84CCFBE">
            <w:pPr>
              <w:pStyle w:val="142"/>
              <w:snapToGrid w:val="0"/>
              <w:spacing w:line="36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5</w:t>
            </w:r>
          </w:p>
        </w:tc>
        <w:tc>
          <w:tcPr>
            <w:tcW w:w="1830" w:type="dxa"/>
            <w:vAlign w:val="center"/>
          </w:tcPr>
          <w:p w14:paraId="506C9627">
            <w:pPr>
              <w:pStyle w:val="142"/>
              <w:snapToGrid w:val="0"/>
              <w:spacing w:line="360" w:lineRule="auto"/>
              <w:ind w:firstLine="0" w:firstLineChars="0"/>
              <w:jc w:val="left"/>
              <w:rPr>
                <w:rFonts w:ascii="Times New Roman" w:hAnsi="Times New Roman"/>
                <w:color w:val="auto"/>
                <w:szCs w:val="21"/>
                <w:highlight w:val="none"/>
              </w:rPr>
            </w:pPr>
            <w:r>
              <w:rPr>
                <w:rFonts w:ascii="Times New Roman" w:hAnsi="Times New Roman"/>
                <w:color w:val="auto"/>
                <w:szCs w:val="21"/>
                <w:highlight w:val="none"/>
              </w:rPr>
              <w:t>环境标志产品</w:t>
            </w:r>
          </w:p>
          <w:p w14:paraId="71BE3859">
            <w:pPr>
              <w:pStyle w:val="142"/>
              <w:snapToGrid w:val="0"/>
              <w:spacing w:line="360" w:lineRule="auto"/>
              <w:ind w:firstLine="0" w:firstLineChars="0"/>
              <w:jc w:val="left"/>
              <w:rPr>
                <w:rFonts w:ascii="Times New Roman" w:hAnsi="Times New Roman"/>
                <w:color w:val="auto"/>
                <w:szCs w:val="21"/>
                <w:highlight w:val="none"/>
              </w:rPr>
            </w:pPr>
            <w:r>
              <w:rPr>
                <w:rFonts w:ascii="Times New Roman" w:hAnsi="Times New Roman"/>
                <w:color w:val="auto"/>
                <w:highlight w:val="none"/>
              </w:rPr>
              <w:t>节能产品</w:t>
            </w:r>
          </w:p>
        </w:tc>
        <w:tc>
          <w:tcPr>
            <w:tcW w:w="6604" w:type="dxa"/>
            <w:vAlign w:val="center"/>
          </w:tcPr>
          <w:p w14:paraId="747670C4">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（1）严格执行《财政部 发展改革委 生态环境部 市场监管总局关于调整优化节能产品、环境标志产品政府采购执行机制的通知》（财库〔2019〕9号）。</w:t>
            </w:r>
          </w:p>
          <w:p w14:paraId="1958715A">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2）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p>
          <w:p w14:paraId="31E5FE26">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▲（3）采购人拟采购的产品属于政府强制采购的节能产品品目清单范围的，供应商未按采购文件要求提供国家确定的认证机构出具的、处于有效期之内的节能产品认证证书，投标无效。</w:t>
            </w:r>
          </w:p>
          <w:p w14:paraId="34C5BC93">
            <w:pPr>
              <w:numPr>
                <w:ilvl w:val="0"/>
                <w:numId w:val="1"/>
              </w:num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属于政府优先采购产品类别的，须按照要求提供依据国家确定的认证机构出具的、处于有效期之内的节能产品或环境标志产品认证证书，否则不予认定。</w:t>
            </w:r>
          </w:p>
          <w:p w14:paraId="0CA505C3">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2"/>
                <w:sz w:val="13"/>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不</w:t>
            </w:r>
            <w:r>
              <w:rPr>
                <w:rFonts w:hint="eastAsia" w:ascii="宋体" w:hAnsi="宋体" w:cs="宋体"/>
                <w:bCs/>
                <w:color w:val="auto"/>
                <w:szCs w:val="21"/>
                <w:highlight w:val="none"/>
              </w:rPr>
              <w:t xml:space="preserve">适用  </w:t>
            </w:r>
            <w:r>
              <w:rPr>
                <w:rFonts w:hint="eastAsia" w:ascii="宋体" w:hAnsi="宋体" w:cs="宋体"/>
                <w:color w:val="auto"/>
                <w:szCs w:val="21"/>
                <w:highlight w:val="none"/>
              </w:rPr>
              <w:t>□</w:t>
            </w:r>
            <w:r>
              <w:rPr>
                <w:rFonts w:hint="eastAsia" w:ascii="宋体" w:hAnsi="宋体" w:cs="宋体"/>
                <w:color w:val="auto"/>
                <w:kern w:val="0"/>
                <w:szCs w:val="21"/>
                <w:highlight w:val="none"/>
              </w:rPr>
              <w:t xml:space="preserve">适用  </w:t>
            </w:r>
          </w:p>
        </w:tc>
      </w:tr>
      <w:tr w14:paraId="6DFA2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7C82F17">
            <w:pPr>
              <w:pStyle w:val="142"/>
              <w:snapToGrid w:val="0"/>
              <w:spacing w:line="360" w:lineRule="auto"/>
              <w:ind w:firstLine="0" w:firstLineChars="0"/>
              <w:jc w:val="center"/>
              <w:rPr>
                <w:rFonts w:ascii="Times New Roman" w:hAnsi="Times New Roman"/>
                <w:color w:val="auto"/>
                <w:szCs w:val="21"/>
                <w:highlight w:val="none"/>
              </w:rPr>
            </w:pPr>
            <w:r>
              <w:rPr>
                <w:rFonts w:hint="eastAsia" w:ascii="Times New Roman" w:hAnsi="Times New Roman"/>
                <w:color w:val="auto"/>
                <w:szCs w:val="21"/>
                <w:highlight w:val="none"/>
              </w:rPr>
              <w:t>6</w:t>
            </w:r>
          </w:p>
        </w:tc>
        <w:tc>
          <w:tcPr>
            <w:tcW w:w="1830" w:type="dxa"/>
            <w:vAlign w:val="center"/>
          </w:tcPr>
          <w:p w14:paraId="64E82673">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ab/>
            </w:r>
            <w:r>
              <w:rPr>
                <w:rFonts w:ascii="Times New Roman" w:hAnsi="Times New Roman"/>
                <w:color w:val="auto"/>
                <w:highlight w:val="none"/>
              </w:rPr>
              <w:t>投标产品主体</w:t>
            </w:r>
          </w:p>
        </w:tc>
        <w:tc>
          <w:tcPr>
            <w:tcW w:w="6604" w:type="dxa"/>
            <w:vAlign w:val="center"/>
          </w:tcPr>
          <w:p w14:paraId="6FB49F66">
            <w:pPr>
              <w:autoSpaceDE w:val="0"/>
              <w:autoSpaceDN w:val="0"/>
              <w:adjustRightInd w:val="0"/>
              <w:snapToGrid w:val="0"/>
              <w:spacing w:line="360" w:lineRule="auto"/>
              <w:ind w:right="105" w:rightChars="50"/>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 xml:space="preserve">适用  </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kern w:val="0"/>
                <w:szCs w:val="21"/>
                <w:highlight w:val="none"/>
              </w:rPr>
              <w:t xml:space="preserve">不适用  </w:t>
            </w:r>
          </w:p>
        </w:tc>
      </w:tr>
      <w:tr w14:paraId="7F1C60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51FE196">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7</w:t>
            </w:r>
          </w:p>
        </w:tc>
        <w:tc>
          <w:tcPr>
            <w:tcW w:w="1830" w:type="dxa"/>
            <w:vAlign w:val="center"/>
          </w:tcPr>
          <w:p w14:paraId="2C59223C">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投标保证金</w:t>
            </w:r>
          </w:p>
        </w:tc>
        <w:tc>
          <w:tcPr>
            <w:tcW w:w="6604" w:type="dxa"/>
            <w:vAlign w:val="center"/>
          </w:tcPr>
          <w:p w14:paraId="4265484E">
            <w:pPr>
              <w:pStyle w:val="142"/>
              <w:snapToGrid w:val="0"/>
              <w:spacing w:line="360" w:lineRule="auto"/>
              <w:ind w:firstLine="0" w:firstLineChars="0"/>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 xml:space="preserve">适用  </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kern w:val="0"/>
                <w:szCs w:val="21"/>
                <w:highlight w:val="none"/>
              </w:rPr>
              <w:t xml:space="preserve">不适用  </w:t>
            </w:r>
          </w:p>
        </w:tc>
      </w:tr>
      <w:tr w14:paraId="0F296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4075E5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8</w:t>
            </w:r>
          </w:p>
        </w:tc>
        <w:tc>
          <w:tcPr>
            <w:tcW w:w="1830" w:type="dxa"/>
            <w:vAlign w:val="center"/>
          </w:tcPr>
          <w:p w14:paraId="65F3DF5A">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投标文件有效期</w:t>
            </w:r>
          </w:p>
        </w:tc>
        <w:tc>
          <w:tcPr>
            <w:tcW w:w="6604" w:type="dxa"/>
            <w:vAlign w:val="center"/>
          </w:tcPr>
          <w:p w14:paraId="4655C5A7">
            <w:pPr>
              <w:widowControl/>
              <w:snapToGrid w:val="0"/>
              <w:spacing w:line="360" w:lineRule="auto"/>
              <w:rPr>
                <w:color w:val="auto"/>
                <w:highlight w:val="none"/>
              </w:rPr>
            </w:pPr>
            <w:r>
              <w:rPr>
                <w:color w:val="auto"/>
                <w:highlight w:val="none"/>
              </w:rPr>
              <w:t>自投标截止时间起90天</w:t>
            </w:r>
          </w:p>
        </w:tc>
      </w:tr>
      <w:tr w14:paraId="4853C0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400D9F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9</w:t>
            </w:r>
          </w:p>
        </w:tc>
        <w:tc>
          <w:tcPr>
            <w:tcW w:w="1830" w:type="dxa"/>
            <w:vAlign w:val="center"/>
          </w:tcPr>
          <w:p w14:paraId="01C0FA86">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投标截止时间</w:t>
            </w:r>
          </w:p>
        </w:tc>
        <w:tc>
          <w:tcPr>
            <w:tcW w:w="6604" w:type="dxa"/>
            <w:vAlign w:val="center"/>
          </w:tcPr>
          <w:p w14:paraId="4BCD6B16">
            <w:pPr>
              <w:pStyle w:val="142"/>
              <w:snapToGrid w:val="0"/>
              <w:spacing w:line="360" w:lineRule="auto"/>
              <w:ind w:firstLine="0" w:firstLineChars="0"/>
              <w:rPr>
                <w:rFonts w:ascii="Times New Roman" w:hAnsi="Times New Roman"/>
                <w:color w:val="auto"/>
                <w:highlight w:val="none"/>
              </w:rPr>
            </w:pPr>
            <w:r>
              <w:rPr>
                <w:rFonts w:ascii="Times New Roman" w:hAnsi="Times New Roman"/>
                <w:color w:val="auto"/>
                <w:szCs w:val="21"/>
                <w:highlight w:val="none"/>
              </w:rPr>
              <w:t>按“招标公告”规定</w:t>
            </w:r>
          </w:p>
        </w:tc>
      </w:tr>
      <w:tr w14:paraId="1F7B7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98C47B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10</w:t>
            </w:r>
          </w:p>
        </w:tc>
        <w:tc>
          <w:tcPr>
            <w:tcW w:w="1830" w:type="dxa"/>
            <w:vAlign w:val="center"/>
          </w:tcPr>
          <w:p w14:paraId="055125DB">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投标地点</w:t>
            </w:r>
          </w:p>
        </w:tc>
        <w:tc>
          <w:tcPr>
            <w:tcW w:w="6604" w:type="dxa"/>
            <w:vAlign w:val="center"/>
          </w:tcPr>
          <w:p w14:paraId="4BB76453">
            <w:pPr>
              <w:pStyle w:val="142"/>
              <w:snapToGrid w:val="0"/>
              <w:spacing w:line="360" w:lineRule="auto"/>
              <w:ind w:firstLine="0" w:firstLineChars="0"/>
              <w:rPr>
                <w:rFonts w:ascii="Times New Roman" w:hAnsi="Times New Roman"/>
                <w:color w:val="auto"/>
                <w:szCs w:val="21"/>
                <w:highlight w:val="none"/>
              </w:rPr>
            </w:pPr>
            <w:r>
              <w:rPr>
                <w:rFonts w:ascii="Times New Roman" w:hAnsi="Times New Roman"/>
                <w:color w:val="auto"/>
                <w:szCs w:val="21"/>
                <w:highlight w:val="none"/>
              </w:rPr>
              <w:t>按“招标公告”规定</w:t>
            </w:r>
          </w:p>
        </w:tc>
      </w:tr>
      <w:tr w14:paraId="79BB3B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7BAFD5D">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11</w:t>
            </w:r>
          </w:p>
        </w:tc>
        <w:tc>
          <w:tcPr>
            <w:tcW w:w="1830" w:type="dxa"/>
            <w:vAlign w:val="center"/>
          </w:tcPr>
          <w:p w14:paraId="1ADC4F3E">
            <w:pPr>
              <w:pStyle w:val="142"/>
              <w:snapToGrid w:val="0"/>
              <w:spacing w:line="360" w:lineRule="auto"/>
              <w:ind w:firstLine="0" w:firstLineChars="0"/>
              <w:jc w:val="left"/>
              <w:rPr>
                <w:rFonts w:ascii="Times New Roman" w:hAnsi="Times New Roman"/>
                <w:color w:val="auto"/>
                <w:highlight w:val="none"/>
              </w:rPr>
            </w:pPr>
            <w:r>
              <w:rPr>
                <w:rFonts w:ascii="Times New Roman" w:hAnsi="Times New Roman"/>
                <w:color w:val="auto"/>
                <w:highlight w:val="none"/>
              </w:rPr>
              <w:t>开标时间和地点</w:t>
            </w:r>
          </w:p>
        </w:tc>
        <w:tc>
          <w:tcPr>
            <w:tcW w:w="6604" w:type="dxa"/>
            <w:vAlign w:val="center"/>
          </w:tcPr>
          <w:p w14:paraId="5779F06F">
            <w:pPr>
              <w:pStyle w:val="142"/>
              <w:snapToGrid w:val="0"/>
              <w:spacing w:line="360" w:lineRule="auto"/>
              <w:ind w:firstLine="0" w:firstLineChars="0"/>
              <w:rPr>
                <w:rFonts w:ascii="Times New Roman" w:hAnsi="Times New Roman"/>
                <w:color w:val="auto"/>
                <w:highlight w:val="none"/>
              </w:rPr>
            </w:pPr>
            <w:r>
              <w:rPr>
                <w:rFonts w:ascii="Times New Roman" w:hAnsi="Times New Roman"/>
                <w:color w:val="auto"/>
                <w:szCs w:val="21"/>
                <w:highlight w:val="none"/>
              </w:rPr>
              <w:t>按“招标公告”规定</w:t>
            </w:r>
          </w:p>
        </w:tc>
      </w:tr>
      <w:tr w14:paraId="212919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0ECC95E">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12</w:t>
            </w:r>
          </w:p>
        </w:tc>
        <w:tc>
          <w:tcPr>
            <w:tcW w:w="1830" w:type="dxa"/>
            <w:vAlign w:val="center"/>
          </w:tcPr>
          <w:p w14:paraId="2E1DBA06">
            <w:pPr>
              <w:adjustRightInd w:val="0"/>
              <w:snapToGrid w:val="0"/>
              <w:spacing w:line="360" w:lineRule="auto"/>
              <w:jc w:val="left"/>
              <w:rPr>
                <w:snapToGrid w:val="0"/>
                <w:color w:val="auto"/>
                <w:kern w:val="0"/>
                <w:szCs w:val="21"/>
                <w:highlight w:val="none"/>
              </w:rPr>
            </w:pPr>
            <w:r>
              <w:rPr>
                <w:snapToGrid w:val="0"/>
                <w:color w:val="auto"/>
                <w:kern w:val="0"/>
                <w:szCs w:val="21"/>
                <w:highlight w:val="none"/>
              </w:rPr>
              <w:t>投标答疑</w:t>
            </w:r>
          </w:p>
        </w:tc>
        <w:tc>
          <w:tcPr>
            <w:tcW w:w="6604" w:type="dxa"/>
            <w:vAlign w:val="center"/>
          </w:tcPr>
          <w:p w14:paraId="6C335B47">
            <w:pPr>
              <w:adjustRightInd w:val="0"/>
              <w:snapToGrid w:val="0"/>
              <w:spacing w:line="360" w:lineRule="auto"/>
              <w:rPr>
                <w:color w:val="auto"/>
                <w:kern w:val="0"/>
                <w:highlight w:val="none"/>
              </w:rPr>
            </w:pPr>
            <w:r>
              <w:rPr>
                <w:color w:val="auto"/>
                <w:szCs w:val="21"/>
                <w:highlight w:val="none"/>
              </w:rPr>
              <w:t>供应商如认为采购文件表述不清晰的，请于</w:t>
            </w:r>
            <w:r>
              <w:rPr>
                <w:rFonts w:hint="eastAsia"/>
                <w:color w:val="auto"/>
                <w:szCs w:val="21"/>
                <w:highlight w:val="none"/>
              </w:rPr>
              <w:t>2026年</w:t>
            </w:r>
            <w:r>
              <w:rPr>
                <w:rFonts w:hint="eastAsia"/>
                <w:color w:val="auto"/>
                <w:szCs w:val="21"/>
                <w:highlight w:val="none"/>
                <w:lang w:val="en-US" w:eastAsia="zh-CN"/>
              </w:rPr>
              <w:t>5</w:t>
            </w:r>
            <w:r>
              <w:rPr>
                <w:rFonts w:hint="eastAsia"/>
                <w:color w:val="auto"/>
                <w:szCs w:val="21"/>
                <w:highlight w:val="none"/>
                <w:lang w:eastAsia="zh-CN"/>
              </w:rPr>
              <w:t>月</w:t>
            </w:r>
            <w:r>
              <w:rPr>
                <w:rFonts w:hint="eastAsia"/>
                <w:color w:val="auto"/>
                <w:szCs w:val="21"/>
                <w:highlight w:val="none"/>
                <w:lang w:val="en-US" w:eastAsia="zh-CN"/>
              </w:rPr>
              <w:t>20</w:t>
            </w:r>
            <w:r>
              <w:rPr>
                <w:rFonts w:hint="eastAsia"/>
                <w:color w:val="auto"/>
                <w:highlight w:val="none"/>
              </w:rPr>
              <w:t>日</w:t>
            </w:r>
            <w:r>
              <w:rPr>
                <w:color w:val="auto"/>
                <w:szCs w:val="21"/>
                <w:highlight w:val="none"/>
              </w:rPr>
              <w:t>17</w:t>
            </w:r>
            <w:r>
              <w:rPr>
                <w:rFonts w:hint="eastAsia"/>
                <w:color w:val="auto"/>
                <w:szCs w:val="21"/>
                <w:highlight w:val="none"/>
              </w:rPr>
              <w:t>：</w:t>
            </w:r>
            <w:r>
              <w:rPr>
                <w:color w:val="auto"/>
                <w:szCs w:val="21"/>
                <w:highlight w:val="none"/>
              </w:rPr>
              <w:t>00之前将疑问</w:t>
            </w:r>
            <w:r>
              <w:rPr>
                <w:rFonts w:hint="eastAsia"/>
                <w:color w:val="auto"/>
                <w:szCs w:val="21"/>
                <w:highlight w:val="none"/>
              </w:rPr>
              <w:t>发送至该电子邮件（邮箱</w:t>
            </w:r>
            <w:r>
              <w:rPr>
                <w:rFonts w:hint="eastAsia"/>
                <w:color w:val="auto"/>
                <w:kern w:val="0"/>
                <w:szCs w:val="21"/>
                <w:highlight w:val="none"/>
              </w:rPr>
              <w:t>14847913@qq.com</w:t>
            </w:r>
            <w:r>
              <w:rPr>
                <w:rFonts w:hint="eastAsia"/>
                <w:color w:val="auto"/>
                <w:szCs w:val="21"/>
                <w:highlight w:val="none"/>
              </w:rPr>
              <w:t>）</w:t>
            </w:r>
            <w:r>
              <w:rPr>
                <w:color w:val="auto"/>
                <w:szCs w:val="21"/>
                <w:highlight w:val="none"/>
              </w:rPr>
              <w:t>。答疑回复内容是采购文件的组成部份，并将以</w:t>
            </w:r>
            <w:r>
              <w:rPr>
                <w:rFonts w:hint="eastAsia"/>
                <w:color w:val="auto"/>
                <w:szCs w:val="21"/>
                <w:highlight w:val="none"/>
              </w:rPr>
              <w:t>更正公告的</w:t>
            </w:r>
            <w:r>
              <w:rPr>
                <w:color w:val="auto"/>
                <w:szCs w:val="21"/>
                <w:highlight w:val="none"/>
              </w:rPr>
              <w:t>形式</w:t>
            </w:r>
            <w:r>
              <w:rPr>
                <w:rFonts w:hint="eastAsia"/>
                <w:color w:val="auto"/>
                <w:szCs w:val="21"/>
                <w:highlight w:val="none"/>
              </w:rPr>
              <w:t>在本采购公告发布的同一媒体发布，请供应商密切关注更正公告。</w:t>
            </w:r>
          </w:p>
        </w:tc>
      </w:tr>
      <w:tr w14:paraId="2AC77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5741BE8">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13</w:t>
            </w:r>
          </w:p>
        </w:tc>
        <w:tc>
          <w:tcPr>
            <w:tcW w:w="1830" w:type="dxa"/>
            <w:vAlign w:val="center"/>
          </w:tcPr>
          <w:p w14:paraId="68B2CBCA">
            <w:pPr>
              <w:adjustRightInd w:val="0"/>
              <w:snapToGrid w:val="0"/>
              <w:spacing w:line="360" w:lineRule="auto"/>
              <w:jc w:val="left"/>
              <w:rPr>
                <w:color w:val="auto"/>
                <w:szCs w:val="21"/>
                <w:highlight w:val="none"/>
              </w:rPr>
            </w:pPr>
            <w:r>
              <w:rPr>
                <w:color w:val="auto"/>
                <w:szCs w:val="21"/>
                <w:highlight w:val="none"/>
              </w:rPr>
              <w:t>采购文件的澄清与修改</w:t>
            </w:r>
          </w:p>
        </w:tc>
        <w:tc>
          <w:tcPr>
            <w:tcW w:w="6604" w:type="dxa"/>
            <w:vAlign w:val="center"/>
          </w:tcPr>
          <w:p w14:paraId="6C51F230">
            <w:pPr>
              <w:adjustRightInd w:val="0"/>
              <w:snapToGrid w:val="0"/>
              <w:spacing w:line="360" w:lineRule="auto"/>
              <w:rPr>
                <w:color w:val="auto"/>
                <w:szCs w:val="21"/>
                <w:highlight w:val="none"/>
              </w:rPr>
            </w:pPr>
            <w:r>
              <w:rPr>
                <w:rFonts w:hint="eastAsia"/>
                <w:color w:val="auto"/>
                <w:szCs w:val="21"/>
                <w:highlight w:val="none"/>
              </w:rPr>
              <w:t>采购人或者采购代理机构可以对已发出的采购文件进行必要的澄清或者修改。澄清或者修改的内容可能影响投标文件编制的，采购人或者采购代理机构应当在投标截止时间至少15日前，将以更正公告的形式在采购公告发布的同一媒体发布。采购文件的修改和澄清（答疑）答复的文件作为采购文件的补充和组成部分，对所有供应商均有约束力。若后续仍有更正内容，将继续以更正公告形式在本网站发布，请供应商密切关注更正公告。</w:t>
            </w:r>
          </w:p>
        </w:tc>
      </w:tr>
      <w:tr w14:paraId="584C8D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F67D1EE">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14</w:t>
            </w:r>
          </w:p>
        </w:tc>
        <w:tc>
          <w:tcPr>
            <w:tcW w:w="1830" w:type="dxa"/>
            <w:vAlign w:val="center"/>
          </w:tcPr>
          <w:p w14:paraId="1F6D33E0">
            <w:pPr>
              <w:snapToGrid w:val="0"/>
              <w:spacing w:line="360" w:lineRule="exact"/>
              <w:jc w:val="left"/>
              <w:rPr>
                <w:rFonts w:hint="eastAsia" w:ascii="宋体" w:hAnsi="宋体"/>
                <w:color w:val="auto"/>
                <w:szCs w:val="21"/>
                <w:highlight w:val="none"/>
              </w:rPr>
            </w:pPr>
            <w:r>
              <w:rPr>
                <w:rFonts w:hint="eastAsia" w:ascii="宋体" w:hAnsi="宋体"/>
                <w:color w:val="auto"/>
                <w:szCs w:val="21"/>
                <w:highlight w:val="none"/>
              </w:rPr>
              <w:t>投标文件形式</w:t>
            </w:r>
          </w:p>
        </w:tc>
        <w:tc>
          <w:tcPr>
            <w:tcW w:w="6604" w:type="dxa"/>
            <w:vAlign w:val="center"/>
          </w:tcPr>
          <w:p w14:paraId="642D3F9A">
            <w:pPr>
              <w:adjustRightInd w:val="0"/>
              <w:snapToGrid w:val="0"/>
              <w:spacing w:line="360" w:lineRule="auto"/>
              <w:rPr>
                <w:color w:val="auto"/>
                <w:szCs w:val="21"/>
                <w:highlight w:val="none"/>
              </w:rPr>
            </w:pPr>
            <w:r>
              <w:rPr>
                <w:rFonts w:hint="eastAsia"/>
                <w:color w:val="auto"/>
                <w:szCs w:val="21"/>
                <w:highlight w:val="none"/>
              </w:rPr>
              <w:t>本项目实行电子投标。</w:t>
            </w:r>
          </w:p>
          <w:p w14:paraId="0FD2F069">
            <w:pPr>
              <w:adjustRightInd w:val="0"/>
              <w:snapToGrid w:val="0"/>
              <w:spacing w:line="360" w:lineRule="auto"/>
              <w:rPr>
                <w:color w:val="auto"/>
                <w:szCs w:val="21"/>
                <w:highlight w:val="none"/>
              </w:rPr>
            </w:pPr>
            <w:r>
              <w:rPr>
                <w:rFonts w:hint="eastAsia"/>
                <w:color w:val="auto"/>
                <w:szCs w:val="21"/>
                <w:highlight w:val="none"/>
              </w:rPr>
              <w:t>供应商应准备2种形式的投标文件：电子加密投标文件、以介质存储的数据电文形式的备份投标文件。</w:t>
            </w:r>
          </w:p>
          <w:p w14:paraId="07246389">
            <w:pPr>
              <w:adjustRightInd w:val="0"/>
              <w:snapToGrid w:val="0"/>
              <w:spacing w:line="360" w:lineRule="auto"/>
              <w:rPr>
                <w:color w:val="auto"/>
                <w:szCs w:val="21"/>
                <w:highlight w:val="none"/>
              </w:rPr>
            </w:pPr>
            <w:r>
              <w:rPr>
                <w:color w:val="auto"/>
                <w:szCs w:val="21"/>
                <w:highlight w:val="none"/>
              </w:rPr>
              <w:t>（1）“电子加密投标文件”是指通过“政采云电子交易客户端”完成投标文件编制后生成并加密的数据电文形式的投标文件</w:t>
            </w:r>
            <w:r>
              <w:rPr>
                <w:rFonts w:hint="eastAsia"/>
                <w:color w:val="auto"/>
                <w:szCs w:val="21"/>
                <w:highlight w:val="none"/>
              </w:rPr>
              <w:t>（后缀格式为.jmbs）</w:t>
            </w:r>
          </w:p>
          <w:p w14:paraId="70968901">
            <w:pPr>
              <w:adjustRightInd w:val="0"/>
              <w:snapToGrid w:val="0"/>
              <w:spacing w:line="360" w:lineRule="auto"/>
              <w:rPr>
                <w:rFonts w:hint="eastAsia" w:ascii="宋体" w:hAnsi="宋体"/>
                <w:color w:val="auto"/>
                <w:szCs w:val="21"/>
                <w:highlight w:val="none"/>
              </w:rPr>
            </w:pPr>
            <w:r>
              <w:rPr>
                <w:color w:val="auto"/>
                <w:szCs w:val="21"/>
                <w:highlight w:val="none"/>
              </w:rPr>
              <w:t>（2）“备份投标文件”是指与“电子加密投标文件”同时生成的数据电文形式的电子文件（备份投标文件</w:t>
            </w:r>
            <w:r>
              <w:rPr>
                <w:rFonts w:hint="eastAsia"/>
                <w:color w:val="auto"/>
                <w:szCs w:val="21"/>
                <w:highlight w:val="none"/>
              </w:rPr>
              <w:t>，用于供应商</w:t>
            </w:r>
            <w:r>
              <w:rPr>
                <w:color w:val="auto"/>
                <w:szCs w:val="21"/>
                <w:highlight w:val="none"/>
              </w:rPr>
              <w:t>电子加密投标文件</w:t>
            </w:r>
            <w:r>
              <w:rPr>
                <w:rFonts w:hint="eastAsia"/>
                <w:color w:val="auto"/>
                <w:szCs w:val="21"/>
                <w:highlight w:val="none"/>
              </w:rPr>
              <w:t>解密异常时应急使用</w:t>
            </w:r>
            <w:r>
              <w:rPr>
                <w:color w:val="auto"/>
                <w:szCs w:val="21"/>
                <w:highlight w:val="none"/>
              </w:rPr>
              <w:t>），其他方式编制的备份投标文件视为无效备份投标文件</w:t>
            </w:r>
            <w:r>
              <w:rPr>
                <w:rFonts w:hint="eastAsia"/>
                <w:color w:val="auto"/>
                <w:szCs w:val="21"/>
                <w:highlight w:val="none"/>
              </w:rPr>
              <w:t>。</w:t>
            </w:r>
            <w:r>
              <w:rPr>
                <w:color w:val="auto"/>
                <w:szCs w:val="21"/>
                <w:highlight w:val="none"/>
              </w:rPr>
              <w:t>备份投标文件</w:t>
            </w:r>
            <w:r>
              <w:rPr>
                <w:rFonts w:hint="eastAsia"/>
                <w:color w:val="auto"/>
                <w:szCs w:val="21"/>
                <w:highlight w:val="none"/>
              </w:rPr>
              <w:t>（后缀格式为.bfbs）以U盘形式提供。</w:t>
            </w:r>
          </w:p>
        </w:tc>
      </w:tr>
      <w:tr w14:paraId="091A2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135D0B2C">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15</w:t>
            </w:r>
          </w:p>
        </w:tc>
        <w:tc>
          <w:tcPr>
            <w:tcW w:w="1830" w:type="dxa"/>
            <w:vAlign w:val="center"/>
          </w:tcPr>
          <w:p w14:paraId="569E5E56">
            <w:pPr>
              <w:pStyle w:val="142"/>
              <w:snapToGrid w:val="0"/>
              <w:spacing w:line="360" w:lineRule="auto"/>
              <w:ind w:firstLine="0" w:firstLineChars="0"/>
              <w:jc w:val="left"/>
              <w:rPr>
                <w:rFonts w:ascii="Times New Roman" w:hAnsi="Times New Roman"/>
                <w:color w:val="auto"/>
                <w:highlight w:val="none"/>
              </w:rPr>
            </w:pPr>
            <w:r>
              <w:rPr>
                <w:rFonts w:hint="eastAsia" w:ascii="宋体" w:hAnsi="宋体"/>
                <w:color w:val="auto"/>
                <w:szCs w:val="21"/>
                <w:highlight w:val="none"/>
              </w:rPr>
              <w:t>投标文件的上传和递交</w:t>
            </w:r>
          </w:p>
        </w:tc>
        <w:tc>
          <w:tcPr>
            <w:tcW w:w="6604" w:type="dxa"/>
            <w:vAlign w:val="center"/>
          </w:tcPr>
          <w:p w14:paraId="3FB83433">
            <w:pPr>
              <w:adjustRightInd w:val="0"/>
              <w:snapToGrid w:val="0"/>
              <w:spacing w:line="360" w:lineRule="auto"/>
              <w:jc w:val="left"/>
              <w:rPr>
                <w:color w:val="auto"/>
                <w:highlight w:val="none"/>
              </w:rPr>
            </w:pPr>
            <w:r>
              <w:rPr>
                <w:rFonts w:hint="eastAsia"/>
                <w:color w:val="auto"/>
                <w:highlight w:val="none"/>
              </w:rPr>
              <w:t>（1）电子加密投标文件：投标文件制作完成并生成加密文件，在投标截止时间前，供应商需将加密的投标文件上传至浙江政府采购网，到达开标时间后，供应商自行解密。（具体操作指南：详见政采云平台“服务中心-帮助文档-项目采购-操作流程-电子招投标-政府采购项目电子交易管理操作指南-供应商”。）</w:t>
            </w:r>
          </w:p>
          <w:p w14:paraId="41A9696E">
            <w:pPr>
              <w:adjustRightInd w:val="0"/>
              <w:snapToGrid w:val="0"/>
              <w:spacing w:line="360" w:lineRule="auto"/>
              <w:jc w:val="left"/>
              <w:rPr>
                <w:color w:val="auto"/>
                <w:highlight w:val="none"/>
              </w:rPr>
            </w:pPr>
            <w:r>
              <w:rPr>
                <w:rFonts w:hint="eastAsia"/>
                <w:color w:val="auto"/>
                <w:highlight w:val="none"/>
              </w:rPr>
              <w:t>供应商未能在投标截止时间前成功上传电子加密投标文件的投标无效。</w:t>
            </w:r>
          </w:p>
          <w:p w14:paraId="23F41884">
            <w:pPr>
              <w:adjustRightInd w:val="0"/>
              <w:snapToGrid w:val="0"/>
              <w:spacing w:line="360" w:lineRule="auto"/>
              <w:jc w:val="left"/>
              <w:rPr>
                <w:color w:val="auto"/>
                <w:highlight w:val="none"/>
              </w:rPr>
            </w:pPr>
            <w:r>
              <w:rPr>
                <w:rFonts w:hint="eastAsia"/>
                <w:color w:val="auto"/>
                <w:highlight w:val="none"/>
              </w:rPr>
              <w:t>（2）备份投标文件：投标截止时间前，供应商应将备份投标文件递交至杭州市文三路90号东部软件园1号楼3楼307室，接收人：苑洪春，电话：13065702633，以便电子加密投标文件解密异常时应急使用。</w:t>
            </w:r>
          </w:p>
          <w:p w14:paraId="79378CC9">
            <w:pPr>
              <w:adjustRightInd w:val="0"/>
              <w:snapToGrid w:val="0"/>
              <w:spacing w:line="360" w:lineRule="auto"/>
              <w:jc w:val="left"/>
              <w:rPr>
                <w:color w:val="auto"/>
                <w:highlight w:val="none"/>
              </w:rPr>
            </w:pPr>
            <w:r>
              <w:rPr>
                <w:rFonts w:hint="eastAsia"/>
                <w:color w:val="auto"/>
                <w:highlight w:val="none"/>
              </w:rPr>
              <w:t>备份投标文件递交要求：供应商须将备份投标文件以U盘形式单独放在密封袋中，密封后并在密封袋上注明投标项目名称、投标单位名称。未密封包装或者逾期送达的“备份投标文件”将不予接收。</w:t>
            </w:r>
          </w:p>
          <w:p w14:paraId="6F47537D">
            <w:pPr>
              <w:adjustRightInd w:val="0"/>
              <w:snapToGrid w:val="0"/>
              <w:spacing w:line="360" w:lineRule="auto"/>
              <w:jc w:val="left"/>
              <w:rPr>
                <w:color w:val="auto"/>
                <w:highlight w:val="none"/>
              </w:rPr>
            </w:pPr>
            <w:r>
              <w:rPr>
                <w:rFonts w:hint="eastAsia"/>
                <w:color w:val="auto"/>
                <w:highlight w:val="none"/>
              </w:rPr>
              <w:t>供应商若选择非开标当天递交，请确保在投标截止前一个工作日</w:t>
            </w:r>
            <w:r>
              <w:rPr>
                <w:color w:val="auto"/>
                <w:highlight w:val="none"/>
              </w:rPr>
              <w:t>17</w:t>
            </w:r>
            <w:r>
              <w:rPr>
                <w:rFonts w:hint="eastAsia"/>
                <w:color w:val="auto"/>
                <w:highlight w:val="none"/>
              </w:rPr>
              <w:t>：</w:t>
            </w:r>
            <w:r>
              <w:rPr>
                <w:color w:val="auto"/>
                <w:highlight w:val="none"/>
              </w:rPr>
              <w:t>00之前</w:t>
            </w:r>
            <w:r>
              <w:rPr>
                <w:rFonts w:hint="eastAsia"/>
                <w:color w:val="auto"/>
                <w:highlight w:val="none"/>
              </w:rPr>
              <w:t>，将备份投标文件通过快递形式或直接送达采购代理机构处，以便标书解密异常时应急使用（地址：杭州市文三路90号东部软件园1号楼3楼307室，接收人：苑洪春，电话：13065702633）</w:t>
            </w:r>
          </w:p>
        </w:tc>
      </w:tr>
      <w:tr w14:paraId="65437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7C0F0A4">
            <w:pPr>
              <w:pStyle w:val="142"/>
              <w:snapToGrid w:val="0"/>
              <w:spacing w:line="360" w:lineRule="auto"/>
              <w:ind w:firstLine="0" w:firstLineChars="0"/>
              <w:jc w:val="center"/>
              <w:rPr>
                <w:rFonts w:ascii="Times New Roman" w:hAnsi="Times New Roman"/>
                <w:color w:val="auto"/>
                <w:highlight w:val="none"/>
              </w:rPr>
            </w:pPr>
            <w:r>
              <w:rPr>
                <w:rFonts w:hint="eastAsia" w:ascii="Times New Roman" w:hAnsi="Times New Roman"/>
                <w:color w:val="auto"/>
                <w:highlight w:val="none"/>
              </w:rPr>
              <w:t>16</w:t>
            </w:r>
          </w:p>
        </w:tc>
        <w:tc>
          <w:tcPr>
            <w:tcW w:w="1830" w:type="dxa"/>
            <w:vAlign w:val="center"/>
          </w:tcPr>
          <w:p w14:paraId="393098B5">
            <w:pPr>
              <w:pStyle w:val="142"/>
              <w:snapToGrid w:val="0"/>
              <w:spacing w:line="360" w:lineRule="auto"/>
              <w:ind w:firstLine="0" w:firstLineChars="0"/>
              <w:jc w:val="left"/>
              <w:rPr>
                <w:rFonts w:ascii="Times New Roman" w:hAnsi="Times New Roman"/>
                <w:color w:val="auto"/>
                <w:highlight w:val="none"/>
              </w:rPr>
            </w:pPr>
            <w:r>
              <w:rPr>
                <w:rFonts w:hint="eastAsia" w:ascii="宋体" w:hAnsi="宋体"/>
                <w:snapToGrid w:val="0"/>
                <w:color w:val="auto"/>
                <w:kern w:val="0"/>
                <w:szCs w:val="21"/>
                <w:highlight w:val="none"/>
              </w:rPr>
              <w:t>询标澄清</w:t>
            </w:r>
          </w:p>
        </w:tc>
        <w:tc>
          <w:tcPr>
            <w:tcW w:w="6604" w:type="dxa"/>
            <w:vAlign w:val="center"/>
          </w:tcPr>
          <w:p w14:paraId="4F3960E7">
            <w:pPr>
              <w:adjustRightInd w:val="0"/>
              <w:snapToGrid w:val="0"/>
              <w:spacing w:line="360" w:lineRule="auto"/>
              <w:jc w:val="left"/>
              <w:rPr>
                <w:color w:val="auto"/>
                <w:highlight w:val="none"/>
              </w:rPr>
            </w:pPr>
            <w:r>
              <w:rPr>
                <w:rFonts w:hint="eastAsia"/>
                <w:color w:val="auto"/>
                <w:highlight w:val="none"/>
              </w:rPr>
              <w:t>在评标过程中，如评审小组对投标文件有疑问，由评审组长或代理机构代为将问题汇总后发起询标澄清函，供应商应在规定截止时间前回复相关内容并提交。</w:t>
            </w:r>
          </w:p>
        </w:tc>
      </w:tr>
      <w:tr w14:paraId="26151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00FE18FB">
            <w:pPr>
              <w:snapToGrid w:val="0"/>
              <w:spacing w:line="360" w:lineRule="auto"/>
              <w:jc w:val="center"/>
              <w:rPr>
                <w:color w:val="auto"/>
                <w:kern w:val="0"/>
                <w:highlight w:val="none"/>
              </w:rPr>
            </w:pPr>
            <w:r>
              <w:rPr>
                <w:rFonts w:hint="eastAsia"/>
                <w:color w:val="auto"/>
                <w:kern w:val="0"/>
                <w:highlight w:val="none"/>
              </w:rPr>
              <w:t>17</w:t>
            </w:r>
          </w:p>
        </w:tc>
        <w:tc>
          <w:tcPr>
            <w:tcW w:w="1830" w:type="dxa"/>
            <w:vAlign w:val="center"/>
          </w:tcPr>
          <w:p w14:paraId="0DFFA7E2">
            <w:pPr>
              <w:adjustRightInd w:val="0"/>
              <w:snapToGrid w:val="0"/>
              <w:spacing w:line="360" w:lineRule="auto"/>
              <w:jc w:val="left"/>
              <w:rPr>
                <w:snapToGrid w:val="0"/>
                <w:color w:val="auto"/>
                <w:kern w:val="0"/>
                <w:szCs w:val="21"/>
                <w:highlight w:val="none"/>
              </w:rPr>
            </w:pPr>
            <w:r>
              <w:rPr>
                <w:snapToGrid w:val="0"/>
                <w:color w:val="auto"/>
                <w:kern w:val="0"/>
                <w:szCs w:val="21"/>
                <w:highlight w:val="none"/>
              </w:rPr>
              <w:t>质疑</w:t>
            </w:r>
          </w:p>
        </w:tc>
        <w:tc>
          <w:tcPr>
            <w:tcW w:w="6604" w:type="dxa"/>
            <w:vAlign w:val="center"/>
          </w:tcPr>
          <w:p w14:paraId="0DA7A071">
            <w:pPr>
              <w:adjustRightInd w:val="0"/>
              <w:snapToGrid w:val="0"/>
              <w:spacing w:line="360" w:lineRule="auto"/>
              <w:jc w:val="left"/>
              <w:rPr>
                <w:color w:val="auto"/>
                <w:highlight w:val="none"/>
              </w:rPr>
            </w:pPr>
            <w:r>
              <w:rPr>
                <w:color w:val="auto"/>
                <w:highlight w:val="none"/>
              </w:rPr>
              <w:t>根据《中华人民共和国政府采购法》第五十二条的规定，供应商认为</w:t>
            </w:r>
            <w:r>
              <w:rPr>
                <w:rFonts w:hint="eastAsia"/>
                <w:color w:val="auto"/>
                <w:highlight w:val="none"/>
              </w:rPr>
              <w:t>采购文件</w:t>
            </w:r>
            <w:r>
              <w:rPr>
                <w:color w:val="auto"/>
                <w:highlight w:val="none"/>
              </w:rPr>
              <w:t>、采购过程和中标、成交结果使自己的权益受到损害的，可以在知道或者应知其权益受到损害之日起七个工作日内，以书面形式向采购人、采购代理机构提出质疑。</w:t>
            </w:r>
          </w:p>
          <w:p w14:paraId="1FA2260F">
            <w:pPr>
              <w:adjustRightInd w:val="0"/>
              <w:snapToGrid w:val="0"/>
              <w:spacing w:line="360" w:lineRule="auto"/>
              <w:jc w:val="left"/>
              <w:rPr>
                <w:color w:val="auto"/>
                <w:highlight w:val="none"/>
              </w:rPr>
            </w:pPr>
            <w:r>
              <w:rPr>
                <w:color w:val="auto"/>
                <w:highlight w:val="none"/>
              </w:rPr>
              <w:t>政府采购法第五十二条规定的供应商应知其权益受到损害之日，是指：</w:t>
            </w:r>
          </w:p>
          <w:p w14:paraId="0E05A5DD">
            <w:pPr>
              <w:adjustRightInd w:val="0"/>
              <w:snapToGrid w:val="0"/>
              <w:spacing w:line="360" w:lineRule="auto"/>
              <w:jc w:val="left"/>
              <w:rPr>
                <w:color w:val="auto"/>
                <w:highlight w:val="none"/>
              </w:rPr>
            </w:pPr>
            <w:r>
              <w:rPr>
                <w:color w:val="auto"/>
                <w:highlight w:val="none"/>
              </w:rPr>
              <w:t>（一）对可以质疑的采购文件提出质疑的，为收到采购文件之日或者采购文件公告期限届满之日；</w:t>
            </w:r>
          </w:p>
          <w:p w14:paraId="06524AFD">
            <w:pPr>
              <w:adjustRightInd w:val="0"/>
              <w:snapToGrid w:val="0"/>
              <w:spacing w:line="360" w:lineRule="auto"/>
              <w:jc w:val="left"/>
              <w:rPr>
                <w:color w:val="auto"/>
                <w:highlight w:val="none"/>
              </w:rPr>
            </w:pPr>
            <w:r>
              <w:rPr>
                <w:color w:val="auto"/>
                <w:highlight w:val="none"/>
              </w:rPr>
              <w:t>（二）对采购过程提出质疑的，为各采购程序环节结束之日；</w:t>
            </w:r>
          </w:p>
          <w:p w14:paraId="635BDC44">
            <w:pPr>
              <w:adjustRightInd w:val="0"/>
              <w:snapToGrid w:val="0"/>
              <w:spacing w:line="360" w:lineRule="auto"/>
              <w:jc w:val="left"/>
              <w:rPr>
                <w:color w:val="auto"/>
                <w:highlight w:val="none"/>
              </w:rPr>
            </w:pPr>
            <w:r>
              <w:rPr>
                <w:color w:val="auto"/>
                <w:highlight w:val="none"/>
              </w:rPr>
              <w:t>（三）对中标或者成交结果提出质疑的，为中标或者成交结果公告期限届满之日。</w:t>
            </w:r>
          </w:p>
          <w:p w14:paraId="542F6CE7">
            <w:pPr>
              <w:adjustRightInd w:val="0"/>
              <w:snapToGrid w:val="0"/>
              <w:spacing w:line="360" w:lineRule="auto"/>
              <w:rPr>
                <w:color w:val="auto"/>
                <w:highlight w:val="none"/>
              </w:rPr>
            </w:pPr>
            <w:r>
              <w:rPr>
                <w:color w:val="auto"/>
                <w:highlight w:val="none"/>
              </w:rPr>
              <w:t>根据《政府采购质疑和投诉办法》第十三条，采购人、采购代理机构不得拒收质疑供应商在法定质疑期内发出的质疑函，应当在收到质疑函后7个工作日内作出答复，并以书面形式通知质疑供应商和其他有关供应商。</w:t>
            </w:r>
          </w:p>
        </w:tc>
      </w:tr>
      <w:tr w14:paraId="020887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4CBDF33">
            <w:pPr>
              <w:snapToGrid w:val="0"/>
              <w:spacing w:line="360" w:lineRule="auto"/>
              <w:jc w:val="center"/>
              <w:rPr>
                <w:color w:val="auto"/>
                <w:kern w:val="0"/>
                <w:highlight w:val="none"/>
              </w:rPr>
            </w:pPr>
            <w:r>
              <w:rPr>
                <w:rFonts w:hint="eastAsia"/>
                <w:color w:val="auto"/>
                <w:kern w:val="0"/>
                <w:highlight w:val="none"/>
              </w:rPr>
              <w:t>18</w:t>
            </w:r>
          </w:p>
        </w:tc>
        <w:tc>
          <w:tcPr>
            <w:tcW w:w="1830" w:type="dxa"/>
            <w:vAlign w:val="center"/>
          </w:tcPr>
          <w:p w14:paraId="0B32E126">
            <w:pPr>
              <w:adjustRightInd w:val="0"/>
              <w:snapToGrid w:val="0"/>
              <w:spacing w:line="360" w:lineRule="auto"/>
              <w:jc w:val="left"/>
              <w:rPr>
                <w:snapToGrid w:val="0"/>
                <w:color w:val="auto"/>
                <w:kern w:val="0"/>
                <w:szCs w:val="21"/>
                <w:highlight w:val="none"/>
              </w:rPr>
            </w:pPr>
            <w:r>
              <w:rPr>
                <w:snapToGrid w:val="0"/>
                <w:color w:val="auto"/>
                <w:kern w:val="0"/>
                <w:szCs w:val="21"/>
                <w:highlight w:val="none"/>
              </w:rPr>
              <w:t>投诉</w:t>
            </w:r>
          </w:p>
        </w:tc>
        <w:tc>
          <w:tcPr>
            <w:tcW w:w="6604" w:type="dxa"/>
            <w:vAlign w:val="center"/>
          </w:tcPr>
          <w:p w14:paraId="0CF1CEFE">
            <w:pPr>
              <w:adjustRightInd w:val="0"/>
              <w:snapToGrid w:val="0"/>
              <w:spacing w:line="360" w:lineRule="auto"/>
              <w:rPr>
                <w:color w:val="auto"/>
                <w:highlight w:val="none"/>
              </w:rPr>
            </w:pPr>
            <w:r>
              <w:rPr>
                <w:color w:val="auto"/>
                <w:highlight w:val="none"/>
              </w:rPr>
              <w:t>根据《中华人民共和国政府采购法》第五十五条的规定，质疑供应商对采购人、采购代理机构的答复不满意或者采购人、采购代理机构未在规定的时间内作出答复的，可以在答复期满后十五个工作日内向同级政府采购监督管理部门投诉。</w:t>
            </w:r>
          </w:p>
          <w:p w14:paraId="3FD2D810">
            <w:pPr>
              <w:pStyle w:val="2"/>
              <w:jc w:val="left"/>
              <w:rPr>
                <w:color w:val="auto"/>
                <w:highlight w:val="none"/>
              </w:rPr>
            </w:pPr>
            <w:r>
              <w:rPr>
                <w:rFonts w:ascii="Times New Roman" w:hAnsi="Times New Roman" w:eastAsia="宋体"/>
                <w:b w:val="0"/>
                <w:color w:val="auto"/>
                <w:sz w:val="21"/>
                <w:highlight w:val="none"/>
              </w:rPr>
              <w:t>以联合体形式参加政府采购活动的，其投诉应当由组成联合体的所有供应商共同提出。</w:t>
            </w:r>
          </w:p>
        </w:tc>
      </w:tr>
      <w:tr w14:paraId="50E837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69D18641">
            <w:pPr>
              <w:snapToGrid w:val="0"/>
              <w:spacing w:line="360" w:lineRule="auto"/>
              <w:jc w:val="center"/>
              <w:rPr>
                <w:color w:val="auto"/>
                <w:kern w:val="0"/>
                <w:highlight w:val="none"/>
              </w:rPr>
            </w:pPr>
            <w:r>
              <w:rPr>
                <w:rFonts w:hint="eastAsia"/>
                <w:color w:val="auto"/>
                <w:kern w:val="0"/>
                <w:highlight w:val="none"/>
              </w:rPr>
              <w:t>19</w:t>
            </w:r>
          </w:p>
        </w:tc>
        <w:tc>
          <w:tcPr>
            <w:tcW w:w="1830" w:type="dxa"/>
            <w:vAlign w:val="center"/>
          </w:tcPr>
          <w:p w14:paraId="42DF1055">
            <w:pPr>
              <w:snapToGrid w:val="0"/>
              <w:spacing w:line="360" w:lineRule="auto"/>
              <w:jc w:val="left"/>
              <w:rPr>
                <w:color w:val="auto"/>
                <w:szCs w:val="21"/>
                <w:highlight w:val="none"/>
              </w:rPr>
            </w:pPr>
            <w:r>
              <w:rPr>
                <w:color w:val="auto"/>
                <w:szCs w:val="21"/>
                <w:highlight w:val="none"/>
              </w:rPr>
              <w:t>样品</w:t>
            </w:r>
          </w:p>
        </w:tc>
        <w:tc>
          <w:tcPr>
            <w:tcW w:w="6604" w:type="dxa"/>
            <w:vAlign w:val="center"/>
          </w:tcPr>
          <w:p w14:paraId="14D5D39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不提供</w:t>
            </w:r>
          </w:p>
        </w:tc>
      </w:tr>
      <w:tr w14:paraId="0D4620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6F25D02">
            <w:pPr>
              <w:snapToGrid w:val="0"/>
              <w:spacing w:line="360" w:lineRule="auto"/>
              <w:jc w:val="center"/>
              <w:rPr>
                <w:color w:val="auto"/>
                <w:kern w:val="0"/>
                <w:highlight w:val="none"/>
              </w:rPr>
            </w:pPr>
            <w:r>
              <w:rPr>
                <w:rFonts w:hint="eastAsia"/>
                <w:color w:val="auto"/>
                <w:kern w:val="0"/>
                <w:highlight w:val="none"/>
              </w:rPr>
              <w:t>20</w:t>
            </w:r>
          </w:p>
        </w:tc>
        <w:tc>
          <w:tcPr>
            <w:tcW w:w="1830" w:type="dxa"/>
            <w:vAlign w:val="center"/>
          </w:tcPr>
          <w:p w14:paraId="07E0E66D">
            <w:pPr>
              <w:snapToGrid w:val="0"/>
              <w:spacing w:line="360" w:lineRule="auto"/>
              <w:jc w:val="left"/>
              <w:rPr>
                <w:color w:val="auto"/>
                <w:szCs w:val="21"/>
                <w:highlight w:val="none"/>
              </w:rPr>
            </w:pPr>
            <w:r>
              <w:rPr>
                <w:color w:val="auto"/>
                <w:szCs w:val="21"/>
                <w:highlight w:val="none"/>
              </w:rPr>
              <w:t>演示</w:t>
            </w:r>
          </w:p>
        </w:tc>
        <w:tc>
          <w:tcPr>
            <w:tcW w:w="6604" w:type="dxa"/>
            <w:vAlign w:val="center"/>
          </w:tcPr>
          <w:p w14:paraId="35260933">
            <w:pPr>
              <w:snapToGrid w:val="0"/>
              <w:spacing w:line="360" w:lineRule="auto"/>
              <w:rPr>
                <w:color w:val="auto"/>
                <w:highlight w:val="none"/>
              </w:rPr>
            </w:pPr>
            <w:r>
              <w:rPr>
                <w:rFonts w:hint="eastAsia"/>
                <w:color w:val="auto"/>
                <w:highlight w:val="none"/>
              </w:rPr>
              <w:fldChar w:fldCharType="begin"/>
            </w:r>
            <w:r>
              <w:rPr>
                <w:rFonts w:hint="eastAsia"/>
                <w:color w:val="auto"/>
                <w:highlight w:val="none"/>
              </w:rPr>
              <w:instrText xml:space="preserve"> eq \o\ac(□,√)</w:instrText>
            </w:r>
            <w:r>
              <w:rPr>
                <w:rFonts w:hint="eastAsia"/>
                <w:color w:val="auto"/>
                <w:highlight w:val="none"/>
              </w:rPr>
              <w:fldChar w:fldCharType="end"/>
            </w:r>
            <w:r>
              <w:rPr>
                <w:rFonts w:hint="eastAsia"/>
                <w:color w:val="auto"/>
                <w:highlight w:val="none"/>
              </w:rPr>
              <w:t xml:space="preserve"> 要求   详见采购文件第二章，</w:t>
            </w:r>
          </w:p>
          <w:p w14:paraId="75E8F8F2">
            <w:pPr>
              <w:adjustRightInd w:val="0"/>
              <w:snapToGrid w:val="0"/>
              <w:spacing w:line="360" w:lineRule="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对“第二章采购内容及需求”中要求提供视频演示的条款，供应商应在投标截止时间前，</w:t>
            </w:r>
            <w:r>
              <w:rPr>
                <w:rFonts w:hint="eastAsia"/>
                <w:color w:val="auto"/>
                <w:highlight w:val="none"/>
              </w:rPr>
              <w:t>提供</w:t>
            </w:r>
            <w:r>
              <w:rPr>
                <w:rFonts w:hint="eastAsia" w:ascii="宋体" w:hAnsi="宋体"/>
                <w:snapToGrid w:val="0"/>
                <w:color w:val="auto"/>
                <w:kern w:val="0"/>
                <w:szCs w:val="21"/>
                <w:highlight w:val="none"/>
              </w:rPr>
              <w:t>自行录制的</w:t>
            </w:r>
            <w:r>
              <w:rPr>
                <w:rFonts w:hint="eastAsia"/>
                <w:color w:val="auto"/>
                <w:highlight w:val="none"/>
              </w:rPr>
              <w:t>真实系统演示或demo演示</w:t>
            </w:r>
            <w:r>
              <w:rPr>
                <w:rFonts w:hint="eastAsia" w:ascii="宋体" w:hAnsi="宋体"/>
                <w:snapToGrid w:val="0"/>
                <w:color w:val="auto"/>
                <w:kern w:val="0"/>
                <w:szCs w:val="21"/>
                <w:highlight w:val="none"/>
              </w:rPr>
              <w:t>“视频文件”，演示时间不超过20分钟。各投标人递交的音视频文件U盘中应有确保文件正常打开的播放器。</w:t>
            </w:r>
          </w:p>
          <w:p w14:paraId="2F98A133">
            <w:pPr>
              <w:adjustRightInd w:val="0"/>
              <w:snapToGrid w:val="0"/>
              <w:spacing w:line="360" w:lineRule="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①供应商若选择开标当天递交视频文件：递交时间：投标截止时间之前，地址：嘉兴市公共资源交易中心二楼开标室7，接收人：苑洪春，电话：13065702633。</w:t>
            </w:r>
          </w:p>
          <w:p w14:paraId="4E44FF1D">
            <w:pPr>
              <w:snapToGrid w:val="0"/>
              <w:spacing w:line="360" w:lineRule="auto"/>
              <w:rPr>
                <w:color w:val="auto"/>
                <w:highlight w:val="none"/>
              </w:rPr>
            </w:pPr>
            <w:r>
              <w:rPr>
                <w:rFonts w:hint="eastAsia" w:ascii="宋体" w:hAnsi="宋体"/>
                <w:snapToGrid w:val="0"/>
                <w:color w:val="auto"/>
                <w:kern w:val="0"/>
                <w:szCs w:val="21"/>
                <w:highlight w:val="none"/>
              </w:rPr>
              <w:t>②供应商若选择非开标当天递交，请确保在投标截止前一个工作日，将视频文件通过快递形式或直接送达采购代理机构处（地址：杭州市文三路90号东部软件园1号楼3楼307，接收人：苑洪春，电话：13065702633）</w:t>
            </w:r>
          </w:p>
        </w:tc>
      </w:tr>
      <w:tr w14:paraId="7FE34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282849F1">
            <w:pPr>
              <w:snapToGrid w:val="0"/>
              <w:spacing w:line="360" w:lineRule="auto"/>
              <w:jc w:val="center"/>
              <w:rPr>
                <w:color w:val="auto"/>
                <w:kern w:val="0"/>
                <w:highlight w:val="none"/>
              </w:rPr>
            </w:pPr>
            <w:r>
              <w:rPr>
                <w:rFonts w:hint="eastAsia"/>
                <w:color w:val="auto"/>
                <w:kern w:val="0"/>
                <w:highlight w:val="none"/>
              </w:rPr>
              <w:t>21</w:t>
            </w:r>
          </w:p>
        </w:tc>
        <w:tc>
          <w:tcPr>
            <w:tcW w:w="1830" w:type="dxa"/>
            <w:vAlign w:val="center"/>
          </w:tcPr>
          <w:p w14:paraId="1485DE97">
            <w:pPr>
              <w:adjustRightInd w:val="0"/>
              <w:snapToGrid w:val="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支持中小企业</w:t>
            </w:r>
          </w:p>
        </w:tc>
        <w:tc>
          <w:tcPr>
            <w:tcW w:w="6604" w:type="dxa"/>
            <w:vAlign w:val="center"/>
          </w:tcPr>
          <w:p w14:paraId="7F995776">
            <w:pPr>
              <w:spacing w:line="360" w:lineRule="auto"/>
              <w:rPr>
                <w:color w:val="auto"/>
                <w:highlight w:val="none"/>
              </w:rPr>
            </w:pPr>
            <w:r>
              <w:rPr>
                <w:rFonts w:hint="eastAsia"/>
                <w:color w:val="auto"/>
                <w:highlight w:val="none"/>
              </w:rPr>
              <w:t>1.说明</w:t>
            </w:r>
          </w:p>
          <w:p w14:paraId="5833442A">
            <w:pPr>
              <w:spacing w:line="360" w:lineRule="auto"/>
              <w:rPr>
                <w:color w:val="auto"/>
                <w:highlight w:val="none"/>
              </w:rPr>
            </w:pPr>
            <w:r>
              <w:rPr>
                <w:rFonts w:hint="eastAsia"/>
                <w:color w:val="auto"/>
                <w:highlight w:val="none"/>
              </w:rPr>
              <w:t>（1）中小企业</w:t>
            </w:r>
          </w:p>
          <w:p w14:paraId="395B6856">
            <w:pPr>
              <w:spacing w:line="360" w:lineRule="auto"/>
              <w:ind w:firstLine="420" w:firstLineChars="200"/>
              <w:rPr>
                <w:color w:val="auto"/>
                <w:highlight w:val="none"/>
              </w:rPr>
            </w:pPr>
            <w:r>
              <w:rPr>
                <w:rFonts w:hint="eastAsia"/>
                <w:color w:val="auto"/>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4A7FF8E">
            <w:pPr>
              <w:spacing w:line="360" w:lineRule="auto"/>
              <w:ind w:firstLine="420" w:firstLineChars="200"/>
              <w:rPr>
                <w:color w:val="auto"/>
                <w:highlight w:val="none"/>
              </w:rPr>
            </w:pPr>
            <w:r>
              <w:rPr>
                <w:rFonts w:hint="eastAsia"/>
                <w:color w:val="auto"/>
                <w:highlight w:val="none"/>
              </w:rPr>
              <w:t>符合中小企业划分标准的个体工商户，在政府采购活动中视同中小企业。</w:t>
            </w:r>
          </w:p>
          <w:p w14:paraId="5D41E155">
            <w:pPr>
              <w:spacing w:line="360" w:lineRule="auto"/>
              <w:ind w:firstLine="420" w:firstLineChars="200"/>
              <w:rPr>
                <w:color w:val="auto"/>
                <w:highlight w:val="none"/>
              </w:rPr>
            </w:pPr>
            <w:r>
              <w:rPr>
                <w:rFonts w:hint="eastAsia"/>
                <w:color w:val="auto"/>
                <w:highlight w:val="none"/>
              </w:rPr>
              <w:t>在政府采购活动中，供应商提供的货物、工程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5D10F8D">
            <w:pPr>
              <w:spacing w:line="360" w:lineRule="auto"/>
              <w:ind w:firstLine="420" w:firstLineChars="200"/>
              <w:rPr>
                <w:color w:val="auto"/>
                <w:highlight w:val="none"/>
              </w:rPr>
            </w:pPr>
            <w:r>
              <w:rPr>
                <w:rFonts w:hint="eastAsia"/>
                <w:color w:val="auto"/>
                <w:highlight w:val="none"/>
              </w:rPr>
              <w:t>在货物采购项目中，供应商提供的货物既有中小企业制造货物，也有大型企业制造货物的，不享受本办法规定的中小企业扶持政策。</w:t>
            </w:r>
          </w:p>
          <w:p w14:paraId="3508CC77">
            <w:pPr>
              <w:spacing w:line="360" w:lineRule="auto"/>
              <w:ind w:firstLine="420" w:firstLineChars="200"/>
              <w:rPr>
                <w:color w:val="auto"/>
                <w:highlight w:val="none"/>
              </w:rPr>
            </w:pPr>
            <w:r>
              <w:rPr>
                <w:rFonts w:hint="eastAsia"/>
                <w:color w:val="auto"/>
                <w:highlight w:val="none"/>
              </w:rPr>
              <w:t>以联合体形式参加政府采购活动，联合体各方均为中小企业的，联合体视同中小企业。其中，联合体各方均为小微企业的，联合体视同小微企业。</w:t>
            </w:r>
          </w:p>
          <w:p w14:paraId="71224B5F">
            <w:pPr>
              <w:spacing w:line="360" w:lineRule="auto"/>
              <w:ind w:firstLine="420" w:firstLineChars="200"/>
              <w:rPr>
                <w:color w:val="auto"/>
                <w:highlight w:val="none"/>
              </w:rPr>
            </w:pPr>
            <w:r>
              <w:rPr>
                <w:rFonts w:hint="eastAsia"/>
                <w:color w:val="auto"/>
                <w:highlight w:val="none"/>
              </w:rPr>
              <w:t>投标文件中须同时出具《政府采购促进中小企业发展管理办法》【财库（2020）46号】规定的《中小企业声明函》。</w:t>
            </w:r>
          </w:p>
          <w:p w14:paraId="7AD737C6">
            <w:pPr>
              <w:spacing w:line="360" w:lineRule="auto"/>
              <w:rPr>
                <w:color w:val="auto"/>
                <w:highlight w:val="none"/>
              </w:rPr>
            </w:pPr>
            <w:r>
              <w:rPr>
                <w:rFonts w:hint="eastAsia"/>
                <w:color w:val="auto"/>
                <w:highlight w:val="none"/>
              </w:rPr>
              <w:t>（2）残疾人福利性单位</w:t>
            </w:r>
          </w:p>
          <w:p w14:paraId="5C572250">
            <w:pPr>
              <w:spacing w:line="360" w:lineRule="auto"/>
              <w:ind w:firstLine="420" w:firstLineChars="200"/>
              <w:rPr>
                <w:color w:val="auto"/>
                <w:highlight w:val="none"/>
              </w:rPr>
            </w:pPr>
            <w:r>
              <w:rPr>
                <w:rFonts w:hint="eastAsia"/>
                <w:color w:val="auto"/>
                <w:highlight w:val="none"/>
              </w:rPr>
              <w:t>符合《关于促进残疾人就业政府采购政策的通知》（财库〔2017〕141号）规定的条件并提供提供《残疾人福利性单位声明函》的残疾人福利性单位视同小型、微型企业；</w:t>
            </w:r>
          </w:p>
          <w:p w14:paraId="43242590">
            <w:pPr>
              <w:spacing w:line="360" w:lineRule="auto"/>
              <w:rPr>
                <w:color w:val="auto"/>
                <w:highlight w:val="none"/>
              </w:rPr>
            </w:pPr>
            <w:r>
              <w:rPr>
                <w:rFonts w:hint="eastAsia"/>
                <w:color w:val="auto"/>
                <w:highlight w:val="none"/>
              </w:rPr>
              <w:t>（3）监狱企业</w:t>
            </w:r>
          </w:p>
          <w:p w14:paraId="2C9AC93C">
            <w:pPr>
              <w:spacing w:line="360" w:lineRule="auto"/>
              <w:ind w:firstLine="420" w:firstLineChars="200"/>
              <w:rPr>
                <w:color w:val="auto"/>
                <w:highlight w:val="none"/>
              </w:rPr>
            </w:pPr>
            <w:r>
              <w:rPr>
                <w:rFonts w:hint="eastAsia"/>
                <w:color w:val="auto"/>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66C30B4F">
            <w:pPr>
              <w:spacing w:line="360" w:lineRule="auto"/>
              <w:rPr>
                <w:color w:val="auto"/>
                <w:highlight w:val="none"/>
              </w:rPr>
            </w:pPr>
            <w:r>
              <w:rPr>
                <w:rFonts w:hint="eastAsia"/>
                <w:color w:val="auto"/>
                <w:highlight w:val="none"/>
              </w:rPr>
              <w:t>2.</w:t>
            </w:r>
            <w:r>
              <w:rPr>
                <w:rFonts w:hint="eastAsia" w:ascii="宋体" w:hAnsi="宋体" w:cs="宋体"/>
                <w:color w:val="auto"/>
                <w:highlight w:val="none"/>
              </w:rPr>
              <w:t>价格扣除：本项目对符合规定的小微企业（含小型企业）报价给予10%的扣除</w:t>
            </w:r>
          </w:p>
          <w:p w14:paraId="759520C4">
            <w:pPr>
              <w:spacing w:line="360" w:lineRule="auto"/>
              <w:rPr>
                <w:color w:val="auto"/>
                <w:highlight w:val="none"/>
              </w:rPr>
            </w:pPr>
            <w:r>
              <w:rPr>
                <w:rFonts w:hint="eastAsia"/>
                <w:color w:val="auto"/>
                <w:highlight w:val="none"/>
              </w:rPr>
              <w:t>3.本项目采购标的为：</w:t>
            </w:r>
            <w:r>
              <w:rPr>
                <w:rFonts w:hint="eastAsia"/>
                <w:color w:val="auto"/>
                <w:highlight w:val="none"/>
                <w:u w:val="single"/>
              </w:rPr>
              <w:t>新院区信息化迁建改造</w:t>
            </w:r>
          </w:p>
          <w:p w14:paraId="29557D5F">
            <w:pPr>
              <w:spacing w:line="360" w:lineRule="auto"/>
              <w:rPr>
                <w:color w:val="auto"/>
                <w:highlight w:val="none"/>
              </w:rPr>
            </w:pPr>
            <w:r>
              <w:rPr>
                <w:rFonts w:hint="eastAsia"/>
                <w:color w:val="auto"/>
                <w:highlight w:val="none"/>
              </w:rPr>
              <w:t>4.所属行业为：软件和信息技术服务业</w:t>
            </w:r>
          </w:p>
        </w:tc>
      </w:tr>
      <w:tr w14:paraId="5E3477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422FDA7B">
            <w:pPr>
              <w:snapToGrid w:val="0"/>
              <w:spacing w:line="360" w:lineRule="auto"/>
              <w:jc w:val="center"/>
              <w:rPr>
                <w:color w:val="auto"/>
                <w:kern w:val="0"/>
                <w:highlight w:val="none"/>
              </w:rPr>
            </w:pPr>
            <w:r>
              <w:rPr>
                <w:rFonts w:hint="eastAsia"/>
                <w:color w:val="auto"/>
                <w:kern w:val="0"/>
                <w:highlight w:val="none"/>
              </w:rPr>
              <w:t>22</w:t>
            </w:r>
          </w:p>
        </w:tc>
        <w:tc>
          <w:tcPr>
            <w:tcW w:w="1830" w:type="dxa"/>
            <w:vAlign w:val="center"/>
          </w:tcPr>
          <w:p w14:paraId="2F260006">
            <w:pPr>
              <w:adjustRightInd w:val="0"/>
              <w:snapToGrid w:val="0"/>
              <w:jc w:val="left"/>
              <w:rPr>
                <w:rFonts w:hint="eastAsia" w:ascii="宋体" w:hAnsi="宋体" w:cs="宋体"/>
                <w:snapToGrid w:val="0"/>
                <w:color w:val="auto"/>
                <w:kern w:val="0"/>
                <w:highlight w:val="none"/>
              </w:rPr>
            </w:pPr>
            <w:r>
              <w:rPr>
                <w:rFonts w:hint="eastAsia" w:ascii="宋体" w:hAnsi="宋体" w:cs="宋体"/>
                <w:snapToGrid w:val="0"/>
                <w:color w:val="auto"/>
                <w:kern w:val="0"/>
                <w:highlight w:val="none"/>
              </w:rPr>
              <w:t>联合体投标说明</w:t>
            </w:r>
          </w:p>
        </w:tc>
        <w:tc>
          <w:tcPr>
            <w:tcW w:w="6604" w:type="dxa"/>
            <w:vAlign w:val="center"/>
          </w:tcPr>
          <w:p w14:paraId="7040BB98">
            <w:pPr>
              <w:spacing w:line="360" w:lineRule="auto"/>
              <w:rPr>
                <w:color w:val="auto"/>
                <w:highlight w:val="none"/>
              </w:rPr>
            </w:pPr>
            <w:r>
              <w:rPr>
                <w:rFonts w:hint="eastAsia"/>
                <w:color w:val="auto"/>
                <w:highlight w:val="none"/>
              </w:rPr>
              <w:t>（1）以联合体形式投标的，联合体各方的业绩证明材料均认可。</w:t>
            </w:r>
          </w:p>
          <w:p w14:paraId="76966DAC">
            <w:pPr>
              <w:spacing w:line="360" w:lineRule="auto"/>
              <w:rPr>
                <w:color w:val="auto"/>
                <w:highlight w:val="none"/>
              </w:rPr>
            </w:pPr>
            <w:r>
              <w:rPr>
                <w:rFonts w:hint="eastAsia"/>
                <w:color w:val="auto"/>
                <w:highlight w:val="none"/>
              </w:rPr>
              <w:t>（2）以联合体形式投标的，联合体中有一方或者联合体成员根据分工按采购文件评标细则要求提供材料的，视为符合评审要求。</w:t>
            </w:r>
          </w:p>
        </w:tc>
      </w:tr>
      <w:tr w14:paraId="0DA92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80882A0">
            <w:pPr>
              <w:snapToGrid w:val="0"/>
              <w:spacing w:line="360" w:lineRule="auto"/>
              <w:jc w:val="center"/>
              <w:rPr>
                <w:color w:val="auto"/>
                <w:kern w:val="0"/>
                <w:highlight w:val="none"/>
              </w:rPr>
            </w:pPr>
            <w:r>
              <w:rPr>
                <w:rFonts w:hint="eastAsia"/>
                <w:color w:val="auto"/>
                <w:kern w:val="0"/>
                <w:highlight w:val="none"/>
              </w:rPr>
              <w:t>23</w:t>
            </w:r>
          </w:p>
        </w:tc>
        <w:tc>
          <w:tcPr>
            <w:tcW w:w="1830" w:type="dxa"/>
            <w:vAlign w:val="center"/>
          </w:tcPr>
          <w:p w14:paraId="441AC071">
            <w:pPr>
              <w:adjustRightInd w:val="0"/>
              <w:snapToGrid w:val="0"/>
              <w:jc w:val="left"/>
              <w:rPr>
                <w:rFonts w:hint="eastAsia" w:ascii="宋体" w:hAnsi="宋体" w:cs="宋体"/>
                <w:strike/>
                <w:snapToGrid w:val="0"/>
                <w:color w:val="auto"/>
                <w:kern w:val="0"/>
                <w:highlight w:val="none"/>
              </w:rPr>
            </w:pPr>
            <w:r>
              <w:rPr>
                <w:rFonts w:hint="eastAsia" w:ascii="宋体" w:hAnsi="宋体" w:cs="宋体"/>
                <w:color w:val="auto"/>
                <w:kern w:val="0"/>
                <w:highlight w:val="none"/>
              </w:rPr>
              <w:t>联合体和分包</w:t>
            </w:r>
          </w:p>
        </w:tc>
        <w:tc>
          <w:tcPr>
            <w:tcW w:w="6604" w:type="dxa"/>
            <w:vAlign w:val="center"/>
          </w:tcPr>
          <w:p w14:paraId="4CC81C2F">
            <w:pPr>
              <w:spacing w:line="360" w:lineRule="auto"/>
              <w:rPr>
                <w:rFonts w:hint="eastAsia" w:ascii="宋体" w:hAnsi="宋体" w:cs="宋体"/>
                <w:color w:val="auto"/>
                <w:highlight w:val="none"/>
              </w:rPr>
            </w:pPr>
            <w:r>
              <w:rPr>
                <w:rFonts w:hint="eastAsia" w:ascii="宋体" w:hAnsi="宋体" w:cs="宋体"/>
                <w:color w:val="auto"/>
                <w:highlight w:val="none"/>
              </w:rPr>
              <w:t>（1）对于联合协议约定小微企业的合同份额占到合同总金额30%以上的，其报价给予4%的扣除，用扣除后的价格参加评审。组成联合体的小微企业与联合体内其他企业之间存在直接控股、管理关系的，不享受价格扣除优惠政策。</w:t>
            </w:r>
          </w:p>
          <w:p w14:paraId="4DE61538">
            <w:pPr>
              <w:spacing w:line="360" w:lineRule="auto"/>
              <w:rPr>
                <w:rFonts w:hint="eastAsia" w:ascii="宋体" w:hAnsi="宋体" w:cs="宋体"/>
                <w:color w:val="auto"/>
                <w:highlight w:val="none"/>
              </w:rPr>
            </w:pPr>
            <w:r>
              <w:rPr>
                <w:rFonts w:hint="eastAsia" w:ascii="宋体" w:hAnsi="宋体" w:cs="宋体"/>
                <w:color w:val="auto"/>
                <w:highlight w:val="none"/>
              </w:rPr>
              <w:t>（2）对于分包意向协议约定小微企业的合同份额占到合同总金额30%以上的，其报价给予4%的扣除，用扣除后的价格参加评审。接受分包的小微企业与分包企业之间存在直接控股、管理关系的，不享受价格扣除优惠政策。</w:t>
            </w:r>
          </w:p>
        </w:tc>
      </w:tr>
      <w:tr w14:paraId="2F5F2A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58FF8057">
            <w:pPr>
              <w:snapToGrid w:val="0"/>
              <w:spacing w:line="360" w:lineRule="auto"/>
              <w:jc w:val="center"/>
              <w:rPr>
                <w:color w:val="auto"/>
                <w:kern w:val="0"/>
                <w:highlight w:val="none"/>
              </w:rPr>
            </w:pPr>
            <w:r>
              <w:rPr>
                <w:rFonts w:hint="eastAsia"/>
                <w:color w:val="auto"/>
                <w:kern w:val="0"/>
                <w:highlight w:val="none"/>
              </w:rPr>
              <w:t>24</w:t>
            </w:r>
          </w:p>
        </w:tc>
        <w:tc>
          <w:tcPr>
            <w:tcW w:w="1830" w:type="dxa"/>
            <w:vAlign w:val="center"/>
          </w:tcPr>
          <w:p w14:paraId="52FF3C62">
            <w:pPr>
              <w:snapToGrid w:val="0"/>
              <w:spacing w:line="360" w:lineRule="auto"/>
              <w:rPr>
                <w:color w:val="auto"/>
                <w:kern w:val="0"/>
                <w:highlight w:val="none"/>
              </w:rPr>
            </w:pPr>
            <w:r>
              <w:rPr>
                <w:rFonts w:hint="eastAsia"/>
                <w:color w:val="auto"/>
                <w:kern w:val="0"/>
                <w:highlight w:val="none"/>
              </w:rPr>
              <w:t>本国产品</w:t>
            </w:r>
          </w:p>
        </w:tc>
        <w:tc>
          <w:tcPr>
            <w:tcW w:w="6604" w:type="dxa"/>
            <w:vAlign w:val="center"/>
          </w:tcPr>
          <w:p w14:paraId="3437898B">
            <w:pPr>
              <w:adjustRightInd w:val="0"/>
              <w:spacing w:line="360" w:lineRule="auto"/>
              <w:outlineLvl w:val="1"/>
              <w:rPr>
                <w:rFonts w:hint="eastAsia" w:ascii="宋体" w:hAnsi="宋体" w:cs="宋体"/>
                <w:color w:val="auto"/>
                <w:szCs w:val="21"/>
                <w:highlight w:val="none"/>
              </w:rPr>
            </w:pPr>
            <w:r>
              <w:rPr>
                <w:rFonts w:hint="eastAsia"/>
                <w:color w:val="auto"/>
                <w:highlight w:val="none"/>
              </w:rPr>
              <w:t xml:space="preserve">    </w:t>
            </w:r>
            <w:r>
              <w:rPr>
                <w:rFonts w:hint="eastAsia"/>
                <w:color w:val="auto"/>
                <w:szCs w:val="21"/>
                <w:highlight w:val="none"/>
              </w:rPr>
              <w:t>根据《国务院办公厅关于在政府采购中实施本国产品标准及相关政策的通知</w:t>
            </w:r>
            <w:r>
              <w:rPr>
                <w:rFonts w:hint="eastAsia" w:ascii="宋体" w:hAnsi="宋体" w:cs="宋体"/>
                <w:color w:val="auto"/>
                <w:szCs w:val="21"/>
                <w:highlight w:val="none"/>
              </w:rPr>
              <w:t>》等文件：</w:t>
            </w:r>
          </w:p>
          <w:p w14:paraId="22293C8E">
            <w:pPr>
              <w:adjustRightInd w:val="0"/>
              <w:spacing w:line="360" w:lineRule="auto"/>
              <w:outlineLvl w:val="1"/>
              <w:rPr>
                <w:rFonts w:hint="eastAsia" w:ascii="宋体" w:hAnsi="宋体" w:cs="宋体"/>
                <w:color w:val="auto"/>
                <w:szCs w:val="21"/>
                <w:highlight w:val="none"/>
              </w:rPr>
            </w:pPr>
            <w:r>
              <w:rPr>
                <w:rFonts w:hint="eastAsia" w:ascii="宋体" w:hAnsi="宋体" w:cs="宋体"/>
                <w:color w:val="auto"/>
                <w:szCs w:val="21"/>
                <w:highlight w:val="none"/>
              </w:rPr>
              <w:t>（1）采购项目或采购标项中包含的货物，既有本国产品又有非本国产品参与竞争的，对本国产品的报价给予20%的价格扣除，用扣除后的价格参与评审。</w:t>
            </w:r>
          </w:p>
          <w:p w14:paraId="3E6EEACA">
            <w:pPr>
              <w:adjustRightInd w:val="0"/>
              <w:spacing w:line="360" w:lineRule="auto"/>
              <w:outlineLvl w:val="1"/>
              <w:rPr>
                <w:rFonts w:hint="eastAsia" w:ascii="宋体" w:hAnsi="宋体" w:cs="宋体"/>
                <w:color w:val="auto"/>
                <w:szCs w:val="21"/>
                <w:highlight w:val="none"/>
              </w:rPr>
            </w:pPr>
            <w:r>
              <w:rPr>
                <w:rFonts w:hint="eastAsia" w:ascii="宋体" w:hAnsi="宋体" w:cs="宋体"/>
                <w:color w:val="auto"/>
                <w:szCs w:val="21"/>
                <w:highlight w:val="none"/>
              </w:rPr>
              <w:t>（2）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7918F8C">
            <w:pPr>
              <w:adjustRightInd w:val="0"/>
              <w:spacing w:line="360" w:lineRule="auto"/>
              <w:outlineLvl w:val="1"/>
              <w:rPr>
                <w:rFonts w:hint="eastAsia" w:ascii="宋体" w:hAnsi="宋体" w:cs="宋体"/>
                <w:color w:val="auto"/>
                <w:szCs w:val="21"/>
                <w:highlight w:val="none"/>
              </w:rPr>
            </w:pPr>
            <w:r>
              <w:rPr>
                <w:rFonts w:hint="eastAsia" w:ascii="宋体" w:hAnsi="宋体" w:cs="宋体"/>
                <w:color w:val="auto"/>
                <w:szCs w:val="21"/>
                <w:highlight w:val="none"/>
              </w:rPr>
              <w:t>（3）在财政部、工业和信息化部制定出台在中国境内生产的组件成本占比要求，以及特定产品的关键组件、关键工序要求之前，在中国境内生产的产品即视为符合本国产品标准，享受政府采购本国产品支持政策。</w:t>
            </w:r>
          </w:p>
          <w:p w14:paraId="6641B9BC">
            <w:pPr>
              <w:adjustRightInd w:val="0"/>
              <w:spacing w:line="360" w:lineRule="auto"/>
              <w:outlineLvl w:val="1"/>
              <w:rPr>
                <w:color w:val="auto"/>
                <w:highlight w:val="none"/>
              </w:rPr>
            </w:pPr>
            <w:r>
              <w:rPr>
                <w:rFonts w:hint="eastAsia" w:ascii="宋体" w:hAnsi="宋体" w:cs="宋体"/>
                <w:color w:val="auto"/>
                <w:szCs w:val="21"/>
                <w:highlight w:val="none"/>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颜料，无形资产。</w:t>
            </w:r>
          </w:p>
        </w:tc>
      </w:tr>
      <w:tr w14:paraId="47C62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67" w:type="dxa"/>
            <w:vAlign w:val="center"/>
          </w:tcPr>
          <w:p w14:paraId="713DB643">
            <w:pPr>
              <w:snapToGrid w:val="0"/>
              <w:spacing w:line="360" w:lineRule="auto"/>
              <w:jc w:val="center"/>
              <w:rPr>
                <w:color w:val="auto"/>
                <w:kern w:val="0"/>
                <w:highlight w:val="none"/>
              </w:rPr>
            </w:pPr>
            <w:r>
              <w:rPr>
                <w:rFonts w:hint="eastAsia"/>
                <w:color w:val="auto"/>
                <w:kern w:val="0"/>
                <w:highlight w:val="none"/>
              </w:rPr>
              <w:t>25</w:t>
            </w:r>
          </w:p>
        </w:tc>
        <w:tc>
          <w:tcPr>
            <w:tcW w:w="1830" w:type="dxa"/>
            <w:vAlign w:val="center"/>
          </w:tcPr>
          <w:p w14:paraId="208CFC3F">
            <w:pPr>
              <w:snapToGrid w:val="0"/>
              <w:spacing w:line="360" w:lineRule="auto"/>
              <w:jc w:val="left"/>
              <w:rPr>
                <w:color w:val="auto"/>
                <w:kern w:val="0"/>
                <w:highlight w:val="none"/>
              </w:rPr>
            </w:pPr>
            <w:r>
              <w:rPr>
                <w:color w:val="auto"/>
                <w:kern w:val="0"/>
                <w:highlight w:val="none"/>
              </w:rPr>
              <w:t>其他</w:t>
            </w:r>
          </w:p>
        </w:tc>
        <w:tc>
          <w:tcPr>
            <w:tcW w:w="6604" w:type="dxa"/>
            <w:vAlign w:val="center"/>
          </w:tcPr>
          <w:p w14:paraId="2117AA3B">
            <w:pPr>
              <w:pStyle w:val="40"/>
              <w:adjustRightInd w:val="0"/>
              <w:snapToGrid w:val="0"/>
              <w:spacing w:line="360" w:lineRule="auto"/>
              <w:rPr>
                <w:rFonts w:ascii="Times New Roman" w:hAnsi="Times New Roman"/>
                <w:snapToGrid w:val="0"/>
                <w:color w:val="auto"/>
                <w:kern w:val="0"/>
                <w:highlight w:val="none"/>
              </w:rPr>
            </w:pPr>
            <w:r>
              <w:rPr>
                <w:rFonts w:ascii="Times New Roman" w:hAnsi="Times New Roman"/>
                <w:color w:val="auto"/>
                <w:highlight w:val="none"/>
              </w:rPr>
              <w:t>（1）</w:t>
            </w:r>
            <w:r>
              <w:rPr>
                <w:rFonts w:ascii="Times New Roman" w:hAnsi="Times New Roman"/>
                <w:snapToGrid w:val="0"/>
                <w:color w:val="auto"/>
                <w:kern w:val="0"/>
                <w:highlight w:val="none"/>
              </w:rPr>
              <w:t>采购文件中凡标注“▲”的条款均为实质性要求，不响应的投标文件将作无效标处理。</w:t>
            </w:r>
          </w:p>
          <w:p w14:paraId="1C225652">
            <w:pPr>
              <w:pStyle w:val="40"/>
              <w:adjustRightInd w:val="0"/>
              <w:snapToGrid w:val="0"/>
              <w:spacing w:line="360" w:lineRule="auto"/>
              <w:rPr>
                <w:rFonts w:ascii="Times New Roman" w:hAnsi="Times New Roman"/>
                <w:snapToGrid w:val="0"/>
                <w:color w:val="auto"/>
                <w:kern w:val="0"/>
                <w:highlight w:val="none"/>
              </w:rPr>
            </w:pPr>
            <w:r>
              <w:rPr>
                <w:rFonts w:ascii="Times New Roman" w:hAnsi="Times New Roman"/>
                <w:snapToGrid w:val="0"/>
                <w:color w:val="auto"/>
                <w:kern w:val="0"/>
                <w:highlight w:val="none"/>
              </w:rPr>
              <w:t>（2）</w:t>
            </w:r>
            <w:r>
              <w:rPr>
                <w:rFonts w:ascii="Times New Roman" w:hAnsi="Times New Roman"/>
                <w:color w:val="auto"/>
                <w:szCs w:val="21"/>
                <w:highlight w:val="none"/>
              </w:rPr>
              <w:t>供应商未上传电子加密投标文件，其投标无效。</w:t>
            </w:r>
          </w:p>
          <w:p w14:paraId="6FA98C56">
            <w:pPr>
              <w:pStyle w:val="40"/>
              <w:adjustRightInd w:val="0"/>
              <w:snapToGrid w:val="0"/>
              <w:spacing w:line="360" w:lineRule="auto"/>
              <w:rPr>
                <w:rFonts w:ascii="Times New Roman" w:hAnsi="Times New Roman"/>
                <w:color w:val="auto"/>
                <w:szCs w:val="21"/>
                <w:highlight w:val="none"/>
              </w:rPr>
            </w:pPr>
            <w:r>
              <w:rPr>
                <w:rFonts w:ascii="Times New Roman" w:hAnsi="Times New Roman"/>
                <w:snapToGrid w:val="0"/>
                <w:color w:val="auto"/>
                <w:kern w:val="0"/>
                <w:highlight w:val="none"/>
              </w:rPr>
              <w:t>（</w:t>
            </w:r>
            <w:r>
              <w:rPr>
                <w:rFonts w:hint="eastAsia" w:ascii="Times New Roman" w:hAnsi="Times New Roman"/>
                <w:snapToGrid w:val="0"/>
                <w:color w:val="auto"/>
                <w:kern w:val="0"/>
                <w:highlight w:val="none"/>
              </w:rPr>
              <w:t>3</w:t>
            </w:r>
            <w:r>
              <w:rPr>
                <w:rFonts w:ascii="Times New Roman" w:hAnsi="Times New Roman"/>
                <w:snapToGrid w:val="0"/>
                <w:color w:val="auto"/>
                <w:kern w:val="0"/>
                <w:highlight w:val="none"/>
              </w:rPr>
              <w:t>）供应商上传了</w:t>
            </w:r>
            <w:r>
              <w:rPr>
                <w:rFonts w:ascii="Times New Roman" w:hAnsi="Times New Roman"/>
                <w:color w:val="auto"/>
                <w:szCs w:val="21"/>
                <w:highlight w:val="none"/>
              </w:rPr>
              <w:t>电子加密投标文件，未提供备份投标文件，解密出现问题后，由此导致对该供应商投标无法评审的，其后果由该供应商自行承担。</w:t>
            </w:r>
          </w:p>
          <w:p w14:paraId="19EED0EF">
            <w:pPr>
              <w:pStyle w:val="40"/>
              <w:adjustRightInd w:val="0"/>
              <w:snapToGrid w:val="0"/>
              <w:spacing w:line="360" w:lineRule="auto"/>
              <w:rPr>
                <w:rFonts w:ascii="Times New Roman" w:hAnsi="Times New Roman"/>
                <w:color w:val="auto"/>
                <w:szCs w:val="21"/>
                <w:highlight w:val="none"/>
              </w:rPr>
            </w:pPr>
            <w:r>
              <w:rPr>
                <w:rFonts w:hint="eastAsia" w:ascii="Times New Roman" w:hAnsi="Times New Roman"/>
                <w:color w:val="auto"/>
                <w:szCs w:val="21"/>
                <w:highlight w:val="none"/>
              </w:rPr>
              <w:t>（4）</w:t>
            </w:r>
            <w:r>
              <w:rPr>
                <w:rFonts w:ascii="Times New Roman" w:hAnsi="Times New Roman"/>
                <w:color w:val="auto"/>
                <w:szCs w:val="21"/>
                <w:highlight w:val="none"/>
              </w:rPr>
              <w:t>各供应商自行在</w:t>
            </w:r>
            <w:r>
              <w:rPr>
                <w:rFonts w:ascii="Times New Roman" w:hAnsi="Times New Roman"/>
                <w:color w:val="auto"/>
                <w:kern w:val="0"/>
                <w:szCs w:val="21"/>
                <w:highlight w:val="none"/>
              </w:rPr>
              <w:t>浙江政府采购网</w:t>
            </w:r>
            <w:r>
              <w:rPr>
                <w:rFonts w:ascii="Times New Roman" w:hAnsi="Times New Roman"/>
                <w:color w:val="auto"/>
                <w:szCs w:val="21"/>
                <w:highlight w:val="none"/>
              </w:rPr>
              <w:t>下载或查阅采购文件和相关更正公告等，不另行通知，如有遗漏采购人、采购代理机构概不负责。</w:t>
            </w:r>
          </w:p>
          <w:p w14:paraId="70776003">
            <w:pPr>
              <w:pStyle w:val="40"/>
              <w:adjustRightInd w:val="0"/>
              <w:snapToGrid w:val="0"/>
              <w:spacing w:line="360" w:lineRule="auto"/>
              <w:rPr>
                <w:rFonts w:ascii="Times New Roman" w:hAnsi="Times New Roman"/>
                <w:color w:val="auto"/>
                <w:szCs w:val="21"/>
                <w:highlight w:val="none"/>
              </w:rPr>
            </w:pPr>
            <w:r>
              <w:rPr>
                <w:rFonts w:hint="eastAsia" w:ascii="Times New Roman" w:hAnsi="Times New Roman"/>
                <w:color w:val="auto"/>
                <w:szCs w:val="21"/>
                <w:highlight w:val="none"/>
              </w:rPr>
              <w:t>（5）两家或两家以上供应商提供的投标文件出自同一终端设备的，或在相同Internet主机分配地址（相同IP地址）报名或网上投标的，后果由供应商自行承担。</w:t>
            </w:r>
          </w:p>
          <w:p w14:paraId="29F9EB3A">
            <w:pPr>
              <w:pStyle w:val="40"/>
              <w:adjustRightInd w:val="0"/>
              <w:snapToGrid w:val="0"/>
              <w:spacing w:line="360" w:lineRule="auto"/>
              <w:rPr>
                <w:rFonts w:ascii="Times New Roman" w:hAnsi="Times New Roman"/>
                <w:color w:val="auto"/>
                <w:szCs w:val="21"/>
                <w:highlight w:val="none"/>
              </w:rPr>
            </w:pPr>
            <w:r>
              <w:rPr>
                <w:rFonts w:hint="eastAsia" w:ascii="Times New Roman" w:hAnsi="Times New Roman"/>
                <w:color w:val="auto"/>
                <w:szCs w:val="21"/>
                <w:highlight w:val="none"/>
              </w:rPr>
              <w:t>（6）根据《浙江省财政厅关于进一步规范政府采购秩序促进公平竞争的通知》（浙财采监〔2025〕2号文件）的要求，在评审结束后，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796CA2BE">
      <w:pPr>
        <w:pStyle w:val="2"/>
        <w:snapToGrid w:val="0"/>
        <w:rPr>
          <w:rFonts w:ascii="Times New Roman" w:hAnsi="Times New Roman" w:eastAsia="宋体"/>
          <w:color w:val="auto"/>
          <w:highlight w:val="none"/>
        </w:rPr>
      </w:pPr>
      <w:r>
        <w:rPr>
          <w:rFonts w:ascii="Times New Roman" w:hAnsi="Times New Roman" w:eastAsia="宋体"/>
          <w:color w:val="auto"/>
          <w:kern w:val="0"/>
          <w:szCs w:val="21"/>
          <w:highlight w:val="none"/>
        </w:rPr>
        <w:br w:type="page"/>
      </w:r>
      <w:bookmarkStart w:id="3" w:name="_Toc294012141"/>
      <w:bookmarkStart w:id="4" w:name="_Toc298767927"/>
      <w:bookmarkStart w:id="5" w:name="_Toc495317669"/>
      <w:r>
        <w:rPr>
          <w:rFonts w:ascii="Times New Roman" w:hAnsi="Times New Roman" w:eastAsia="宋体"/>
          <w:color w:val="auto"/>
          <w:highlight w:val="none"/>
        </w:rPr>
        <w:t>第二章</w:t>
      </w:r>
      <w:bookmarkEnd w:id="3"/>
      <w:bookmarkEnd w:id="4"/>
      <w:r>
        <w:rPr>
          <w:rFonts w:ascii="Times New Roman" w:hAnsi="Times New Roman" w:eastAsia="宋体"/>
          <w:color w:val="auto"/>
          <w:highlight w:val="none"/>
        </w:rPr>
        <w:t xml:space="preserve">  采购内容及需求</w:t>
      </w:r>
      <w:bookmarkEnd w:id="5"/>
    </w:p>
    <w:p w14:paraId="123E32DB">
      <w:pPr>
        <w:spacing w:line="360" w:lineRule="auto"/>
        <w:ind w:firstLine="422" w:firstLineChars="200"/>
        <w:rPr>
          <w:b/>
          <w:bCs/>
          <w:color w:val="auto"/>
          <w:szCs w:val="21"/>
          <w:highlight w:val="none"/>
        </w:rPr>
      </w:pPr>
      <w:bookmarkStart w:id="6" w:name="_Toc273624872"/>
      <w:bookmarkStart w:id="7" w:name="_Toc211745565"/>
      <w:bookmarkStart w:id="8" w:name="_Toc82873316"/>
      <w:bookmarkStart w:id="9" w:name="_Toc82338233"/>
      <w:bookmarkStart w:id="10" w:name="_Toc495317670"/>
      <w:r>
        <w:rPr>
          <w:rFonts w:hint="eastAsia"/>
          <w:b/>
          <w:bCs/>
          <w:color w:val="auto"/>
          <w:szCs w:val="21"/>
          <w:highlight w:val="none"/>
        </w:rPr>
        <w:t>一、</w:t>
      </w:r>
      <w:r>
        <w:rPr>
          <w:b/>
          <w:bCs/>
          <w:color w:val="auto"/>
          <w:szCs w:val="21"/>
          <w:highlight w:val="none"/>
        </w:rPr>
        <w:t>项目建设背景</w:t>
      </w:r>
    </w:p>
    <w:p w14:paraId="0B25DC89">
      <w:pPr>
        <w:spacing w:line="360" w:lineRule="auto"/>
        <w:ind w:firstLine="420" w:firstLineChars="200"/>
        <w:rPr>
          <w:color w:val="auto"/>
          <w:szCs w:val="21"/>
          <w:highlight w:val="none"/>
        </w:rPr>
      </w:pPr>
      <w:r>
        <w:rPr>
          <w:color w:val="auto"/>
          <w:szCs w:val="21"/>
          <w:highlight w:val="none"/>
        </w:rPr>
        <w:t>1.1基本情况</w:t>
      </w:r>
    </w:p>
    <w:p w14:paraId="766193CC">
      <w:pPr>
        <w:spacing w:line="360" w:lineRule="auto"/>
        <w:ind w:firstLine="420" w:firstLineChars="200"/>
        <w:rPr>
          <w:color w:val="auto"/>
          <w:szCs w:val="21"/>
          <w:highlight w:val="none"/>
        </w:rPr>
      </w:pPr>
      <w:r>
        <w:rPr>
          <w:color w:val="auto"/>
          <w:szCs w:val="21"/>
          <w:highlight w:val="none"/>
        </w:rPr>
        <w:t>嘉兴市第二医院新院区项目是省“千项万亿”、公共服务“七优享”重点建设项目，位于南湖区七星街道，东至规划南江路，南至甪里街，西至庆丰路，北至栖贤路，占地面积约283亩。可研批复床位</w:t>
      </w:r>
      <w:r>
        <w:rPr>
          <w:rFonts w:hint="eastAsia"/>
          <w:color w:val="auto"/>
          <w:szCs w:val="21"/>
          <w:highlight w:val="none"/>
        </w:rPr>
        <w:t>1800</w:t>
      </w:r>
      <w:r>
        <w:rPr>
          <w:color w:val="auto"/>
          <w:szCs w:val="21"/>
          <w:highlight w:val="none"/>
        </w:rPr>
        <w:t>张，停车位4600个，总建筑面积约50.22万平方米，其中地上建筑约29.22万平方米，地下建筑约21万平方米。2022年6月，项目正式开工，计划2026年6月完工。</w:t>
      </w:r>
      <w:r>
        <w:rPr>
          <w:rFonts w:hint="eastAsia"/>
          <w:color w:val="auto"/>
          <w:szCs w:val="21"/>
          <w:highlight w:val="none"/>
        </w:rPr>
        <w:t xml:space="preserve"> </w:t>
      </w:r>
    </w:p>
    <w:p w14:paraId="17343F61">
      <w:pPr>
        <w:spacing w:line="360" w:lineRule="auto"/>
        <w:ind w:firstLine="420" w:firstLineChars="200"/>
        <w:rPr>
          <w:color w:val="auto"/>
          <w:szCs w:val="21"/>
          <w:highlight w:val="none"/>
        </w:rPr>
      </w:pPr>
      <w:r>
        <w:rPr>
          <w:color w:val="auto"/>
          <w:szCs w:val="21"/>
          <w:highlight w:val="none"/>
        </w:rPr>
        <w:t>1.2建设目标</w:t>
      </w:r>
    </w:p>
    <w:p w14:paraId="4F6107A5">
      <w:pPr>
        <w:spacing w:line="360" w:lineRule="auto"/>
        <w:ind w:firstLine="420" w:firstLineChars="200"/>
        <w:rPr>
          <w:color w:val="auto"/>
          <w:szCs w:val="21"/>
          <w:highlight w:val="none"/>
        </w:rPr>
      </w:pPr>
      <w:r>
        <w:rPr>
          <w:color w:val="auto"/>
          <w:szCs w:val="21"/>
          <w:highlight w:val="none"/>
        </w:rPr>
        <w:t>本次项目以嘉兴市第二医院（以下简称“嘉二”）新院区正式开业为核心契机，基于新院区数据中心主备机房全新建设服务器硬件资源，老院区原有硬件平台利旧作为核心系统同城灾备，聚焦新院区信息化建设“从0到1”搭建与老院区信息化系统“平稳迁移”双重目标，破解新老院区信息系统割裂、数据不通、业务协同不畅等痛点，通过全面的系统迁移、架构升级、业务优化与一体化建设，实现新老院区信息化体系同源同步、业务流程无缝衔接，为新院区顺利开业、常态化运营及新老院区协同发展提供坚实的数字化支撑。</w:t>
      </w:r>
    </w:p>
    <w:p w14:paraId="38841171">
      <w:pPr>
        <w:spacing w:line="360" w:lineRule="auto"/>
        <w:ind w:firstLine="420" w:firstLineChars="200"/>
        <w:rPr>
          <w:color w:val="auto"/>
          <w:szCs w:val="21"/>
          <w:highlight w:val="none"/>
        </w:rPr>
      </w:pPr>
      <w:r>
        <w:rPr>
          <w:color w:val="auto"/>
          <w:szCs w:val="21"/>
          <w:highlight w:val="none"/>
        </w:rPr>
        <w:t>核心目标围绕嘉二新院区开业需求，以“老院区信息系统平稳迁移、新老院区一体化协同运营、业务效能提升”为核心导向，全面完成老院区信息系统全量迁移适配、新院区架构升级、多院区业务体系重构、核心系统新建/改造及第三方系统无缝对接，构建“统一标准、同源同步、协同高效、安全合规、智能赋能”的一体化信息化体系。最终实现：老院区信息系统迁移后功能完整、运行稳定，新院区信息化系统全面适配开业运营需求；新老院区数据同源、业务协同、权限统一，彻底打破数据壁垒与业务割裂；全面满足合规管控要求，提升临床诊疗、运营管理、数据应用的精细化水平，为嘉二医院高质量发展筑牢数字化底座，保障新院区顺利开业并实现新老院区协同高质量运</w:t>
      </w:r>
    </w:p>
    <w:p w14:paraId="1F6D28D2">
      <w:pPr>
        <w:spacing w:line="360" w:lineRule="auto"/>
        <w:ind w:firstLine="420" w:firstLineChars="200"/>
        <w:rPr>
          <w:color w:val="auto"/>
          <w:szCs w:val="21"/>
          <w:highlight w:val="none"/>
        </w:rPr>
      </w:pPr>
      <w:r>
        <w:rPr>
          <w:rFonts w:hint="eastAsia"/>
          <w:color w:val="auto"/>
          <w:szCs w:val="21"/>
          <w:highlight w:val="none"/>
        </w:rPr>
        <w:t>本次项目要求</w:t>
      </w:r>
      <w:r>
        <w:rPr>
          <w:color w:val="auto"/>
          <w:szCs w:val="21"/>
          <w:highlight w:val="none"/>
        </w:rPr>
        <w:t>严格契合浙江省“数据高铁”技术规范与数据接入标准，全面满足全省医疗机构检验检查结果跨院互认的业务管理要求，实现数据采集、传输、存储、调用全生命周期安全合规，符合网络安全等级保护及医疗数据安全管理相关规定。</w:t>
      </w:r>
      <w:bookmarkStart w:id="11" w:name="OLE_LINK1"/>
    </w:p>
    <w:bookmarkEnd w:id="11"/>
    <w:p w14:paraId="6F491F24">
      <w:pPr>
        <w:spacing w:line="360" w:lineRule="auto"/>
        <w:ind w:firstLine="422" w:firstLineChars="200"/>
        <w:rPr>
          <w:b/>
          <w:bCs/>
          <w:color w:val="auto"/>
          <w:szCs w:val="21"/>
          <w:highlight w:val="none"/>
        </w:rPr>
      </w:pPr>
      <w:r>
        <w:rPr>
          <w:rFonts w:hint="eastAsia"/>
          <w:b/>
          <w:bCs/>
          <w:color w:val="auto"/>
          <w:szCs w:val="21"/>
          <w:highlight w:val="none"/>
        </w:rPr>
        <w:t>二、</w:t>
      </w:r>
      <w:r>
        <w:rPr>
          <w:b/>
          <w:bCs/>
          <w:color w:val="auto"/>
          <w:szCs w:val="21"/>
          <w:highlight w:val="none"/>
        </w:rPr>
        <w:t>项目建设清单</w:t>
      </w:r>
    </w:p>
    <w:tbl>
      <w:tblPr>
        <w:tblStyle w:val="8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557"/>
        <w:gridCol w:w="5931"/>
      </w:tblGrid>
      <w:tr w14:paraId="04A732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FD53293">
            <w:pPr>
              <w:spacing w:line="360" w:lineRule="auto"/>
              <w:rPr>
                <w:b/>
                <w:bCs/>
                <w:color w:val="auto"/>
                <w:szCs w:val="21"/>
                <w:highlight w:val="none"/>
              </w:rPr>
            </w:pPr>
            <w:r>
              <w:rPr>
                <w:b/>
                <w:bCs/>
                <w:color w:val="auto"/>
                <w:szCs w:val="21"/>
                <w:highlight w:val="none"/>
              </w:rPr>
              <w:t>序号</w:t>
            </w:r>
          </w:p>
        </w:tc>
        <w:tc>
          <w:tcPr>
            <w:tcW w:w="2557" w:type="dxa"/>
            <w:tcBorders>
              <w:tl2br w:val="nil"/>
              <w:tr2bl w:val="nil"/>
            </w:tcBorders>
            <w:vAlign w:val="center"/>
          </w:tcPr>
          <w:p w14:paraId="1477C3B5">
            <w:pPr>
              <w:spacing w:line="360" w:lineRule="auto"/>
              <w:rPr>
                <w:b/>
                <w:bCs/>
                <w:color w:val="auto"/>
                <w:szCs w:val="21"/>
                <w:highlight w:val="none"/>
              </w:rPr>
            </w:pPr>
            <w:r>
              <w:rPr>
                <w:b/>
                <w:bCs/>
                <w:color w:val="auto"/>
                <w:szCs w:val="21"/>
                <w:highlight w:val="none"/>
              </w:rPr>
              <w:t>大类</w:t>
            </w:r>
          </w:p>
        </w:tc>
        <w:tc>
          <w:tcPr>
            <w:tcW w:w="5931" w:type="dxa"/>
            <w:tcBorders>
              <w:tl2br w:val="nil"/>
              <w:tr2bl w:val="nil"/>
            </w:tcBorders>
            <w:vAlign w:val="center"/>
          </w:tcPr>
          <w:p w14:paraId="3CCE60AD">
            <w:pPr>
              <w:spacing w:line="360" w:lineRule="auto"/>
              <w:rPr>
                <w:b/>
                <w:bCs/>
                <w:color w:val="auto"/>
                <w:szCs w:val="21"/>
                <w:highlight w:val="none"/>
              </w:rPr>
            </w:pPr>
            <w:r>
              <w:rPr>
                <w:b/>
                <w:bCs/>
                <w:color w:val="auto"/>
                <w:szCs w:val="21"/>
                <w:highlight w:val="none"/>
              </w:rPr>
              <w:t>子系统</w:t>
            </w:r>
          </w:p>
        </w:tc>
      </w:tr>
      <w:tr w14:paraId="251C1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32A8192">
            <w:pPr>
              <w:spacing w:line="360" w:lineRule="auto"/>
              <w:rPr>
                <w:color w:val="auto"/>
                <w:szCs w:val="21"/>
                <w:highlight w:val="none"/>
              </w:rPr>
            </w:pPr>
            <w:r>
              <w:rPr>
                <w:color w:val="auto"/>
                <w:szCs w:val="21"/>
                <w:highlight w:val="none"/>
              </w:rPr>
              <w:t>1</w:t>
            </w:r>
          </w:p>
        </w:tc>
        <w:tc>
          <w:tcPr>
            <w:tcW w:w="2557" w:type="dxa"/>
            <w:vMerge w:val="restart"/>
            <w:tcBorders>
              <w:tl2br w:val="nil"/>
              <w:tr2bl w:val="nil"/>
            </w:tcBorders>
            <w:vAlign w:val="center"/>
          </w:tcPr>
          <w:p w14:paraId="4952C065">
            <w:pPr>
              <w:spacing w:line="360" w:lineRule="auto"/>
              <w:rPr>
                <w:color w:val="auto"/>
                <w:szCs w:val="21"/>
                <w:highlight w:val="none"/>
              </w:rPr>
            </w:pPr>
            <w:r>
              <w:rPr>
                <w:color w:val="auto"/>
                <w:szCs w:val="21"/>
                <w:highlight w:val="none"/>
              </w:rPr>
              <w:t>新院区主体系统底层架构升级</w:t>
            </w:r>
          </w:p>
        </w:tc>
        <w:tc>
          <w:tcPr>
            <w:tcW w:w="5931" w:type="dxa"/>
            <w:tcBorders>
              <w:tl2br w:val="nil"/>
              <w:tr2bl w:val="nil"/>
            </w:tcBorders>
            <w:vAlign w:val="center"/>
          </w:tcPr>
          <w:p w14:paraId="5FC24332">
            <w:pPr>
              <w:spacing w:line="360" w:lineRule="auto"/>
              <w:rPr>
                <w:color w:val="auto"/>
                <w:szCs w:val="21"/>
                <w:highlight w:val="none"/>
              </w:rPr>
            </w:pPr>
            <w:r>
              <w:rPr>
                <w:color w:val="auto"/>
                <w:szCs w:val="21"/>
                <w:highlight w:val="none"/>
              </w:rPr>
              <w:t>核心组件版本迭代</w:t>
            </w:r>
          </w:p>
        </w:tc>
      </w:tr>
      <w:tr w14:paraId="3C1805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6034FD5C">
            <w:pPr>
              <w:spacing w:line="360" w:lineRule="auto"/>
              <w:rPr>
                <w:color w:val="auto"/>
                <w:szCs w:val="21"/>
                <w:highlight w:val="none"/>
              </w:rPr>
            </w:pPr>
            <w:r>
              <w:rPr>
                <w:color w:val="auto"/>
                <w:szCs w:val="21"/>
                <w:highlight w:val="none"/>
              </w:rPr>
              <w:t>2</w:t>
            </w:r>
          </w:p>
        </w:tc>
        <w:tc>
          <w:tcPr>
            <w:tcW w:w="2557" w:type="dxa"/>
            <w:vMerge w:val="continue"/>
            <w:tcBorders>
              <w:tl2br w:val="nil"/>
              <w:tr2bl w:val="nil"/>
            </w:tcBorders>
            <w:vAlign w:val="center"/>
          </w:tcPr>
          <w:p w14:paraId="0B05908B">
            <w:pPr>
              <w:spacing w:line="360" w:lineRule="auto"/>
              <w:rPr>
                <w:color w:val="auto"/>
                <w:szCs w:val="21"/>
                <w:highlight w:val="none"/>
              </w:rPr>
            </w:pPr>
          </w:p>
        </w:tc>
        <w:tc>
          <w:tcPr>
            <w:tcW w:w="5931" w:type="dxa"/>
            <w:tcBorders>
              <w:tl2br w:val="nil"/>
              <w:tr2bl w:val="nil"/>
            </w:tcBorders>
            <w:vAlign w:val="center"/>
          </w:tcPr>
          <w:p w14:paraId="5DCC6C83">
            <w:pPr>
              <w:spacing w:line="360" w:lineRule="auto"/>
              <w:rPr>
                <w:color w:val="auto"/>
                <w:szCs w:val="21"/>
                <w:highlight w:val="none"/>
              </w:rPr>
            </w:pPr>
            <w:r>
              <w:rPr>
                <w:color w:val="auto"/>
                <w:szCs w:val="21"/>
                <w:highlight w:val="none"/>
              </w:rPr>
              <w:t>住院医生电子病历系统（重构、C/S升级为B/S）</w:t>
            </w:r>
          </w:p>
        </w:tc>
      </w:tr>
      <w:tr w14:paraId="3860B7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16BDA19D">
            <w:pPr>
              <w:spacing w:line="360" w:lineRule="auto"/>
              <w:rPr>
                <w:color w:val="auto"/>
                <w:szCs w:val="21"/>
                <w:highlight w:val="none"/>
              </w:rPr>
            </w:pPr>
            <w:r>
              <w:rPr>
                <w:color w:val="auto"/>
                <w:szCs w:val="21"/>
                <w:highlight w:val="none"/>
              </w:rPr>
              <w:t>3</w:t>
            </w:r>
          </w:p>
        </w:tc>
        <w:tc>
          <w:tcPr>
            <w:tcW w:w="2557" w:type="dxa"/>
            <w:vMerge w:val="continue"/>
            <w:tcBorders>
              <w:tl2br w:val="nil"/>
              <w:tr2bl w:val="nil"/>
            </w:tcBorders>
            <w:vAlign w:val="center"/>
          </w:tcPr>
          <w:p w14:paraId="37A358A6">
            <w:pPr>
              <w:spacing w:line="360" w:lineRule="auto"/>
              <w:rPr>
                <w:color w:val="auto"/>
                <w:szCs w:val="21"/>
                <w:highlight w:val="none"/>
              </w:rPr>
            </w:pPr>
          </w:p>
        </w:tc>
        <w:tc>
          <w:tcPr>
            <w:tcW w:w="5931" w:type="dxa"/>
            <w:tcBorders>
              <w:tl2br w:val="nil"/>
              <w:tr2bl w:val="nil"/>
            </w:tcBorders>
            <w:vAlign w:val="center"/>
          </w:tcPr>
          <w:p w14:paraId="1A0A04C6">
            <w:pPr>
              <w:spacing w:line="360" w:lineRule="auto"/>
              <w:rPr>
                <w:color w:val="auto"/>
                <w:szCs w:val="21"/>
                <w:highlight w:val="none"/>
              </w:rPr>
            </w:pPr>
            <w:r>
              <w:rPr>
                <w:color w:val="auto"/>
                <w:szCs w:val="21"/>
                <w:highlight w:val="none"/>
              </w:rPr>
              <w:t>急诊/住院护理电子病历系统（重构、C/S升级为B/S）</w:t>
            </w:r>
          </w:p>
        </w:tc>
      </w:tr>
      <w:tr w14:paraId="01D9C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7508354B">
            <w:pPr>
              <w:spacing w:line="360" w:lineRule="auto"/>
              <w:rPr>
                <w:color w:val="auto"/>
                <w:szCs w:val="21"/>
                <w:highlight w:val="none"/>
              </w:rPr>
            </w:pPr>
            <w:r>
              <w:rPr>
                <w:color w:val="auto"/>
                <w:szCs w:val="21"/>
                <w:highlight w:val="none"/>
              </w:rPr>
              <w:t>4</w:t>
            </w:r>
          </w:p>
        </w:tc>
        <w:tc>
          <w:tcPr>
            <w:tcW w:w="2557" w:type="dxa"/>
            <w:vMerge w:val="restart"/>
            <w:tcBorders>
              <w:tl2br w:val="nil"/>
              <w:tr2bl w:val="nil"/>
            </w:tcBorders>
            <w:vAlign w:val="center"/>
          </w:tcPr>
          <w:p w14:paraId="0F319C65">
            <w:pPr>
              <w:spacing w:line="360" w:lineRule="auto"/>
              <w:rPr>
                <w:color w:val="auto"/>
                <w:szCs w:val="21"/>
                <w:highlight w:val="none"/>
              </w:rPr>
            </w:pPr>
            <w:r>
              <w:rPr>
                <w:color w:val="auto"/>
                <w:szCs w:val="21"/>
                <w:highlight w:val="none"/>
              </w:rPr>
              <w:t>新院区核心业务系统改造</w:t>
            </w:r>
          </w:p>
        </w:tc>
        <w:tc>
          <w:tcPr>
            <w:tcW w:w="5931" w:type="dxa"/>
            <w:tcBorders>
              <w:tl2br w:val="nil"/>
              <w:tr2bl w:val="nil"/>
            </w:tcBorders>
            <w:vAlign w:val="center"/>
          </w:tcPr>
          <w:p w14:paraId="7432E9AE">
            <w:pPr>
              <w:spacing w:line="360" w:lineRule="auto"/>
              <w:rPr>
                <w:color w:val="auto"/>
                <w:szCs w:val="21"/>
                <w:highlight w:val="none"/>
              </w:rPr>
            </w:pPr>
            <w:r>
              <w:rPr>
                <w:color w:val="auto"/>
                <w:szCs w:val="21"/>
                <w:highlight w:val="none"/>
              </w:rPr>
              <w:t>门诊业务流程改造</w:t>
            </w:r>
          </w:p>
        </w:tc>
      </w:tr>
      <w:tr w14:paraId="454D47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281FE744">
            <w:pPr>
              <w:spacing w:line="360" w:lineRule="auto"/>
              <w:rPr>
                <w:color w:val="auto"/>
                <w:szCs w:val="21"/>
                <w:highlight w:val="none"/>
              </w:rPr>
            </w:pPr>
            <w:r>
              <w:rPr>
                <w:color w:val="auto"/>
                <w:szCs w:val="21"/>
                <w:highlight w:val="none"/>
              </w:rPr>
              <w:t>5</w:t>
            </w:r>
          </w:p>
        </w:tc>
        <w:tc>
          <w:tcPr>
            <w:tcW w:w="2557" w:type="dxa"/>
            <w:vMerge w:val="continue"/>
            <w:tcBorders>
              <w:tl2br w:val="nil"/>
              <w:tr2bl w:val="nil"/>
            </w:tcBorders>
            <w:vAlign w:val="center"/>
          </w:tcPr>
          <w:p w14:paraId="51E6AA35">
            <w:pPr>
              <w:spacing w:line="360" w:lineRule="auto"/>
              <w:rPr>
                <w:color w:val="auto"/>
                <w:szCs w:val="21"/>
                <w:highlight w:val="none"/>
              </w:rPr>
            </w:pPr>
          </w:p>
        </w:tc>
        <w:tc>
          <w:tcPr>
            <w:tcW w:w="5931" w:type="dxa"/>
            <w:tcBorders>
              <w:tl2br w:val="nil"/>
              <w:tr2bl w:val="nil"/>
            </w:tcBorders>
            <w:vAlign w:val="center"/>
          </w:tcPr>
          <w:p w14:paraId="5CE06BFF">
            <w:pPr>
              <w:spacing w:line="360" w:lineRule="auto"/>
              <w:rPr>
                <w:color w:val="auto"/>
                <w:szCs w:val="21"/>
                <w:highlight w:val="none"/>
              </w:rPr>
            </w:pPr>
            <w:r>
              <w:rPr>
                <w:color w:val="auto"/>
                <w:szCs w:val="21"/>
                <w:highlight w:val="none"/>
              </w:rPr>
              <w:t>急诊业务流程改造</w:t>
            </w:r>
          </w:p>
        </w:tc>
      </w:tr>
      <w:tr w14:paraId="08CB01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A5A8514">
            <w:pPr>
              <w:spacing w:line="360" w:lineRule="auto"/>
              <w:rPr>
                <w:color w:val="auto"/>
                <w:szCs w:val="21"/>
                <w:highlight w:val="none"/>
              </w:rPr>
            </w:pPr>
            <w:r>
              <w:rPr>
                <w:color w:val="auto"/>
                <w:szCs w:val="21"/>
                <w:highlight w:val="none"/>
              </w:rPr>
              <w:t>6</w:t>
            </w:r>
          </w:p>
        </w:tc>
        <w:tc>
          <w:tcPr>
            <w:tcW w:w="2557" w:type="dxa"/>
            <w:vMerge w:val="continue"/>
            <w:tcBorders>
              <w:tl2br w:val="nil"/>
              <w:tr2bl w:val="nil"/>
            </w:tcBorders>
            <w:vAlign w:val="center"/>
          </w:tcPr>
          <w:p w14:paraId="322D4335">
            <w:pPr>
              <w:spacing w:line="360" w:lineRule="auto"/>
              <w:rPr>
                <w:color w:val="auto"/>
                <w:szCs w:val="21"/>
                <w:highlight w:val="none"/>
              </w:rPr>
            </w:pPr>
          </w:p>
        </w:tc>
        <w:tc>
          <w:tcPr>
            <w:tcW w:w="5931" w:type="dxa"/>
            <w:tcBorders>
              <w:tl2br w:val="nil"/>
              <w:tr2bl w:val="nil"/>
            </w:tcBorders>
            <w:vAlign w:val="center"/>
          </w:tcPr>
          <w:p w14:paraId="5F44346E">
            <w:pPr>
              <w:spacing w:line="360" w:lineRule="auto"/>
              <w:rPr>
                <w:color w:val="auto"/>
                <w:szCs w:val="21"/>
                <w:highlight w:val="none"/>
              </w:rPr>
            </w:pPr>
            <w:r>
              <w:rPr>
                <w:color w:val="auto"/>
                <w:szCs w:val="21"/>
                <w:highlight w:val="none"/>
              </w:rPr>
              <w:t>住院业务流程改造</w:t>
            </w:r>
          </w:p>
        </w:tc>
      </w:tr>
      <w:tr w14:paraId="0463BF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33DD17D9">
            <w:pPr>
              <w:spacing w:line="360" w:lineRule="auto"/>
              <w:rPr>
                <w:color w:val="auto"/>
                <w:szCs w:val="21"/>
                <w:highlight w:val="none"/>
              </w:rPr>
            </w:pPr>
            <w:r>
              <w:rPr>
                <w:color w:val="auto"/>
                <w:szCs w:val="21"/>
                <w:highlight w:val="none"/>
              </w:rPr>
              <w:t>7</w:t>
            </w:r>
          </w:p>
        </w:tc>
        <w:tc>
          <w:tcPr>
            <w:tcW w:w="2557" w:type="dxa"/>
            <w:vMerge w:val="continue"/>
            <w:tcBorders>
              <w:tl2br w:val="nil"/>
              <w:tr2bl w:val="nil"/>
            </w:tcBorders>
            <w:vAlign w:val="center"/>
          </w:tcPr>
          <w:p w14:paraId="12DE4F7E">
            <w:pPr>
              <w:spacing w:line="360" w:lineRule="auto"/>
              <w:rPr>
                <w:color w:val="auto"/>
                <w:szCs w:val="21"/>
                <w:highlight w:val="none"/>
              </w:rPr>
            </w:pPr>
          </w:p>
        </w:tc>
        <w:tc>
          <w:tcPr>
            <w:tcW w:w="5931" w:type="dxa"/>
            <w:tcBorders>
              <w:tl2br w:val="nil"/>
              <w:tr2bl w:val="nil"/>
            </w:tcBorders>
            <w:vAlign w:val="center"/>
          </w:tcPr>
          <w:p w14:paraId="38261F6C">
            <w:pPr>
              <w:spacing w:line="360" w:lineRule="auto"/>
              <w:rPr>
                <w:color w:val="auto"/>
                <w:szCs w:val="21"/>
                <w:highlight w:val="none"/>
              </w:rPr>
            </w:pPr>
            <w:r>
              <w:rPr>
                <w:color w:val="auto"/>
                <w:szCs w:val="21"/>
                <w:highlight w:val="none"/>
              </w:rPr>
              <w:t>财务业务流程改造</w:t>
            </w:r>
          </w:p>
        </w:tc>
      </w:tr>
      <w:tr w14:paraId="3ED114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AA7F227">
            <w:pPr>
              <w:spacing w:line="360" w:lineRule="auto"/>
              <w:rPr>
                <w:color w:val="auto"/>
                <w:szCs w:val="21"/>
                <w:highlight w:val="none"/>
              </w:rPr>
            </w:pPr>
            <w:r>
              <w:rPr>
                <w:color w:val="auto"/>
                <w:szCs w:val="21"/>
                <w:highlight w:val="none"/>
              </w:rPr>
              <w:t>8</w:t>
            </w:r>
          </w:p>
        </w:tc>
        <w:tc>
          <w:tcPr>
            <w:tcW w:w="2557" w:type="dxa"/>
            <w:vMerge w:val="continue"/>
            <w:tcBorders>
              <w:tl2br w:val="nil"/>
              <w:tr2bl w:val="nil"/>
            </w:tcBorders>
            <w:vAlign w:val="center"/>
          </w:tcPr>
          <w:p w14:paraId="159D457B">
            <w:pPr>
              <w:spacing w:line="360" w:lineRule="auto"/>
              <w:rPr>
                <w:color w:val="auto"/>
                <w:szCs w:val="21"/>
                <w:highlight w:val="none"/>
              </w:rPr>
            </w:pPr>
          </w:p>
        </w:tc>
        <w:tc>
          <w:tcPr>
            <w:tcW w:w="5931" w:type="dxa"/>
            <w:tcBorders>
              <w:tl2br w:val="nil"/>
              <w:tr2bl w:val="nil"/>
            </w:tcBorders>
            <w:vAlign w:val="center"/>
          </w:tcPr>
          <w:p w14:paraId="22FE4DA7">
            <w:pPr>
              <w:spacing w:line="360" w:lineRule="auto"/>
              <w:rPr>
                <w:color w:val="auto"/>
                <w:szCs w:val="21"/>
                <w:highlight w:val="none"/>
              </w:rPr>
            </w:pPr>
            <w:r>
              <w:rPr>
                <w:color w:val="auto"/>
                <w:szCs w:val="21"/>
                <w:highlight w:val="none"/>
              </w:rPr>
              <w:t>药事业务流程改造</w:t>
            </w:r>
          </w:p>
        </w:tc>
      </w:tr>
      <w:tr w14:paraId="4D9D1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3943D141">
            <w:pPr>
              <w:spacing w:line="360" w:lineRule="auto"/>
              <w:rPr>
                <w:color w:val="auto"/>
                <w:szCs w:val="21"/>
                <w:highlight w:val="none"/>
              </w:rPr>
            </w:pPr>
            <w:r>
              <w:rPr>
                <w:color w:val="auto"/>
                <w:szCs w:val="21"/>
                <w:highlight w:val="none"/>
              </w:rPr>
              <w:t>9</w:t>
            </w:r>
          </w:p>
        </w:tc>
        <w:tc>
          <w:tcPr>
            <w:tcW w:w="2557" w:type="dxa"/>
            <w:vMerge w:val="continue"/>
            <w:tcBorders>
              <w:tl2br w:val="nil"/>
              <w:tr2bl w:val="nil"/>
            </w:tcBorders>
            <w:vAlign w:val="center"/>
          </w:tcPr>
          <w:p w14:paraId="08A3AD02">
            <w:pPr>
              <w:spacing w:line="360" w:lineRule="auto"/>
              <w:rPr>
                <w:color w:val="auto"/>
                <w:szCs w:val="21"/>
                <w:highlight w:val="none"/>
              </w:rPr>
            </w:pPr>
          </w:p>
        </w:tc>
        <w:tc>
          <w:tcPr>
            <w:tcW w:w="5931" w:type="dxa"/>
            <w:tcBorders>
              <w:tl2br w:val="nil"/>
              <w:tr2bl w:val="nil"/>
            </w:tcBorders>
            <w:vAlign w:val="center"/>
          </w:tcPr>
          <w:p w14:paraId="50CA7A35">
            <w:pPr>
              <w:spacing w:line="360" w:lineRule="auto"/>
              <w:rPr>
                <w:color w:val="auto"/>
                <w:szCs w:val="21"/>
                <w:highlight w:val="none"/>
              </w:rPr>
            </w:pPr>
            <w:r>
              <w:rPr>
                <w:color w:val="auto"/>
                <w:szCs w:val="21"/>
                <w:highlight w:val="none"/>
              </w:rPr>
              <w:t>护理业务流程改造</w:t>
            </w:r>
          </w:p>
        </w:tc>
      </w:tr>
      <w:tr w14:paraId="105E6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3F1C4E3D">
            <w:pPr>
              <w:spacing w:line="360" w:lineRule="auto"/>
              <w:rPr>
                <w:color w:val="auto"/>
                <w:szCs w:val="21"/>
                <w:highlight w:val="none"/>
              </w:rPr>
            </w:pPr>
            <w:r>
              <w:rPr>
                <w:color w:val="auto"/>
                <w:szCs w:val="21"/>
                <w:highlight w:val="none"/>
              </w:rPr>
              <w:t>10</w:t>
            </w:r>
          </w:p>
        </w:tc>
        <w:tc>
          <w:tcPr>
            <w:tcW w:w="2557" w:type="dxa"/>
            <w:vMerge w:val="continue"/>
            <w:tcBorders>
              <w:tl2br w:val="nil"/>
              <w:tr2bl w:val="nil"/>
            </w:tcBorders>
            <w:vAlign w:val="center"/>
          </w:tcPr>
          <w:p w14:paraId="7D864B58">
            <w:pPr>
              <w:spacing w:line="360" w:lineRule="auto"/>
              <w:rPr>
                <w:color w:val="auto"/>
                <w:szCs w:val="21"/>
                <w:highlight w:val="none"/>
              </w:rPr>
            </w:pPr>
          </w:p>
        </w:tc>
        <w:tc>
          <w:tcPr>
            <w:tcW w:w="5931" w:type="dxa"/>
            <w:tcBorders>
              <w:tl2br w:val="nil"/>
              <w:tr2bl w:val="nil"/>
            </w:tcBorders>
            <w:vAlign w:val="center"/>
          </w:tcPr>
          <w:p w14:paraId="332914BC">
            <w:pPr>
              <w:spacing w:line="360" w:lineRule="auto"/>
              <w:rPr>
                <w:color w:val="auto"/>
                <w:szCs w:val="21"/>
                <w:highlight w:val="none"/>
              </w:rPr>
            </w:pPr>
            <w:r>
              <w:rPr>
                <w:color w:val="auto"/>
                <w:szCs w:val="21"/>
                <w:highlight w:val="none"/>
              </w:rPr>
              <w:t>新版药柜系统（升级）</w:t>
            </w:r>
          </w:p>
        </w:tc>
      </w:tr>
      <w:tr w14:paraId="0E8702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E1134E0">
            <w:pPr>
              <w:spacing w:line="360" w:lineRule="auto"/>
              <w:rPr>
                <w:color w:val="auto"/>
                <w:szCs w:val="21"/>
                <w:highlight w:val="none"/>
              </w:rPr>
            </w:pPr>
            <w:r>
              <w:rPr>
                <w:color w:val="auto"/>
                <w:szCs w:val="21"/>
                <w:highlight w:val="none"/>
              </w:rPr>
              <w:t>11</w:t>
            </w:r>
          </w:p>
        </w:tc>
        <w:tc>
          <w:tcPr>
            <w:tcW w:w="2557" w:type="dxa"/>
            <w:vMerge w:val="continue"/>
            <w:tcBorders>
              <w:tl2br w:val="nil"/>
              <w:tr2bl w:val="nil"/>
            </w:tcBorders>
            <w:vAlign w:val="center"/>
          </w:tcPr>
          <w:p w14:paraId="64D04A6C">
            <w:pPr>
              <w:spacing w:line="360" w:lineRule="auto"/>
              <w:rPr>
                <w:color w:val="auto"/>
                <w:szCs w:val="21"/>
                <w:highlight w:val="none"/>
              </w:rPr>
            </w:pPr>
          </w:p>
        </w:tc>
        <w:tc>
          <w:tcPr>
            <w:tcW w:w="5931" w:type="dxa"/>
            <w:tcBorders>
              <w:tl2br w:val="nil"/>
              <w:tr2bl w:val="nil"/>
            </w:tcBorders>
            <w:vAlign w:val="center"/>
          </w:tcPr>
          <w:p w14:paraId="6CC36E51">
            <w:pPr>
              <w:spacing w:line="360" w:lineRule="auto"/>
              <w:rPr>
                <w:color w:val="auto"/>
                <w:szCs w:val="21"/>
                <w:highlight w:val="none"/>
              </w:rPr>
            </w:pPr>
            <w:r>
              <w:rPr>
                <w:color w:val="auto"/>
                <w:szCs w:val="21"/>
                <w:highlight w:val="none"/>
              </w:rPr>
              <w:t>麻醉药房业务流程（升级）</w:t>
            </w:r>
          </w:p>
        </w:tc>
      </w:tr>
      <w:tr w14:paraId="45E640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15902192">
            <w:pPr>
              <w:spacing w:line="360" w:lineRule="auto"/>
              <w:rPr>
                <w:color w:val="auto"/>
                <w:szCs w:val="21"/>
                <w:highlight w:val="none"/>
              </w:rPr>
            </w:pPr>
            <w:r>
              <w:rPr>
                <w:color w:val="auto"/>
                <w:szCs w:val="21"/>
                <w:highlight w:val="none"/>
              </w:rPr>
              <w:t>12</w:t>
            </w:r>
          </w:p>
        </w:tc>
        <w:tc>
          <w:tcPr>
            <w:tcW w:w="2557" w:type="dxa"/>
            <w:vMerge w:val="continue"/>
            <w:tcBorders>
              <w:tl2br w:val="nil"/>
              <w:tr2bl w:val="nil"/>
            </w:tcBorders>
            <w:vAlign w:val="center"/>
          </w:tcPr>
          <w:p w14:paraId="73C84F8E">
            <w:pPr>
              <w:spacing w:line="360" w:lineRule="auto"/>
              <w:rPr>
                <w:color w:val="auto"/>
                <w:szCs w:val="21"/>
                <w:highlight w:val="none"/>
              </w:rPr>
            </w:pPr>
          </w:p>
        </w:tc>
        <w:tc>
          <w:tcPr>
            <w:tcW w:w="5931" w:type="dxa"/>
            <w:tcBorders>
              <w:tl2br w:val="nil"/>
              <w:tr2bl w:val="nil"/>
            </w:tcBorders>
            <w:vAlign w:val="center"/>
          </w:tcPr>
          <w:p w14:paraId="55A2B4CD">
            <w:pPr>
              <w:spacing w:line="360" w:lineRule="auto"/>
              <w:rPr>
                <w:color w:val="auto"/>
                <w:szCs w:val="21"/>
                <w:highlight w:val="none"/>
              </w:rPr>
            </w:pPr>
            <w:r>
              <w:rPr>
                <w:color w:val="auto"/>
                <w:szCs w:val="21"/>
                <w:highlight w:val="none"/>
              </w:rPr>
              <w:t>门诊药房业务改造（升级）</w:t>
            </w:r>
          </w:p>
        </w:tc>
      </w:tr>
      <w:tr w14:paraId="72C0B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082E7D4">
            <w:pPr>
              <w:spacing w:line="360" w:lineRule="auto"/>
              <w:rPr>
                <w:color w:val="auto"/>
                <w:szCs w:val="21"/>
                <w:highlight w:val="none"/>
              </w:rPr>
            </w:pPr>
            <w:r>
              <w:rPr>
                <w:color w:val="auto"/>
                <w:szCs w:val="21"/>
                <w:highlight w:val="none"/>
              </w:rPr>
              <w:t>13</w:t>
            </w:r>
          </w:p>
        </w:tc>
        <w:tc>
          <w:tcPr>
            <w:tcW w:w="2557" w:type="dxa"/>
            <w:vMerge w:val="continue"/>
            <w:tcBorders>
              <w:tl2br w:val="nil"/>
              <w:tr2bl w:val="nil"/>
            </w:tcBorders>
            <w:vAlign w:val="center"/>
          </w:tcPr>
          <w:p w14:paraId="5C19AC8C">
            <w:pPr>
              <w:spacing w:line="360" w:lineRule="auto"/>
              <w:rPr>
                <w:color w:val="auto"/>
                <w:szCs w:val="21"/>
                <w:highlight w:val="none"/>
              </w:rPr>
            </w:pPr>
          </w:p>
        </w:tc>
        <w:tc>
          <w:tcPr>
            <w:tcW w:w="5931" w:type="dxa"/>
            <w:tcBorders>
              <w:tl2br w:val="nil"/>
              <w:tr2bl w:val="nil"/>
            </w:tcBorders>
            <w:vAlign w:val="center"/>
          </w:tcPr>
          <w:p w14:paraId="3FFC118A">
            <w:pPr>
              <w:spacing w:line="360" w:lineRule="auto"/>
              <w:rPr>
                <w:color w:val="auto"/>
                <w:szCs w:val="21"/>
                <w:highlight w:val="none"/>
              </w:rPr>
            </w:pPr>
            <w:r>
              <w:rPr>
                <w:color w:val="auto"/>
                <w:szCs w:val="21"/>
                <w:highlight w:val="none"/>
              </w:rPr>
              <w:t>医生端APP（互联网医院）多院区改造</w:t>
            </w:r>
          </w:p>
        </w:tc>
      </w:tr>
      <w:tr w14:paraId="22CDC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22189185">
            <w:pPr>
              <w:spacing w:line="360" w:lineRule="auto"/>
              <w:rPr>
                <w:color w:val="auto"/>
                <w:szCs w:val="21"/>
                <w:highlight w:val="none"/>
              </w:rPr>
            </w:pPr>
            <w:r>
              <w:rPr>
                <w:color w:val="auto"/>
                <w:szCs w:val="21"/>
                <w:highlight w:val="none"/>
              </w:rPr>
              <w:t>14</w:t>
            </w:r>
          </w:p>
        </w:tc>
        <w:tc>
          <w:tcPr>
            <w:tcW w:w="2557" w:type="dxa"/>
            <w:vMerge w:val="continue"/>
            <w:tcBorders>
              <w:tl2br w:val="nil"/>
              <w:tr2bl w:val="nil"/>
            </w:tcBorders>
            <w:vAlign w:val="center"/>
          </w:tcPr>
          <w:p w14:paraId="1F74E092">
            <w:pPr>
              <w:spacing w:line="360" w:lineRule="auto"/>
              <w:rPr>
                <w:color w:val="auto"/>
                <w:szCs w:val="21"/>
                <w:highlight w:val="none"/>
              </w:rPr>
            </w:pPr>
          </w:p>
        </w:tc>
        <w:tc>
          <w:tcPr>
            <w:tcW w:w="5931" w:type="dxa"/>
            <w:tcBorders>
              <w:tl2br w:val="nil"/>
              <w:tr2bl w:val="nil"/>
            </w:tcBorders>
            <w:vAlign w:val="center"/>
          </w:tcPr>
          <w:p w14:paraId="096BE28C">
            <w:pPr>
              <w:spacing w:line="360" w:lineRule="auto"/>
              <w:rPr>
                <w:color w:val="auto"/>
                <w:szCs w:val="21"/>
                <w:highlight w:val="none"/>
              </w:rPr>
            </w:pPr>
            <w:r>
              <w:rPr>
                <w:color w:val="auto"/>
                <w:szCs w:val="21"/>
                <w:highlight w:val="none"/>
              </w:rPr>
              <w:t>移动护理多院区改造</w:t>
            </w:r>
          </w:p>
        </w:tc>
      </w:tr>
      <w:tr w14:paraId="675FC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494183B">
            <w:pPr>
              <w:spacing w:line="360" w:lineRule="auto"/>
              <w:rPr>
                <w:color w:val="auto"/>
                <w:szCs w:val="21"/>
                <w:highlight w:val="none"/>
              </w:rPr>
            </w:pPr>
            <w:r>
              <w:rPr>
                <w:color w:val="auto"/>
                <w:szCs w:val="21"/>
                <w:highlight w:val="none"/>
              </w:rPr>
              <w:t>15</w:t>
            </w:r>
          </w:p>
        </w:tc>
        <w:tc>
          <w:tcPr>
            <w:tcW w:w="2557" w:type="dxa"/>
            <w:vMerge w:val="continue"/>
            <w:tcBorders>
              <w:tl2br w:val="nil"/>
              <w:tr2bl w:val="nil"/>
            </w:tcBorders>
            <w:vAlign w:val="center"/>
          </w:tcPr>
          <w:p w14:paraId="47BF20AA">
            <w:pPr>
              <w:spacing w:line="360" w:lineRule="auto"/>
              <w:rPr>
                <w:color w:val="auto"/>
                <w:szCs w:val="21"/>
                <w:highlight w:val="none"/>
              </w:rPr>
            </w:pPr>
          </w:p>
        </w:tc>
        <w:tc>
          <w:tcPr>
            <w:tcW w:w="5931" w:type="dxa"/>
            <w:tcBorders>
              <w:tl2br w:val="nil"/>
              <w:tr2bl w:val="nil"/>
            </w:tcBorders>
            <w:vAlign w:val="center"/>
          </w:tcPr>
          <w:p w14:paraId="053A1394">
            <w:pPr>
              <w:spacing w:line="360" w:lineRule="auto"/>
              <w:rPr>
                <w:color w:val="auto"/>
                <w:szCs w:val="21"/>
                <w:highlight w:val="none"/>
              </w:rPr>
            </w:pPr>
            <w:r>
              <w:rPr>
                <w:color w:val="auto"/>
                <w:szCs w:val="21"/>
                <w:highlight w:val="none"/>
              </w:rPr>
              <w:t>药品追溯多院区改造</w:t>
            </w:r>
          </w:p>
        </w:tc>
      </w:tr>
      <w:tr w14:paraId="779CD0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3A8133B">
            <w:pPr>
              <w:spacing w:line="360" w:lineRule="auto"/>
              <w:rPr>
                <w:color w:val="auto"/>
                <w:szCs w:val="21"/>
                <w:highlight w:val="none"/>
              </w:rPr>
            </w:pPr>
            <w:r>
              <w:rPr>
                <w:color w:val="auto"/>
                <w:szCs w:val="21"/>
                <w:highlight w:val="none"/>
              </w:rPr>
              <w:t>16</w:t>
            </w:r>
          </w:p>
        </w:tc>
        <w:tc>
          <w:tcPr>
            <w:tcW w:w="2557" w:type="dxa"/>
            <w:vMerge w:val="continue"/>
            <w:tcBorders>
              <w:tl2br w:val="nil"/>
              <w:tr2bl w:val="nil"/>
            </w:tcBorders>
            <w:vAlign w:val="center"/>
          </w:tcPr>
          <w:p w14:paraId="4FD3CE64">
            <w:pPr>
              <w:spacing w:line="360" w:lineRule="auto"/>
              <w:rPr>
                <w:color w:val="auto"/>
                <w:szCs w:val="21"/>
                <w:highlight w:val="none"/>
              </w:rPr>
            </w:pPr>
          </w:p>
        </w:tc>
        <w:tc>
          <w:tcPr>
            <w:tcW w:w="5931" w:type="dxa"/>
            <w:tcBorders>
              <w:tl2br w:val="nil"/>
              <w:tr2bl w:val="nil"/>
            </w:tcBorders>
            <w:vAlign w:val="center"/>
          </w:tcPr>
          <w:p w14:paraId="65B7FC83">
            <w:pPr>
              <w:spacing w:line="360" w:lineRule="auto"/>
              <w:rPr>
                <w:color w:val="auto"/>
                <w:szCs w:val="21"/>
                <w:highlight w:val="none"/>
              </w:rPr>
            </w:pPr>
            <w:r>
              <w:rPr>
                <w:color w:val="auto"/>
                <w:szCs w:val="21"/>
                <w:highlight w:val="none"/>
              </w:rPr>
              <w:t>支付对账平台多院区改造</w:t>
            </w:r>
          </w:p>
        </w:tc>
      </w:tr>
      <w:tr w14:paraId="07870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6EA3ADA1">
            <w:pPr>
              <w:spacing w:line="360" w:lineRule="auto"/>
              <w:rPr>
                <w:color w:val="auto"/>
                <w:szCs w:val="21"/>
                <w:highlight w:val="none"/>
              </w:rPr>
            </w:pPr>
            <w:r>
              <w:rPr>
                <w:color w:val="auto"/>
                <w:szCs w:val="21"/>
                <w:highlight w:val="none"/>
              </w:rPr>
              <w:t>17</w:t>
            </w:r>
          </w:p>
        </w:tc>
        <w:tc>
          <w:tcPr>
            <w:tcW w:w="2557" w:type="dxa"/>
            <w:vMerge w:val="continue"/>
            <w:tcBorders>
              <w:tl2br w:val="nil"/>
              <w:tr2bl w:val="nil"/>
            </w:tcBorders>
            <w:vAlign w:val="center"/>
          </w:tcPr>
          <w:p w14:paraId="6D70F460">
            <w:pPr>
              <w:spacing w:line="360" w:lineRule="auto"/>
              <w:rPr>
                <w:color w:val="auto"/>
                <w:szCs w:val="21"/>
                <w:highlight w:val="none"/>
              </w:rPr>
            </w:pPr>
          </w:p>
        </w:tc>
        <w:tc>
          <w:tcPr>
            <w:tcW w:w="5931" w:type="dxa"/>
            <w:tcBorders>
              <w:tl2br w:val="nil"/>
              <w:tr2bl w:val="nil"/>
            </w:tcBorders>
            <w:vAlign w:val="center"/>
          </w:tcPr>
          <w:p w14:paraId="5E0944B9">
            <w:pPr>
              <w:spacing w:line="360" w:lineRule="auto"/>
              <w:rPr>
                <w:color w:val="auto"/>
                <w:szCs w:val="21"/>
                <w:highlight w:val="none"/>
              </w:rPr>
            </w:pPr>
            <w:r>
              <w:rPr>
                <w:color w:val="auto"/>
                <w:szCs w:val="21"/>
                <w:highlight w:val="none"/>
              </w:rPr>
              <w:t>主业务系统迁移部署与配置</w:t>
            </w:r>
          </w:p>
        </w:tc>
      </w:tr>
      <w:tr w14:paraId="00F0C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CBB2C17">
            <w:pPr>
              <w:spacing w:line="360" w:lineRule="auto"/>
              <w:rPr>
                <w:color w:val="auto"/>
                <w:szCs w:val="21"/>
                <w:highlight w:val="none"/>
              </w:rPr>
            </w:pPr>
            <w:r>
              <w:rPr>
                <w:color w:val="auto"/>
                <w:szCs w:val="21"/>
                <w:highlight w:val="none"/>
              </w:rPr>
              <w:t>18</w:t>
            </w:r>
          </w:p>
        </w:tc>
        <w:tc>
          <w:tcPr>
            <w:tcW w:w="2557" w:type="dxa"/>
            <w:vMerge w:val="restart"/>
            <w:tcBorders>
              <w:tl2br w:val="nil"/>
              <w:tr2bl w:val="nil"/>
            </w:tcBorders>
            <w:vAlign w:val="center"/>
          </w:tcPr>
          <w:p w14:paraId="0031C552">
            <w:pPr>
              <w:spacing w:line="360" w:lineRule="auto"/>
              <w:rPr>
                <w:color w:val="auto"/>
                <w:szCs w:val="21"/>
                <w:highlight w:val="none"/>
              </w:rPr>
            </w:pPr>
            <w:r>
              <w:rPr>
                <w:color w:val="auto"/>
                <w:szCs w:val="21"/>
                <w:highlight w:val="none"/>
              </w:rPr>
              <w:t>新院区平台数据中心升级及多院区支持</w:t>
            </w:r>
          </w:p>
        </w:tc>
        <w:tc>
          <w:tcPr>
            <w:tcW w:w="5931" w:type="dxa"/>
            <w:tcBorders>
              <w:tl2br w:val="nil"/>
              <w:tr2bl w:val="nil"/>
            </w:tcBorders>
            <w:vAlign w:val="center"/>
          </w:tcPr>
          <w:p w14:paraId="0628AB59">
            <w:pPr>
              <w:spacing w:line="360" w:lineRule="auto"/>
              <w:rPr>
                <w:color w:val="auto"/>
                <w:szCs w:val="21"/>
                <w:highlight w:val="none"/>
              </w:rPr>
            </w:pPr>
            <w:r>
              <w:rPr>
                <w:color w:val="auto"/>
                <w:szCs w:val="21"/>
                <w:highlight w:val="none"/>
              </w:rPr>
              <w:t>多院区统一用户权限</w:t>
            </w:r>
          </w:p>
        </w:tc>
      </w:tr>
      <w:tr w14:paraId="2CE4B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3A87AFB4">
            <w:pPr>
              <w:spacing w:line="360" w:lineRule="auto"/>
              <w:rPr>
                <w:color w:val="auto"/>
                <w:szCs w:val="21"/>
                <w:highlight w:val="none"/>
              </w:rPr>
            </w:pPr>
            <w:r>
              <w:rPr>
                <w:color w:val="auto"/>
                <w:szCs w:val="21"/>
                <w:highlight w:val="none"/>
              </w:rPr>
              <w:t>19</w:t>
            </w:r>
          </w:p>
        </w:tc>
        <w:tc>
          <w:tcPr>
            <w:tcW w:w="2557" w:type="dxa"/>
            <w:vMerge w:val="continue"/>
            <w:tcBorders>
              <w:tl2br w:val="nil"/>
              <w:tr2bl w:val="nil"/>
            </w:tcBorders>
            <w:vAlign w:val="center"/>
          </w:tcPr>
          <w:p w14:paraId="02B2873D">
            <w:pPr>
              <w:spacing w:line="360" w:lineRule="auto"/>
              <w:rPr>
                <w:color w:val="auto"/>
                <w:szCs w:val="21"/>
                <w:highlight w:val="none"/>
              </w:rPr>
            </w:pPr>
          </w:p>
        </w:tc>
        <w:tc>
          <w:tcPr>
            <w:tcW w:w="5931" w:type="dxa"/>
            <w:tcBorders>
              <w:tl2br w:val="nil"/>
              <w:tr2bl w:val="nil"/>
            </w:tcBorders>
            <w:vAlign w:val="center"/>
          </w:tcPr>
          <w:p w14:paraId="43259DEF">
            <w:pPr>
              <w:spacing w:line="360" w:lineRule="auto"/>
              <w:rPr>
                <w:color w:val="auto"/>
                <w:szCs w:val="21"/>
                <w:highlight w:val="none"/>
              </w:rPr>
            </w:pPr>
            <w:r>
              <w:rPr>
                <w:color w:val="auto"/>
                <w:szCs w:val="21"/>
                <w:highlight w:val="none"/>
              </w:rPr>
              <w:t>多院区患者主索引</w:t>
            </w:r>
          </w:p>
        </w:tc>
      </w:tr>
      <w:tr w14:paraId="3445F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ED0C3DB">
            <w:pPr>
              <w:spacing w:line="360" w:lineRule="auto"/>
              <w:rPr>
                <w:color w:val="auto"/>
                <w:szCs w:val="21"/>
                <w:highlight w:val="none"/>
              </w:rPr>
            </w:pPr>
            <w:r>
              <w:rPr>
                <w:color w:val="auto"/>
                <w:szCs w:val="21"/>
                <w:highlight w:val="none"/>
              </w:rPr>
              <w:t>20</w:t>
            </w:r>
          </w:p>
        </w:tc>
        <w:tc>
          <w:tcPr>
            <w:tcW w:w="2557" w:type="dxa"/>
            <w:vMerge w:val="continue"/>
            <w:tcBorders>
              <w:tl2br w:val="nil"/>
              <w:tr2bl w:val="nil"/>
            </w:tcBorders>
            <w:vAlign w:val="center"/>
          </w:tcPr>
          <w:p w14:paraId="13EEC984">
            <w:pPr>
              <w:spacing w:line="360" w:lineRule="auto"/>
              <w:rPr>
                <w:color w:val="auto"/>
                <w:szCs w:val="21"/>
                <w:highlight w:val="none"/>
              </w:rPr>
            </w:pPr>
          </w:p>
        </w:tc>
        <w:tc>
          <w:tcPr>
            <w:tcW w:w="5931" w:type="dxa"/>
            <w:tcBorders>
              <w:tl2br w:val="nil"/>
              <w:tr2bl w:val="nil"/>
            </w:tcBorders>
            <w:vAlign w:val="center"/>
          </w:tcPr>
          <w:p w14:paraId="28B1C4AA">
            <w:pPr>
              <w:spacing w:line="360" w:lineRule="auto"/>
              <w:rPr>
                <w:color w:val="auto"/>
                <w:szCs w:val="21"/>
                <w:highlight w:val="none"/>
              </w:rPr>
            </w:pPr>
            <w:r>
              <w:rPr>
                <w:color w:val="auto"/>
                <w:szCs w:val="21"/>
                <w:highlight w:val="none"/>
              </w:rPr>
              <w:t>多院区数据中心</w:t>
            </w:r>
          </w:p>
        </w:tc>
      </w:tr>
      <w:tr w14:paraId="63252A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02870FD">
            <w:pPr>
              <w:spacing w:line="360" w:lineRule="auto"/>
              <w:rPr>
                <w:color w:val="auto"/>
                <w:szCs w:val="21"/>
                <w:highlight w:val="none"/>
              </w:rPr>
            </w:pPr>
            <w:r>
              <w:rPr>
                <w:color w:val="auto"/>
                <w:szCs w:val="21"/>
                <w:highlight w:val="none"/>
              </w:rPr>
              <w:t>21</w:t>
            </w:r>
          </w:p>
        </w:tc>
        <w:tc>
          <w:tcPr>
            <w:tcW w:w="2557" w:type="dxa"/>
            <w:vMerge w:val="continue"/>
            <w:tcBorders>
              <w:tl2br w:val="nil"/>
              <w:tr2bl w:val="nil"/>
            </w:tcBorders>
            <w:vAlign w:val="center"/>
          </w:tcPr>
          <w:p w14:paraId="29434760">
            <w:pPr>
              <w:spacing w:line="360" w:lineRule="auto"/>
              <w:rPr>
                <w:color w:val="auto"/>
                <w:szCs w:val="21"/>
                <w:highlight w:val="none"/>
              </w:rPr>
            </w:pPr>
          </w:p>
        </w:tc>
        <w:tc>
          <w:tcPr>
            <w:tcW w:w="5931" w:type="dxa"/>
            <w:tcBorders>
              <w:tl2br w:val="nil"/>
              <w:tr2bl w:val="nil"/>
            </w:tcBorders>
            <w:vAlign w:val="center"/>
          </w:tcPr>
          <w:p w14:paraId="664BFA94">
            <w:pPr>
              <w:spacing w:line="360" w:lineRule="auto"/>
              <w:rPr>
                <w:color w:val="auto"/>
                <w:szCs w:val="21"/>
                <w:highlight w:val="none"/>
              </w:rPr>
            </w:pPr>
            <w:r>
              <w:rPr>
                <w:color w:val="auto"/>
                <w:szCs w:val="21"/>
                <w:highlight w:val="none"/>
              </w:rPr>
              <w:t>信息集成多院区改造支持</w:t>
            </w:r>
          </w:p>
        </w:tc>
      </w:tr>
      <w:tr w14:paraId="324052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FBC1689">
            <w:pPr>
              <w:spacing w:line="360" w:lineRule="auto"/>
              <w:rPr>
                <w:color w:val="auto"/>
                <w:szCs w:val="21"/>
                <w:highlight w:val="none"/>
              </w:rPr>
            </w:pPr>
            <w:r>
              <w:rPr>
                <w:color w:val="auto"/>
                <w:szCs w:val="21"/>
                <w:highlight w:val="none"/>
              </w:rPr>
              <w:t>22</w:t>
            </w:r>
          </w:p>
        </w:tc>
        <w:tc>
          <w:tcPr>
            <w:tcW w:w="2557" w:type="dxa"/>
            <w:vMerge w:val="continue"/>
            <w:tcBorders>
              <w:tl2br w:val="nil"/>
              <w:tr2bl w:val="nil"/>
            </w:tcBorders>
            <w:vAlign w:val="center"/>
          </w:tcPr>
          <w:p w14:paraId="60FF8584">
            <w:pPr>
              <w:spacing w:line="360" w:lineRule="auto"/>
              <w:rPr>
                <w:color w:val="auto"/>
                <w:szCs w:val="21"/>
                <w:highlight w:val="none"/>
              </w:rPr>
            </w:pPr>
          </w:p>
        </w:tc>
        <w:tc>
          <w:tcPr>
            <w:tcW w:w="5931" w:type="dxa"/>
            <w:tcBorders>
              <w:tl2br w:val="nil"/>
              <w:tr2bl w:val="nil"/>
            </w:tcBorders>
            <w:vAlign w:val="center"/>
          </w:tcPr>
          <w:p w14:paraId="19CE8BC3">
            <w:pPr>
              <w:spacing w:line="360" w:lineRule="auto"/>
              <w:rPr>
                <w:color w:val="auto"/>
                <w:szCs w:val="21"/>
                <w:highlight w:val="none"/>
              </w:rPr>
            </w:pPr>
            <w:r>
              <w:rPr>
                <w:color w:val="auto"/>
                <w:szCs w:val="21"/>
                <w:highlight w:val="none"/>
              </w:rPr>
              <w:t>新建三方系统对接及多院区支持</w:t>
            </w:r>
          </w:p>
        </w:tc>
      </w:tr>
      <w:tr w14:paraId="788EA8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6138145D">
            <w:pPr>
              <w:spacing w:line="360" w:lineRule="auto"/>
              <w:rPr>
                <w:color w:val="auto"/>
                <w:szCs w:val="21"/>
                <w:highlight w:val="none"/>
              </w:rPr>
            </w:pPr>
            <w:r>
              <w:rPr>
                <w:color w:val="auto"/>
                <w:szCs w:val="21"/>
                <w:highlight w:val="none"/>
              </w:rPr>
              <w:t>23</w:t>
            </w:r>
          </w:p>
        </w:tc>
        <w:tc>
          <w:tcPr>
            <w:tcW w:w="2557" w:type="dxa"/>
            <w:vMerge w:val="continue"/>
            <w:tcBorders>
              <w:tl2br w:val="nil"/>
              <w:tr2bl w:val="nil"/>
            </w:tcBorders>
            <w:vAlign w:val="center"/>
          </w:tcPr>
          <w:p w14:paraId="1142A875">
            <w:pPr>
              <w:spacing w:line="360" w:lineRule="auto"/>
              <w:rPr>
                <w:color w:val="auto"/>
                <w:szCs w:val="21"/>
                <w:highlight w:val="none"/>
              </w:rPr>
            </w:pPr>
          </w:p>
        </w:tc>
        <w:tc>
          <w:tcPr>
            <w:tcW w:w="5931" w:type="dxa"/>
            <w:tcBorders>
              <w:tl2br w:val="nil"/>
              <w:tr2bl w:val="nil"/>
            </w:tcBorders>
            <w:vAlign w:val="center"/>
          </w:tcPr>
          <w:p w14:paraId="23F7DD1C">
            <w:pPr>
              <w:spacing w:line="360" w:lineRule="auto"/>
              <w:rPr>
                <w:color w:val="auto"/>
                <w:szCs w:val="21"/>
                <w:highlight w:val="none"/>
              </w:rPr>
            </w:pPr>
            <w:r>
              <w:rPr>
                <w:color w:val="auto"/>
                <w:szCs w:val="21"/>
                <w:highlight w:val="none"/>
              </w:rPr>
              <w:t>原有BI各类报表多院区改造</w:t>
            </w:r>
          </w:p>
        </w:tc>
      </w:tr>
      <w:tr w14:paraId="27AB12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BCB9A31">
            <w:pPr>
              <w:spacing w:line="360" w:lineRule="auto"/>
              <w:rPr>
                <w:color w:val="auto"/>
                <w:szCs w:val="21"/>
                <w:highlight w:val="none"/>
              </w:rPr>
            </w:pPr>
            <w:r>
              <w:rPr>
                <w:color w:val="auto"/>
                <w:szCs w:val="21"/>
                <w:highlight w:val="none"/>
              </w:rPr>
              <w:t>24</w:t>
            </w:r>
          </w:p>
        </w:tc>
        <w:tc>
          <w:tcPr>
            <w:tcW w:w="2557" w:type="dxa"/>
            <w:vMerge w:val="restart"/>
            <w:tcBorders>
              <w:tl2br w:val="nil"/>
              <w:tr2bl w:val="nil"/>
            </w:tcBorders>
            <w:vAlign w:val="center"/>
          </w:tcPr>
          <w:p w14:paraId="5A853202">
            <w:pPr>
              <w:spacing w:line="360" w:lineRule="auto"/>
              <w:rPr>
                <w:color w:val="auto"/>
                <w:szCs w:val="21"/>
                <w:highlight w:val="none"/>
              </w:rPr>
            </w:pPr>
            <w:r>
              <w:rPr>
                <w:color w:val="auto"/>
                <w:szCs w:val="21"/>
                <w:highlight w:val="none"/>
              </w:rPr>
              <w:t>新院区运行所需新建/升级系统</w:t>
            </w:r>
          </w:p>
        </w:tc>
        <w:tc>
          <w:tcPr>
            <w:tcW w:w="5931" w:type="dxa"/>
            <w:tcBorders>
              <w:tl2br w:val="nil"/>
              <w:tr2bl w:val="nil"/>
            </w:tcBorders>
            <w:vAlign w:val="center"/>
          </w:tcPr>
          <w:p w14:paraId="46376E6A">
            <w:pPr>
              <w:spacing w:line="360" w:lineRule="auto"/>
              <w:rPr>
                <w:color w:val="auto"/>
                <w:szCs w:val="21"/>
                <w:highlight w:val="none"/>
              </w:rPr>
            </w:pPr>
            <w:r>
              <w:rPr>
                <w:color w:val="auto"/>
                <w:szCs w:val="21"/>
                <w:highlight w:val="none"/>
              </w:rPr>
              <w:t>急诊输液管理系统（重构）</w:t>
            </w:r>
          </w:p>
        </w:tc>
      </w:tr>
      <w:tr w14:paraId="6C0FF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161A39AD">
            <w:pPr>
              <w:spacing w:line="360" w:lineRule="auto"/>
              <w:rPr>
                <w:color w:val="auto"/>
                <w:szCs w:val="21"/>
                <w:highlight w:val="none"/>
              </w:rPr>
            </w:pPr>
            <w:r>
              <w:rPr>
                <w:color w:val="auto"/>
                <w:szCs w:val="21"/>
                <w:highlight w:val="none"/>
              </w:rPr>
              <w:t>25</w:t>
            </w:r>
          </w:p>
        </w:tc>
        <w:tc>
          <w:tcPr>
            <w:tcW w:w="2557" w:type="dxa"/>
            <w:vMerge w:val="continue"/>
            <w:tcBorders>
              <w:tl2br w:val="nil"/>
              <w:tr2bl w:val="nil"/>
            </w:tcBorders>
            <w:vAlign w:val="center"/>
          </w:tcPr>
          <w:p w14:paraId="10797FD5">
            <w:pPr>
              <w:spacing w:line="360" w:lineRule="auto"/>
              <w:rPr>
                <w:color w:val="auto"/>
                <w:szCs w:val="21"/>
                <w:highlight w:val="none"/>
              </w:rPr>
            </w:pPr>
          </w:p>
        </w:tc>
        <w:tc>
          <w:tcPr>
            <w:tcW w:w="5931" w:type="dxa"/>
            <w:tcBorders>
              <w:tl2br w:val="nil"/>
              <w:tr2bl w:val="nil"/>
            </w:tcBorders>
            <w:vAlign w:val="center"/>
          </w:tcPr>
          <w:p w14:paraId="30E75235">
            <w:pPr>
              <w:spacing w:line="360" w:lineRule="auto"/>
              <w:rPr>
                <w:color w:val="auto"/>
                <w:szCs w:val="21"/>
                <w:highlight w:val="none"/>
              </w:rPr>
            </w:pPr>
            <w:r>
              <w:rPr>
                <w:color w:val="auto"/>
                <w:szCs w:val="21"/>
                <w:highlight w:val="none"/>
              </w:rPr>
              <w:t>新版消息公告平台（新建、B/S架构）</w:t>
            </w:r>
          </w:p>
        </w:tc>
      </w:tr>
      <w:tr w14:paraId="0F8843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EB6CC96">
            <w:pPr>
              <w:spacing w:line="360" w:lineRule="auto"/>
              <w:rPr>
                <w:color w:val="auto"/>
                <w:szCs w:val="21"/>
                <w:highlight w:val="none"/>
              </w:rPr>
            </w:pPr>
            <w:r>
              <w:rPr>
                <w:color w:val="auto"/>
                <w:szCs w:val="21"/>
                <w:highlight w:val="none"/>
              </w:rPr>
              <w:t>26</w:t>
            </w:r>
          </w:p>
        </w:tc>
        <w:tc>
          <w:tcPr>
            <w:tcW w:w="2557" w:type="dxa"/>
            <w:vMerge w:val="continue"/>
            <w:tcBorders>
              <w:tl2br w:val="nil"/>
              <w:tr2bl w:val="nil"/>
            </w:tcBorders>
            <w:vAlign w:val="center"/>
          </w:tcPr>
          <w:p w14:paraId="378147B0">
            <w:pPr>
              <w:spacing w:line="360" w:lineRule="auto"/>
              <w:rPr>
                <w:color w:val="auto"/>
                <w:szCs w:val="21"/>
                <w:highlight w:val="none"/>
              </w:rPr>
            </w:pPr>
          </w:p>
        </w:tc>
        <w:tc>
          <w:tcPr>
            <w:tcW w:w="5931" w:type="dxa"/>
            <w:tcBorders>
              <w:tl2br w:val="nil"/>
              <w:tr2bl w:val="nil"/>
            </w:tcBorders>
            <w:vAlign w:val="center"/>
          </w:tcPr>
          <w:p w14:paraId="639F9477">
            <w:pPr>
              <w:spacing w:line="360" w:lineRule="auto"/>
              <w:rPr>
                <w:color w:val="auto"/>
                <w:szCs w:val="21"/>
                <w:highlight w:val="none"/>
              </w:rPr>
            </w:pPr>
            <w:r>
              <w:rPr>
                <w:color w:val="auto"/>
                <w:szCs w:val="21"/>
                <w:highlight w:val="none"/>
              </w:rPr>
              <w:t>VTE系统(重构)</w:t>
            </w:r>
          </w:p>
        </w:tc>
      </w:tr>
      <w:tr w14:paraId="415662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981E760">
            <w:pPr>
              <w:spacing w:line="360" w:lineRule="auto"/>
              <w:rPr>
                <w:color w:val="auto"/>
                <w:szCs w:val="21"/>
                <w:highlight w:val="none"/>
              </w:rPr>
            </w:pPr>
            <w:r>
              <w:rPr>
                <w:color w:val="auto"/>
                <w:szCs w:val="21"/>
                <w:highlight w:val="none"/>
              </w:rPr>
              <w:t>27</w:t>
            </w:r>
          </w:p>
        </w:tc>
        <w:tc>
          <w:tcPr>
            <w:tcW w:w="2557" w:type="dxa"/>
            <w:vMerge w:val="continue"/>
            <w:tcBorders>
              <w:tl2br w:val="nil"/>
              <w:tr2bl w:val="nil"/>
            </w:tcBorders>
            <w:vAlign w:val="center"/>
          </w:tcPr>
          <w:p w14:paraId="0DDED8B7">
            <w:pPr>
              <w:spacing w:line="360" w:lineRule="auto"/>
              <w:rPr>
                <w:color w:val="auto"/>
                <w:szCs w:val="21"/>
                <w:highlight w:val="none"/>
              </w:rPr>
            </w:pPr>
          </w:p>
        </w:tc>
        <w:tc>
          <w:tcPr>
            <w:tcW w:w="5931" w:type="dxa"/>
            <w:tcBorders>
              <w:tl2br w:val="nil"/>
              <w:tr2bl w:val="nil"/>
            </w:tcBorders>
            <w:shd w:val="clear" w:color="auto" w:fill="FFFFFF"/>
            <w:vAlign w:val="center"/>
          </w:tcPr>
          <w:p w14:paraId="05712BE6">
            <w:pPr>
              <w:spacing w:line="360" w:lineRule="auto"/>
              <w:rPr>
                <w:color w:val="auto"/>
                <w:szCs w:val="21"/>
                <w:highlight w:val="none"/>
              </w:rPr>
            </w:pPr>
            <w:r>
              <w:rPr>
                <w:color w:val="auto"/>
                <w:szCs w:val="21"/>
                <w:highlight w:val="none"/>
              </w:rPr>
              <w:t>线上线下（院内院外）MDT多学科会诊平台（新建）</w:t>
            </w:r>
          </w:p>
        </w:tc>
      </w:tr>
      <w:tr w14:paraId="14822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E13AAC4">
            <w:pPr>
              <w:spacing w:line="360" w:lineRule="auto"/>
              <w:rPr>
                <w:color w:val="auto"/>
                <w:szCs w:val="21"/>
                <w:highlight w:val="none"/>
              </w:rPr>
            </w:pPr>
            <w:r>
              <w:rPr>
                <w:color w:val="auto"/>
                <w:szCs w:val="21"/>
                <w:highlight w:val="none"/>
              </w:rPr>
              <w:t>28</w:t>
            </w:r>
          </w:p>
        </w:tc>
        <w:tc>
          <w:tcPr>
            <w:tcW w:w="2557" w:type="dxa"/>
            <w:vMerge w:val="continue"/>
            <w:tcBorders>
              <w:tl2br w:val="nil"/>
              <w:tr2bl w:val="nil"/>
            </w:tcBorders>
            <w:vAlign w:val="center"/>
          </w:tcPr>
          <w:p w14:paraId="721A77F6">
            <w:pPr>
              <w:spacing w:line="360" w:lineRule="auto"/>
              <w:rPr>
                <w:color w:val="auto"/>
                <w:szCs w:val="21"/>
                <w:highlight w:val="none"/>
              </w:rPr>
            </w:pPr>
          </w:p>
        </w:tc>
        <w:tc>
          <w:tcPr>
            <w:tcW w:w="5931" w:type="dxa"/>
            <w:tcBorders>
              <w:tl2br w:val="nil"/>
              <w:tr2bl w:val="nil"/>
            </w:tcBorders>
            <w:vAlign w:val="center"/>
          </w:tcPr>
          <w:p w14:paraId="1C2D50FC">
            <w:pPr>
              <w:spacing w:line="360" w:lineRule="auto"/>
              <w:rPr>
                <w:color w:val="auto"/>
                <w:szCs w:val="21"/>
                <w:highlight w:val="none"/>
              </w:rPr>
            </w:pPr>
            <w:r>
              <w:rPr>
                <w:color w:val="auto"/>
                <w:szCs w:val="21"/>
                <w:highlight w:val="none"/>
              </w:rPr>
              <w:t>体检系统（重构）</w:t>
            </w:r>
          </w:p>
        </w:tc>
      </w:tr>
      <w:tr w14:paraId="5AC581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173F6EF3">
            <w:pPr>
              <w:spacing w:line="360" w:lineRule="auto"/>
              <w:rPr>
                <w:color w:val="auto"/>
                <w:szCs w:val="21"/>
                <w:highlight w:val="none"/>
              </w:rPr>
            </w:pPr>
            <w:r>
              <w:rPr>
                <w:color w:val="auto"/>
                <w:szCs w:val="21"/>
                <w:highlight w:val="none"/>
              </w:rPr>
              <w:t>29</w:t>
            </w:r>
          </w:p>
        </w:tc>
        <w:tc>
          <w:tcPr>
            <w:tcW w:w="2557" w:type="dxa"/>
            <w:vMerge w:val="continue"/>
            <w:tcBorders>
              <w:tl2br w:val="nil"/>
              <w:tr2bl w:val="nil"/>
            </w:tcBorders>
            <w:vAlign w:val="center"/>
          </w:tcPr>
          <w:p w14:paraId="47349828">
            <w:pPr>
              <w:spacing w:line="360" w:lineRule="auto"/>
              <w:rPr>
                <w:color w:val="auto"/>
                <w:szCs w:val="21"/>
                <w:highlight w:val="none"/>
              </w:rPr>
            </w:pPr>
          </w:p>
        </w:tc>
        <w:tc>
          <w:tcPr>
            <w:tcW w:w="5931" w:type="dxa"/>
            <w:tcBorders>
              <w:tl2br w:val="nil"/>
              <w:tr2bl w:val="nil"/>
            </w:tcBorders>
            <w:vAlign w:val="center"/>
          </w:tcPr>
          <w:p w14:paraId="552E6D20">
            <w:pPr>
              <w:spacing w:line="360" w:lineRule="auto"/>
              <w:rPr>
                <w:color w:val="auto"/>
                <w:szCs w:val="21"/>
                <w:highlight w:val="none"/>
              </w:rPr>
            </w:pPr>
            <w:r>
              <w:rPr>
                <w:color w:val="auto"/>
                <w:szCs w:val="21"/>
                <w:highlight w:val="none"/>
              </w:rPr>
              <w:t>血透及腹透管理系统（重构）</w:t>
            </w:r>
          </w:p>
        </w:tc>
      </w:tr>
      <w:tr w14:paraId="4F4FFD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5D93B63D">
            <w:pPr>
              <w:spacing w:line="360" w:lineRule="auto"/>
              <w:rPr>
                <w:color w:val="auto"/>
                <w:szCs w:val="21"/>
                <w:highlight w:val="none"/>
              </w:rPr>
            </w:pPr>
            <w:r>
              <w:rPr>
                <w:color w:val="auto"/>
                <w:szCs w:val="21"/>
                <w:highlight w:val="none"/>
              </w:rPr>
              <w:t>30</w:t>
            </w:r>
          </w:p>
        </w:tc>
        <w:tc>
          <w:tcPr>
            <w:tcW w:w="2557" w:type="dxa"/>
            <w:vMerge w:val="continue"/>
            <w:tcBorders>
              <w:tl2br w:val="nil"/>
              <w:tr2bl w:val="nil"/>
            </w:tcBorders>
            <w:vAlign w:val="center"/>
          </w:tcPr>
          <w:p w14:paraId="1B9A5D2E">
            <w:pPr>
              <w:spacing w:line="360" w:lineRule="auto"/>
              <w:rPr>
                <w:color w:val="auto"/>
                <w:szCs w:val="21"/>
                <w:highlight w:val="none"/>
              </w:rPr>
            </w:pPr>
          </w:p>
        </w:tc>
        <w:tc>
          <w:tcPr>
            <w:tcW w:w="5931" w:type="dxa"/>
            <w:tcBorders>
              <w:tl2br w:val="nil"/>
              <w:tr2bl w:val="nil"/>
            </w:tcBorders>
            <w:vAlign w:val="center"/>
          </w:tcPr>
          <w:p w14:paraId="0C37809E">
            <w:pPr>
              <w:spacing w:line="360" w:lineRule="auto"/>
              <w:rPr>
                <w:color w:val="auto"/>
                <w:szCs w:val="21"/>
                <w:highlight w:val="none"/>
              </w:rPr>
            </w:pPr>
            <w:r>
              <w:rPr>
                <w:color w:val="auto"/>
                <w:szCs w:val="21"/>
                <w:highlight w:val="none"/>
              </w:rPr>
              <w:t>LIS系统（升级）</w:t>
            </w:r>
          </w:p>
        </w:tc>
      </w:tr>
      <w:tr w14:paraId="25373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A88AC44">
            <w:pPr>
              <w:spacing w:line="360" w:lineRule="auto"/>
              <w:rPr>
                <w:color w:val="auto"/>
                <w:szCs w:val="21"/>
                <w:highlight w:val="none"/>
              </w:rPr>
            </w:pPr>
            <w:r>
              <w:rPr>
                <w:color w:val="auto"/>
                <w:szCs w:val="21"/>
                <w:highlight w:val="none"/>
              </w:rPr>
              <w:t>31</w:t>
            </w:r>
          </w:p>
        </w:tc>
        <w:tc>
          <w:tcPr>
            <w:tcW w:w="2557" w:type="dxa"/>
            <w:vMerge w:val="continue"/>
            <w:tcBorders>
              <w:tl2br w:val="nil"/>
              <w:tr2bl w:val="nil"/>
            </w:tcBorders>
            <w:vAlign w:val="center"/>
          </w:tcPr>
          <w:p w14:paraId="4B22982B">
            <w:pPr>
              <w:spacing w:line="360" w:lineRule="auto"/>
              <w:rPr>
                <w:color w:val="auto"/>
                <w:szCs w:val="21"/>
                <w:highlight w:val="none"/>
              </w:rPr>
            </w:pPr>
          </w:p>
        </w:tc>
        <w:tc>
          <w:tcPr>
            <w:tcW w:w="5931" w:type="dxa"/>
            <w:tcBorders>
              <w:tl2br w:val="nil"/>
              <w:tr2bl w:val="nil"/>
            </w:tcBorders>
            <w:vAlign w:val="center"/>
          </w:tcPr>
          <w:p w14:paraId="1046FFB1">
            <w:pPr>
              <w:spacing w:line="360" w:lineRule="auto"/>
              <w:rPr>
                <w:color w:val="auto"/>
                <w:szCs w:val="21"/>
                <w:highlight w:val="none"/>
              </w:rPr>
            </w:pPr>
            <w:r>
              <w:rPr>
                <w:color w:val="auto"/>
                <w:szCs w:val="21"/>
                <w:highlight w:val="none"/>
              </w:rPr>
              <w:t>PACS</w:t>
            </w:r>
            <w:r>
              <w:rPr>
                <w:rFonts w:hint="eastAsia"/>
                <w:color w:val="auto"/>
                <w:szCs w:val="21"/>
                <w:highlight w:val="none"/>
              </w:rPr>
              <w:t>业务流程</w:t>
            </w:r>
            <w:r>
              <w:rPr>
                <w:color w:val="auto"/>
                <w:szCs w:val="21"/>
                <w:highlight w:val="none"/>
              </w:rPr>
              <w:t>(升级)</w:t>
            </w:r>
          </w:p>
        </w:tc>
      </w:tr>
      <w:tr w14:paraId="01A28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66ED59FA">
            <w:pPr>
              <w:spacing w:line="360" w:lineRule="auto"/>
              <w:rPr>
                <w:color w:val="auto"/>
                <w:szCs w:val="21"/>
                <w:highlight w:val="none"/>
              </w:rPr>
            </w:pPr>
            <w:r>
              <w:rPr>
                <w:color w:val="auto"/>
                <w:szCs w:val="21"/>
                <w:highlight w:val="none"/>
              </w:rPr>
              <w:t>32</w:t>
            </w:r>
          </w:p>
        </w:tc>
        <w:tc>
          <w:tcPr>
            <w:tcW w:w="2557" w:type="dxa"/>
            <w:vMerge w:val="continue"/>
            <w:tcBorders>
              <w:tl2br w:val="nil"/>
              <w:tr2bl w:val="nil"/>
            </w:tcBorders>
            <w:vAlign w:val="center"/>
          </w:tcPr>
          <w:p w14:paraId="323E6DA7">
            <w:pPr>
              <w:spacing w:line="360" w:lineRule="auto"/>
              <w:rPr>
                <w:color w:val="auto"/>
                <w:szCs w:val="21"/>
                <w:highlight w:val="none"/>
              </w:rPr>
            </w:pPr>
          </w:p>
        </w:tc>
        <w:tc>
          <w:tcPr>
            <w:tcW w:w="5931" w:type="dxa"/>
            <w:tcBorders>
              <w:tl2br w:val="nil"/>
              <w:tr2bl w:val="nil"/>
            </w:tcBorders>
            <w:vAlign w:val="center"/>
          </w:tcPr>
          <w:p w14:paraId="7B072477">
            <w:pPr>
              <w:spacing w:line="360" w:lineRule="auto"/>
              <w:rPr>
                <w:color w:val="auto"/>
                <w:szCs w:val="21"/>
                <w:highlight w:val="none"/>
              </w:rPr>
            </w:pPr>
            <w:r>
              <w:rPr>
                <w:color w:val="auto"/>
                <w:szCs w:val="21"/>
                <w:highlight w:val="none"/>
              </w:rPr>
              <w:t>心电管理系统（升级）</w:t>
            </w:r>
          </w:p>
        </w:tc>
      </w:tr>
      <w:tr w14:paraId="37811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7284AF9C">
            <w:pPr>
              <w:spacing w:line="360" w:lineRule="auto"/>
              <w:rPr>
                <w:color w:val="auto"/>
                <w:szCs w:val="21"/>
                <w:highlight w:val="none"/>
              </w:rPr>
            </w:pPr>
            <w:r>
              <w:rPr>
                <w:color w:val="auto"/>
                <w:szCs w:val="21"/>
                <w:highlight w:val="none"/>
              </w:rPr>
              <w:t>33</w:t>
            </w:r>
          </w:p>
        </w:tc>
        <w:tc>
          <w:tcPr>
            <w:tcW w:w="2557" w:type="dxa"/>
            <w:vMerge w:val="continue"/>
            <w:tcBorders>
              <w:tl2br w:val="nil"/>
              <w:tr2bl w:val="nil"/>
            </w:tcBorders>
            <w:vAlign w:val="center"/>
          </w:tcPr>
          <w:p w14:paraId="1EA90363">
            <w:pPr>
              <w:spacing w:line="360" w:lineRule="auto"/>
              <w:rPr>
                <w:color w:val="auto"/>
                <w:szCs w:val="21"/>
                <w:highlight w:val="none"/>
              </w:rPr>
            </w:pPr>
          </w:p>
        </w:tc>
        <w:tc>
          <w:tcPr>
            <w:tcW w:w="5931" w:type="dxa"/>
            <w:tcBorders>
              <w:tl2br w:val="nil"/>
              <w:tr2bl w:val="nil"/>
            </w:tcBorders>
            <w:vAlign w:val="center"/>
          </w:tcPr>
          <w:p w14:paraId="5E2EEDA4">
            <w:pPr>
              <w:spacing w:line="360" w:lineRule="auto"/>
              <w:rPr>
                <w:color w:val="auto"/>
                <w:szCs w:val="21"/>
                <w:highlight w:val="none"/>
              </w:rPr>
            </w:pPr>
            <w:r>
              <w:rPr>
                <w:color w:val="auto"/>
                <w:szCs w:val="21"/>
                <w:highlight w:val="none"/>
              </w:rPr>
              <w:t>输血管理系统(升级)</w:t>
            </w:r>
          </w:p>
        </w:tc>
      </w:tr>
      <w:tr w14:paraId="6B3D43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27BC302D">
            <w:pPr>
              <w:spacing w:line="360" w:lineRule="auto"/>
              <w:rPr>
                <w:color w:val="auto"/>
                <w:szCs w:val="21"/>
                <w:highlight w:val="none"/>
              </w:rPr>
            </w:pPr>
            <w:r>
              <w:rPr>
                <w:color w:val="auto"/>
                <w:szCs w:val="21"/>
                <w:highlight w:val="none"/>
              </w:rPr>
              <w:t>34</w:t>
            </w:r>
          </w:p>
        </w:tc>
        <w:tc>
          <w:tcPr>
            <w:tcW w:w="2557" w:type="dxa"/>
            <w:vMerge w:val="continue"/>
            <w:tcBorders>
              <w:tl2br w:val="nil"/>
              <w:tr2bl w:val="nil"/>
            </w:tcBorders>
            <w:vAlign w:val="center"/>
          </w:tcPr>
          <w:p w14:paraId="330F14BB">
            <w:pPr>
              <w:spacing w:line="360" w:lineRule="auto"/>
              <w:rPr>
                <w:color w:val="auto"/>
                <w:szCs w:val="21"/>
                <w:highlight w:val="none"/>
              </w:rPr>
            </w:pPr>
          </w:p>
        </w:tc>
        <w:tc>
          <w:tcPr>
            <w:tcW w:w="5931" w:type="dxa"/>
            <w:tcBorders>
              <w:tl2br w:val="nil"/>
              <w:tr2bl w:val="nil"/>
            </w:tcBorders>
            <w:vAlign w:val="center"/>
          </w:tcPr>
          <w:p w14:paraId="5639A442">
            <w:pPr>
              <w:spacing w:line="360" w:lineRule="auto"/>
              <w:rPr>
                <w:color w:val="auto"/>
                <w:szCs w:val="21"/>
                <w:highlight w:val="none"/>
              </w:rPr>
            </w:pPr>
            <w:r>
              <w:rPr>
                <w:rFonts w:hint="eastAsia"/>
                <w:color w:val="auto"/>
                <w:szCs w:val="21"/>
                <w:highlight w:val="none"/>
                <w:lang w:val="en-US" w:eastAsia="zh-CN"/>
              </w:rPr>
              <w:t>医德考评系统</w:t>
            </w:r>
            <w:r>
              <w:rPr>
                <w:color w:val="auto"/>
                <w:szCs w:val="21"/>
                <w:highlight w:val="none"/>
              </w:rPr>
              <w:t>（升级）</w:t>
            </w:r>
          </w:p>
        </w:tc>
      </w:tr>
      <w:tr w14:paraId="5610A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20AEB61">
            <w:pPr>
              <w:spacing w:line="360" w:lineRule="auto"/>
              <w:rPr>
                <w:color w:val="auto"/>
                <w:szCs w:val="21"/>
                <w:highlight w:val="none"/>
              </w:rPr>
            </w:pPr>
            <w:r>
              <w:rPr>
                <w:color w:val="auto"/>
                <w:szCs w:val="21"/>
                <w:highlight w:val="none"/>
              </w:rPr>
              <w:t>35</w:t>
            </w:r>
          </w:p>
        </w:tc>
        <w:tc>
          <w:tcPr>
            <w:tcW w:w="2557" w:type="dxa"/>
            <w:vMerge w:val="continue"/>
            <w:tcBorders>
              <w:tl2br w:val="nil"/>
              <w:tr2bl w:val="nil"/>
            </w:tcBorders>
            <w:vAlign w:val="center"/>
          </w:tcPr>
          <w:p w14:paraId="197039B4">
            <w:pPr>
              <w:spacing w:line="360" w:lineRule="auto"/>
              <w:rPr>
                <w:color w:val="auto"/>
                <w:szCs w:val="21"/>
                <w:highlight w:val="none"/>
              </w:rPr>
            </w:pPr>
          </w:p>
        </w:tc>
        <w:tc>
          <w:tcPr>
            <w:tcW w:w="5931" w:type="dxa"/>
            <w:tcBorders>
              <w:tl2br w:val="nil"/>
              <w:tr2bl w:val="nil"/>
            </w:tcBorders>
            <w:vAlign w:val="center"/>
          </w:tcPr>
          <w:p w14:paraId="13C0DD07">
            <w:pPr>
              <w:spacing w:line="360" w:lineRule="auto"/>
              <w:rPr>
                <w:color w:val="auto"/>
                <w:szCs w:val="21"/>
                <w:highlight w:val="none"/>
              </w:rPr>
            </w:pPr>
            <w:r>
              <w:rPr>
                <w:color w:val="auto"/>
                <w:szCs w:val="21"/>
                <w:highlight w:val="none"/>
              </w:rPr>
              <w:t>无纸化系统（升级）</w:t>
            </w:r>
          </w:p>
        </w:tc>
      </w:tr>
      <w:tr w14:paraId="2DFF2B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3A2F2ECA">
            <w:pPr>
              <w:spacing w:line="360" w:lineRule="auto"/>
              <w:rPr>
                <w:color w:val="auto"/>
                <w:szCs w:val="21"/>
                <w:highlight w:val="none"/>
              </w:rPr>
            </w:pPr>
            <w:r>
              <w:rPr>
                <w:color w:val="auto"/>
                <w:szCs w:val="21"/>
                <w:highlight w:val="none"/>
              </w:rPr>
              <w:t>36</w:t>
            </w:r>
          </w:p>
        </w:tc>
        <w:tc>
          <w:tcPr>
            <w:tcW w:w="2557" w:type="dxa"/>
            <w:vMerge w:val="continue"/>
            <w:tcBorders>
              <w:tl2br w:val="nil"/>
              <w:tr2bl w:val="nil"/>
            </w:tcBorders>
            <w:vAlign w:val="center"/>
          </w:tcPr>
          <w:p w14:paraId="12F22F5B">
            <w:pPr>
              <w:spacing w:line="360" w:lineRule="auto"/>
              <w:rPr>
                <w:color w:val="auto"/>
                <w:szCs w:val="21"/>
                <w:highlight w:val="none"/>
              </w:rPr>
            </w:pPr>
          </w:p>
        </w:tc>
        <w:tc>
          <w:tcPr>
            <w:tcW w:w="5931" w:type="dxa"/>
            <w:tcBorders>
              <w:tl2br w:val="nil"/>
              <w:tr2bl w:val="nil"/>
            </w:tcBorders>
            <w:vAlign w:val="center"/>
          </w:tcPr>
          <w:p w14:paraId="1B9C804E">
            <w:pPr>
              <w:spacing w:line="360" w:lineRule="auto"/>
              <w:rPr>
                <w:color w:val="auto"/>
                <w:szCs w:val="21"/>
                <w:highlight w:val="none"/>
              </w:rPr>
            </w:pPr>
            <w:r>
              <w:rPr>
                <w:color w:val="auto"/>
                <w:szCs w:val="21"/>
                <w:highlight w:val="none"/>
              </w:rPr>
              <w:t>CA数字签名系统（升级）</w:t>
            </w:r>
          </w:p>
        </w:tc>
      </w:tr>
      <w:tr w14:paraId="2F7834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2452C5AA">
            <w:pPr>
              <w:spacing w:line="360" w:lineRule="auto"/>
              <w:rPr>
                <w:color w:val="auto"/>
                <w:szCs w:val="21"/>
                <w:highlight w:val="none"/>
              </w:rPr>
            </w:pPr>
            <w:r>
              <w:rPr>
                <w:color w:val="auto"/>
                <w:szCs w:val="21"/>
                <w:highlight w:val="none"/>
              </w:rPr>
              <w:t>37</w:t>
            </w:r>
          </w:p>
        </w:tc>
        <w:tc>
          <w:tcPr>
            <w:tcW w:w="2557" w:type="dxa"/>
            <w:vMerge w:val="continue"/>
            <w:tcBorders>
              <w:tl2br w:val="nil"/>
              <w:tr2bl w:val="nil"/>
            </w:tcBorders>
            <w:vAlign w:val="center"/>
          </w:tcPr>
          <w:p w14:paraId="43A391B7">
            <w:pPr>
              <w:spacing w:line="360" w:lineRule="auto"/>
              <w:rPr>
                <w:color w:val="auto"/>
                <w:szCs w:val="21"/>
                <w:highlight w:val="none"/>
              </w:rPr>
            </w:pPr>
          </w:p>
        </w:tc>
        <w:tc>
          <w:tcPr>
            <w:tcW w:w="5931" w:type="dxa"/>
            <w:tcBorders>
              <w:tl2br w:val="nil"/>
              <w:tr2bl w:val="nil"/>
            </w:tcBorders>
            <w:vAlign w:val="center"/>
          </w:tcPr>
          <w:p w14:paraId="4BE6B35B">
            <w:pPr>
              <w:spacing w:line="360" w:lineRule="auto"/>
              <w:rPr>
                <w:color w:val="auto"/>
                <w:szCs w:val="21"/>
                <w:highlight w:val="none"/>
              </w:rPr>
            </w:pPr>
            <w:r>
              <w:rPr>
                <w:color w:val="auto"/>
                <w:szCs w:val="21"/>
                <w:highlight w:val="none"/>
              </w:rPr>
              <w:t>静脉配置管理中心（升级）</w:t>
            </w:r>
          </w:p>
        </w:tc>
      </w:tr>
      <w:tr w14:paraId="643D82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CA67AB8">
            <w:pPr>
              <w:spacing w:line="360" w:lineRule="auto"/>
              <w:rPr>
                <w:rFonts w:hint="default" w:eastAsia="宋体"/>
                <w:color w:val="auto"/>
                <w:szCs w:val="21"/>
                <w:highlight w:val="none"/>
                <w:lang w:val="en-US" w:eastAsia="zh-CN"/>
              </w:rPr>
            </w:pPr>
            <w:r>
              <w:rPr>
                <w:rFonts w:hint="eastAsia"/>
                <w:color w:val="auto"/>
                <w:szCs w:val="21"/>
                <w:highlight w:val="none"/>
                <w:lang w:val="en-US" w:eastAsia="zh-CN"/>
              </w:rPr>
              <w:t>38</w:t>
            </w:r>
          </w:p>
        </w:tc>
        <w:tc>
          <w:tcPr>
            <w:tcW w:w="2557" w:type="dxa"/>
            <w:vMerge w:val="continue"/>
            <w:tcBorders>
              <w:tl2br w:val="nil"/>
              <w:tr2bl w:val="nil"/>
            </w:tcBorders>
            <w:vAlign w:val="center"/>
          </w:tcPr>
          <w:p w14:paraId="2C659AD1">
            <w:pPr>
              <w:spacing w:line="360" w:lineRule="auto"/>
              <w:rPr>
                <w:color w:val="auto"/>
                <w:szCs w:val="21"/>
                <w:highlight w:val="none"/>
              </w:rPr>
            </w:pPr>
          </w:p>
        </w:tc>
        <w:tc>
          <w:tcPr>
            <w:tcW w:w="5931" w:type="dxa"/>
            <w:tcBorders>
              <w:tl2br w:val="nil"/>
              <w:tr2bl w:val="nil"/>
            </w:tcBorders>
            <w:vAlign w:val="center"/>
          </w:tcPr>
          <w:p w14:paraId="23B6EAD0">
            <w:pPr>
              <w:spacing w:line="360" w:lineRule="auto"/>
              <w:rPr>
                <w:rFonts w:hint="default" w:eastAsia="宋体"/>
                <w:color w:val="auto"/>
                <w:szCs w:val="21"/>
                <w:highlight w:val="none"/>
                <w:lang w:val="en-US" w:eastAsia="zh-CN"/>
              </w:rPr>
            </w:pPr>
            <w:r>
              <w:rPr>
                <w:rFonts w:hint="eastAsia"/>
                <w:color w:val="auto"/>
                <w:szCs w:val="21"/>
                <w:highlight w:val="none"/>
                <w:lang w:val="en-US" w:eastAsia="zh-CN"/>
              </w:rPr>
              <w:t>OA办公系统（升级）</w:t>
            </w:r>
          </w:p>
        </w:tc>
      </w:tr>
      <w:tr w14:paraId="159F97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2E681563">
            <w:pPr>
              <w:spacing w:line="360" w:lineRule="auto"/>
              <w:rPr>
                <w:rFonts w:hint="eastAsia" w:eastAsia="宋体"/>
                <w:color w:val="auto"/>
                <w:szCs w:val="21"/>
                <w:highlight w:val="none"/>
                <w:lang w:eastAsia="zh-CN"/>
              </w:rPr>
            </w:pPr>
            <w:r>
              <w:rPr>
                <w:color w:val="auto"/>
                <w:szCs w:val="21"/>
                <w:highlight w:val="none"/>
              </w:rPr>
              <w:t>3</w:t>
            </w:r>
            <w:r>
              <w:rPr>
                <w:rFonts w:hint="eastAsia"/>
                <w:color w:val="auto"/>
                <w:szCs w:val="21"/>
                <w:highlight w:val="none"/>
                <w:lang w:val="en-US" w:eastAsia="zh-CN"/>
              </w:rPr>
              <w:t>9</w:t>
            </w:r>
          </w:p>
        </w:tc>
        <w:tc>
          <w:tcPr>
            <w:tcW w:w="2557" w:type="dxa"/>
            <w:vMerge w:val="restart"/>
            <w:tcBorders>
              <w:tl2br w:val="nil"/>
              <w:tr2bl w:val="nil"/>
            </w:tcBorders>
            <w:vAlign w:val="center"/>
          </w:tcPr>
          <w:p w14:paraId="583FF496">
            <w:pPr>
              <w:spacing w:line="360" w:lineRule="auto"/>
              <w:rPr>
                <w:color w:val="auto"/>
                <w:szCs w:val="21"/>
                <w:highlight w:val="none"/>
              </w:rPr>
            </w:pPr>
            <w:r>
              <w:rPr>
                <w:color w:val="auto"/>
                <w:szCs w:val="21"/>
                <w:highlight w:val="none"/>
              </w:rPr>
              <w:t>新院区业务系统搬迁实施与技术保障</w:t>
            </w:r>
          </w:p>
        </w:tc>
        <w:tc>
          <w:tcPr>
            <w:tcW w:w="5931" w:type="dxa"/>
            <w:tcBorders>
              <w:tl2br w:val="nil"/>
              <w:tr2bl w:val="nil"/>
            </w:tcBorders>
            <w:vAlign w:val="center"/>
          </w:tcPr>
          <w:p w14:paraId="4F9D174E">
            <w:pPr>
              <w:spacing w:line="360" w:lineRule="auto"/>
              <w:rPr>
                <w:color w:val="auto"/>
                <w:szCs w:val="21"/>
                <w:highlight w:val="none"/>
              </w:rPr>
            </w:pPr>
            <w:r>
              <w:rPr>
                <w:color w:val="auto"/>
                <w:szCs w:val="21"/>
                <w:highlight w:val="none"/>
              </w:rPr>
              <w:t>业务系统搬迁实施与技术保障</w:t>
            </w:r>
          </w:p>
        </w:tc>
      </w:tr>
      <w:tr w14:paraId="6BEB1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3B7BBDE">
            <w:pPr>
              <w:spacing w:line="360" w:lineRule="auto"/>
              <w:rPr>
                <w:rFonts w:hint="default" w:eastAsia="宋体"/>
                <w:color w:val="auto"/>
                <w:szCs w:val="21"/>
                <w:highlight w:val="none"/>
                <w:lang w:val="en-US" w:eastAsia="zh-CN"/>
              </w:rPr>
            </w:pPr>
            <w:r>
              <w:rPr>
                <w:rFonts w:hint="eastAsia"/>
                <w:color w:val="auto"/>
                <w:szCs w:val="21"/>
                <w:highlight w:val="none"/>
                <w:lang w:val="en-US" w:eastAsia="zh-CN"/>
              </w:rPr>
              <w:t>40</w:t>
            </w:r>
          </w:p>
        </w:tc>
        <w:tc>
          <w:tcPr>
            <w:tcW w:w="2557" w:type="dxa"/>
            <w:vMerge w:val="continue"/>
            <w:tcBorders>
              <w:tl2br w:val="nil"/>
              <w:tr2bl w:val="nil"/>
            </w:tcBorders>
            <w:vAlign w:val="center"/>
          </w:tcPr>
          <w:p w14:paraId="7F59399F">
            <w:pPr>
              <w:spacing w:line="360" w:lineRule="auto"/>
              <w:rPr>
                <w:color w:val="auto"/>
                <w:szCs w:val="21"/>
                <w:highlight w:val="none"/>
              </w:rPr>
            </w:pPr>
          </w:p>
        </w:tc>
        <w:tc>
          <w:tcPr>
            <w:tcW w:w="5931" w:type="dxa"/>
            <w:tcBorders>
              <w:tl2br w:val="nil"/>
              <w:tr2bl w:val="nil"/>
            </w:tcBorders>
            <w:vAlign w:val="center"/>
          </w:tcPr>
          <w:p w14:paraId="5E461DB9">
            <w:pPr>
              <w:spacing w:line="360" w:lineRule="auto"/>
              <w:rPr>
                <w:color w:val="auto"/>
                <w:szCs w:val="21"/>
                <w:highlight w:val="none"/>
              </w:rPr>
            </w:pPr>
            <w:r>
              <w:rPr>
                <w:color w:val="auto"/>
                <w:szCs w:val="21"/>
                <w:highlight w:val="none"/>
              </w:rPr>
              <w:t>合作项目对接</w:t>
            </w:r>
          </w:p>
        </w:tc>
      </w:tr>
      <w:tr w14:paraId="24750D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0397F80C">
            <w:pPr>
              <w:spacing w:line="360" w:lineRule="auto"/>
              <w:rPr>
                <w:rFonts w:hint="eastAsia" w:eastAsia="宋体"/>
                <w:color w:val="auto"/>
                <w:szCs w:val="21"/>
                <w:highlight w:val="none"/>
                <w:lang w:eastAsia="zh-CN"/>
              </w:rPr>
            </w:pPr>
            <w:r>
              <w:rPr>
                <w:color w:val="auto"/>
                <w:szCs w:val="21"/>
                <w:highlight w:val="none"/>
              </w:rPr>
              <w:t>4</w:t>
            </w:r>
            <w:r>
              <w:rPr>
                <w:rFonts w:hint="eastAsia"/>
                <w:color w:val="auto"/>
                <w:szCs w:val="21"/>
                <w:highlight w:val="none"/>
                <w:lang w:val="en-US" w:eastAsia="zh-CN"/>
              </w:rPr>
              <w:t>1</w:t>
            </w:r>
          </w:p>
        </w:tc>
        <w:tc>
          <w:tcPr>
            <w:tcW w:w="2557" w:type="dxa"/>
            <w:vMerge w:val="restart"/>
            <w:tcBorders>
              <w:tl2br w:val="nil"/>
              <w:tr2bl w:val="nil"/>
            </w:tcBorders>
            <w:vAlign w:val="center"/>
          </w:tcPr>
          <w:p w14:paraId="7978F0E1">
            <w:pPr>
              <w:spacing w:line="360" w:lineRule="auto"/>
              <w:rPr>
                <w:color w:val="auto"/>
                <w:szCs w:val="21"/>
                <w:highlight w:val="none"/>
              </w:rPr>
            </w:pPr>
            <w:r>
              <w:rPr>
                <w:color w:val="auto"/>
                <w:szCs w:val="21"/>
                <w:highlight w:val="none"/>
              </w:rPr>
              <w:t>新院区主体系统搬迁实施与保障服务</w:t>
            </w:r>
          </w:p>
        </w:tc>
        <w:tc>
          <w:tcPr>
            <w:tcW w:w="5931" w:type="dxa"/>
            <w:tcBorders>
              <w:tl2br w:val="nil"/>
              <w:tr2bl w:val="nil"/>
            </w:tcBorders>
            <w:vAlign w:val="center"/>
          </w:tcPr>
          <w:p w14:paraId="389FC5F2">
            <w:pPr>
              <w:spacing w:line="360" w:lineRule="auto"/>
              <w:rPr>
                <w:color w:val="auto"/>
                <w:szCs w:val="21"/>
                <w:highlight w:val="none"/>
              </w:rPr>
            </w:pPr>
            <w:r>
              <w:rPr>
                <w:color w:val="auto"/>
                <w:szCs w:val="21"/>
                <w:highlight w:val="none"/>
              </w:rPr>
              <w:t>主体系统新院搬迁实施费用相关服务</w:t>
            </w:r>
          </w:p>
        </w:tc>
      </w:tr>
      <w:tr w14:paraId="345D89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l2br w:val="nil"/>
              <w:tr2bl w:val="nil"/>
            </w:tcBorders>
            <w:vAlign w:val="center"/>
          </w:tcPr>
          <w:p w14:paraId="48E61E8B">
            <w:pPr>
              <w:spacing w:line="360" w:lineRule="auto"/>
              <w:rPr>
                <w:rFonts w:hint="eastAsia" w:eastAsia="宋体"/>
                <w:color w:val="auto"/>
                <w:szCs w:val="21"/>
                <w:highlight w:val="none"/>
                <w:lang w:eastAsia="zh-CN"/>
              </w:rPr>
            </w:pPr>
            <w:r>
              <w:rPr>
                <w:color w:val="auto"/>
                <w:szCs w:val="21"/>
                <w:highlight w:val="none"/>
              </w:rPr>
              <w:t>4</w:t>
            </w:r>
            <w:r>
              <w:rPr>
                <w:rFonts w:hint="eastAsia"/>
                <w:color w:val="auto"/>
                <w:szCs w:val="21"/>
                <w:highlight w:val="none"/>
                <w:lang w:val="en-US" w:eastAsia="zh-CN"/>
              </w:rPr>
              <w:t>2</w:t>
            </w:r>
          </w:p>
        </w:tc>
        <w:tc>
          <w:tcPr>
            <w:tcW w:w="2557" w:type="dxa"/>
            <w:vMerge w:val="continue"/>
            <w:tcBorders>
              <w:tl2br w:val="nil"/>
              <w:tr2bl w:val="nil"/>
            </w:tcBorders>
            <w:vAlign w:val="center"/>
          </w:tcPr>
          <w:p w14:paraId="3DA3D521">
            <w:pPr>
              <w:spacing w:line="360" w:lineRule="auto"/>
              <w:rPr>
                <w:color w:val="auto"/>
                <w:szCs w:val="21"/>
                <w:highlight w:val="none"/>
              </w:rPr>
            </w:pPr>
          </w:p>
        </w:tc>
        <w:tc>
          <w:tcPr>
            <w:tcW w:w="5931" w:type="dxa"/>
            <w:tcBorders>
              <w:tl2br w:val="nil"/>
              <w:tr2bl w:val="nil"/>
            </w:tcBorders>
            <w:vAlign w:val="center"/>
          </w:tcPr>
          <w:p w14:paraId="4E702A60">
            <w:pPr>
              <w:spacing w:line="360" w:lineRule="auto"/>
              <w:rPr>
                <w:color w:val="auto"/>
                <w:szCs w:val="21"/>
                <w:highlight w:val="none"/>
              </w:rPr>
            </w:pPr>
            <w:r>
              <w:rPr>
                <w:color w:val="auto"/>
                <w:szCs w:val="21"/>
                <w:highlight w:val="none"/>
              </w:rPr>
              <w:t>健康云AI算力租赁服务（1年租赁服务）</w:t>
            </w:r>
          </w:p>
        </w:tc>
      </w:tr>
    </w:tbl>
    <w:p w14:paraId="7E98DC20">
      <w:pPr>
        <w:spacing w:line="360" w:lineRule="auto"/>
        <w:ind w:firstLine="420" w:firstLineChars="200"/>
        <w:rPr>
          <w:color w:val="auto"/>
          <w:szCs w:val="21"/>
          <w:highlight w:val="none"/>
        </w:rPr>
      </w:pPr>
    </w:p>
    <w:p w14:paraId="2321B532">
      <w:pPr>
        <w:numPr>
          <w:ilvl w:val="0"/>
          <w:numId w:val="2"/>
        </w:numPr>
        <w:spacing w:line="360" w:lineRule="auto"/>
        <w:ind w:firstLine="422" w:firstLineChars="200"/>
        <w:rPr>
          <w:b/>
          <w:bCs/>
          <w:color w:val="auto"/>
          <w:szCs w:val="21"/>
          <w:highlight w:val="none"/>
        </w:rPr>
      </w:pPr>
      <w:r>
        <w:rPr>
          <w:rFonts w:hint="eastAsia"/>
          <w:b/>
          <w:bCs/>
          <w:color w:val="auto"/>
          <w:szCs w:val="21"/>
          <w:highlight w:val="none"/>
        </w:rPr>
        <w:t>技术</w:t>
      </w:r>
      <w:r>
        <w:rPr>
          <w:b/>
          <w:bCs/>
          <w:color w:val="auto"/>
          <w:szCs w:val="21"/>
          <w:highlight w:val="none"/>
        </w:rPr>
        <w:t>要求</w:t>
      </w:r>
    </w:p>
    <w:tbl>
      <w:tblPr>
        <w:tblStyle w:val="80"/>
        <w:tblW w:w="0" w:type="auto"/>
        <w:tblInd w:w="91"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6"/>
        <w:gridCol w:w="6982"/>
        <w:gridCol w:w="870"/>
      </w:tblGrid>
      <w:tr w14:paraId="30701C4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5F4C55">
            <w:pPr>
              <w:widowControl/>
              <w:spacing w:line="360" w:lineRule="auto"/>
              <w:jc w:val="left"/>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序号</w:t>
            </w:r>
          </w:p>
        </w:tc>
        <w:tc>
          <w:tcPr>
            <w:tcW w:w="6982" w:type="dxa"/>
            <w:tcBorders>
              <w:tl2br w:val="nil"/>
              <w:tr2bl w:val="nil"/>
            </w:tcBorders>
            <w:vAlign w:val="center"/>
          </w:tcPr>
          <w:p w14:paraId="72146FCB">
            <w:pPr>
              <w:widowControl/>
              <w:spacing w:line="360" w:lineRule="auto"/>
              <w:jc w:val="left"/>
              <w:textAlignment w:val="center"/>
              <w:rPr>
                <w:rFonts w:hint="eastAsia" w:ascii="宋体" w:hAnsi="宋体" w:cs="宋体"/>
                <w:b/>
                <w:bCs/>
                <w:color w:val="auto"/>
                <w:sz w:val="21"/>
                <w:szCs w:val="21"/>
                <w:highlight w:val="none"/>
              </w:rPr>
            </w:pPr>
            <w:r>
              <w:rPr>
                <w:rFonts w:hint="eastAsia" w:ascii="宋体" w:hAnsi="宋体" w:cs="宋体"/>
                <w:b/>
                <w:bCs/>
                <w:color w:val="auto"/>
                <w:kern w:val="0"/>
                <w:sz w:val="21"/>
                <w:szCs w:val="21"/>
                <w:highlight w:val="none"/>
                <w:lang w:bidi="ar"/>
              </w:rPr>
              <w:t>参数要求</w:t>
            </w:r>
          </w:p>
        </w:tc>
        <w:tc>
          <w:tcPr>
            <w:tcW w:w="870" w:type="dxa"/>
            <w:tcBorders>
              <w:tl2br w:val="nil"/>
              <w:tr2bl w:val="nil"/>
            </w:tcBorders>
            <w:noWrap/>
            <w:vAlign w:val="center"/>
          </w:tcPr>
          <w:p w14:paraId="7F06C942">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b/>
                <w:bCs/>
                <w:color w:val="auto"/>
                <w:kern w:val="0"/>
                <w:sz w:val="21"/>
                <w:szCs w:val="21"/>
                <w:highlight w:val="none"/>
                <w:lang w:bidi="ar"/>
              </w:rPr>
              <w:t>分值</w:t>
            </w:r>
          </w:p>
        </w:tc>
      </w:tr>
      <w:tr w14:paraId="4B6C71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A595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w:t>
            </w:r>
          </w:p>
        </w:tc>
        <w:tc>
          <w:tcPr>
            <w:tcW w:w="6982" w:type="dxa"/>
            <w:tcBorders>
              <w:tl2br w:val="nil"/>
              <w:tr2bl w:val="nil"/>
            </w:tcBorders>
            <w:vAlign w:val="center"/>
          </w:tcPr>
          <w:p w14:paraId="427E1C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新院区主体系统底层架构升级</w:t>
            </w:r>
          </w:p>
        </w:tc>
        <w:tc>
          <w:tcPr>
            <w:tcW w:w="870" w:type="dxa"/>
            <w:tcBorders>
              <w:tl2br w:val="nil"/>
              <w:tr2bl w:val="nil"/>
            </w:tcBorders>
            <w:noWrap/>
            <w:vAlign w:val="center"/>
          </w:tcPr>
          <w:p w14:paraId="1B8AB3F8">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758B9D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DF92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6982" w:type="dxa"/>
            <w:tcBorders>
              <w:tl2br w:val="nil"/>
              <w:tr2bl w:val="nil"/>
            </w:tcBorders>
            <w:vAlign w:val="center"/>
          </w:tcPr>
          <w:p w14:paraId="2829AA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核心组件版本迭代</w:t>
            </w:r>
          </w:p>
        </w:tc>
        <w:tc>
          <w:tcPr>
            <w:tcW w:w="870" w:type="dxa"/>
            <w:vMerge w:val="restart"/>
            <w:tcBorders>
              <w:tl2br w:val="nil"/>
              <w:tr2bl w:val="nil"/>
            </w:tcBorders>
            <w:noWrap/>
            <w:vAlign w:val="center"/>
          </w:tcPr>
          <w:p w14:paraId="4FA3809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6E0572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854C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1.1.1</w:t>
            </w:r>
          </w:p>
        </w:tc>
        <w:tc>
          <w:tcPr>
            <w:tcW w:w="6982" w:type="dxa"/>
            <w:tcBorders>
              <w:tl2br w:val="nil"/>
              <w:tr2bl w:val="nil"/>
            </w:tcBorders>
            <w:vAlign w:val="center"/>
          </w:tcPr>
          <w:p w14:paraId="66DAE5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服务框架与通信升级</w:t>
            </w:r>
          </w:p>
        </w:tc>
        <w:tc>
          <w:tcPr>
            <w:tcW w:w="870" w:type="dxa"/>
            <w:vMerge w:val="continue"/>
            <w:tcBorders>
              <w:tl2br w:val="nil"/>
              <w:tr2bl w:val="nil"/>
            </w:tcBorders>
            <w:noWrap/>
            <w:vAlign w:val="center"/>
          </w:tcPr>
          <w:p w14:paraId="53C80BC6">
            <w:pPr>
              <w:spacing w:line="360" w:lineRule="auto"/>
              <w:jc w:val="center"/>
              <w:rPr>
                <w:rFonts w:hint="eastAsia" w:ascii="宋体" w:hAnsi="宋体" w:cs="宋体"/>
                <w:color w:val="auto"/>
                <w:sz w:val="21"/>
                <w:szCs w:val="21"/>
                <w:highlight w:val="none"/>
              </w:rPr>
            </w:pPr>
          </w:p>
        </w:tc>
      </w:tr>
      <w:tr w14:paraId="4C4DEC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C153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1.1.1.1</w:t>
            </w:r>
          </w:p>
        </w:tc>
        <w:tc>
          <w:tcPr>
            <w:tcW w:w="6982" w:type="dxa"/>
            <w:tcBorders>
              <w:tl2br w:val="nil"/>
              <w:tr2bl w:val="nil"/>
            </w:tcBorders>
            <w:vAlign w:val="center"/>
          </w:tcPr>
          <w:p w14:paraId="479215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采用微服务架构</w:t>
            </w:r>
          </w:p>
        </w:tc>
        <w:tc>
          <w:tcPr>
            <w:tcW w:w="870" w:type="dxa"/>
            <w:vMerge w:val="continue"/>
            <w:tcBorders>
              <w:tl2br w:val="nil"/>
              <w:tr2bl w:val="nil"/>
            </w:tcBorders>
            <w:noWrap/>
            <w:vAlign w:val="center"/>
          </w:tcPr>
          <w:p w14:paraId="63293228">
            <w:pPr>
              <w:spacing w:line="360" w:lineRule="auto"/>
              <w:jc w:val="center"/>
              <w:rPr>
                <w:rFonts w:hint="eastAsia" w:ascii="宋体" w:hAnsi="宋体" w:cs="宋体"/>
                <w:color w:val="auto"/>
                <w:sz w:val="21"/>
                <w:szCs w:val="21"/>
                <w:highlight w:val="none"/>
              </w:rPr>
            </w:pPr>
          </w:p>
        </w:tc>
      </w:tr>
      <w:tr w14:paraId="3F92F8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59EF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1.1.1.2</w:t>
            </w:r>
          </w:p>
        </w:tc>
        <w:tc>
          <w:tcPr>
            <w:tcW w:w="6982" w:type="dxa"/>
            <w:tcBorders>
              <w:tl2br w:val="nil"/>
              <w:tr2bl w:val="nil"/>
            </w:tcBorders>
            <w:vAlign w:val="center"/>
          </w:tcPr>
          <w:p w14:paraId="305C40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开发与运维效率：实现自动配置与起步依赖功能，消除传统单体架构的 XML 配置冗余与版本冲突问题；单个服务需支持独立打包部署，运维过程中应避免因单体应用启停影响全局业务。实现内置服务注册发现机制，替代WebService 手动维护服务地址的繁琐流程，新服务上线后应能自动注册并被消费方感知</w:t>
            </w:r>
          </w:p>
        </w:tc>
        <w:tc>
          <w:tcPr>
            <w:tcW w:w="870" w:type="dxa"/>
            <w:vMerge w:val="continue"/>
            <w:tcBorders>
              <w:tl2br w:val="nil"/>
              <w:tr2bl w:val="nil"/>
            </w:tcBorders>
            <w:noWrap/>
            <w:vAlign w:val="center"/>
          </w:tcPr>
          <w:p w14:paraId="4095F7FA">
            <w:pPr>
              <w:spacing w:line="360" w:lineRule="auto"/>
              <w:jc w:val="center"/>
              <w:rPr>
                <w:rFonts w:hint="eastAsia" w:ascii="宋体" w:hAnsi="宋体" w:cs="宋体"/>
                <w:color w:val="auto"/>
                <w:sz w:val="21"/>
                <w:szCs w:val="21"/>
                <w:highlight w:val="none"/>
              </w:rPr>
            </w:pPr>
          </w:p>
        </w:tc>
      </w:tr>
      <w:tr w14:paraId="70FEBA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0D86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1.1.1.3</w:t>
            </w:r>
          </w:p>
        </w:tc>
        <w:tc>
          <w:tcPr>
            <w:tcW w:w="6982" w:type="dxa"/>
            <w:tcBorders>
              <w:tl2br w:val="nil"/>
              <w:tr2bl w:val="nil"/>
            </w:tcBorders>
            <w:vAlign w:val="center"/>
          </w:tcPr>
          <w:p w14:paraId="4BF94A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通信性能：应采用长连接 + 二进制序列化实现高性能 RPC 调用，相比WebService 基于 SOAP 协议的 XML 序列化和 HTTP 短连接，在高并发场景下应降低 60% 以上的序列化开销与连接建立时间</w:t>
            </w:r>
          </w:p>
        </w:tc>
        <w:tc>
          <w:tcPr>
            <w:tcW w:w="870" w:type="dxa"/>
            <w:vMerge w:val="continue"/>
            <w:tcBorders>
              <w:tl2br w:val="nil"/>
              <w:tr2bl w:val="nil"/>
            </w:tcBorders>
            <w:noWrap/>
            <w:vAlign w:val="center"/>
          </w:tcPr>
          <w:p w14:paraId="08F6709A">
            <w:pPr>
              <w:spacing w:line="360" w:lineRule="auto"/>
              <w:jc w:val="center"/>
              <w:rPr>
                <w:rFonts w:hint="eastAsia" w:ascii="宋体" w:hAnsi="宋体" w:cs="宋体"/>
                <w:color w:val="auto"/>
                <w:sz w:val="21"/>
                <w:szCs w:val="21"/>
                <w:highlight w:val="none"/>
              </w:rPr>
            </w:pPr>
          </w:p>
        </w:tc>
      </w:tr>
      <w:tr w14:paraId="768F03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BE1A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1.1.1.4</w:t>
            </w:r>
          </w:p>
        </w:tc>
        <w:tc>
          <w:tcPr>
            <w:tcW w:w="6982" w:type="dxa"/>
            <w:tcBorders>
              <w:tl2br w:val="nil"/>
              <w:tr2bl w:val="nil"/>
            </w:tcBorders>
            <w:vAlign w:val="center"/>
          </w:tcPr>
          <w:p w14:paraId="3AB799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业务扩展性：应解决单体架构模块耦合度高的问题，新增支付、物流等服务时，需避免修改核心代码库及整体发布；支持多语言服务接入（Java、Go、Python），并提供限流、降级、灰度发布等治理能力，应能根据业务流量实现单个服务节点的弹性扩缩容</w:t>
            </w:r>
          </w:p>
        </w:tc>
        <w:tc>
          <w:tcPr>
            <w:tcW w:w="870" w:type="dxa"/>
            <w:vMerge w:val="continue"/>
            <w:tcBorders>
              <w:tl2br w:val="nil"/>
              <w:tr2bl w:val="nil"/>
            </w:tcBorders>
            <w:noWrap/>
            <w:vAlign w:val="center"/>
          </w:tcPr>
          <w:p w14:paraId="0125740E">
            <w:pPr>
              <w:spacing w:line="360" w:lineRule="auto"/>
              <w:jc w:val="center"/>
              <w:rPr>
                <w:rFonts w:hint="eastAsia" w:ascii="宋体" w:hAnsi="宋体" w:cs="宋体"/>
                <w:color w:val="auto"/>
                <w:sz w:val="21"/>
                <w:szCs w:val="21"/>
                <w:highlight w:val="none"/>
              </w:rPr>
            </w:pPr>
          </w:p>
        </w:tc>
      </w:tr>
      <w:tr w14:paraId="31759B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7662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1.1.2</w:t>
            </w:r>
          </w:p>
        </w:tc>
        <w:tc>
          <w:tcPr>
            <w:tcW w:w="6982" w:type="dxa"/>
            <w:tcBorders>
              <w:tl2br w:val="nil"/>
              <w:tr2bl w:val="nil"/>
            </w:tcBorders>
            <w:vAlign w:val="center"/>
          </w:tcPr>
          <w:p w14:paraId="7E1E84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服务注册与发现升级</w:t>
            </w:r>
          </w:p>
        </w:tc>
        <w:tc>
          <w:tcPr>
            <w:tcW w:w="870" w:type="dxa"/>
            <w:vMerge w:val="continue"/>
            <w:tcBorders>
              <w:tl2br w:val="nil"/>
              <w:tr2bl w:val="nil"/>
            </w:tcBorders>
            <w:noWrap/>
            <w:vAlign w:val="center"/>
          </w:tcPr>
          <w:p w14:paraId="1D587BE2">
            <w:pPr>
              <w:spacing w:line="360" w:lineRule="auto"/>
              <w:jc w:val="center"/>
              <w:rPr>
                <w:rFonts w:hint="eastAsia" w:ascii="宋体" w:hAnsi="宋体" w:cs="宋体"/>
                <w:color w:val="auto"/>
                <w:sz w:val="21"/>
                <w:szCs w:val="21"/>
                <w:highlight w:val="none"/>
              </w:rPr>
            </w:pPr>
          </w:p>
        </w:tc>
      </w:tr>
      <w:tr w14:paraId="4051F1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41D3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1.1.2.1</w:t>
            </w:r>
          </w:p>
        </w:tc>
        <w:tc>
          <w:tcPr>
            <w:tcW w:w="6982" w:type="dxa"/>
            <w:tcBorders>
              <w:tl2br w:val="nil"/>
              <w:tr2bl w:val="nil"/>
            </w:tcBorders>
            <w:vAlign w:val="center"/>
          </w:tcPr>
          <w:p w14:paraId="165C73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采用自动服务注册与发现组件，相比静态配置和简易注册中心，实现从手动运维到自动化治理的跨越，降低微服务架构运维成本，提升系统稳定性</w:t>
            </w:r>
          </w:p>
        </w:tc>
        <w:tc>
          <w:tcPr>
            <w:tcW w:w="870" w:type="dxa"/>
            <w:vMerge w:val="continue"/>
            <w:tcBorders>
              <w:tl2br w:val="nil"/>
              <w:tr2bl w:val="nil"/>
            </w:tcBorders>
            <w:noWrap/>
            <w:vAlign w:val="center"/>
          </w:tcPr>
          <w:p w14:paraId="48A389F2">
            <w:pPr>
              <w:spacing w:line="360" w:lineRule="auto"/>
              <w:jc w:val="center"/>
              <w:rPr>
                <w:rFonts w:hint="eastAsia" w:ascii="宋体" w:hAnsi="宋体" w:cs="宋体"/>
                <w:color w:val="auto"/>
                <w:sz w:val="21"/>
                <w:szCs w:val="21"/>
                <w:highlight w:val="none"/>
              </w:rPr>
            </w:pPr>
          </w:p>
        </w:tc>
      </w:tr>
      <w:tr w14:paraId="02FDCE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CB0B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1.1.2.2</w:t>
            </w:r>
          </w:p>
        </w:tc>
        <w:tc>
          <w:tcPr>
            <w:tcW w:w="6982" w:type="dxa"/>
            <w:tcBorders>
              <w:tl2br w:val="nil"/>
              <w:tr2bl w:val="nil"/>
            </w:tcBorders>
            <w:vAlign w:val="center"/>
          </w:tcPr>
          <w:p w14:paraId="16A78F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服务动态感知能力：摒弃静态配置手动更新服务地址并重启应用的模式，支持服务自动注册与实时发现；服务启动时需主动上报 IP、端口等元数据，消费者应通过 gRPC 长连接实时感知服务实例变化，避免因配置滞后导致服务不可用</w:t>
            </w:r>
          </w:p>
        </w:tc>
        <w:tc>
          <w:tcPr>
            <w:tcW w:w="870" w:type="dxa"/>
            <w:vMerge w:val="continue"/>
            <w:tcBorders>
              <w:tl2br w:val="nil"/>
              <w:tr2bl w:val="nil"/>
            </w:tcBorders>
            <w:noWrap/>
            <w:vAlign w:val="center"/>
          </w:tcPr>
          <w:p w14:paraId="7C60B897">
            <w:pPr>
              <w:spacing w:line="360" w:lineRule="auto"/>
              <w:jc w:val="center"/>
              <w:rPr>
                <w:rFonts w:hint="eastAsia" w:ascii="宋体" w:hAnsi="宋体" w:cs="宋体"/>
                <w:color w:val="auto"/>
                <w:sz w:val="21"/>
                <w:szCs w:val="21"/>
                <w:highlight w:val="none"/>
              </w:rPr>
            </w:pPr>
          </w:p>
        </w:tc>
      </w:tr>
      <w:tr w14:paraId="6065A4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A418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1.1.2.3</w:t>
            </w:r>
          </w:p>
        </w:tc>
        <w:tc>
          <w:tcPr>
            <w:tcW w:w="6982" w:type="dxa"/>
            <w:tcBorders>
              <w:tl2br w:val="nil"/>
              <w:tr2bl w:val="nil"/>
            </w:tcBorders>
            <w:vAlign w:val="center"/>
          </w:tcPr>
          <w:p w14:paraId="649169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性能与可靠性：提供 TCP、HTTP、MySQL 探活能力，能精准识别异常服务并屏蔽流量，自动剔除故障实例；应通过全新 gRPC 通信层将性能提升 10 倍，单节点需支撑 10 万级服务实例注册</w:t>
            </w:r>
          </w:p>
        </w:tc>
        <w:tc>
          <w:tcPr>
            <w:tcW w:w="870" w:type="dxa"/>
            <w:vMerge w:val="continue"/>
            <w:tcBorders>
              <w:tl2br w:val="nil"/>
              <w:tr2bl w:val="nil"/>
            </w:tcBorders>
            <w:noWrap/>
            <w:vAlign w:val="center"/>
          </w:tcPr>
          <w:p w14:paraId="6186F0A6">
            <w:pPr>
              <w:spacing w:line="360" w:lineRule="auto"/>
              <w:jc w:val="center"/>
              <w:rPr>
                <w:rFonts w:hint="eastAsia" w:ascii="宋体" w:hAnsi="宋体" w:cs="宋体"/>
                <w:color w:val="auto"/>
                <w:sz w:val="21"/>
                <w:szCs w:val="21"/>
                <w:highlight w:val="none"/>
              </w:rPr>
            </w:pPr>
          </w:p>
        </w:tc>
      </w:tr>
      <w:tr w14:paraId="491DE7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DB19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1.1.2.4</w:t>
            </w:r>
          </w:p>
        </w:tc>
        <w:tc>
          <w:tcPr>
            <w:tcW w:w="6982" w:type="dxa"/>
            <w:tcBorders>
              <w:tl2br w:val="nil"/>
              <w:tr2bl w:val="nil"/>
            </w:tcBorders>
            <w:vAlign w:val="center"/>
          </w:tcPr>
          <w:p w14:paraId="104AF2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配置与服务一体化管理：整合服务发现与配置管理功能，解决静态配置与简易注册中心功能割裂、信息易不一致的问题；需支持配置实时推送（1s 内生效）和版本回滚，开发人员应能通过同一控制台完成服务与配置的全生命周期管理</w:t>
            </w:r>
          </w:p>
        </w:tc>
        <w:tc>
          <w:tcPr>
            <w:tcW w:w="870" w:type="dxa"/>
            <w:vMerge w:val="continue"/>
            <w:tcBorders>
              <w:tl2br w:val="nil"/>
              <w:tr2bl w:val="nil"/>
            </w:tcBorders>
            <w:noWrap/>
            <w:vAlign w:val="center"/>
          </w:tcPr>
          <w:p w14:paraId="1E8C373E">
            <w:pPr>
              <w:spacing w:line="360" w:lineRule="auto"/>
              <w:jc w:val="center"/>
              <w:rPr>
                <w:rFonts w:hint="eastAsia" w:ascii="宋体" w:hAnsi="宋体" w:cs="宋体"/>
                <w:color w:val="auto"/>
                <w:sz w:val="21"/>
                <w:szCs w:val="21"/>
                <w:highlight w:val="none"/>
              </w:rPr>
            </w:pPr>
          </w:p>
        </w:tc>
      </w:tr>
      <w:tr w14:paraId="6C53AF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8DF5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w:t>
            </w:r>
          </w:p>
        </w:tc>
        <w:tc>
          <w:tcPr>
            <w:tcW w:w="6982" w:type="dxa"/>
            <w:tcBorders>
              <w:tl2br w:val="nil"/>
              <w:tr2bl w:val="nil"/>
            </w:tcBorders>
            <w:vAlign w:val="center"/>
          </w:tcPr>
          <w:p w14:paraId="5DA8C8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API 网关升级</w:t>
            </w:r>
          </w:p>
        </w:tc>
        <w:tc>
          <w:tcPr>
            <w:tcW w:w="870" w:type="dxa"/>
            <w:vMerge w:val="continue"/>
            <w:tcBorders>
              <w:tl2br w:val="nil"/>
              <w:tr2bl w:val="nil"/>
            </w:tcBorders>
            <w:noWrap/>
            <w:vAlign w:val="center"/>
          </w:tcPr>
          <w:p w14:paraId="612ED731">
            <w:pPr>
              <w:spacing w:line="360" w:lineRule="auto"/>
              <w:jc w:val="center"/>
              <w:rPr>
                <w:rFonts w:hint="eastAsia" w:ascii="宋体" w:hAnsi="宋体" w:cs="宋体"/>
                <w:color w:val="auto"/>
                <w:sz w:val="21"/>
                <w:szCs w:val="21"/>
                <w:highlight w:val="none"/>
              </w:rPr>
            </w:pPr>
          </w:p>
        </w:tc>
      </w:tr>
      <w:tr w14:paraId="4661CA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7271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1.1.3.1</w:t>
            </w:r>
          </w:p>
        </w:tc>
        <w:tc>
          <w:tcPr>
            <w:tcW w:w="6982" w:type="dxa"/>
            <w:tcBorders>
              <w:tl2br w:val="nil"/>
              <w:tr2bl w:val="nil"/>
            </w:tcBorders>
            <w:vAlign w:val="center"/>
          </w:tcPr>
          <w:p w14:paraId="32CB6D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采用 API 网关，该网关应专为微服务架构设计，相比无统一网关和 Nginx 简单路由，在流量管控、服务治理、运维效率三个核心层面实现全方位升级</w:t>
            </w:r>
          </w:p>
        </w:tc>
        <w:tc>
          <w:tcPr>
            <w:tcW w:w="870" w:type="dxa"/>
            <w:vMerge w:val="continue"/>
            <w:tcBorders>
              <w:tl2br w:val="nil"/>
              <w:tr2bl w:val="nil"/>
            </w:tcBorders>
            <w:noWrap/>
            <w:vAlign w:val="center"/>
          </w:tcPr>
          <w:p w14:paraId="1E16516E">
            <w:pPr>
              <w:spacing w:line="360" w:lineRule="auto"/>
              <w:jc w:val="center"/>
              <w:rPr>
                <w:rFonts w:hint="eastAsia" w:ascii="宋体" w:hAnsi="宋体" w:cs="宋体"/>
                <w:color w:val="auto"/>
                <w:sz w:val="21"/>
                <w:szCs w:val="21"/>
                <w:highlight w:val="none"/>
              </w:rPr>
            </w:pPr>
          </w:p>
        </w:tc>
      </w:tr>
      <w:tr w14:paraId="5D3B00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5C0C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1.1.3.2</w:t>
            </w:r>
          </w:p>
        </w:tc>
        <w:tc>
          <w:tcPr>
            <w:tcW w:w="6982" w:type="dxa"/>
            <w:tcBorders>
              <w:tl2br w:val="nil"/>
              <w:tr2bl w:val="nil"/>
            </w:tcBorders>
            <w:vAlign w:val="center"/>
          </w:tcPr>
          <w:p w14:paraId="7547DE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流量治理能力：内置数十种核心插件，解决无网关架构下每个服务重复编写鉴权、限流逻辑的问题，突破 Nginx 仅支持基于域名和 URI 简单转发、无法处理复杂业务规则的局限</w:t>
            </w:r>
          </w:p>
        </w:tc>
        <w:tc>
          <w:tcPr>
            <w:tcW w:w="870" w:type="dxa"/>
            <w:vMerge w:val="continue"/>
            <w:tcBorders>
              <w:tl2br w:val="nil"/>
              <w:tr2bl w:val="nil"/>
            </w:tcBorders>
            <w:noWrap/>
            <w:vAlign w:val="center"/>
          </w:tcPr>
          <w:p w14:paraId="7491A6A4">
            <w:pPr>
              <w:spacing w:line="360" w:lineRule="auto"/>
              <w:jc w:val="center"/>
              <w:rPr>
                <w:rFonts w:hint="eastAsia" w:ascii="宋体" w:hAnsi="宋体" w:cs="宋体"/>
                <w:color w:val="auto"/>
                <w:sz w:val="21"/>
                <w:szCs w:val="21"/>
                <w:highlight w:val="none"/>
              </w:rPr>
            </w:pPr>
          </w:p>
        </w:tc>
      </w:tr>
      <w:tr w14:paraId="0DF8DF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C391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1.1.3.3</w:t>
            </w:r>
          </w:p>
        </w:tc>
        <w:tc>
          <w:tcPr>
            <w:tcW w:w="6982" w:type="dxa"/>
            <w:tcBorders>
              <w:tl2br w:val="nil"/>
              <w:tr2bl w:val="nil"/>
            </w:tcBorders>
            <w:vAlign w:val="center"/>
          </w:tcPr>
          <w:p w14:paraId="7B5BB3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精准路由匹配：应支持基于路径、请求头、Cookie 实现流量灰度发布、蓝绿部署功能</w:t>
            </w:r>
          </w:p>
        </w:tc>
        <w:tc>
          <w:tcPr>
            <w:tcW w:w="870" w:type="dxa"/>
            <w:vMerge w:val="continue"/>
            <w:tcBorders>
              <w:tl2br w:val="nil"/>
              <w:tr2bl w:val="nil"/>
            </w:tcBorders>
            <w:noWrap/>
            <w:vAlign w:val="center"/>
          </w:tcPr>
          <w:p w14:paraId="30243266">
            <w:pPr>
              <w:spacing w:line="360" w:lineRule="auto"/>
              <w:jc w:val="center"/>
              <w:rPr>
                <w:rFonts w:hint="eastAsia" w:ascii="宋体" w:hAnsi="宋体" w:cs="宋体"/>
                <w:color w:val="auto"/>
                <w:sz w:val="21"/>
                <w:szCs w:val="21"/>
                <w:highlight w:val="none"/>
              </w:rPr>
            </w:pPr>
          </w:p>
        </w:tc>
      </w:tr>
      <w:tr w14:paraId="5ABB54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D705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1.1.3.4</w:t>
            </w:r>
          </w:p>
        </w:tc>
        <w:tc>
          <w:tcPr>
            <w:tcW w:w="6982" w:type="dxa"/>
            <w:tcBorders>
              <w:tl2br w:val="nil"/>
              <w:tr2bl w:val="nil"/>
            </w:tcBorders>
            <w:vAlign w:val="center"/>
          </w:tcPr>
          <w:p w14:paraId="362698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多维度流控：需支持按 QPS、连接数、IP 维度自动拦截超限流量，有效保护后端服务安全稳定运行</w:t>
            </w:r>
          </w:p>
        </w:tc>
        <w:tc>
          <w:tcPr>
            <w:tcW w:w="870" w:type="dxa"/>
            <w:vMerge w:val="continue"/>
            <w:tcBorders>
              <w:tl2br w:val="nil"/>
              <w:tr2bl w:val="nil"/>
            </w:tcBorders>
            <w:noWrap/>
            <w:vAlign w:val="center"/>
          </w:tcPr>
          <w:p w14:paraId="6FE24869">
            <w:pPr>
              <w:spacing w:line="360" w:lineRule="auto"/>
              <w:jc w:val="center"/>
              <w:rPr>
                <w:rFonts w:hint="eastAsia" w:ascii="宋体" w:hAnsi="宋体" w:cs="宋体"/>
                <w:color w:val="auto"/>
                <w:sz w:val="21"/>
                <w:szCs w:val="21"/>
                <w:highlight w:val="none"/>
              </w:rPr>
            </w:pPr>
          </w:p>
        </w:tc>
      </w:tr>
      <w:tr w14:paraId="256550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7A95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1.1.3.5</w:t>
            </w:r>
          </w:p>
        </w:tc>
        <w:tc>
          <w:tcPr>
            <w:tcW w:w="6982" w:type="dxa"/>
            <w:tcBorders>
              <w:tl2br w:val="nil"/>
              <w:tr2bl w:val="nil"/>
            </w:tcBorders>
            <w:vAlign w:val="center"/>
          </w:tcPr>
          <w:p w14:paraId="678CE3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全局统一鉴权：提供 JWT、OAuth2 等认证方式，避免各服务重复开发认证逻辑，实现全局统一鉴权</w:t>
            </w:r>
          </w:p>
        </w:tc>
        <w:tc>
          <w:tcPr>
            <w:tcW w:w="870" w:type="dxa"/>
            <w:vMerge w:val="continue"/>
            <w:tcBorders>
              <w:tl2br w:val="nil"/>
              <w:tr2bl w:val="nil"/>
            </w:tcBorders>
            <w:noWrap/>
            <w:vAlign w:val="center"/>
          </w:tcPr>
          <w:p w14:paraId="28BD7785">
            <w:pPr>
              <w:spacing w:line="360" w:lineRule="auto"/>
              <w:jc w:val="center"/>
              <w:rPr>
                <w:rFonts w:hint="eastAsia" w:ascii="宋体" w:hAnsi="宋体" w:cs="宋体"/>
                <w:color w:val="auto"/>
                <w:sz w:val="21"/>
                <w:szCs w:val="21"/>
                <w:highlight w:val="none"/>
              </w:rPr>
            </w:pPr>
          </w:p>
        </w:tc>
      </w:tr>
      <w:tr w14:paraId="7FF42D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7547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1.1.3.6</w:t>
            </w:r>
          </w:p>
        </w:tc>
        <w:tc>
          <w:tcPr>
            <w:tcW w:w="6982" w:type="dxa"/>
            <w:tcBorders>
              <w:tl2br w:val="nil"/>
              <w:tr2bl w:val="nil"/>
            </w:tcBorders>
            <w:vAlign w:val="center"/>
          </w:tcPr>
          <w:p w14:paraId="163748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维效率：提供可视化控制台，通过拖拽操作即可修改路由策略并实时生效；需支持配置版本回滚、审计日志追踪功能，将接口变更耗时从小时级缩短至分钟级，解决无统一网关接口变更需同步更新所有消费者配置、Nginx 修改路由需手动编辑配置并 reload 且易引发线上事故的问题</w:t>
            </w:r>
          </w:p>
        </w:tc>
        <w:tc>
          <w:tcPr>
            <w:tcW w:w="870" w:type="dxa"/>
            <w:vMerge w:val="continue"/>
            <w:tcBorders>
              <w:tl2br w:val="nil"/>
              <w:tr2bl w:val="nil"/>
            </w:tcBorders>
            <w:noWrap/>
            <w:vAlign w:val="center"/>
          </w:tcPr>
          <w:p w14:paraId="2F4387FD">
            <w:pPr>
              <w:spacing w:line="360" w:lineRule="auto"/>
              <w:jc w:val="center"/>
              <w:rPr>
                <w:rFonts w:hint="eastAsia" w:ascii="宋体" w:hAnsi="宋体" w:cs="宋体"/>
                <w:color w:val="auto"/>
                <w:sz w:val="21"/>
                <w:szCs w:val="21"/>
                <w:highlight w:val="none"/>
              </w:rPr>
            </w:pPr>
          </w:p>
        </w:tc>
      </w:tr>
      <w:tr w14:paraId="72B403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8BD3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1.1.3.7</w:t>
            </w:r>
          </w:p>
        </w:tc>
        <w:tc>
          <w:tcPr>
            <w:tcW w:w="6982" w:type="dxa"/>
            <w:tcBorders>
              <w:tl2br w:val="nil"/>
              <w:tr2bl w:val="nil"/>
            </w:tcBorders>
            <w:vAlign w:val="center"/>
          </w:tcPr>
          <w:p w14:paraId="4B80FF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跨协议兼容性：需突破 Nginx 仅擅长处理 HTTP/HTTPS 协议的局限，支持 Dubbo、gRPC、WebSocket 等异构服务协议，实现多协议一键转换，能将前端 HTTP 请求自动转为 Dubbo 调用后端微服务，降低跨协议通信开发成本</w:t>
            </w:r>
          </w:p>
        </w:tc>
        <w:tc>
          <w:tcPr>
            <w:tcW w:w="870" w:type="dxa"/>
            <w:vMerge w:val="continue"/>
            <w:tcBorders>
              <w:tl2br w:val="nil"/>
              <w:tr2bl w:val="nil"/>
            </w:tcBorders>
            <w:noWrap/>
            <w:vAlign w:val="center"/>
          </w:tcPr>
          <w:p w14:paraId="71044343">
            <w:pPr>
              <w:spacing w:line="360" w:lineRule="auto"/>
              <w:jc w:val="center"/>
              <w:rPr>
                <w:rFonts w:hint="eastAsia" w:ascii="宋体" w:hAnsi="宋体" w:cs="宋体"/>
                <w:color w:val="auto"/>
                <w:sz w:val="21"/>
                <w:szCs w:val="21"/>
                <w:highlight w:val="none"/>
              </w:rPr>
            </w:pPr>
          </w:p>
        </w:tc>
      </w:tr>
      <w:tr w14:paraId="44183E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996E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1.1.4</w:t>
            </w:r>
          </w:p>
        </w:tc>
        <w:tc>
          <w:tcPr>
            <w:tcW w:w="6982" w:type="dxa"/>
            <w:tcBorders>
              <w:tl2br w:val="nil"/>
              <w:tr2bl w:val="nil"/>
            </w:tcBorders>
            <w:vAlign w:val="center"/>
          </w:tcPr>
          <w:p w14:paraId="510E6E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数据持久层升级</w:t>
            </w:r>
          </w:p>
        </w:tc>
        <w:tc>
          <w:tcPr>
            <w:tcW w:w="870" w:type="dxa"/>
            <w:vMerge w:val="continue"/>
            <w:tcBorders>
              <w:tl2br w:val="nil"/>
              <w:tr2bl w:val="nil"/>
            </w:tcBorders>
            <w:noWrap/>
            <w:vAlign w:val="center"/>
          </w:tcPr>
          <w:p w14:paraId="262F2FEE">
            <w:pPr>
              <w:spacing w:line="360" w:lineRule="auto"/>
              <w:jc w:val="center"/>
              <w:rPr>
                <w:rFonts w:hint="eastAsia" w:ascii="宋体" w:hAnsi="宋体" w:cs="宋体"/>
                <w:color w:val="auto"/>
                <w:sz w:val="21"/>
                <w:szCs w:val="21"/>
                <w:highlight w:val="none"/>
              </w:rPr>
            </w:pPr>
          </w:p>
        </w:tc>
      </w:tr>
      <w:tr w14:paraId="51F7B36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6D61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1.1.4.1</w:t>
            </w:r>
          </w:p>
        </w:tc>
        <w:tc>
          <w:tcPr>
            <w:tcW w:w="6982" w:type="dxa"/>
            <w:tcBorders>
              <w:tl2br w:val="nil"/>
              <w:tr2bl w:val="nil"/>
            </w:tcBorders>
            <w:vAlign w:val="center"/>
          </w:tcPr>
          <w:p w14:paraId="11210D6F">
            <w:pPr>
              <w:widowControl/>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bidi="ar"/>
              </w:rPr>
              <w:t>采用 SQLToy 5.x 作为数据持久层 ORM 框架，保留快速上手的优势，同时弥补传统 JDBC 开发效率低和 Hibernate 查询僵化的</w:t>
            </w:r>
            <w:r>
              <w:rPr>
                <w:rFonts w:hint="eastAsia" w:ascii="宋体" w:hAnsi="宋体" w:cs="宋体"/>
                <w:color w:val="auto"/>
                <w:kern w:val="0"/>
                <w:sz w:val="21"/>
                <w:szCs w:val="21"/>
                <w:highlight w:val="none"/>
                <w:lang w:val="en-US" w:eastAsia="zh-CN" w:bidi="ar"/>
              </w:rPr>
              <w:t>问题</w:t>
            </w:r>
          </w:p>
        </w:tc>
        <w:tc>
          <w:tcPr>
            <w:tcW w:w="870" w:type="dxa"/>
            <w:vMerge w:val="continue"/>
            <w:tcBorders>
              <w:tl2br w:val="nil"/>
              <w:tr2bl w:val="nil"/>
            </w:tcBorders>
            <w:noWrap/>
            <w:vAlign w:val="center"/>
          </w:tcPr>
          <w:p w14:paraId="49D4AF07">
            <w:pPr>
              <w:spacing w:line="360" w:lineRule="auto"/>
              <w:jc w:val="center"/>
              <w:rPr>
                <w:rFonts w:hint="eastAsia" w:ascii="宋体" w:hAnsi="宋体" w:cs="宋体"/>
                <w:color w:val="auto"/>
                <w:sz w:val="21"/>
                <w:szCs w:val="21"/>
                <w:highlight w:val="none"/>
              </w:rPr>
            </w:pPr>
          </w:p>
        </w:tc>
      </w:tr>
      <w:tr w14:paraId="528226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349B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1.1.4.2</w:t>
            </w:r>
          </w:p>
        </w:tc>
        <w:tc>
          <w:tcPr>
            <w:tcW w:w="6982" w:type="dxa"/>
            <w:tcBorders>
              <w:tl2br w:val="nil"/>
              <w:tr2bl w:val="nil"/>
            </w:tcBorders>
            <w:vAlign w:val="center"/>
          </w:tcPr>
          <w:p w14:paraId="61135F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开发效率：解决传统 JDBC 需手动管理连接、处理结果集映射、代码冗余的问题（单张表 CRUD 需控制在 1 行代码调用，替代传统 JDBC 50 行左右代码）；规避 Hibernate  复杂关联查询易出现的 N+1 性能问题，支持通过 SQL 模板灵活编写复杂联表查询，兼顾灵活性与简洁性，避免硬编码 SQL 冗余</w:t>
            </w:r>
          </w:p>
        </w:tc>
        <w:tc>
          <w:tcPr>
            <w:tcW w:w="870" w:type="dxa"/>
            <w:vMerge w:val="continue"/>
            <w:tcBorders>
              <w:tl2br w:val="nil"/>
              <w:tr2bl w:val="nil"/>
            </w:tcBorders>
            <w:noWrap/>
            <w:vAlign w:val="center"/>
          </w:tcPr>
          <w:p w14:paraId="4D07F74A">
            <w:pPr>
              <w:spacing w:line="360" w:lineRule="auto"/>
              <w:jc w:val="center"/>
              <w:rPr>
                <w:rFonts w:hint="eastAsia" w:ascii="宋体" w:hAnsi="宋体" w:cs="宋体"/>
                <w:color w:val="auto"/>
                <w:sz w:val="21"/>
                <w:szCs w:val="21"/>
                <w:highlight w:val="none"/>
              </w:rPr>
            </w:pPr>
          </w:p>
        </w:tc>
      </w:tr>
      <w:tr w14:paraId="4C4D8F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CA8C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1.1.4.3</w:t>
            </w:r>
          </w:p>
        </w:tc>
        <w:tc>
          <w:tcPr>
            <w:tcW w:w="6982" w:type="dxa"/>
            <w:tcBorders>
              <w:tl2br w:val="nil"/>
              <w:tr2bl w:val="nil"/>
            </w:tcBorders>
            <w:vAlign w:val="center"/>
          </w:tcPr>
          <w:p w14:paraId="1513C3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性能与灵活度：采用 SQL 预编译与参数化缓存机制；支持自定义 SQL 片段复用，避免重复编写相似业务逻辑，解决 JDBC 代码复用性差的问题</w:t>
            </w:r>
          </w:p>
        </w:tc>
        <w:tc>
          <w:tcPr>
            <w:tcW w:w="870" w:type="dxa"/>
            <w:vMerge w:val="continue"/>
            <w:tcBorders>
              <w:tl2br w:val="nil"/>
              <w:tr2bl w:val="nil"/>
            </w:tcBorders>
            <w:noWrap/>
            <w:vAlign w:val="center"/>
          </w:tcPr>
          <w:p w14:paraId="069A77C5">
            <w:pPr>
              <w:spacing w:line="360" w:lineRule="auto"/>
              <w:jc w:val="center"/>
              <w:rPr>
                <w:rFonts w:hint="eastAsia" w:ascii="宋体" w:hAnsi="宋体" w:cs="宋体"/>
                <w:color w:val="auto"/>
                <w:sz w:val="21"/>
                <w:szCs w:val="21"/>
                <w:highlight w:val="none"/>
              </w:rPr>
            </w:pPr>
          </w:p>
        </w:tc>
      </w:tr>
      <w:tr w14:paraId="4108FD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C625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1.1.4.4</w:t>
            </w:r>
          </w:p>
        </w:tc>
        <w:tc>
          <w:tcPr>
            <w:tcW w:w="6982" w:type="dxa"/>
            <w:tcBorders>
              <w:tl2br w:val="nil"/>
              <w:tr2bl w:val="nil"/>
            </w:tcBorders>
            <w:vAlign w:val="center"/>
          </w:tcPr>
          <w:p w14:paraId="77A684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功能生态：自带分库分表、数据脱敏、动态多租户等企业级功能，无需集成第三方组件即可满足复杂业务场景需求；需解决 Hibernate 实现分库分表需依赖额外插件、传统 JDBC 不支持高级特性的问题</w:t>
            </w:r>
          </w:p>
        </w:tc>
        <w:tc>
          <w:tcPr>
            <w:tcW w:w="870" w:type="dxa"/>
            <w:vMerge w:val="continue"/>
            <w:tcBorders>
              <w:tl2br w:val="nil"/>
              <w:tr2bl w:val="nil"/>
            </w:tcBorders>
            <w:noWrap/>
            <w:vAlign w:val="center"/>
          </w:tcPr>
          <w:p w14:paraId="2FDA6AF8">
            <w:pPr>
              <w:spacing w:line="360" w:lineRule="auto"/>
              <w:jc w:val="center"/>
              <w:rPr>
                <w:rFonts w:hint="eastAsia" w:ascii="宋体" w:hAnsi="宋体" w:cs="宋体"/>
                <w:color w:val="auto"/>
                <w:sz w:val="21"/>
                <w:szCs w:val="21"/>
                <w:highlight w:val="none"/>
              </w:rPr>
            </w:pPr>
          </w:p>
        </w:tc>
      </w:tr>
      <w:tr w14:paraId="4144B6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2BEA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w:t>
            </w:r>
          </w:p>
        </w:tc>
        <w:tc>
          <w:tcPr>
            <w:tcW w:w="6982" w:type="dxa"/>
            <w:tcBorders>
              <w:tl2br w:val="nil"/>
              <w:tr2bl w:val="nil"/>
            </w:tcBorders>
            <w:vAlign w:val="center"/>
          </w:tcPr>
          <w:p w14:paraId="24FD37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数据库连接池升级</w:t>
            </w:r>
          </w:p>
        </w:tc>
        <w:tc>
          <w:tcPr>
            <w:tcW w:w="870" w:type="dxa"/>
            <w:vMerge w:val="continue"/>
            <w:tcBorders>
              <w:tl2br w:val="nil"/>
              <w:tr2bl w:val="nil"/>
            </w:tcBorders>
            <w:noWrap/>
            <w:vAlign w:val="center"/>
          </w:tcPr>
          <w:p w14:paraId="25557E63">
            <w:pPr>
              <w:spacing w:line="360" w:lineRule="auto"/>
              <w:jc w:val="center"/>
              <w:rPr>
                <w:rFonts w:hint="eastAsia" w:ascii="宋体" w:hAnsi="宋体" w:cs="宋体"/>
                <w:color w:val="auto"/>
                <w:sz w:val="21"/>
                <w:szCs w:val="21"/>
                <w:highlight w:val="none"/>
              </w:rPr>
            </w:pPr>
          </w:p>
        </w:tc>
      </w:tr>
      <w:tr w14:paraId="498E98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0C08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1.1.5.1</w:t>
            </w:r>
          </w:p>
        </w:tc>
        <w:tc>
          <w:tcPr>
            <w:tcW w:w="6982" w:type="dxa"/>
            <w:tcBorders>
              <w:tl2br w:val="nil"/>
              <w:tr2bl w:val="nil"/>
            </w:tcBorders>
            <w:vAlign w:val="center"/>
          </w:tcPr>
          <w:p w14:paraId="3022D0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采用高性能数据库连接池，相比 C3P0 和 DBCP 连接池，满足以下性能、监控、稳定性、维护生态、扩展功能等方面要求</w:t>
            </w:r>
          </w:p>
        </w:tc>
        <w:tc>
          <w:tcPr>
            <w:tcW w:w="870" w:type="dxa"/>
            <w:vMerge w:val="continue"/>
            <w:tcBorders>
              <w:tl2br w:val="nil"/>
              <w:tr2bl w:val="nil"/>
            </w:tcBorders>
            <w:noWrap/>
            <w:vAlign w:val="center"/>
          </w:tcPr>
          <w:p w14:paraId="41CB2B78">
            <w:pPr>
              <w:spacing w:line="360" w:lineRule="auto"/>
              <w:jc w:val="center"/>
              <w:rPr>
                <w:rFonts w:hint="eastAsia" w:ascii="宋体" w:hAnsi="宋体" w:cs="宋体"/>
                <w:color w:val="auto"/>
                <w:sz w:val="21"/>
                <w:szCs w:val="21"/>
                <w:highlight w:val="none"/>
              </w:rPr>
            </w:pPr>
          </w:p>
        </w:tc>
      </w:tr>
      <w:tr w14:paraId="463220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5327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1.1.5.1.1</w:t>
            </w:r>
          </w:p>
        </w:tc>
        <w:tc>
          <w:tcPr>
            <w:tcW w:w="6982" w:type="dxa"/>
            <w:tcBorders>
              <w:tl2br w:val="nil"/>
              <w:tr2bl w:val="nil"/>
            </w:tcBorders>
            <w:vAlign w:val="center"/>
          </w:tcPr>
          <w:p w14:paraId="07A324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性能与并发：采用轻量化连接管理和高并发优化设计，确保低延迟、高吞吐，高并发场景下无卡顿；优于 C3P0 和 DBCP 老旧架构的连接调度效率，避免高并发下出现阻塞、响应慢的问题</w:t>
            </w:r>
          </w:p>
        </w:tc>
        <w:tc>
          <w:tcPr>
            <w:tcW w:w="870" w:type="dxa"/>
            <w:vMerge w:val="continue"/>
            <w:tcBorders>
              <w:tl2br w:val="nil"/>
              <w:tr2bl w:val="nil"/>
            </w:tcBorders>
            <w:noWrap/>
            <w:vAlign w:val="center"/>
          </w:tcPr>
          <w:p w14:paraId="3CB5A528">
            <w:pPr>
              <w:spacing w:line="360" w:lineRule="auto"/>
              <w:jc w:val="center"/>
              <w:rPr>
                <w:rFonts w:hint="eastAsia" w:ascii="宋体" w:hAnsi="宋体" w:cs="宋体"/>
                <w:color w:val="auto"/>
                <w:sz w:val="21"/>
                <w:szCs w:val="21"/>
                <w:highlight w:val="none"/>
              </w:rPr>
            </w:pPr>
          </w:p>
        </w:tc>
      </w:tr>
      <w:tr w14:paraId="1623DD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835D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1.1.5.1.2</w:t>
            </w:r>
          </w:p>
        </w:tc>
        <w:tc>
          <w:tcPr>
            <w:tcW w:w="6982" w:type="dxa"/>
            <w:tcBorders>
              <w:tl2br w:val="nil"/>
              <w:tr2bl w:val="nil"/>
            </w:tcBorders>
            <w:vAlign w:val="center"/>
          </w:tcPr>
          <w:p w14:paraId="7BADE9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监控与运维：内置原生 SQL 监控、慢查询追踪、连接池运行状态实时统计功能，自带可视化 Web 控制台，实现故障秒级定位；解决 C3P0/DBCP 无原生监控能力、故障排查难度大、运维成本高的问题</w:t>
            </w:r>
          </w:p>
        </w:tc>
        <w:tc>
          <w:tcPr>
            <w:tcW w:w="870" w:type="dxa"/>
            <w:vMerge w:val="continue"/>
            <w:tcBorders>
              <w:tl2br w:val="nil"/>
              <w:tr2bl w:val="nil"/>
            </w:tcBorders>
            <w:noWrap/>
            <w:vAlign w:val="center"/>
          </w:tcPr>
          <w:p w14:paraId="272C69C3">
            <w:pPr>
              <w:spacing w:line="360" w:lineRule="auto"/>
              <w:jc w:val="center"/>
              <w:rPr>
                <w:rFonts w:hint="eastAsia" w:ascii="宋体" w:hAnsi="宋体" w:cs="宋体"/>
                <w:color w:val="auto"/>
                <w:sz w:val="21"/>
                <w:szCs w:val="21"/>
                <w:highlight w:val="none"/>
              </w:rPr>
            </w:pPr>
          </w:p>
        </w:tc>
      </w:tr>
      <w:tr w14:paraId="4B8CCC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C819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1.1.5.1.3</w:t>
            </w:r>
          </w:p>
        </w:tc>
        <w:tc>
          <w:tcPr>
            <w:tcW w:w="6982" w:type="dxa"/>
            <w:tcBorders>
              <w:tl2br w:val="nil"/>
              <w:tr2bl w:val="nil"/>
            </w:tcBorders>
            <w:vAlign w:val="center"/>
          </w:tcPr>
          <w:p w14:paraId="567801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稳定性与安全：自带连接泄漏自动回收、无效连接检测、防 SQL 注入防火墙、超强超时管控功能，确保长期运行零泄漏、零死连接；解决 C3P0/DBCP 易出现连接泄漏、死连接、无自我修复能力、生产环境故障率高的问题</w:t>
            </w:r>
          </w:p>
        </w:tc>
        <w:tc>
          <w:tcPr>
            <w:tcW w:w="870" w:type="dxa"/>
            <w:vMerge w:val="continue"/>
            <w:tcBorders>
              <w:tl2br w:val="nil"/>
              <w:tr2bl w:val="nil"/>
            </w:tcBorders>
            <w:noWrap/>
            <w:vAlign w:val="center"/>
          </w:tcPr>
          <w:p w14:paraId="5A2A13E1">
            <w:pPr>
              <w:spacing w:line="360" w:lineRule="auto"/>
              <w:jc w:val="center"/>
              <w:rPr>
                <w:rFonts w:hint="eastAsia" w:ascii="宋体" w:hAnsi="宋体" w:cs="宋体"/>
                <w:color w:val="auto"/>
                <w:sz w:val="21"/>
                <w:szCs w:val="21"/>
                <w:highlight w:val="none"/>
              </w:rPr>
            </w:pPr>
          </w:p>
        </w:tc>
      </w:tr>
      <w:tr w14:paraId="1D4A49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C3B1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1.1.5.1.4</w:t>
            </w:r>
          </w:p>
        </w:tc>
        <w:tc>
          <w:tcPr>
            <w:tcW w:w="6982" w:type="dxa"/>
            <w:tcBorders>
              <w:tl2br w:val="nil"/>
              <w:tr2bl w:val="nil"/>
            </w:tcBorders>
            <w:vAlign w:val="center"/>
          </w:tcPr>
          <w:p w14:paraId="44B787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维护与生态：持续迭代维护，兼容所有主流数据库新版本，适配现代 Java 生态；替代已停止更新、官方废弃、无新特性、无漏洞修复、兼容性极差的 C3P0 和 DBCP 组件</w:t>
            </w:r>
          </w:p>
        </w:tc>
        <w:tc>
          <w:tcPr>
            <w:tcW w:w="870" w:type="dxa"/>
            <w:vMerge w:val="continue"/>
            <w:tcBorders>
              <w:tl2br w:val="nil"/>
              <w:tr2bl w:val="nil"/>
            </w:tcBorders>
            <w:noWrap/>
            <w:vAlign w:val="center"/>
          </w:tcPr>
          <w:p w14:paraId="71F32555">
            <w:pPr>
              <w:spacing w:line="360" w:lineRule="auto"/>
              <w:jc w:val="center"/>
              <w:rPr>
                <w:rFonts w:hint="eastAsia" w:ascii="宋体" w:hAnsi="宋体" w:cs="宋体"/>
                <w:color w:val="auto"/>
                <w:sz w:val="21"/>
                <w:szCs w:val="21"/>
                <w:highlight w:val="none"/>
              </w:rPr>
            </w:pPr>
          </w:p>
        </w:tc>
      </w:tr>
      <w:tr w14:paraId="23ED94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7371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1.1.5.6</w:t>
            </w:r>
          </w:p>
        </w:tc>
        <w:tc>
          <w:tcPr>
            <w:tcW w:w="6982" w:type="dxa"/>
            <w:tcBorders>
              <w:tl2br w:val="nil"/>
              <w:tr2bl w:val="nil"/>
            </w:tcBorders>
            <w:vAlign w:val="center"/>
          </w:tcPr>
          <w:p w14:paraId="152702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扩展功能：内置 SQL 日志、数据加密、插件化扩展等企业级特性；突破 C3P0/DBCP 仅支持基础连接管理、无高级能力的局限</w:t>
            </w:r>
          </w:p>
        </w:tc>
        <w:tc>
          <w:tcPr>
            <w:tcW w:w="870" w:type="dxa"/>
            <w:vMerge w:val="continue"/>
            <w:tcBorders>
              <w:tl2br w:val="nil"/>
              <w:tr2bl w:val="nil"/>
            </w:tcBorders>
            <w:noWrap/>
            <w:vAlign w:val="center"/>
          </w:tcPr>
          <w:p w14:paraId="296C0C75">
            <w:pPr>
              <w:spacing w:line="360" w:lineRule="auto"/>
              <w:jc w:val="center"/>
              <w:rPr>
                <w:rFonts w:hint="eastAsia" w:ascii="宋体" w:hAnsi="宋体" w:cs="宋体"/>
                <w:color w:val="auto"/>
                <w:sz w:val="21"/>
                <w:szCs w:val="21"/>
                <w:highlight w:val="none"/>
              </w:rPr>
            </w:pPr>
          </w:p>
        </w:tc>
      </w:tr>
      <w:tr w14:paraId="0C06F6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900C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1.1.6</w:t>
            </w:r>
          </w:p>
        </w:tc>
        <w:tc>
          <w:tcPr>
            <w:tcW w:w="6982" w:type="dxa"/>
            <w:tcBorders>
              <w:tl2br w:val="nil"/>
              <w:tr2bl w:val="nil"/>
            </w:tcBorders>
            <w:vAlign w:val="center"/>
          </w:tcPr>
          <w:p w14:paraId="099261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系统监控与 APM 升级</w:t>
            </w:r>
          </w:p>
        </w:tc>
        <w:tc>
          <w:tcPr>
            <w:tcW w:w="870" w:type="dxa"/>
            <w:vMerge w:val="continue"/>
            <w:tcBorders>
              <w:tl2br w:val="nil"/>
              <w:tr2bl w:val="nil"/>
            </w:tcBorders>
            <w:noWrap/>
            <w:vAlign w:val="center"/>
          </w:tcPr>
          <w:p w14:paraId="200E6657">
            <w:pPr>
              <w:spacing w:line="360" w:lineRule="auto"/>
              <w:jc w:val="center"/>
              <w:rPr>
                <w:rFonts w:hint="eastAsia" w:ascii="宋体" w:hAnsi="宋体" w:cs="宋体"/>
                <w:color w:val="auto"/>
                <w:sz w:val="21"/>
                <w:szCs w:val="21"/>
                <w:highlight w:val="none"/>
              </w:rPr>
            </w:pPr>
          </w:p>
        </w:tc>
      </w:tr>
      <w:tr w14:paraId="782193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A3FE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1.1.6.1</w:t>
            </w:r>
          </w:p>
        </w:tc>
        <w:tc>
          <w:tcPr>
            <w:tcW w:w="6982" w:type="dxa"/>
            <w:tcBorders>
              <w:tl2br w:val="nil"/>
              <w:tr2bl w:val="nil"/>
            </w:tcBorders>
            <w:vAlign w:val="center"/>
          </w:tcPr>
          <w:p w14:paraId="72DC15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升级系统监控与 APM 工具，彻底解决传统日志排查效率低、监控维度割裂的痛点，实现分布式系统可观测性统一管理</w:t>
            </w:r>
          </w:p>
        </w:tc>
        <w:tc>
          <w:tcPr>
            <w:tcW w:w="870" w:type="dxa"/>
            <w:vMerge w:val="continue"/>
            <w:tcBorders>
              <w:tl2br w:val="nil"/>
              <w:tr2bl w:val="nil"/>
            </w:tcBorders>
            <w:noWrap/>
            <w:vAlign w:val="center"/>
          </w:tcPr>
          <w:p w14:paraId="0F0D2FFD">
            <w:pPr>
              <w:spacing w:line="360" w:lineRule="auto"/>
              <w:jc w:val="center"/>
              <w:rPr>
                <w:rFonts w:hint="eastAsia" w:ascii="宋体" w:hAnsi="宋体" w:cs="宋体"/>
                <w:color w:val="auto"/>
                <w:sz w:val="21"/>
                <w:szCs w:val="21"/>
                <w:highlight w:val="none"/>
              </w:rPr>
            </w:pPr>
          </w:p>
        </w:tc>
      </w:tr>
      <w:tr w14:paraId="50A635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4BAB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1.1.6.2</w:t>
            </w:r>
          </w:p>
        </w:tc>
        <w:tc>
          <w:tcPr>
            <w:tcW w:w="6982" w:type="dxa"/>
            <w:tcBorders>
              <w:tl2br w:val="nil"/>
              <w:tr2bl w:val="nil"/>
            </w:tcBorders>
            <w:vAlign w:val="center"/>
          </w:tcPr>
          <w:p w14:paraId="4379BE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故障定位效率：自动生成服务拓扑图和完整调用链路，直观展示请求在各微服务的执行时长，支持点击链路节点关联查看对应日志，将接口超时等故障定位时间从半小时级压缩至分钟级，解决传统逐个检索各服务日志拼接链路的繁琐问题</w:t>
            </w:r>
          </w:p>
        </w:tc>
        <w:tc>
          <w:tcPr>
            <w:tcW w:w="870" w:type="dxa"/>
            <w:vMerge w:val="continue"/>
            <w:tcBorders>
              <w:tl2br w:val="nil"/>
              <w:tr2bl w:val="nil"/>
            </w:tcBorders>
            <w:noWrap/>
            <w:vAlign w:val="center"/>
          </w:tcPr>
          <w:p w14:paraId="663D28BA">
            <w:pPr>
              <w:spacing w:line="360" w:lineRule="auto"/>
              <w:jc w:val="center"/>
              <w:rPr>
                <w:rFonts w:hint="eastAsia" w:ascii="宋体" w:hAnsi="宋体" w:cs="宋体"/>
                <w:color w:val="auto"/>
                <w:sz w:val="21"/>
                <w:szCs w:val="21"/>
                <w:highlight w:val="none"/>
              </w:rPr>
            </w:pPr>
          </w:p>
        </w:tc>
      </w:tr>
      <w:tr w14:paraId="67D3FF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02EE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1.1.6.3</w:t>
            </w:r>
          </w:p>
        </w:tc>
        <w:tc>
          <w:tcPr>
            <w:tcW w:w="6982" w:type="dxa"/>
            <w:tcBorders>
              <w:tl2br w:val="nil"/>
              <w:tr2bl w:val="nil"/>
            </w:tcBorders>
            <w:vAlign w:val="center"/>
          </w:tcPr>
          <w:p w14:paraId="4F0D7B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监控体系：将日志、监控指标、链路追踪深度融合，避免传统模式下三者独立、难以关联分析的问题；支持通过 Java、Go、PHP 等多语言探针自动采集数据，适配微服务、云原生等复杂架构，且对应用实例性能影响极低</w:t>
            </w:r>
          </w:p>
        </w:tc>
        <w:tc>
          <w:tcPr>
            <w:tcW w:w="870" w:type="dxa"/>
            <w:vMerge w:val="continue"/>
            <w:tcBorders>
              <w:tl2br w:val="nil"/>
              <w:tr2bl w:val="nil"/>
            </w:tcBorders>
            <w:noWrap/>
            <w:vAlign w:val="center"/>
          </w:tcPr>
          <w:p w14:paraId="28DFA4D0">
            <w:pPr>
              <w:spacing w:line="360" w:lineRule="auto"/>
              <w:jc w:val="center"/>
              <w:rPr>
                <w:rFonts w:hint="eastAsia" w:ascii="宋体" w:hAnsi="宋体" w:cs="宋体"/>
                <w:color w:val="auto"/>
                <w:sz w:val="21"/>
                <w:szCs w:val="21"/>
                <w:highlight w:val="none"/>
              </w:rPr>
            </w:pPr>
          </w:p>
        </w:tc>
      </w:tr>
      <w:tr w14:paraId="66D147A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7755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1.1.6.4</w:t>
            </w:r>
          </w:p>
        </w:tc>
        <w:tc>
          <w:tcPr>
            <w:tcW w:w="6982" w:type="dxa"/>
            <w:tcBorders>
              <w:tl2br w:val="nil"/>
              <w:tr2bl w:val="nil"/>
            </w:tcBorders>
            <w:vAlign w:val="center"/>
          </w:tcPr>
          <w:p w14:paraId="686291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资源性价比：可复用现有 MySQL 集群作为存储后端，无需额外部署复杂的大数据组件，降低技术栈复杂度和运维成本；支持监控数据的灵活检索与聚合分析</w:t>
            </w:r>
          </w:p>
        </w:tc>
        <w:tc>
          <w:tcPr>
            <w:tcW w:w="870" w:type="dxa"/>
            <w:vMerge w:val="continue"/>
            <w:tcBorders>
              <w:tl2br w:val="nil"/>
              <w:tr2bl w:val="nil"/>
            </w:tcBorders>
            <w:noWrap/>
            <w:vAlign w:val="center"/>
          </w:tcPr>
          <w:p w14:paraId="0CD1650F">
            <w:pPr>
              <w:spacing w:line="360" w:lineRule="auto"/>
              <w:jc w:val="center"/>
              <w:rPr>
                <w:rFonts w:hint="eastAsia" w:ascii="宋体" w:hAnsi="宋体" w:cs="宋体"/>
                <w:color w:val="auto"/>
                <w:sz w:val="21"/>
                <w:szCs w:val="21"/>
                <w:highlight w:val="none"/>
              </w:rPr>
            </w:pPr>
          </w:p>
        </w:tc>
      </w:tr>
      <w:tr w14:paraId="035C80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25503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1.1.7</w:t>
            </w:r>
          </w:p>
        </w:tc>
        <w:tc>
          <w:tcPr>
            <w:tcW w:w="6982" w:type="dxa"/>
            <w:tcBorders>
              <w:tl2br w:val="nil"/>
              <w:tr2bl w:val="nil"/>
            </w:tcBorders>
            <w:vAlign w:val="center"/>
          </w:tcPr>
          <w:p w14:paraId="21A791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容器与编排升级</w:t>
            </w:r>
          </w:p>
        </w:tc>
        <w:tc>
          <w:tcPr>
            <w:tcW w:w="870" w:type="dxa"/>
            <w:vMerge w:val="continue"/>
            <w:tcBorders>
              <w:tl2br w:val="nil"/>
              <w:tr2bl w:val="nil"/>
            </w:tcBorders>
            <w:noWrap/>
            <w:vAlign w:val="center"/>
          </w:tcPr>
          <w:p w14:paraId="54AFE5C4">
            <w:pPr>
              <w:spacing w:line="360" w:lineRule="auto"/>
              <w:jc w:val="center"/>
              <w:rPr>
                <w:rFonts w:hint="eastAsia" w:ascii="宋体" w:hAnsi="宋体" w:cs="宋体"/>
                <w:color w:val="auto"/>
                <w:sz w:val="21"/>
                <w:szCs w:val="21"/>
                <w:highlight w:val="none"/>
              </w:rPr>
            </w:pPr>
          </w:p>
        </w:tc>
      </w:tr>
      <w:tr w14:paraId="74B957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B4E0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1.1.7.1</w:t>
            </w:r>
          </w:p>
        </w:tc>
        <w:tc>
          <w:tcPr>
            <w:tcW w:w="6982" w:type="dxa"/>
            <w:tcBorders>
              <w:tl2br w:val="nil"/>
              <w:tr2bl w:val="nil"/>
            </w:tcBorders>
            <w:vAlign w:val="center"/>
          </w:tcPr>
          <w:p w14:paraId="76D515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升级为高标准的 Kubernetes 部署模式，替代原混合部署模式，应在运维效率、资源利用率、架构稳定性方面达到以下要求</w:t>
            </w:r>
          </w:p>
        </w:tc>
        <w:tc>
          <w:tcPr>
            <w:tcW w:w="870" w:type="dxa"/>
            <w:vMerge w:val="continue"/>
            <w:tcBorders>
              <w:tl2br w:val="nil"/>
              <w:tr2bl w:val="nil"/>
            </w:tcBorders>
            <w:noWrap/>
            <w:vAlign w:val="center"/>
          </w:tcPr>
          <w:p w14:paraId="33081A57">
            <w:pPr>
              <w:spacing w:line="360" w:lineRule="auto"/>
              <w:jc w:val="center"/>
              <w:rPr>
                <w:rFonts w:hint="eastAsia" w:ascii="宋体" w:hAnsi="宋体" w:cs="宋体"/>
                <w:color w:val="auto"/>
                <w:sz w:val="21"/>
                <w:szCs w:val="21"/>
                <w:highlight w:val="none"/>
              </w:rPr>
            </w:pPr>
          </w:p>
        </w:tc>
      </w:tr>
      <w:tr w14:paraId="188637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3E8D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1.1.7.2</w:t>
            </w:r>
          </w:p>
        </w:tc>
        <w:tc>
          <w:tcPr>
            <w:tcW w:w="6982" w:type="dxa"/>
            <w:tcBorders>
              <w:tl2br w:val="nil"/>
              <w:tr2bl w:val="nil"/>
            </w:tcBorders>
            <w:vAlign w:val="center"/>
          </w:tcPr>
          <w:p w14:paraId="41F256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维效率：通过统一的声明式配置，实现应用部署、扩缩容与回滚的自动化；支持滚动更新与回滚功能，确保在不中断业务的前提下完成版本切换；应具备自愈能力，可自动替换故障容器，彻底替代传统手工运维的重复操作，解决原混合模式下物理机手工部署与高标准的 Kubernetes 集群管理标准不统一的问题</w:t>
            </w:r>
          </w:p>
        </w:tc>
        <w:tc>
          <w:tcPr>
            <w:tcW w:w="870" w:type="dxa"/>
            <w:vMerge w:val="continue"/>
            <w:tcBorders>
              <w:tl2br w:val="nil"/>
              <w:tr2bl w:val="nil"/>
            </w:tcBorders>
            <w:noWrap/>
            <w:vAlign w:val="center"/>
          </w:tcPr>
          <w:p w14:paraId="4056D7BA">
            <w:pPr>
              <w:spacing w:line="360" w:lineRule="auto"/>
              <w:jc w:val="center"/>
              <w:rPr>
                <w:rFonts w:hint="eastAsia" w:ascii="宋体" w:hAnsi="宋体" w:cs="宋体"/>
                <w:color w:val="auto"/>
                <w:sz w:val="21"/>
                <w:szCs w:val="21"/>
                <w:highlight w:val="none"/>
              </w:rPr>
            </w:pPr>
          </w:p>
        </w:tc>
      </w:tr>
      <w:tr w14:paraId="4B93C3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674D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1.1.7.3</w:t>
            </w:r>
          </w:p>
        </w:tc>
        <w:tc>
          <w:tcPr>
            <w:tcW w:w="6982" w:type="dxa"/>
            <w:tcBorders>
              <w:tl2br w:val="nil"/>
              <w:tr2bl w:val="nil"/>
            </w:tcBorders>
            <w:vAlign w:val="center"/>
          </w:tcPr>
          <w:p w14:paraId="28E047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资源利用率：通过高标准的Kubernetes 资源调度系统，根据业务负载动态分配算力，实现资源精细化利用；需支持 v1.35 新增的就地重启 Pod 特性，无需删除重建 Pod 即可完成状态重置，减少资源销毁与重建损耗，适配 AI/ML 等资源密集型业务场景，解决传统物理机部署资源碎片化、低峰期资源大量闲置的问题</w:t>
            </w:r>
          </w:p>
        </w:tc>
        <w:tc>
          <w:tcPr>
            <w:tcW w:w="870" w:type="dxa"/>
            <w:vMerge w:val="continue"/>
            <w:tcBorders>
              <w:tl2br w:val="nil"/>
              <w:tr2bl w:val="nil"/>
            </w:tcBorders>
            <w:noWrap/>
            <w:vAlign w:val="center"/>
          </w:tcPr>
          <w:p w14:paraId="12BF7E1C">
            <w:pPr>
              <w:spacing w:line="360" w:lineRule="auto"/>
              <w:jc w:val="center"/>
              <w:rPr>
                <w:rFonts w:hint="eastAsia" w:ascii="宋体" w:hAnsi="宋体" w:cs="宋体"/>
                <w:color w:val="auto"/>
                <w:sz w:val="21"/>
                <w:szCs w:val="21"/>
                <w:highlight w:val="none"/>
              </w:rPr>
            </w:pPr>
          </w:p>
        </w:tc>
      </w:tr>
      <w:tr w14:paraId="6D4609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F6F1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1.1.7.4</w:t>
            </w:r>
          </w:p>
        </w:tc>
        <w:tc>
          <w:tcPr>
            <w:tcW w:w="6982" w:type="dxa"/>
            <w:tcBorders>
              <w:tl2br w:val="nil"/>
              <w:tr2bl w:val="nil"/>
            </w:tcBorders>
            <w:vAlign w:val="center"/>
          </w:tcPr>
          <w:p w14:paraId="190AB9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架构稳定性：通过高标准的Kubernetes 集群统一管理服务发现、负载均衡和网络策略，降低跨环境调用的失败率；采用高标准的版本，该版本应修复多项安全漏洞并优化 API 稳定性，进一步提升集群运行可靠性，解决原混合架构跨环境通信复杂、网络可靠性低的问题</w:t>
            </w:r>
          </w:p>
        </w:tc>
        <w:tc>
          <w:tcPr>
            <w:tcW w:w="870" w:type="dxa"/>
            <w:vMerge w:val="continue"/>
            <w:tcBorders>
              <w:tl2br w:val="nil"/>
              <w:tr2bl w:val="nil"/>
            </w:tcBorders>
            <w:noWrap/>
            <w:vAlign w:val="center"/>
          </w:tcPr>
          <w:p w14:paraId="6D4C7C97">
            <w:pPr>
              <w:spacing w:line="360" w:lineRule="auto"/>
              <w:jc w:val="center"/>
              <w:rPr>
                <w:rFonts w:hint="eastAsia" w:ascii="宋体" w:hAnsi="宋体" w:cs="宋体"/>
                <w:color w:val="auto"/>
                <w:sz w:val="21"/>
                <w:szCs w:val="21"/>
                <w:highlight w:val="none"/>
              </w:rPr>
            </w:pPr>
          </w:p>
        </w:tc>
      </w:tr>
      <w:tr w14:paraId="19BADD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5EAE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w:t>
            </w:r>
          </w:p>
        </w:tc>
        <w:tc>
          <w:tcPr>
            <w:tcW w:w="6982" w:type="dxa"/>
            <w:tcBorders>
              <w:tl2br w:val="nil"/>
              <w:tr2bl w:val="nil"/>
            </w:tcBorders>
            <w:vAlign w:val="center"/>
          </w:tcPr>
          <w:p w14:paraId="152D8F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消息中间件升级</w:t>
            </w:r>
          </w:p>
        </w:tc>
        <w:tc>
          <w:tcPr>
            <w:tcW w:w="870" w:type="dxa"/>
            <w:vMerge w:val="continue"/>
            <w:tcBorders>
              <w:tl2br w:val="nil"/>
              <w:tr2bl w:val="nil"/>
            </w:tcBorders>
            <w:noWrap/>
            <w:vAlign w:val="center"/>
          </w:tcPr>
          <w:p w14:paraId="489E9E81">
            <w:pPr>
              <w:spacing w:line="360" w:lineRule="auto"/>
              <w:jc w:val="center"/>
              <w:rPr>
                <w:rFonts w:hint="eastAsia" w:ascii="宋体" w:hAnsi="宋体" w:cs="宋体"/>
                <w:color w:val="auto"/>
                <w:sz w:val="21"/>
                <w:szCs w:val="21"/>
                <w:highlight w:val="none"/>
              </w:rPr>
            </w:pPr>
          </w:p>
        </w:tc>
      </w:tr>
      <w:tr w14:paraId="275A5D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1303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w:t>
            </w:r>
          </w:p>
        </w:tc>
        <w:tc>
          <w:tcPr>
            <w:tcW w:w="6982" w:type="dxa"/>
            <w:tcBorders>
              <w:tl2br w:val="nil"/>
              <w:tr2bl w:val="nil"/>
            </w:tcBorders>
            <w:vAlign w:val="center"/>
          </w:tcPr>
          <w:p w14:paraId="218F13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消息中间件版本升级后，在性能、高可用性、功能、稳定性、运维与安全方面达到以下要求，需采用 4.8.0 及以上版本</w:t>
            </w:r>
          </w:p>
        </w:tc>
        <w:tc>
          <w:tcPr>
            <w:tcW w:w="870" w:type="dxa"/>
            <w:vMerge w:val="continue"/>
            <w:tcBorders>
              <w:tl2br w:val="nil"/>
              <w:tr2bl w:val="nil"/>
            </w:tcBorders>
            <w:noWrap/>
            <w:vAlign w:val="center"/>
          </w:tcPr>
          <w:p w14:paraId="11933871">
            <w:pPr>
              <w:spacing w:line="360" w:lineRule="auto"/>
              <w:jc w:val="center"/>
              <w:rPr>
                <w:rFonts w:hint="eastAsia" w:ascii="宋体" w:hAnsi="宋体" w:cs="宋体"/>
                <w:color w:val="auto"/>
                <w:sz w:val="21"/>
                <w:szCs w:val="21"/>
                <w:highlight w:val="none"/>
              </w:rPr>
            </w:pPr>
          </w:p>
        </w:tc>
      </w:tr>
      <w:tr w14:paraId="1AB644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C104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1.1.8.1.1</w:t>
            </w:r>
          </w:p>
        </w:tc>
        <w:tc>
          <w:tcPr>
            <w:tcW w:w="6982" w:type="dxa"/>
            <w:tcBorders>
              <w:tl2br w:val="nil"/>
              <w:tr2bl w:val="nil"/>
            </w:tcBorders>
            <w:vAlign w:val="center"/>
          </w:tcPr>
          <w:p w14:paraId="00434D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性能：实现同步双写、DLedger 高可用架构异步化重构，确保高并发场景下吞吐量大幅提升、延迟降低、整体资源利用率提高</w:t>
            </w:r>
          </w:p>
        </w:tc>
        <w:tc>
          <w:tcPr>
            <w:tcW w:w="870" w:type="dxa"/>
            <w:vMerge w:val="continue"/>
            <w:tcBorders>
              <w:tl2br w:val="nil"/>
              <w:tr2bl w:val="nil"/>
            </w:tcBorders>
            <w:noWrap/>
            <w:vAlign w:val="center"/>
          </w:tcPr>
          <w:p w14:paraId="448F4363">
            <w:pPr>
              <w:spacing w:line="360" w:lineRule="auto"/>
              <w:jc w:val="center"/>
              <w:rPr>
                <w:rFonts w:hint="eastAsia" w:ascii="宋体" w:hAnsi="宋体" w:cs="宋体"/>
                <w:color w:val="auto"/>
                <w:sz w:val="21"/>
                <w:szCs w:val="21"/>
                <w:highlight w:val="none"/>
              </w:rPr>
            </w:pPr>
          </w:p>
        </w:tc>
      </w:tr>
      <w:tr w14:paraId="576007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DD20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1.1.8.1.2</w:t>
            </w:r>
          </w:p>
        </w:tc>
        <w:tc>
          <w:tcPr>
            <w:tcW w:w="6982" w:type="dxa"/>
            <w:tcBorders>
              <w:tl2br w:val="nil"/>
              <w:tr2bl w:val="nil"/>
            </w:tcBorders>
            <w:vAlign w:val="center"/>
          </w:tcPr>
          <w:p w14:paraId="4EDEC9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DLedger 高可用：确保 DLedger 组件完全达到生产可用标准，相比早期版本 DLedger 组件，实现选举更稳定、复制更可靠，支持批量消息、优先主节点功能，保障数据强一致性</w:t>
            </w:r>
          </w:p>
        </w:tc>
        <w:tc>
          <w:tcPr>
            <w:tcW w:w="870" w:type="dxa"/>
            <w:vMerge w:val="continue"/>
            <w:tcBorders>
              <w:tl2br w:val="nil"/>
              <w:tr2bl w:val="nil"/>
            </w:tcBorders>
            <w:noWrap/>
            <w:vAlign w:val="center"/>
          </w:tcPr>
          <w:p w14:paraId="0CC9315B">
            <w:pPr>
              <w:spacing w:line="360" w:lineRule="auto"/>
              <w:jc w:val="center"/>
              <w:rPr>
                <w:rFonts w:hint="eastAsia" w:ascii="宋体" w:hAnsi="宋体" w:cs="宋体"/>
                <w:color w:val="auto"/>
                <w:sz w:val="21"/>
                <w:szCs w:val="21"/>
                <w:highlight w:val="none"/>
              </w:rPr>
            </w:pPr>
          </w:p>
        </w:tc>
      </w:tr>
      <w:tr w14:paraId="603688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2693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1.1.8.1.3</w:t>
            </w:r>
          </w:p>
        </w:tc>
        <w:tc>
          <w:tcPr>
            <w:tcW w:w="6982" w:type="dxa"/>
            <w:tcBorders>
              <w:tl2br w:val="nil"/>
              <w:tr2bl w:val="nil"/>
            </w:tcBorders>
            <w:vAlign w:val="center"/>
          </w:tcPr>
          <w:p w14:paraId="6AA948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功能增强：新增请求应答（RPC）模式、IPv6 支持、轻量级拉取消费者功能；全面优化事务消息、消息轨迹、批量消息等能力，提升系统可观测性</w:t>
            </w:r>
          </w:p>
        </w:tc>
        <w:tc>
          <w:tcPr>
            <w:tcW w:w="870" w:type="dxa"/>
            <w:vMerge w:val="continue"/>
            <w:tcBorders>
              <w:tl2br w:val="nil"/>
              <w:tr2bl w:val="nil"/>
            </w:tcBorders>
            <w:noWrap/>
            <w:vAlign w:val="center"/>
          </w:tcPr>
          <w:p w14:paraId="5D64323B">
            <w:pPr>
              <w:spacing w:line="360" w:lineRule="auto"/>
              <w:jc w:val="center"/>
              <w:rPr>
                <w:rFonts w:hint="eastAsia" w:ascii="宋体" w:hAnsi="宋体" w:cs="宋体"/>
                <w:color w:val="auto"/>
                <w:sz w:val="21"/>
                <w:szCs w:val="21"/>
                <w:highlight w:val="none"/>
              </w:rPr>
            </w:pPr>
          </w:p>
        </w:tc>
      </w:tr>
      <w:tr w14:paraId="47E552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09DC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1.1.8.1.4</w:t>
            </w:r>
          </w:p>
        </w:tc>
        <w:tc>
          <w:tcPr>
            <w:tcW w:w="6982" w:type="dxa"/>
            <w:tcBorders>
              <w:tl2br w:val="nil"/>
              <w:tr2bl w:val="nil"/>
            </w:tcBorders>
            <w:vAlign w:val="center"/>
          </w:tcPr>
          <w:p w14:paraId="11DBF2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稳定性与 Bug 修复：修复消费进度丢失、Broker OOM、内存泄漏、顺序消息异常、客户端重连失败等大量线上高危问题，确保系统长期运行稳定</w:t>
            </w:r>
          </w:p>
        </w:tc>
        <w:tc>
          <w:tcPr>
            <w:tcW w:w="870" w:type="dxa"/>
            <w:vMerge w:val="continue"/>
            <w:tcBorders>
              <w:tl2br w:val="nil"/>
              <w:tr2bl w:val="nil"/>
            </w:tcBorders>
            <w:noWrap/>
            <w:vAlign w:val="center"/>
          </w:tcPr>
          <w:p w14:paraId="45EC81C7">
            <w:pPr>
              <w:spacing w:line="360" w:lineRule="auto"/>
              <w:jc w:val="center"/>
              <w:rPr>
                <w:rFonts w:hint="eastAsia" w:ascii="宋体" w:hAnsi="宋体" w:cs="宋体"/>
                <w:color w:val="auto"/>
                <w:sz w:val="21"/>
                <w:szCs w:val="21"/>
                <w:highlight w:val="none"/>
              </w:rPr>
            </w:pPr>
          </w:p>
        </w:tc>
      </w:tr>
      <w:tr w14:paraId="299F81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A1C2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1.1.8.1.5</w:t>
            </w:r>
          </w:p>
        </w:tc>
        <w:tc>
          <w:tcPr>
            <w:tcW w:w="6982" w:type="dxa"/>
            <w:tcBorders>
              <w:tl2br w:val="nil"/>
              <w:tr2bl w:val="nil"/>
            </w:tcBorders>
            <w:vAlign w:val="center"/>
          </w:tcPr>
          <w:p w14:paraId="797060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运维与安全优化：完善监控指标，增强 ACL 权限控制、TLS 加密功能，优化命令行工具与日志体系，满足生产环境运维与安全需求</w:t>
            </w:r>
          </w:p>
        </w:tc>
        <w:tc>
          <w:tcPr>
            <w:tcW w:w="870" w:type="dxa"/>
            <w:vMerge w:val="continue"/>
            <w:tcBorders>
              <w:tl2br w:val="nil"/>
              <w:tr2bl w:val="nil"/>
            </w:tcBorders>
            <w:noWrap/>
            <w:vAlign w:val="center"/>
          </w:tcPr>
          <w:p w14:paraId="61BE91B7">
            <w:pPr>
              <w:spacing w:line="360" w:lineRule="auto"/>
              <w:jc w:val="center"/>
              <w:rPr>
                <w:rFonts w:hint="eastAsia" w:ascii="宋体" w:hAnsi="宋体" w:cs="宋体"/>
                <w:color w:val="auto"/>
                <w:sz w:val="21"/>
                <w:szCs w:val="21"/>
                <w:highlight w:val="none"/>
              </w:rPr>
            </w:pPr>
          </w:p>
        </w:tc>
      </w:tr>
      <w:tr w14:paraId="6C33D3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17C4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w:t>
            </w:r>
          </w:p>
        </w:tc>
        <w:tc>
          <w:tcPr>
            <w:tcW w:w="6982" w:type="dxa"/>
            <w:tcBorders>
              <w:tl2br w:val="nil"/>
              <w:tr2bl w:val="nil"/>
            </w:tcBorders>
            <w:vAlign w:val="center"/>
          </w:tcPr>
          <w:p w14:paraId="789DEC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配置中心升级</w:t>
            </w:r>
          </w:p>
        </w:tc>
        <w:tc>
          <w:tcPr>
            <w:tcW w:w="870" w:type="dxa"/>
            <w:vMerge w:val="continue"/>
            <w:tcBorders>
              <w:tl2br w:val="nil"/>
              <w:tr2bl w:val="nil"/>
            </w:tcBorders>
            <w:noWrap/>
            <w:vAlign w:val="center"/>
          </w:tcPr>
          <w:p w14:paraId="6DFD91E8">
            <w:pPr>
              <w:spacing w:line="360" w:lineRule="auto"/>
              <w:jc w:val="center"/>
              <w:rPr>
                <w:rFonts w:hint="eastAsia" w:ascii="宋体" w:hAnsi="宋体" w:cs="宋体"/>
                <w:color w:val="auto"/>
                <w:sz w:val="21"/>
                <w:szCs w:val="21"/>
                <w:highlight w:val="none"/>
              </w:rPr>
            </w:pPr>
          </w:p>
        </w:tc>
      </w:tr>
      <w:tr w14:paraId="0E946B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BC01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1.1.9.1</w:t>
            </w:r>
          </w:p>
        </w:tc>
        <w:tc>
          <w:tcPr>
            <w:tcW w:w="6982" w:type="dxa"/>
            <w:tcBorders>
              <w:tl2br w:val="nil"/>
              <w:tr2bl w:val="nil"/>
            </w:tcBorders>
            <w:vAlign w:val="center"/>
          </w:tcPr>
          <w:p w14:paraId="7A8312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配置中心升级后，实现配置集中化、动态化、安全化管理</w:t>
            </w:r>
          </w:p>
        </w:tc>
        <w:tc>
          <w:tcPr>
            <w:tcW w:w="870" w:type="dxa"/>
            <w:vMerge w:val="continue"/>
            <w:tcBorders>
              <w:tl2br w:val="nil"/>
              <w:tr2bl w:val="nil"/>
            </w:tcBorders>
            <w:noWrap/>
            <w:vAlign w:val="center"/>
          </w:tcPr>
          <w:p w14:paraId="2475EA1D">
            <w:pPr>
              <w:spacing w:line="360" w:lineRule="auto"/>
              <w:jc w:val="center"/>
              <w:rPr>
                <w:rFonts w:hint="eastAsia" w:ascii="宋体" w:hAnsi="宋体" w:cs="宋体"/>
                <w:color w:val="auto"/>
                <w:sz w:val="21"/>
                <w:szCs w:val="21"/>
                <w:highlight w:val="none"/>
              </w:rPr>
            </w:pPr>
          </w:p>
        </w:tc>
      </w:tr>
      <w:tr w14:paraId="17116E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2B8F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1.1.9.2</w:t>
            </w:r>
          </w:p>
        </w:tc>
        <w:tc>
          <w:tcPr>
            <w:tcW w:w="6982" w:type="dxa"/>
            <w:tcBorders>
              <w:tl2br w:val="nil"/>
              <w:tr2bl w:val="nil"/>
            </w:tcBorders>
            <w:vAlign w:val="center"/>
          </w:tcPr>
          <w:p w14:paraId="1A49F5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配置集中化管理：改变配置散落在项目、服务器本地文件、数据库中的现状，实现所有环境（开发 / 测试 / 生产）配置的统一界面管理，权限可控、操作可审计</w:t>
            </w:r>
          </w:p>
        </w:tc>
        <w:tc>
          <w:tcPr>
            <w:tcW w:w="870" w:type="dxa"/>
            <w:vMerge w:val="continue"/>
            <w:tcBorders>
              <w:tl2br w:val="nil"/>
              <w:tr2bl w:val="nil"/>
            </w:tcBorders>
            <w:noWrap/>
            <w:vAlign w:val="center"/>
          </w:tcPr>
          <w:p w14:paraId="37F5C18A">
            <w:pPr>
              <w:spacing w:line="360" w:lineRule="auto"/>
              <w:jc w:val="center"/>
              <w:rPr>
                <w:rFonts w:hint="eastAsia" w:ascii="宋体" w:hAnsi="宋体" w:cs="宋体"/>
                <w:color w:val="auto"/>
                <w:sz w:val="21"/>
                <w:szCs w:val="21"/>
                <w:highlight w:val="none"/>
              </w:rPr>
            </w:pPr>
          </w:p>
        </w:tc>
      </w:tr>
      <w:tr w14:paraId="3E330B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BE28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1.1.9.3</w:t>
            </w:r>
          </w:p>
        </w:tc>
        <w:tc>
          <w:tcPr>
            <w:tcW w:w="6982" w:type="dxa"/>
            <w:tcBorders>
              <w:tl2br w:val="nil"/>
              <w:tr2bl w:val="nil"/>
            </w:tcBorders>
            <w:vAlign w:val="center"/>
          </w:tcPr>
          <w:p w14:paraId="66496F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动态热更新：配置修改后能实时推送至应用并自动生效，无需重启服务、不停机、无发布操作，提升运维效率</w:t>
            </w:r>
          </w:p>
        </w:tc>
        <w:tc>
          <w:tcPr>
            <w:tcW w:w="870" w:type="dxa"/>
            <w:vMerge w:val="continue"/>
            <w:tcBorders>
              <w:tl2br w:val="nil"/>
              <w:tr2bl w:val="nil"/>
            </w:tcBorders>
            <w:noWrap/>
            <w:vAlign w:val="center"/>
          </w:tcPr>
          <w:p w14:paraId="2F44A92D">
            <w:pPr>
              <w:spacing w:line="360" w:lineRule="auto"/>
              <w:jc w:val="center"/>
              <w:rPr>
                <w:rFonts w:hint="eastAsia" w:ascii="宋体" w:hAnsi="宋体" w:cs="宋体"/>
                <w:color w:val="auto"/>
                <w:sz w:val="21"/>
                <w:szCs w:val="21"/>
                <w:highlight w:val="none"/>
              </w:rPr>
            </w:pPr>
          </w:p>
        </w:tc>
      </w:tr>
      <w:tr w14:paraId="2F066C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BCA9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1.1.9.4</w:t>
            </w:r>
          </w:p>
        </w:tc>
        <w:tc>
          <w:tcPr>
            <w:tcW w:w="6982" w:type="dxa"/>
            <w:tcBorders>
              <w:tl2br w:val="nil"/>
              <w:tr2bl w:val="nil"/>
            </w:tcBorders>
            <w:vAlign w:val="center"/>
          </w:tcPr>
          <w:p w14:paraId="2ED136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多环境、多集群隔离：支持 dev/test/pro 环境隔离，不同集群、不同应用的配置需独立管理，避免环境混淆、配置错乱</w:t>
            </w:r>
          </w:p>
        </w:tc>
        <w:tc>
          <w:tcPr>
            <w:tcW w:w="870" w:type="dxa"/>
            <w:vMerge w:val="continue"/>
            <w:tcBorders>
              <w:tl2br w:val="nil"/>
              <w:tr2bl w:val="nil"/>
            </w:tcBorders>
            <w:noWrap/>
            <w:vAlign w:val="center"/>
          </w:tcPr>
          <w:p w14:paraId="505E63BC">
            <w:pPr>
              <w:spacing w:line="360" w:lineRule="auto"/>
              <w:jc w:val="center"/>
              <w:rPr>
                <w:rFonts w:hint="eastAsia" w:ascii="宋体" w:hAnsi="宋体" w:cs="宋体"/>
                <w:color w:val="auto"/>
                <w:sz w:val="21"/>
                <w:szCs w:val="21"/>
                <w:highlight w:val="none"/>
              </w:rPr>
            </w:pPr>
          </w:p>
        </w:tc>
      </w:tr>
      <w:tr w14:paraId="737F7C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3941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1.1.9.5</w:t>
            </w:r>
          </w:p>
        </w:tc>
        <w:tc>
          <w:tcPr>
            <w:tcW w:w="6982" w:type="dxa"/>
            <w:tcBorders>
              <w:tl2br w:val="nil"/>
              <w:tr2bl w:val="nil"/>
            </w:tcBorders>
            <w:vAlign w:val="center"/>
          </w:tcPr>
          <w:p w14:paraId="4AEB55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高可用与稳定性：采用分布式部署模式，无单点故障；相比本地文件易丢失、数据库配置难维护的问题，达到生产级高可用、高安全标准</w:t>
            </w:r>
          </w:p>
        </w:tc>
        <w:tc>
          <w:tcPr>
            <w:tcW w:w="870" w:type="dxa"/>
            <w:vMerge w:val="continue"/>
            <w:tcBorders>
              <w:tl2br w:val="nil"/>
              <w:tr2bl w:val="nil"/>
            </w:tcBorders>
            <w:noWrap/>
            <w:vAlign w:val="center"/>
          </w:tcPr>
          <w:p w14:paraId="2D486313">
            <w:pPr>
              <w:spacing w:line="360" w:lineRule="auto"/>
              <w:jc w:val="center"/>
              <w:rPr>
                <w:rFonts w:hint="eastAsia" w:ascii="宋体" w:hAnsi="宋体" w:cs="宋体"/>
                <w:color w:val="auto"/>
                <w:sz w:val="21"/>
                <w:szCs w:val="21"/>
                <w:highlight w:val="none"/>
              </w:rPr>
            </w:pPr>
          </w:p>
        </w:tc>
      </w:tr>
      <w:tr w14:paraId="386B58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9903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1.1.9.6</w:t>
            </w:r>
          </w:p>
        </w:tc>
        <w:tc>
          <w:tcPr>
            <w:tcW w:w="6982" w:type="dxa"/>
            <w:tcBorders>
              <w:tl2br w:val="nil"/>
              <w:tr2bl w:val="nil"/>
            </w:tcBorders>
            <w:vAlign w:val="center"/>
          </w:tcPr>
          <w:p w14:paraId="434B7C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版本管理与回滚：配置修改应自动记录版本，出现错误时需支持一键回滚，安全性与可控性需优于本地配置和数据库配置</w:t>
            </w:r>
          </w:p>
        </w:tc>
        <w:tc>
          <w:tcPr>
            <w:tcW w:w="870" w:type="dxa"/>
            <w:vMerge w:val="continue"/>
            <w:tcBorders>
              <w:tl2br w:val="nil"/>
              <w:tr2bl w:val="nil"/>
            </w:tcBorders>
            <w:noWrap/>
            <w:vAlign w:val="center"/>
          </w:tcPr>
          <w:p w14:paraId="1E2081D7">
            <w:pPr>
              <w:spacing w:line="360" w:lineRule="auto"/>
              <w:jc w:val="center"/>
              <w:rPr>
                <w:rFonts w:hint="eastAsia" w:ascii="宋体" w:hAnsi="宋体" w:cs="宋体"/>
                <w:color w:val="auto"/>
                <w:sz w:val="21"/>
                <w:szCs w:val="21"/>
                <w:highlight w:val="none"/>
              </w:rPr>
            </w:pPr>
          </w:p>
        </w:tc>
      </w:tr>
      <w:tr w14:paraId="0CB48E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FBD6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1.1.9.7</w:t>
            </w:r>
          </w:p>
        </w:tc>
        <w:tc>
          <w:tcPr>
            <w:tcW w:w="6982" w:type="dxa"/>
            <w:tcBorders>
              <w:tl2br w:val="nil"/>
              <w:tr2bl w:val="nil"/>
            </w:tcBorders>
            <w:vAlign w:val="center"/>
          </w:tcPr>
          <w:p w14:paraId="1553E7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安全与权限：支持配置加密（密码、密钥不明文存储）、细粒度权限控制、操作日志审计功能，满足安全合规要求</w:t>
            </w:r>
          </w:p>
        </w:tc>
        <w:tc>
          <w:tcPr>
            <w:tcW w:w="870" w:type="dxa"/>
            <w:vMerge w:val="continue"/>
            <w:tcBorders>
              <w:tl2br w:val="nil"/>
              <w:tr2bl w:val="nil"/>
            </w:tcBorders>
            <w:noWrap/>
            <w:vAlign w:val="center"/>
          </w:tcPr>
          <w:p w14:paraId="379E5B99">
            <w:pPr>
              <w:spacing w:line="360" w:lineRule="auto"/>
              <w:jc w:val="center"/>
              <w:rPr>
                <w:rFonts w:hint="eastAsia" w:ascii="宋体" w:hAnsi="宋体" w:cs="宋体"/>
                <w:color w:val="auto"/>
                <w:sz w:val="21"/>
                <w:szCs w:val="21"/>
                <w:highlight w:val="none"/>
              </w:rPr>
            </w:pPr>
          </w:p>
        </w:tc>
      </w:tr>
      <w:tr w14:paraId="12CA8A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E339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6982" w:type="dxa"/>
            <w:tcBorders>
              <w:tl2br w:val="nil"/>
              <w:tr2bl w:val="nil"/>
            </w:tcBorders>
            <w:vAlign w:val="center"/>
          </w:tcPr>
          <w:p w14:paraId="3036CE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住院医生电子病历系统（重构、C/S 升级为 B/S）</w:t>
            </w:r>
          </w:p>
        </w:tc>
        <w:tc>
          <w:tcPr>
            <w:tcW w:w="870" w:type="dxa"/>
            <w:vMerge w:val="restart"/>
            <w:tcBorders>
              <w:tl2br w:val="nil"/>
              <w:tr2bl w:val="nil"/>
            </w:tcBorders>
            <w:noWrap/>
            <w:vAlign w:val="center"/>
          </w:tcPr>
          <w:p w14:paraId="629E69E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15B68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0E4F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w:t>
            </w:r>
          </w:p>
        </w:tc>
        <w:tc>
          <w:tcPr>
            <w:tcW w:w="6982" w:type="dxa"/>
            <w:tcBorders>
              <w:tl2br w:val="nil"/>
              <w:tr2bl w:val="nil"/>
            </w:tcBorders>
            <w:vAlign w:val="center"/>
          </w:tcPr>
          <w:p w14:paraId="484755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住院医生电子病历系统需进行整体重构，将原有 C/S 架构升级为 B/S 架构。原系统基于传统 C/S 架构构建，在部署、维护、跨终端适配及扩展能力上存在局限，已无法适配医院新的技术底座、业务流程及未来信息化发展要求。为满足临床诊疗业务高效开展、系统统一集成、跨终端便捷使用及长期迭代升级的需要，本次项目需要对住院医生电子病历系统实施全面重构，基于新底座完成开发，全面升级为 B/S 架构，提升系统可用性、扩展性与维护便捷性</w:t>
            </w:r>
          </w:p>
        </w:tc>
        <w:tc>
          <w:tcPr>
            <w:tcW w:w="870" w:type="dxa"/>
            <w:vMerge w:val="continue"/>
            <w:tcBorders>
              <w:tl2br w:val="nil"/>
              <w:tr2bl w:val="nil"/>
            </w:tcBorders>
            <w:noWrap/>
            <w:vAlign w:val="center"/>
          </w:tcPr>
          <w:p w14:paraId="0CE9FBEE">
            <w:pPr>
              <w:spacing w:line="360" w:lineRule="auto"/>
              <w:jc w:val="center"/>
              <w:rPr>
                <w:rFonts w:hint="eastAsia" w:ascii="宋体" w:hAnsi="宋体" w:cs="宋体"/>
                <w:color w:val="auto"/>
                <w:sz w:val="21"/>
                <w:szCs w:val="21"/>
                <w:highlight w:val="none"/>
              </w:rPr>
            </w:pPr>
          </w:p>
        </w:tc>
      </w:tr>
      <w:tr w14:paraId="0B5A23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9855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1.2.2</w:t>
            </w:r>
          </w:p>
        </w:tc>
        <w:tc>
          <w:tcPr>
            <w:tcW w:w="6982" w:type="dxa"/>
            <w:tcBorders>
              <w:tl2br w:val="nil"/>
              <w:tr2bl w:val="nil"/>
            </w:tcBorders>
            <w:vAlign w:val="center"/>
          </w:tcPr>
          <w:p w14:paraId="3E03A9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整体架构升级</w:t>
            </w:r>
          </w:p>
        </w:tc>
        <w:tc>
          <w:tcPr>
            <w:tcW w:w="870" w:type="dxa"/>
            <w:vMerge w:val="continue"/>
            <w:tcBorders>
              <w:tl2br w:val="nil"/>
              <w:tr2bl w:val="nil"/>
            </w:tcBorders>
            <w:noWrap/>
            <w:vAlign w:val="center"/>
          </w:tcPr>
          <w:p w14:paraId="536C4F12">
            <w:pPr>
              <w:spacing w:line="360" w:lineRule="auto"/>
              <w:jc w:val="center"/>
              <w:rPr>
                <w:rFonts w:hint="eastAsia" w:ascii="宋体" w:hAnsi="宋体" w:cs="宋体"/>
                <w:color w:val="auto"/>
                <w:sz w:val="21"/>
                <w:szCs w:val="21"/>
                <w:highlight w:val="none"/>
              </w:rPr>
            </w:pPr>
          </w:p>
        </w:tc>
      </w:tr>
      <w:tr w14:paraId="4C4DD35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37D4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1.2.2.1</w:t>
            </w:r>
          </w:p>
        </w:tc>
        <w:tc>
          <w:tcPr>
            <w:tcW w:w="6982" w:type="dxa"/>
            <w:tcBorders>
              <w:tl2br w:val="nil"/>
              <w:tr2bl w:val="nil"/>
            </w:tcBorders>
            <w:vAlign w:val="center"/>
          </w:tcPr>
          <w:p w14:paraId="5AD49E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原有架构采用 .NET 桌面客户端（CS）+ Java RESTful 后端 + FTP 文件服务器架构，客户端需安装部署，文件存储采用传统单机版的 FTP 服务</w:t>
            </w:r>
          </w:p>
        </w:tc>
        <w:tc>
          <w:tcPr>
            <w:tcW w:w="870" w:type="dxa"/>
            <w:vMerge w:val="continue"/>
            <w:tcBorders>
              <w:tl2br w:val="nil"/>
              <w:tr2bl w:val="nil"/>
            </w:tcBorders>
            <w:noWrap/>
            <w:vAlign w:val="center"/>
          </w:tcPr>
          <w:p w14:paraId="5E9169C1">
            <w:pPr>
              <w:spacing w:line="360" w:lineRule="auto"/>
              <w:jc w:val="center"/>
              <w:rPr>
                <w:rFonts w:hint="eastAsia" w:ascii="宋体" w:hAnsi="宋体" w:cs="宋体"/>
                <w:color w:val="auto"/>
                <w:sz w:val="21"/>
                <w:szCs w:val="21"/>
                <w:highlight w:val="none"/>
              </w:rPr>
            </w:pPr>
          </w:p>
        </w:tc>
      </w:tr>
      <w:tr w14:paraId="55F143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0C37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1.2.2.2</w:t>
            </w:r>
          </w:p>
        </w:tc>
        <w:tc>
          <w:tcPr>
            <w:tcW w:w="6982" w:type="dxa"/>
            <w:tcBorders>
              <w:tl2br w:val="nil"/>
              <w:tr2bl w:val="nil"/>
            </w:tcBorders>
            <w:vAlign w:val="center"/>
          </w:tcPr>
          <w:p w14:paraId="503D6E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升级后架构需采用 Vue 前端（BS）+ Java RESTful 后端 + S3 分布式对象存储架构，保持后端服务稳定不变，前端需全面升级为浏览器访问模式，文件存储需升级为分布式存储，更高效稳定</w:t>
            </w:r>
          </w:p>
        </w:tc>
        <w:tc>
          <w:tcPr>
            <w:tcW w:w="870" w:type="dxa"/>
            <w:vMerge w:val="continue"/>
            <w:tcBorders>
              <w:tl2br w:val="nil"/>
              <w:tr2bl w:val="nil"/>
            </w:tcBorders>
            <w:noWrap/>
            <w:vAlign w:val="center"/>
          </w:tcPr>
          <w:p w14:paraId="2DDF623C">
            <w:pPr>
              <w:spacing w:line="360" w:lineRule="auto"/>
              <w:jc w:val="center"/>
              <w:rPr>
                <w:rFonts w:hint="eastAsia" w:ascii="宋体" w:hAnsi="宋体" w:cs="宋体"/>
                <w:color w:val="auto"/>
                <w:sz w:val="21"/>
                <w:szCs w:val="21"/>
                <w:highlight w:val="none"/>
              </w:rPr>
            </w:pPr>
          </w:p>
        </w:tc>
      </w:tr>
      <w:tr w14:paraId="1B1D45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71F6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1.2.3</w:t>
            </w:r>
          </w:p>
        </w:tc>
        <w:tc>
          <w:tcPr>
            <w:tcW w:w="6982" w:type="dxa"/>
            <w:tcBorders>
              <w:tl2br w:val="nil"/>
              <w:tr2bl w:val="nil"/>
            </w:tcBorders>
            <w:vAlign w:val="center"/>
          </w:tcPr>
          <w:p w14:paraId="02C84A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前端交互与部署模式升级</w:t>
            </w:r>
          </w:p>
        </w:tc>
        <w:tc>
          <w:tcPr>
            <w:tcW w:w="870" w:type="dxa"/>
            <w:vMerge w:val="continue"/>
            <w:tcBorders>
              <w:tl2br w:val="nil"/>
              <w:tr2bl w:val="nil"/>
            </w:tcBorders>
            <w:noWrap/>
            <w:vAlign w:val="center"/>
          </w:tcPr>
          <w:p w14:paraId="1AE36982">
            <w:pPr>
              <w:spacing w:line="360" w:lineRule="auto"/>
              <w:jc w:val="center"/>
              <w:rPr>
                <w:rFonts w:hint="eastAsia" w:ascii="宋体" w:hAnsi="宋体" w:cs="宋体"/>
                <w:color w:val="auto"/>
                <w:sz w:val="21"/>
                <w:szCs w:val="21"/>
                <w:highlight w:val="none"/>
              </w:rPr>
            </w:pPr>
          </w:p>
        </w:tc>
      </w:tr>
      <w:tr w14:paraId="275B88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D5B3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1.2.3.1</w:t>
            </w:r>
          </w:p>
        </w:tc>
        <w:tc>
          <w:tcPr>
            <w:tcW w:w="6982" w:type="dxa"/>
            <w:tcBorders>
              <w:tl2br w:val="nil"/>
              <w:tr2bl w:val="nil"/>
            </w:tcBorders>
            <w:vAlign w:val="center"/>
          </w:tcPr>
          <w:p w14:paraId="1BACC0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 CS 架构采用 .NET 桌面客户端，医护人员需在工作站安装程序，更新维护需逐台升级，跨终端使用受限，文书编辑依赖本地控件</w:t>
            </w:r>
          </w:p>
        </w:tc>
        <w:tc>
          <w:tcPr>
            <w:tcW w:w="870" w:type="dxa"/>
            <w:vMerge w:val="continue"/>
            <w:tcBorders>
              <w:tl2br w:val="nil"/>
              <w:tr2bl w:val="nil"/>
            </w:tcBorders>
            <w:noWrap/>
            <w:vAlign w:val="center"/>
          </w:tcPr>
          <w:p w14:paraId="153BBF67">
            <w:pPr>
              <w:spacing w:line="360" w:lineRule="auto"/>
              <w:jc w:val="center"/>
              <w:rPr>
                <w:rFonts w:hint="eastAsia" w:ascii="宋体" w:hAnsi="宋体" w:cs="宋体"/>
                <w:color w:val="auto"/>
                <w:sz w:val="21"/>
                <w:szCs w:val="21"/>
                <w:highlight w:val="none"/>
              </w:rPr>
            </w:pPr>
          </w:p>
        </w:tc>
      </w:tr>
      <w:tr w14:paraId="0D1ECA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FB25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1.2.3.2</w:t>
            </w:r>
          </w:p>
        </w:tc>
        <w:tc>
          <w:tcPr>
            <w:tcW w:w="6982" w:type="dxa"/>
            <w:tcBorders>
              <w:tl2br w:val="nil"/>
              <w:tr2bl w:val="nil"/>
            </w:tcBorders>
            <w:vAlign w:val="center"/>
          </w:tcPr>
          <w:p w14:paraId="27902B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 BS 架构需采用 Vue 前端实现浏览器访问，零安装、零维护，全院统一访问、统一升级，使用更便捷、灵活</w:t>
            </w:r>
          </w:p>
        </w:tc>
        <w:tc>
          <w:tcPr>
            <w:tcW w:w="870" w:type="dxa"/>
            <w:vMerge w:val="continue"/>
            <w:tcBorders>
              <w:tl2br w:val="nil"/>
              <w:tr2bl w:val="nil"/>
            </w:tcBorders>
            <w:noWrap/>
            <w:vAlign w:val="center"/>
          </w:tcPr>
          <w:p w14:paraId="4C5B908C">
            <w:pPr>
              <w:spacing w:line="360" w:lineRule="auto"/>
              <w:jc w:val="center"/>
              <w:rPr>
                <w:rFonts w:hint="eastAsia" w:ascii="宋体" w:hAnsi="宋体" w:cs="宋体"/>
                <w:color w:val="auto"/>
                <w:sz w:val="21"/>
                <w:szCs w:val="21"/>
                <w:highlight w:val="none"/>
              </w:rPr>
            </w:pPr>
          </w:p>
        </w:tc>
      </w:tr>
      <w:tr w14:paraId="6360B4A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80C5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1.2.4</w:t>
            </w:r>
          </w:p>
        </w:tc>
        <w:tc>
          <w:tcPr>
            <w:tcW w:w="6982" w:type="dxa"/>
            <w:tcBorders>
              <w:tl2br w:val="nil"/>
              <w:tr2bl w:val="nil"/>
            </w:tcBorders>
            <w:vAlign w:val="center"/>
          </w:tcPr>
          <w:p w14:paraId="2E5718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文件存储服务升级（FTP → S3）</w:t>
            </w:r>
          </w:p>
        </w:tc>
        <w:tc>
          <w:tcPr>
            <w:tcW w:w="870" w:type="dxa"/>
            <w:vMerge w:val="continue"/>
            <w:tcBorders>
              <w:tl2br w:val="nil"/>
              <w:tr2bl w:val="nil"/>
            </w:tcBorders>
            <w:noWrap/>
            <w:vAlign w:val="center"/>
          </w:tcPr>
          <w:p w14:paraId="5E6FECCC">
            <w:pPr>
              <w:spacing w:line="360" w:lineRule="auto"/>
              <w:jc w:val="center"/>
              <w:rPr>
                <w:rFonts w:hint="eastAsia" w:ascii="宋体" w:hAnsi="宋体" w:cs="宋体"/>
                <w:color w:val="auto"/>
                <w:sz w:val="21"/>
                <w:szCs w:val="21"/>
                <w:highlight w:val="none"/>
              </w:rPr>
            </w:pPr>
          </w:p>
        </w:tc>
      </w:tr>
      <w:tr w14:paraId="647E87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C636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1.2.4.1</w:t>
            </w:r>
          </w:p>
        </w:tc>
        <w:tc>
          <w:tcPr>
            <w:tcW w:w="6982" w:type="dxa"/>
            <w:tcBorders>
              <w:tl2br w:val="nil"/>
              <w:tr2bl w:val="nil"/>
            </w:tcBorders>
            <w:vAlign w:val="center"/>
          </w:tcPr>
          <w:p w14:paraId="460C3F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 FTP 文件服务器医护文书文件、PDF 归档文件等都通过 FTP 上传下载，并发能力弱、大文件易中断、容量扩展困难、权限管理与访问审计能力不足</w:t>
            </w:r>
          </w:p>
        </w:tc>
        <w:tc>
          <w:tcPr>
            <w:tcW w:w="870" w:type="dxa"/>
            <w:vMerge w:val="continue"/>
            <w:tcBorders>
              <w:tl2br w:val="nil"/>
              <w:tr2bl w:val="nil"/>
            </w:tcBorders>
            <w:noWrap/>
            <w:vAlign w:val="center"/>
          </w:tcPr>
          <w:p w14:paraId="55E19C22">
            <w:pPr>
              <w:spacing w:line="360" w:lineRule="auto"/>
              <w:jc w:val="center"/>
              <w:rPr>
                <w:rFonts w:hint="eastAsia" w:ascii="宋体" w:hAnsi="宋体" w:cs="宋体"/>
                <w:color w:val="auto"/>
                <w:sz w:val="21"/>
                <w:szCs w:val="21"/>
                <w:highlight w:val="none"/>
              </w:rPr>
            </w:pPr>
          </w:p>
        </w:tc>
      </w:tr>
      <w:tr w14:paraId="7505A6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4AD7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1.2.4.2</w:t>
            </w:r>
          </w:p>
        </w:tc>
        <w:tc>
          <w:tcPr>
            <w:tcW w:w="6982" w:type="dxa"/>
            <w:tcBorders>
              <w:tl2br w:val="nil"/>
              <w:tr2bl w:val="nil"/>
            </w:tcBorders>
            <w:vAlign w:val="center"/>
          </w:tcPr>
          <w:p w14:paraId="4E221D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 S3 分布式存储需替换 FTP 采用分布式对象存储，支持高并发、弹性扩容、断点续传、权限隔离、访问日志、文件加密存储，更安全、更稳定、更适合医疗文书长期归档</w:t>
            </w:r>
          </w:p>
        </w:tc>
        <w:tc>
          <w:tcPr>
            <w:tcW w:w="870" w:type="dxa"/>
            <w:vMerge w:val="continue"/>
            <w:tcBorders>
              <w:tl2br w:val="nil"/>
              <w:tr2bl w:val="nil"/>
            </w:tcBorders>
            <w:noWrap/>
            <w:vAlign w:val="center"/>
          </w:tcPr>
          <w:p w14:paraId="7259E28B">
            <w:pPr>
              <w:spacing w:line="360" w:lineRule="auto"/>
              <w:jc w:val="center"/>
              <w:rPr>
                <w:rFonts w:hint="eastAsia" w:ascii="宋体" w:hAnsi="宋体" w:cs="宋体"/>
                <w:color w:val="auto"/>
                <w:sz w:val="21"/>
                <w:szCs w:val="21"/>
                <w:highlight w:val="none"/>
              </w:rPr>
            </w:pPr>
          </w:p>
        </w:tc>
      </w:tr>
      <w:tr w14:paraId="021B62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59DA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1.2.5</w:t>
            </w:r>
          </w:p>
        </w:tc>
        <w:tc>
          <w:tcPr>
            <w:tcW w:w="6982" w:type="dxa"/>
            <w:tcBorders>
              <w:tl2br w:val="nil"/>
              <w:tr2bl w:val="nil"/>
            </w:tcBorders>
            <w:vAlign w:val="center"/>
          </w:tcPr>
          <w:p w14:paraId="136FFE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业务与合规升级</w:t>
            </w:r>
          </w:p>
        </w:tc>
        <w:tc>
          <w:tcPr>
            <w:tcW w:w="870" w:type="dxa"/>
            <w:vMerge w:val="continue"/>
            <w:tcBorders>
              <w:tl2br w:val="nil"/>
              <w:tr2bl w:val="nil"/>
            </w:tcBorders>
            <w:noWrap/>
            <w:vAlign w:val="center"/>
          </w:tcPr>
          <w:p w14:paraId="1F69B611">
            <w:pPr>
              <w:spacing w:line="360" w:lineRule="auto"/>
              <w:jc w:val="center"/>
              <w:rPr>
                <w:rFonts w:hint="eastAsia" w:ascii="宋体" w:hAnsi="宋体" w:cs="宋体"/>
                <w:color w:val="auto"/>
                <w:sz w:val="21"/>
                <w:szCs w:val="21"/>
                <w:highlight w:val="none"/>
              </w:rPr>
            </w:pPr>
          </w:p>
        </w:tc>
      </w:tr>
      <w:tr w14:paraId="47277B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54ED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1.2.5.1</w:t>
            </w:r>
          </w:p>
        </w:tc>
        <w:tc>
          <w:tcPr>
            <w:tcW w:w="6982" w:type="dxa"/>
            <w:tcBorders>
              <w:tl2br w:val="nil"/>
              <w:tr2bl w:val="nil"/>
            </w:tcBorders>
            <w:vAlign w:val="center"/>
          </w:tcPr>
          <w:p w14:paraId="22AB79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后端 Java RESTful 服务保持稳定兼容，保障业务连续性</w:t>
            </w:r>
          </w:p>
        </w:tc>
        <w:tc>
          <w:tcPr>
            <w:tcW w:w="870" w:type="dxa"/>
            <w:vMerge w:val="continue"/>
            <w:tcBorders>
              <w:tl2br w:val="nil"/>
              <w:tr2bl w:val="nil"/>
            </w:tcBorders>
            <w:noWrap/>
            <w:vAlign w:val="center"/>
          </w:tcPr>
          <w:p w14:paraId="1B79D678">
            <w:pPr>
              <w:spacing w:line="360" w:lineRule="auto"/>
              <w:jc w:val="center"/>
              <w:rPr>
                <w:rFonts w:hint="eastAsia" w:ascii="宋体" w:hAnsi="宋体" w:cs="宋体"/>
                <w:color w:val="auto"/>
                <w:sz w:val="21"/>
                <w:szCs w:val="21"/>
                <w:highlight w:val="none"/>
              </w:rPr>
            </w:pPr>
          </w:p>
        </w:tc>
      </w:tr>
      <w:tr w14:paraId="589581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37C8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1.2.5.2</w:t>
            </w:r>
          </w:p>
        </w:tc>
        <w:tc>
          <w:tcPr>
            <w:tcW w:w="6982" w:type="dxa"/>
            <w:tcBorders>
              <w:tl2br w:val="nil"/>
              <w:tr2bl w:val="nil"/>
            </w:tcBorders>
            <w:vAlign w:val="center"/>
          </w:tcPr>
          <w:p w14:paraId="6BE957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前端从 CS 升级至 BS</w:t>
            </w:r>
          </w:p>
        </w:tc>
        <w:tc>
          <w:tcPr>
            <w:tcW w:w="870" w:type="dxa"/>
            <w:vMerge w:val="continue"/>
            <w:tcBorders>
              <w:tl2br w:val="nil"/>
              <w:tr2bl w:val="nil"/>
            </w:tcBorders>
            <w:noWrap/>
            <w:vAlign w:val="center"/>
          </w:tcPr>
          <w:p w14:paraId="32FC3EDF">
            <w:pPr>
              <w:spacing w:line="360" w:lineRule="auto"/>
              <w:jc w:val="center"/>
              <w:rPr>
                <w:rFonts w:hint="eastAsia" w:ascii="宋体" w:hAnsi="宋体" w:cs="宋体"/>
                <w:color w:val="auto"/>
                <w:sz w:val="21"/>
                <w:szCs w:val="21"/>
                <w:highlight w:val="none"/>
              </w:rPr>
            </w:pPr>
          </w:p>
        </w:tc>
      </w:tr>
      <w:tr w14:paraId="2FDA6E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C060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1.2.5.3</w:t>
            </w:r>
          </w:p>
        </w:tc>
        <w:tc>
          <w:tcPr>
            <w:tcW w:w="6982" w:type="dxa"/>
            <w:tcBorders>
              <w:tl2br w:val="nil"/>
              <w:tr2bl w:val="nil"/>
            </w:tcBorders>
            <w:vAlign w:val="center"/>
          </w:tcPr>
          <w:p w14:paraId="5DE626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文件存储需从 FTP 升级至 S3，解决传统文件服务器性能、安全、容量瓶颈</w:t>
            </w:r>
          </w:p>
        </w:tc>
        <w:tc>
          <w:tcPr>
            <w:tcW w:w="870" w:type="dxa"/>
            <w:vMerge w:val="continue"/>
            <w:tcBorders>
              <w:tl2br w:val="nil"/>
              <w:tr2bl w:val="nil"/>
            </w:tcBorders>
            <w:noWrap/>
            <w:vAlign w:val="center"/>
          </w:tcPr>
          <w:p w14:paraId="7AF2E229">
            <w:pPr>
              <w:spacing w:line="360" w:lineRule="auto"/>
              <w:jc w:val="center"/>
              <w:rPr>
                <w:rFonts w:hint="eastAsia" w:ascii="宋体" w:hAnsi="宋体" w:cs="宋体"/>
                <w:color w:val="auto"/>
                <w:sz w:val="21"/>
                <w:szCs w:val="21"/>
                <w:highlight w:val="none"/>
              </w:rPr>
            </w:pPr>
          </w:p>
        </w:tc>
      </w:tr>
      <w:tr w14:paraId="484173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2515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w:t>
            </w:r>
          </w:p>
        </w:tc>
        <w:tc>
          <w:tcPr>
            <w:tcW w:w="6982" w:type="dxa"/>
            <w:tcBorders>
              <w:tl2br w:val="nil"/>
              <w:tr2bl w:val="nil"/>
            </w:tcBorders>
            <w:vAlign w:val="center"/>
          </w:tcPr>
          <w:p w14:paraId="02C9A3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病历模板管理</w:t>
            </w:r>
          </w:p>
        </w:tc>
        <w:tc>
          <w:tcPr>
            <w:tcW w:w="870" w:type="dxa"/>
            <w:vMerge w:val="continue"/>
            <w:tcBorders>
              <w:tl2br w:val="nil"/>
              <w:tr2bl w:val="nil"/>
            </w:tcBorders>
            <w:noWrap/>
            <w:vAlign w:val="center"/>
          </w:tcPr>
          <w:p w14:paraId="243542E7">
            <w:pPr>
              <w:spacing w:line="360" w:lineRule="auto"/>
              <w:jc w:val="center"/>
              <w:rPr>
                <w:rFonts w:hint="eastAsia" w:ascii="宋体" w:hAnsi="宋体" w:cs="宋体"/>
                <w:color w:val="auto"/>
                <w:sz w:val="21"/>
                <w:szCs w:val="21"/>
                <w:highlight w:val="none"/>
              </w:rPr>
            </w:pPr>
          </w:p>
        </w:tc>
      </w:tr>
      <w:tr w14:paraId="1EFC80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1FAB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1.2.6.1</w:t>
            </w:r>
          </w:p>
        </w:tc>
        <w:tc>
          <w:tcPr>
            <w:tcW w:w="6982" w:type="dxa"/>
            <w:tcBorders>
              <w:tl2br w:val="nil"/>
              <w:tr2bl w:val="nil"/>
            </w:tcBorders>
            <w:vAlign w:val="center"/>
          </w:tcPr>
          <w:p w14:paraId="6469EB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w:t>
            </w:r>
            <w:r>
              <w:rPr>
                <w:rFonts w:hint="eastAsia" w:ascii="宋体" w:hAnsi="宋体" w:cs="宋体"/>
                <w:color w:val="auto"/>
                <w:kern w:val="0"/>
                <w:sz w:val="21"/>
                <w:szCs w:val="21"/>
                <w:highlight w:val="none"/>
                <w:lang w:val="en-US" w:eastAsia="zh-CN" w:bidi="ar"/>
              </w:rPr>
              <w:t>卫健委</w:t>
            </w:r>
            <w:r>
              <w:rPr>
                <w:rFonts w:hint="eastAsia" w:ascii="宋体" w:hAnsi="宋体" w:cs="宋体"/>
                <w:color w:val="auto"/>
                <w:kern w:val="0"/>
                <w:sz w:val="21"/>
                <w:szCs w:val="21"/>
                <w:highlight w:val="none"/>
                <w:lang w:bidi="ar"/>
              </w:rPr>
              <w:t>病历书写规范文件中，规定的入院记录、病程记录、手术记录、出院记录、知情同意书、评分量表的书写功能，以及模板制作功能</w:t>
            </w:r>
          </w:p>
        </w:tc>
        <w:tc>
          <w:tcPr>
            <w:tcW w:w="870" w:type="dxa"/>
            <w:vMerge w:val="continue"/>
            <w:tcBorders>
              <w:tl2br w:val="nil"/>
              <w:tr2bl w:val="nil"/>
            </w:tcBorders>
            <w:noWrap/>
            <w:vAlign w:val="center"/>
          </w:tcPr>
          <w:p w14:paraId="1ED3401A">
            <w:pPr>
              <w:spacing w:line="360" w:lineRule="auto"/>
              <w:jc w:val="center"/>
              <w:rPr>
                <w:rFonts w:hint="eastAsia" w:ascii="宋体" w:hAnsi="宋体" w:cs="宋体"/>
                <w:color w:val="auto"/>
                <w:sz w:val="21"/>
                <w:szCs w:val="21"/>
                <w:highlight w:val="none"/>
              </w:rPr>
            </w:pPr>
          </w:p>
        </w:tc>
      </w:tr>
      <w:tr w14:paraId="1BAAE6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DE5B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1.2.6.2</w:t>
            </w:r>
          </w:p>
        </w:tc>
        <w:tc>
          <w:tcPr>
            <w:tcW w:w="6982" w:type="dxa"/>
            <w:tcBorders>
              <w:tl2br w:val="nil"/>
              <w:tr2bl w:val="nil"/>
            </w:tcBorders>
            <w:vAlign w:val="center"/>
          </w:tcPr>
          <w:p w14:paraId="0687BA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支持标准模板，全院模板，科室模板，个人模板四级病历模板管理机制</w:t>
            </w:r>
          </w:p>
        </w:tc>
        <w:tc>
          <w:tcPr>
            <w:tcW w:w="870" w:type="dxa"/>
            <w:vMerge w:val="continue"/>
            <w:tcBorders>
              <w:tl2br w:val="nil"/>
              <w:tr2bl w:val="nil"/>
            </w:tcBorders>
            <w:noWrap/>
            <w:vAlign w:val="center"/>
          </w:tcPr>
          <w:p w14:paraId="46D0EAA8">
            <w:pPr>
              <w:spacing w:line="360" w:lineRule="auto"/>
              <w:jc w:val="center"/>
              <w:rPr>
                <w:rFonts w:hint="eastAsia" w:ascii="宋体" w:hAnsi="宋体" w:cs="宋体"/>
                <w:color w:val="auto"/>
                <w:sz w:val="21"/>
                <w:szCs w:val="21"/>
                <w:highlight w:val="none"/>
              </w:rPr>
            </w:pPr>
          </w:p>
        </w:tc>
      </w:tr>
      <w:tr w14:paraId="4E1174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4585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1.2.6.3</w:t>
            </w:r>
          </w:p>
        </w:tc>
        <w:tc>
          <w:tcPr>
            <w:tcW w:w="6982" w:type="dxa"/>
            <w:tcBorders>
              <w:tl2br w:val="nil"/>
              <w:tr2bl w:val="nil"/>
            </w:tcBorders>
            <w:vAlign w:val="center"/>
          </w:tcPr>
          <w:p w14:paraId="048E1D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支持可按疾病分类模板套餐功能</w:t>
            </w:r>
          </w:p>
        </w:tc>
        <w:tc>
          <w:tcPr>
            <w:tcW w:w="870" w:type="dxa"/>
            <w:vMerge w:val="continue"/>
            <w:tcBorders>
              <w:tl2br w:val="nil"/>
              <w:tr2bl w:val="nil"/>
            </w:tcBorders>
            <w:noWrap/>
            <w:vAlign w:val="center"/>
          </w:tcPr>
          <w:p w14:paraId="4ACDA84E">
            <w:pPr>
              <w:spacing w:line="360" w:lineRule="auto"/>
              <w:jc w:val="center"/>
              <w:rPr>
                <w:rFonts w:hint="eastAsia" w:ascii="宋体" w:hAnsi="宋体" w:cs="宋体"/>
                <w:color w:val="auto"/>
                <w:sz w:val="21"/>
                <w:szCs w:val="21"/>
                <w:highlight w:val="none"/>
              </w:rPr>
            </w:pPr>
          </w:p>
        </w:tc>
      </w:tr>
      <w:tr w14:paraId="6FD197F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408D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1.2.6.4</w:t>
            </w:r>
          </w:p>
        </w:tc>
        <w:tc>
          <w:tcPr>
            <w:tcW w:w="6982" w:type="dxa"/>
            <w:tcBorders>
              <w:tl2br w:val="nil"/>
              <w:tr2bl w:val="nil"/>
            </w:tcBorders>
            <w:vAlign w:val="center"/>
          </w:tcPr>
          <w:p w14:paraId="4A495A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支持单病人历史病历调阅为模板的功能</w:t>
            </w:r>
          </w:p>
        </w:tc>
        <w:tc>
          <w:tcPr>
            <w:tcW w:w="870" w:type="dxa"/>
            <w:vMerge w:val="continue"/>
            <w:tcBorders>
              <w:tl2br w:val="nil"/>
              <w:tr2bl w:val="nil"/>
            </w:tcBorders>
            <w:noWrap/>
            <w:vAlign w:val="center"/>
          </w:tcPr>
          <w:p w14:paraId="1550168D">
            <w:pPr>
              <w:spacing w:line="360" w:lineRule="auto"/>
              <w:jc w:val="center"/>
              <w:rPr>
                <w:rFonts w:hint="eastAsia" w:ascii="宋体" w:hAnsi="宋体" w:cs="宋体"/>
                <w:color w:val="auto"/>
                <w:sz w:val="21"/>
                <w:szCs w:val="21"/>
                <w:highlight w:val="none"/>
              </w:rPr>
            </w:pPr>
          </w:p>
        </w:tc>
      </w:tr>
      <w:tr w14:paraId="74ED64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6DD2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1.2.6.5</w:t>
            </w:r>
          </w:p>
        </w:tc>
        <w:tc>
          <w:tcPr>
            <w:tcW w:w="6982" w:type="dxa"/>
            <w:tcBorders>
              <w:tl2br w:val="nil"/>
              <w:tr2bl w:val="nil"/>
            </w:tcBorders>
            <w:vAlign w:val="center"/>
          </w:tcPr>
          <w:p w14:paraId="53A612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支持各种勾选表单式，评估、评分类文书模板的书写，以及评分的自动计算统计</w:t>
            </w:r>
          </w:p>
        </w:tc>
        <w:tc>
          <w:tcPr>
            <w:tcW w:w="870" w:type="dxa"/>
            <w:vMerge w:val="continue"/>
            <w:tcBorders>
              <w:tl2br w:val="nil"/>
              <w:tr2bl w:val="nil"/>
            </w:tcBorders>
            <w:noWrap/>
            <w:vAlign w:val="center"/>
          </w:tcPr>
          <w:p w14:paraId="7A030321">
            <w:pPr>
              <w:spacing w:line="360" w:lineRule="auto"/>
              <w:jc w:val="center"/>
              <w:rPr>
                <w:rFonts w:hint="eastAsia" w:ascii="宋体" w:hAnsi="宋体" w:cs="宋体"/>
                <w:color w:val="auto"/>
                <w:sz w:val="21"/>
                <w:szCs w:val="21"/>
                <w:highlight w:val="none"/>
              </w:rPr>
            </w:pPr>
          </w:p>
        </w:tc>
      </w:tr>
      <w:tr w14:paraId="710187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95C8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1.2.6.6</w:t>
            </w:r>
          </w:p>
        </w:tc>
        <w:tc>
          <w:tcPr>
            <w:tcW w:w="6982" w:type="dxa"/>
            <w:tcBorders>
              <w:tl2br w:val="nil"/>
              <w:tr2bl w:val="nil"/>
            </w:tcBorders>
            <w:vAlign w:val="center"/>
          </w:tcPr>
          <w:p w14:paraId="74FDED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支持结构化的段落模板，以便医师能够将正在查看的病历内容中选中的一部分存为模板，且可随时快速调阅，也应支持全院模板，科室模板，个人模板</w:t>
            </w:r>
          </w:p>
        </w:tc>
        <w:tc>
          <w:tcPr>
            <w:tcW w:w="870" w:type="dxa"/>
            <w:vMerge w:val="continue"/>
            <w:tcBorders>
              <w:tl2br w:val="nil"/>
              <w:tr2bl w:val="nil"/>
            </w:tcBorders>
            <w:noWrap/>
            <w:vAlign w:val="center"/>
          </w:tcPr>
          <w:p w14:paraId="6FDBCCF4">
            <w:pPr>
              <w:spacing w:line="360" w:lineRule="auto"/>
              <w:jc w:val="center"/>
              <w:rPr>
                <w:rFonts w:hint="eastAsia" w:ascii="宋体" w:hAnsi="宋体" w:cs="宋体"/>
                <w:color w:val="auto"/>
                <w:sz w:val="21"/>
                <w:szCs w:val="21"/>
                <w:highlight w:val="none"/>
              </w:rPr>
            </w:pPr>
          </w:p>
        </w:tc>
      </w:tr>
      <w:tr w14:paraId="3EB1B4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5185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w:t>
            </w:r>
          </w:p>
        </w:tc>
        <w:tc>
          <w:tcPr>
            <w:tcW w:w="6982" w:type="dxa"/>
            <w:tcBorders>
              <w:tl2br w:val="nil"/>
              <w:tr2bl w:val="nil"/>
            </w:tcBorders>
            <w:vAlign w:val="center"/>
          </w:tcPr>
          <w:p w14:paraId="29BA61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文本基本编辑</w:t>
            </w:r>
          </w:p>
        </w:tc>
        <w:tc>
          <w:tcPr>
            <w:tcW w:w="870" w:type="dxa"/>
            <w:vMerge w:val="continue"/>
            <w:tcBorders>
              <w:tl2br w:val="nil"/>
              <w:tr2bl w:val="nil"/>
            </w:tcBorders>
            <w:noWrap/>
            <w:vAlign w:val="center"/>
          </w:tcPr>
          <w:p w14:paraId="24ACA3A0">
            <w:pPr>
              <w:spacing w:line="360" w:lineRule="auto"/>
              <w:jc w:val="center"/>
              <w:rPr>
                <w:rFonts w:hint="eastAsia" w:ascii="宋体" w:hAnsi="宋体" w:cs="宋体"/>
                <w:color w:val="auto"/>
                <w:sz w:val="21"/>
                <w:szCs w:val="21"/>
                <w:highlight w:val="none"/>
              </w:rPr>
            </w:pPr>
          </w:p>
        </w:tc>
      </w:tr>
      <w:tr w14:paraId="239DC3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B523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1.2.7.1</w:t>
            </w:r>
          </w:p>
        </w:tc>
        <w:tc>
          <w:tcPr>
            <w:tcW w:w="6982" w:type="dxa"/>
            <w:tcBorders>
              <w:tl2br w:val="nil"/>
              <w:tr2bl w:val="nil"/>
            </w:tcBorders>
            <w:vAlign w:val="center"/>
          </w:tcPr>
          <w:p w14:paraId="0FA553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支持所见即所得的病历文书书写功能。文书书写过程中，采用类 WORD 方式的编辑功能，可直观呈现病历文书的样式，贴合传统手工书写模式</w:t>
            </w:r>
          </w:p>
        </w:tc>
        <w:tc>
          <w:tcPr>
            <w:tcW w:w="870" w:type="dxa"/>
            <w:vMerge w:val="continue"/>
            <w:tcBorders>
              <w:tl2br w:val="nil"/>
              <w:tr2bl w:val="nil"/>
            </w:tcBorders>
            <w:noWrap/>
            <w:vAlign w:val="center"/>
          </w:tcPr>
          <w:p w14:paraId="3F54302D">
            <w:pPr>
              <w:spacing w:line="360" w:lineRule="auto"/>
              <w:jc w:val="center"/>
              <w:rPr>
                <w:rFonts w:hint="eastAsia" w:ascii="宋体" w:hAnsi="宋体" w:cs="宋体"/>
                <w:color w:val="auto"/>
                <w:sz w:val="21"/>
                <w:szCs w:val="21"/>
                <w:highlight w:val="none"/>
              </w:rPr>
            </w:pPr>
          </w:p>
        </w:tc>
      </w:tr>
      <w:tr w14:paraId="480381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0826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1.2.7.2</w:t>
            </w:r>
          </w:p>
        </w:tc>
        <w:tc>
          <w:tcPr>
            <w:tcW w:w="6982" w:type="dxa"/>
            <w:tcBorders>
              <w:tl2br w:val="nil"/>
              <w:tr2bl w:val="nil"/>
            </w:tcBorders>
            <w:vAlign w:val="center"/>
          </w:tcPr>
          <w:p w14:paraId="0074ED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支持常用的文本编辑功能，如复制，剪切，粘贴，撤销，重做，字体，字体样式，段落样式，格式刷，字符、图片、表格等录入，页眉，页脚，页面设置等</w:t>
            </w:r>
          </w:p>
        </w:tc>
        <w:tc>
          <w:tcPr>
            <w:tcW w:w="870" w:type="dxa"/>
            <w:vMerge w:val="continue"/>
            <w:tcBorders>
              <w:tl2br w:val="nil"/>
              <w:tr2bl w:val="nil"/>
            </w:tcBorders>
            <w:noWrap/>
            <w:vAlign w:val="center"/>
          </w:tcPr>
          <w:p w14:paraId="2C97C771">
            <w:pPr>
              <w:spacing w:line="360" w:lineRule="auto"/>
              <w:jc w:val="center"/>
              <w:rPr>
                <w:rFonts w:hint="eastAsia" w:ascii="宋体" w:hAnsi="宋体" w:cs="宋体"/>
                <w:color w:val="auto"/>
                <w:sz w:val="21"/>
                <w:szCs w:val="21"/>
                <w:highlight w:val="none"/>
              </w:rPr>
            </w:pPr>
          </w:p>
        </w:tc>
      </w:tr>
      <w:tr w14:paraId="71B9A9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95FB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1.2.7.3</w:t>
            </w:r>
          </w:p>
        </w:tc>
        <w:tc>
          <w:tcPr>
            <w:tcW w:w="6982" w:type="dxa"/>
            <w:tcBorders>
              <w:tl2br w:val="nil"/>
              <w:tr2bl w:val="nil"/>
            </w:tcBorders>
            <w:vAlign w:val="center"/>
          </w:tcPr>
          <w:p w14:paraId="11BC41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支持病历中包括结构化元素、普通文本、表格、图片等所有内容，均可设置只读和不可删除两种保护模式</w:t>
            </w:r>
          </w:p>
        </w:tc>
        <w:tc>
          <w:tcPr>
            <w:tcW w:w="870" w:type="dxa"/>
            <w:vMerge w:val="continue"/>
            <w:tcBorders>
              <w:tl2br w:val="nil"/>
              <w:tr2bl w:val="nil"/>
            </w:tcBorders>
            <w:noWrap/>
            <w:vAlign w:val="center"/>
          </w:tcPr>
          <w:p w14:paraId="71CE2736">
            <w:pPr>
              <w:spacing w:line="360" w:lineRule="auto"/>
              <w:jc w:val="center"/>
              <w:rPr>
                <w:rFonts w:hint="eastAsia" w:ascii="宋体" w:hAnsi="宋体" w:cs="宋体"/>
                <w:color w:val="auto"/>
                <w:sz w:val="21"/>
                <w:szCs w:val="21"/>
                <w:highlight w:val="none"/>
              </w:rPr>
            </w:pPr>
          </w:p>
        </w:tc>
      </w:tr>
      <w:tr w14:paraId="285856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1341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1.2.7.4</w:t>
            </w:r>
          </w:p>
        </w:tc>
        <w:tc>
          <w:tcPr>
            <w:tcW w:w="6982" w:type="dxa"/>
            <w:tcBorders>
              <w:tl2br w:val="nil"/>
              <w:tr2bl w:val="nil"/>
            </w:tcBorders>
            <w:vAlign w:val="center"/>
          </w:tcPr>
          <w:p w14:paraId="44FE9B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支持在病历文书任意位置插入表格，需要支持表格单元格跨页，支持表格嵌套，同时提供像微软 word 软件一样的合并、拆分、边框和底纹等常用样式设置</w:t>
            </w:r>
          </w:p>
        </w:tc>
        <w:tc>
          <w:tcPr>
            <w:tcW w:w="870" w:type="dxa"/>
            <w:vMerge w:val="continue"/>
            <w:tcBorders>
              <w:tl2br w:val="nil"/>
              <w:tr2bl w:val="nil"/>
            </w:tcBorders>
            <w:noWrap/>
            <w:vAlign w:val="center"/>
          </w:tcPr>
          <w:p w14:paraId="2EC2677E">
            <w:pPr>
              <w:spacing w:line="360" w:lineRule="auto"/>
              <w:jc w:val="center"/>
              <w:rPr>
                <w:rFonts w:hint="eastAsia" w:ascii="宋体" w:hAnsi="宋体" w:cs="宋体"/>
                <w:color w:val="auto"/>
                <w:sz w:val="21"/>
                <w:szCs w:val="21"/>
                <w:highlight w:val="none"/>
              </w:rPr>
            </w:pPr>
          </w:p>
        </w:tc>
      </w:tr>
      <w:tr w14:paraId="7D39AA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EBD4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1.2.7.5</w:t>
            </w:r>
          </w:p>
        </w:tc>
        <w:tc>
          <w:tcPr>
            <w:tcW w:w="6982" w:type="dxa"/>
            <w:tcBorders>
              <w:tl2br w:val="nil"/>
              <w:tr2bl w:val="nil"/>
            </w:tcBorders>
            <w:vAlign w:val="center"/>
          </w:tcPr>
          <w:p w14:paraId="678944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支持页眉、页脚、页面设置等像微软 word 软件一样可自由编辑，同时应支持患者转科换床后，页眉、页脚等内容不同的需求</w:t>
            </w:r>
          </w:p>
        </w:tc>
        <w:tc>
          <w:tcPr>
            <w:tcW w:w="870" w:type="dxa"/>
            <w:vMerge w:val="continue"/>
            <w:tcBorders>
              <w:tl2br w:val="nil"/>
              <w:tr2bl w:val="nil"/>
            </w:tcBorders>
            <w:noWrap/>
            <w:vAlign w:val="center"/>
          </w:tcPr>
          <w:p w14:paraId="597594D3">
            <w:pPr>
              <w:spacing w:line="360" w:lineRule="auto"/>
              <w:jc w:val="center"/>
              <w:rPr>
                <w:rFonts w:hint="eastAsia" w:ascii="宋体" w:hAnsi="宋体" w:cs="宋体"/>
                <w:color w:val="auto"/>
                <w:sz w:val="21"/>
                <w:szCs w:val="21"/>
                <w:highlight w:val="none"/>
              </w:rPr>
            </w:pPr>
          </w:p>
        </w:tc>
      </w:tr>
      <w:tr w14:paraId="778D6C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22D37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1.2.7.6</w:t>
            </w:r>
          </w:p>
        </w:tc>
        <w:tc>
          <w:tcPr>
            <w:tcW w:w="6982" w:type="dxa"/>
            <w:tcBorders>
              <w:tl2br w:val="nil"/>
              <w:tr2bl w:val="nil"/>
            </w:tcBorders>
            <w:vAlign w:val="center"/>
          </w:tcPr>
          <w:p w14:paraId="604A52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支持病历文书中任意位置插入图片，同时可对图片进行反复标注和修改标注</w:t>
            </w:r>
          </w:p>
        </w:tc>
        <w:tc>
          <w:tcPr>
            <w:tcW w:w="870" w:type="dxa"/>
            <w:vMerge w:val="continue"/>
            <w:tcBorders>
              <w:tl2br w:val="nil"/>
              <w:tr2bl w:val="nil"/>
            </w:tcBorders>
            <w:noWrap/>
            <w:vAlign w:val="center"/>
          </w:tcPr>
          <w:p w14:paraId="5EDE2DBD">
            <w:pPr>
              <w:spacing w:line="360" w:lineRule="auto"/>
              <w:jc w:val="center"/>
              <w:rPr>
                <w:rFonts w:hint="eastAsia" w:ascii="宋体" w:hAnsi="宋体" w:cs="宋体"/>
                <w:color w:val="auto"/>
                <w:sz w:val="21"/>
                <w:szCs w:val="21"/>
                <w:highlight w:val="none"/>
              </w:rPr>
            </w:pPr>
          </w:p>
        </w:tc>
      </w:tr>
      <w:tr w14:paraId="493625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8E34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1.2.7.7</w:t>
            </w:r>
          </w:p>
        </w:tc>
        <w:tc>
          <w:tcPr>
            <w:tcW w:w="6982" w:type="dxa"/>
            <w:tcBorders>
              <w:tl2br w:val="nil"/>
              <w:tr2bl w:val="nil"/>
            </w:tcBorders>
            <w:vAlign w:val="center"/>
          </w:tcPr>
          <w:p w14:paraId="071E26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支持像微软 word 软件一样，将病历页面之间的空白、页眉、页脚等内容折叠起来，方便病程记录等较长病历的书写和浏览</w:t>
            </w:r>
          </w:p>
        </w:tc>
        <w:tc>
          <w:tcPr>
            <w:tcW w:w="870" w:type="dxa"/>
            <w:vMerge w:val="continue"/>
            <w:tcBorders>
              <w:tl2br w:val="nil"/>
              <w:tr2bl w:val="nil"/>
            </w:tcBorders>
            <w:noWrap/>
            <w:vAlign w:val="center"/>
          </w:tcPr>
          <w:p w14:paraId="2A98A3C2">
            <w:pPr>
              <w:spacing w:line="360" w:lineRule="auto"/>
              <w:jc w:val="center"/>
              <w:rPr>
                <w:rFonts w:hint="eastAsia" w:ascii="宋体" w:hAnsi="宋体" w:cs="宋体"/>
                <w:color w:val="auto"/>
                <w:sz w:val="21"/>
                <w:szCs w:val="21"/>
                <w:highlight w:val="none"/>
              </w:rPr>
            </w:pPr>
          </w:p>
        </w:tc>
      </w:tr>
      <w:tr w14:paraId="6F9351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2F63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1.2.7.8</w:t>
            </w:r>
          </w:p>
        </w:tc>
        <w:tc>
          <w:tcPr>
            <w:tcW w:w="6982" w:type="dxa"/>
            <w:tcBorders>
              <w:tl2br w:val="nil"/>
              <w:tr2bl w:val="nil"/>
            </w:tcBorders>
            <w:vAlign w:val="center"/>
          </w:tcPr>
          <w:p w14:paraId="619F4F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支持像微软 word 软件一样使用鼠标拖拽，快速编辑病历内容</w:t>
            </w:r>
          </w:p>
        </w:tc>
        <w:tc>
          <w:tcPr>
            <w:tcW w:w="870" w:type="dxa"/>
            <w:vMerge w:val="continue"/>
            <w:tcBorders>
              <w:tl2br w:val="nil"/>
              <w:tr2bl w:val="nil"/>
            </w:tcBorders>
            <w:noWrap/>
            <w:vAlign w:val="center"/>
          </w:tcPr>
          <w:p w14:paraId="2715CA2E">
            <w:pPr>
              <w:spacing w:line="360" w:lineRule="auto"/>
              <w:jc w:val="center"/>
              <w:rPr>
                <w:rFonts w:hint="eastAsia" w:ascii="宋体" w:hAnsi="宋体" w:cs="宋体"/>
                <w:color w:val="auto"/>
                <w:sz w:val="21"/>
                <w:szCs w:val="21"/>
                <w:highlight w:val="none"/>
              </w:rPr>
            </w:pPr>
          </w:p>
        </w:tc>
      </w:tr>
      <w:tr w14:paraId="075605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7AB7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1.2.7.9</w:t>
            </w:r>
          </w:p>
        </w:tc>
        <w:tc>
          <w:tcPr>
            <w:tcW w:w="6982" w:type="dxa"/>
            <w:tcBorders>
              <w:tl2br w:val="nil"/>
              <w:tr2bl w:val="nil"/>
            </w:tcBorders>
            <w:vAlign w:val="center"/>
          </w:tcPr>
          <w:p w14:paraId="684770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支持带格式从微软 word 软件等其他软件里拷贝内容到模板，尤其是表格等可复制到模板，然后医生改改即可完成模板制作</w:t>
            </w:r>
          </w:p>
        </w:tc>
        <w:tc>
          <w:tcPr>
            <w:tcW w:w="870" w:type="dxa"/>
            <w:vMerge w:val="continue"/>
            <w:tcBorders>
              <w:tl2br w:val="nil"/>
              <w:tr2bl w:val="nil"/>
            </w:tcBorders>
            <w:noWrap/>
            <w:vAlign w:val="center"/>
          </w:tcPr>
          <w:p w14:paraId="4C5443AB">
            <w:pPr>
              <w:spacing w:line="360" w:lineRule="auto"/>
              <w:jc w:val="center"/>
              <w:rPr>
                <w:rFonts w:hint="eastAsia" w:ascii="宋体" w:hAnsi="宋体" w:cs="宋体"/>
                <w:color w:val="auto"/>
                <w:sz w:val="21"/>
                <w:szCs w:val="21"/>
                <w:highlight w:val="none"/>
              </w:rPr>
            </w:pPr>
          </w:p>
        </w:tc>
      </w:tr>
      <w:tr w14:paraId="504ACA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7DB3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w:t>
            </w:r>
          </w:p>
        </w:tc>
        <w:tc>
          <w:tcPr>
            <w:tcW w:w="6982" w:type="dxa"/>
            <w:tcBorders>
              <w:tl2br w:val="nil"/>
              <w:tr2bl w:val="nil"/>
            </w:tcBorders>
            <w:vAlign w:val="center"/>
          </w:tcPr>
          <w:p w14:paraId="613655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病历书写业务</w:t>
            </w:r>
          </w:p>
        </w:tc>
        <w:tc>
          <w:tcPr>
            <w:tcW w:w="870" w:type="dxa"/>
            <w:vMerge w:val="continue"/>
            <w:tcBorders>
              <w:tl2br w:val="nil"/>
              <w:tr2bl w:val="nil"/>
            </w:tcBorders>
            <w:noWrap/>
            <w:vAlign w:val="center"/>
          </w:tcPr>
          <w:p w14:paraId="0BCA9D6B">
            <w:pPr>
              <w:spacing w:line="360" w:lineRule="auto"/>
              <w:jc w:val="center"/>
              <w:rPr>
                <w:rFonts w:hint="eastAsia" w:ascii="宋体" w:hAnsi="宋体" w:cs="宋体"/>
                <w:color w:val="auto"/>
                <w:sz w:val="21"/>
                <w:szCs w:val="21"/>
                <w:highlight w:val="none"/>
              </w:rPr>
            </w:pPr>
          </w:p>
        </w:tc>
      </w:tr>
      <w:tr w14:paraId="6FA5EE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DE64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w:t>
            </w:r>
          </w:p>
        </w:tc>
        <w:tc>
          <w:tcPr>
            <w:tcW w:w="6982" w:type="dxa"/>
            <w:tcBorders>
              <w:tl2br w:val="nil"/>
              <w:tr2bl w:val="nil"/>
            </w:tcBorders>
            <w:vAlign w:val="center"/>
          </w:tcPr>
          <w:p w14:paraId="59F1FF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支持同一窗口内，连续查看和编辑每日病程记录的功能</w:t>
            </w:r>
          </w:p>
        </w:tc>
        <w:tc>
          <w:tcPr>
            <w:tcW w:w="870" w:type="dxa"/>
            <w:vMerge w:val="continue"/>
            <w:tcBorders>
              <w:tl2br w:val="nil"/>
              <w:tr2bl w:val="nil"/>
            </w:tcBorders>
            <w:noWrap/>
            <w:vAlign w:val="center"/>
          </w:tcPr>
          <w:p w14:paraId="3E64F832">
            <w:pPr>
              <w:spacing w:line="360" w:lineRule="auto"/>
              <w:jc w:val="center"/>
              <w:rPr>
                <w:rFonts w:hint="eastAsia" w:ascii="宋体" w:hAnsi="宋体" w:cs="宋体"/>
                <w:color w:val="auto"/>
                <w:sz w:val="21"/>
                <w:szCs w:val="21"/>
                <w:highlight w:val="none"/>
              </w:rPr>
            </w:pPr>
          </w:p>
        </w:tc>
      </w:tr>
      <w:tr w14:paraId="7C2314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E96A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1.2.8.2</w:t>
            </w:r>
          </w:p>
        </w:tc>
        <w:tc>
          <w:tcPr>
            <w:tcW w:w="6982" w:type="dxa"/>
            <w:tcBorders>
              <w:tl2br w:val="nil"/>
              <w:tr2bl w:val="nil"/>
            </w:tcBorders>
            <w:vAlign w:val="center"/>
          </w:tcPr>
          <w:p w14:paraId="70D0CF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支持像微软 word 软件一样，病历书写窗口，分上下两栏让医师快速参考书写的功能</w:t>
            </w:r>
          </w:p>
        </w:tc>
        <w:tc>
          <w:tcPr>
            <w:tcW w:w="870" w:type="dxa"/>
            <w:vMerge w:val="continue"/>
            <w:tcBorders>
              <w:tl2br w:val="nil"/>
              <w:tr2bl w:val="nil"/>
            </w:tcBorders>
            <w:noWrap/>
            <w:vAlign w:val="center"/>
          </w:tcPr>
          <w:p w14:paraId="2635CDED">
            <w:pPr>
              <w:spacing w:line="360" w:lineRule="auto"/>
              <w:jc w:val="center"/>
              <w:rPr>
                <w:rFonts w:hint="eastAsia" w:ascii="宋体" w:hAnsi="宋体" w:cs="宋体"/>
                <w:color w:val="auto"/>
                <w:sz w:val="21"/>
                <w:szCs w:val="21"/>
                <w:highlight w:val="none"/>
              </w:rPr>
            </w:pPr>
          </w:p>
        </w:tc>
      </w:tr>
      <w:tr w14:paraId="73B68F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3721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1.2.8.3</w:t>
            </w:r>
          </w:p>
        </w:tc>
        <w:tc>
          <w:tcPr>
            <w:tcW w:w="6982" w:type="dxa"/>
            <w:tcBorders>
              <w:tl2br w:val="nil"/>
              <w:tr2bl w:val="nil"/>
            </w:tcBorders>
            <w:vAlign w:val="center"/>
          </w:tcPr>
          <w:p w14:paraId="326CB0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支持多份病历同屏平铺参考编辑功能，即：多份病历同时平铺在屏幕上，实现快速参考编辑，而无需切换打开或者切换 tab 页等操作</w:t>
            </w:r>
          </w:p>
        </w:tc>
        <w:tc>
          <w:tcPr>
            <w:tcW w:w="870" w:type="dxa"/>
            <w:vMerge w:val="continue"/>
            <w:tcBorders>
              <w:tl2br w:val="nil"/>
              <w:tr2bl w:val="nil"/>
            </w:tcBorders>
            <w:noWrap/>
            <w:vAlign w:val="center"/>
          </w:tcPr>
          <w:p w14:paraId="66003603">
            <w:pPr>
              <w:spacing w:line="360" w:lineRule="auto"/>
              <w:jc w:val="center"/>
              <w:rPr>
                <w:rFonts w:hint="eastAsia" w:ascii="宋体" w:hAnsi="宋体" w:cs="宋体"/>
                <w:color w:val="auto"/>
                <w:sz w:val="21"/>
                <w:szCs w:val="21"/>
                <w:highlight w:val="none"/>
              </w:rPr>
            </w:pPr>
          </w:p>
        </w:tc>
      </w:tr>
      <w:tr w14:paraId="27FDAD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CCCC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1.2.8.4</w:t>
            </w:r>
          </w:p>
        </w:tc>
        <w:tc>
          <w:tcPr>
            <w:tcW w:w="6982" w:type="dxa"/>
            <w:tcBorders>
              <w:tl2br w:val="nil"/>
              <w:tr2bl w:val="nil"/>
            </w:tcBorders>
            <w:vAlign w:val="center"/>
          </w:tcPr>
          <w:p w14:paraId="709ABF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支持自动带入患者的身份信息、就诊信息，以及本次就诊已经书写过的内容，如主诉、诊断等</w:t>
            </w:r>
          </w:p>
        </w:tc>
        <w:tc>
          <w:tcPr>
            <w:tcW w:w="870" w:type="dxa"/>
            <w:vMerge w:val="continue"/>
            <w:tcBorders>
              <w:tl2br w:val="nil"/>
              <w:tr2bl w:val="nil"/>
            </w:tcBorders>
            <w:noWrap/>
            <w:vAlign w:val="center"/>
          </w:tcPr>
          <w:p w14:paraId="7BF5161B">
            <w:pPr>
              <w:spacing w:line="360" w:lineRule="auto"/>
              <w:jc w:val="center"/>
              <w:rPr>
                <w:rFonts w:hint="eastAsia" w:ascii="宋体" w:hAnsi="宋体" w:cs="宋体"/>
                <w:color w:val="auto"/>
                <w:sz w:val="21"/>
                <w:szCs w:val="21"/>
                <w:highlight w:val="none"/>
              </w:rPr>
            </w:pPr>
          </w:p>
        </w:tc>
      </w:tr>
      <w:tr w14:paraId="78A33D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3C8CB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△1.2.8.5</w:t>
            </w:r>
          </w:p>
        </w:tc>
        <w:tc>
          <w:tcPr>
            <w:tcW w:w="6982" w:type="dxa"/>
            <w:tcBorders>
              <w:tl2br w:val="nil"/>
              <w:tr2bl w:val="nil"/>
            </w:tcBorders>
            <w:vAlign w:val="center"/>
          </w:tcPr>
          <w:p w14:paraId="2235CC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支持引用患者历史文书书写的功能，满足同一个疾病反复住院治疗时，快速完成文书，同时支持结构化内容引用过来后完整不丢失。</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7E4D939B">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41A5101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EB2D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1.2.8.6</w:t>
            </w:r>
          </w:p>
        </w:tc>
        <w:tc>
          <w:tcPr>
            <w:tcW w:w="6982" w:type="dxa"/>
            <w:tcBorders>
              <w:tl2br w:val="nil"/>
              <w:tr2bl w:val="nil"/>
            </w:tcBorders>
            <w:vAlign w:val="center"/>
          </w:tcPr>
          <w:p w14:paraId="5FE5E2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患者病情稳定，应支持已书写病历自动带入当前病历的功能</w:t>
            </w:r>
          </w:p>
        </w:tc>
        <w:tc>
          <w:tcPr>
            <w:tcW w:w="870" w:type="dxa"/>
            <w:vMerge w:val="restart"/>
            <w:tcBorders>
              <w:tl2br w:val="nil"/>
              <w:tr2bl w:val="nil"/>
            </w:tcBorders>
            <w:noWrap/>
            <w:vAlign w:val="center"/>
          </w:tcPr>
          <w:p w14:paraId="12225355">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220BDF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D27B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1.2.8.7</w:t>
            </w:r>
          </w:p>
        </w:tc>
        <w:tc>
          <w:tcPr>
            <w:tcW w:w="6982" w:type="dxa"/>
            <w:tcBorders>
              <w:tl2br w:val="nil"/>
              <w:tr2bl w:val="nil"/>
            </w:tcBorders>
            <w:vAlign w:val="center"/>
          </w:tcPr>
          <w:p w14:paraId="2B808E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支持将检查报告、检验记录、体征记录、医嘱记录等其它业务系统所采集的数据手动导入到病历文书记录中，并可设置导入格式</w:t>
            </w:r>
          </w:p>
        </w:tc>
        <w:tc>
          <w:tcPr>
            <w:tcW w:w="870" w:type="dxa"/>
            <w:vMerge w:val="continue"/>
            <w:tcBorders>
              <w:tl2br w:val="nil"/>
              <w:tr2bl w:val="nil"/>
            </w:tcBorders>
            <w:noWrap/>
            <w:vAlign w:val="center"/>
          </w:tcPr>
          <w:p w14:paraId="4C386DF9">
            <w:pPr>
              <w:spacing w:line="360" w:lineRule="auto"/>
              <w:jc w:val="center"/>
              <w:rPr>
                <w:rFonts w:hint="eastAsia" w:ascii="宋体" w:hAnsi="宋体" w:cs="宋体"/>
                <w:color w:val="auto"/>
                <w:sz w:val="21"/>
                <w:szCs w:val="21"/>
                <w:highlight w:val="none"/>
              </w:rPr>
            </w:pPr>
          </w:p>
        </w:tc>
      </w:tr>
      <w:tr w14:paraId="0F9911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93C5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1.2.8.8</w:t>
            </w:r>
          </w:p>
        </w:tc>
        <w:tc>
          <w:tcPr>
            <w:tcW w:w="6982" w:type="dxa"/>
            <w:tcBorders>
              <w:tl2br w:val="nil"/>
              <w:tr2bl w:val="nil"/>
            </w:tcBorders>
            <w:vAlign w:val="center"/>
          </w:tcPr>
          <w:p w14:paraId="5B308B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支持任意临床数据自动带入病历文书功能，并且可由系统维护人员对带入规则进行维护</w:t>
            </w:r>
          </w:p>
        </w:tc>
        <w:tc>
          <w:tcPr>
            <w:tcW w:w="870" w:type="dxa"/>
            <w:vMerge w:val="continue"/>
            <w:tcBorders>
              <w:tl2br w:val="nil"/>
              <w:tr2bl w:val="nil"/>
            </w:tcBorders>
            <w:noWrap/>
            <w:vAlign w:val="center"/>
          </w:tcPr>
          <w:p w14:paraId="2FEF815B">
            <w:pPr>
              <w:spacing w:line="360" w:lineRule="auto"/>
              <w:jc w:val="center"/>
              <w:rPr>
                <w:rFonts w:hint="eastAsia" w:ascii="宋体" w:hAnsi="宋体" w:cs="宋体"/>
                <w:color w:val="auto"/>
                <w:sz w:val="21"/>
                <w:szCs w:val="21"/>
                <w:highlight w:val="none"/>
              </w:rPr>
            </w:pPr>
          </w:p>
        </w:tc>
      </w:tr>
      <w:tr w14:paraId="7835C2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E3F1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1.2.8.9</w:t>
            </w:r>
          </w:p>
        </w:tc>
        <w:tc>
          <w:tcPr>
            <w:tcW w:w="6982" w:type="dxa"/>
            <w:tcBorders>
              <w:tl2br w:val="nil"/>
              <w:tr2bl w:val="nil"/>
            </w:tcBorders>
            <w:vAlign w:val="center"/>
          </w:tcPr>
          <w:p w14:paraId="4AF363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支持医生可自行操作的任意病历文书间的内容互相带入</w:t>
            </w:r>
          </w:p>
        </w:tc>
        <w:tc>
          <w:tcPr>
            <w:tcW w:w="870" w:type="dxa"/>
            <w:vMerge w:val="continue"/>
            <w:tcBorders>
              <w:tl2br w:val="nil"/>
              <w:tr2bl w:val="nil"/>
            </w:tcBorders>
            <w:noWrap/>
            <w:vAlign w:val="center"/>
          </w:tcPr>
          <w:p w14:paraId="7A21D346">
            <w:pPr>
              <w:spacing w:line="360" w:lineRule="auto"/>
              <w:jc w:val="center"/>
              <w:rPr>
                <w:rFonts w:hint="eastAsia" w:ascii="宋体" w:hAnsi="宋体" w:cs="宋体"/>
                <w:color w:val="auto"/>
                <w:sz w:val="21"/>
                <w:szCs w:val="21"/>
                <w:highlight w:val="none"/>
              </w:rPr>
            </w:pPr>
          </w:p>
        </w:tc>
      </w:tr>
      <w:tr w14:paraId="60D790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8CF1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1.2.8.10</w:t>
            </w:r>
          </w:p>
        </w:tc>
        <w:tc>
          <w:tcPr>
            <w:tcW w:w="6982" w:type="dxa"/>
            <w:tcBorders>
              <w:tl2br w:val="nil"/>
              <w:tr2bl w:val="nil"/>
            </w:tcBorders>
            <w:vAlign w:val="center"/>
          </w:tcPr>
          <w:p w14:paraId="4CEEC3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支持上级或质控医师，对病历问题像微软 word 软件一样进行批注的功能</w:t>
            </w:r>
          </w:p>
        </w:tc>
        <w:tc>
          <w:tcPr>
            <w:tcW w:w="870" w:type="dxa"/>
            <w:vMerge w:val="continue"/>
            <w:tcBorders>
              <w:tl2br w:val="nil"/>
              <w:tr2bl w:val="nil"/>
            </w:tcBorders>
            <w:noWrap/>
            <w:vAlign w:val="center"/>
          </w:tcPr>
          <w:p w14:paraId="14177A31">
            <w:pPr>
              <w:spacing w:line="360" w:lineRule="auto"/>
              <w:jc w:val="center"/>
              <w:rPr>
                <w:rFonts w:hint="eastAsia" w:ascii="宋体" w:hAnsi="宋体" w:cs="宋体"/>
                <w:color w:val="auto"/>
                <w:sz w:val="21"/>
                <w:szCs w:val="21"/>
                <w:highlight w:val="none"/>
              </w:rPr>
            </w:pPr>
          </w:p>
        </w:tc>
      </w:tr>
      <w:tr w14:paraId="52DBBA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F3CDA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1.2.8.11</w:t>
            </w:r>
          </w:p>
        </w:tc>
        <w:tc>
          <w:tcPr>
            <w:tcW w:w="6982" w:type="dxa"/>
            <w:tcBorders>
              <w:tl2br w:val="nil"/>
              <w:tr2bl w:val="nil"/>
            </w:tcBorders>
            <w:vAlign w:val="center"/>
          </w:tcPr>
          <w:p w14:paraId="6EFB33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支持在病历文书中任意位置放置二维码和条形码</w:t>
            </w:r>
          </w:p>
        </w:tc>
        <w:tc>
          <w:tcPr>
            <w:tcW w:w="870" w:type="dxa"/>
            <w:vMerge w:val="continue"/>
            <w:tcBorders>
              <w:tl2br w:val="nil"/>
              <w:tr2bl w:val="nil"/>
            </w:tcBorders>
            <w:noWrap/>
            <w:vAlign w:val="center"/>
          </w:tcPr>
          <w:p w14:paraId="66823F09">
            <w:pPr>
              <w:spacing w:line="360" w:lineRule="auto"/>
              <w:jc w:val="center"/>
              <w:rPr>
                <w:rFonts w:hint="eastAsia" w:ascii="宋体" w:hAnsi="宋体" w:cs="宋体"/>
                <w:color w:val="auto"/>
                <w:sz w:val="21"/>
                <w:szCs w:val="21"/>
                <w:highlight w:val="none"/>
              </w:rPr>
            </w:pPr>
          </w:p>
        </w:tc>
      </w:tr>
      <w:tr w14:paraId="72A6B1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879D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1.2.8.12</w:t>
            </w:r>
          </w:p>
        </w:tc>
        <w:tc>
          <w:tcPr>
            <w:tcW w:w="6982" w:type="dxa"/>
            <w:tcBorders>
              <w:tl2br w:val="nil"/>
              <w:tr2bl w:val="nil"/>
            </w:tcBorders>
            <w:vAlign w:val="center"/>
          </w:tcPr>
          <w:p w14:paraId="1624CB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支持常用的医学表达式，如月经史</w:t>
            </w:r>
          </w:p>
        </w:tc>
        <w:tc>
          <w:tcPr>
            <w:tcW w:w="870" w:type="dxa"/>
            <w:vMerge w:val="continue"/>
            <w:tcBorders>
              <w:tl2br w:val="nil"/>
              <w:tr2bl w:val="nil"/>
            </w:tcBorders>
            <w:noWrap/>
            <w:vAlign w:val="center"/>
          </w:tcPr>
          <w:p w14:paraId="559D5FBC">
            <w:pPr>
              <w:spacing w:line="360" w:lineRule="auto"/>
              <w:jc w:val="center"/>
              <w:rPr>
                <w:rFonts w:hint="eastAsia" w:ascii="宋体" w:hAnsi="宋体" w:cs="宋体"/>
                <w:color w:val="auto"/>
                <w:sz w:val="21"/>
                <w:szCs w:val="21"/>
                <w:highlight w:val="none"/>
              </w:rPr>
            </w:pPr>
          </w:p>
        </w:tc>
      </w:tr>
      <w:tr w14:paraId="5389EE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1C0B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1.2.8.13</w:t>
            </w:r>
          </w:p>
        </w:tc>
        <w:tc>
          <w:tcPr>
            <w:tcW w:w="6982" w:type="dxa"/>
            <w:tcBorders>
              <w:tl2br w:val="nil"/>
              <w:tr2bl w:val="nil"/>
            </w:tcBorders>
            <w:vAlign w:val="center"/>
          </w:tcPr>
          <w:p w14:paraId="0D28B0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支持医学图片库，可由医生和科室自行导入和管理，同时提供全院级别的图片库</w:t>
            </w:r>
          </w:p>
        </w:tc>
        <w:tc>
          <w:tcPr>
            <w:tcW w:w="870" w:type="dxa"/>
            <w:vMerge w:val="continue"/>
            <w:tcBorders>
              <w:tl2br w:val="nil"/>
              <w:tr2bl w:val="nil"/>
            </w:tcBorders>
            <w:noWrap/>
            <w:vAlign w:val="center"/>
          </w:tcPr>
          <w:p w14:paraId="55982E26">
            <w:pPr>
              <w:spacing w:line="360" w:lineRule="auto"/>
              <w:jc w:val="center"/>
              <w:rPr>
                <w:rFonts w:hint="eastAsia" w:ascii="宋体" w:hAnsi="宋体" w:cs="宋体"/>
                <w:color w:val="auto"/>
                <w:sz w:val="21"/>
                <w:szCs w:val="21"/>
                <w:highlight w:val="none"/>
              </w:rPr>
            </w:pPr>
          </w:p>
        </w:tc>
      </w:tr>
      <w:tr w14:paraId="2780E0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2C74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1.2.8.14</w:t>
            </w:r>
          </w:p>
        </w:tc>
        <w:tc>
          <w:tcPr>
            <w:tcW w:w="6982" w:type="dxa"/>
            <w:tcBorders>
              <w:tl2br w:val="nil"/>
              <w:tr2bl w:val="nil"/>
            </w:tcBorders>
            <w:vAlign w:val="center"/>
          </w:tcPr>
          <w:p w14:paraId="7F0C10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支持病历文书中任意位置插入复选框、单选框、文本框、按钮等常用表单控件，基于此可实现入院评估单等表单文书的书写</w:t>
            </w:r>
          </w:p>
        </w:tc>
        <w:tc>
          <w:tcPr>
            <w:tcW w:w="870" w:type="dxa"/>
            <w:vMerge w:val="continue"/>
            <w:tcBorders>
              <w:tl2br w:val="nil"/>
              <w:tr2bl w:val="nil"/>
            </w:tcBorders>
            <w:noWrap/>
            <w:vAlign w:val="center"/>
          </w:tcPr>
          <w:p w14:paraId="7CF5F514">
            <w:pPr>
              <w:spacing w:line="360" w:lineRule="auto"/>
              <w:jc w:val="center"/>
              <w:rPr>
                <w:rFonts w:hint="eastAsia" w:ascii="宋体" w:hAnsi="宋体" w:cs="宋体"/>
                <w:color w:val="auto"/>
                <w:sz w:val="21"/>
                <w:szCs w:val="21"/>
                <w:highlight w:val="none"/>
              </w:rPr>
            </w:pPr>
          </w:p>
        </w:tc>
      </w:tr>
      <w:tr w14:paraId="25B796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15BE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1.2.8.15</w:t>
            </w:r>
          </w:p>
        </w:tc>
        <w:tc>
          <w:tcPr>
            <w:tcW w:w="6982" w:type="dxa"/>
            <w:tcBorders>
              <w:tl2br w:val="nil"/>
              <w:tr2bl w:val="nil"/>
            </w:tcBorders>
            <w:vAlign w:val="center"/>
          </w:tcPr>
          <w:p w14:paraId="326DDD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支持智能病历内容检查功能，避免缺项或者男女体征出现张冠李戴问题，并应支持后台维护人员可维护规则</w:t>
            </w:r>
          </w:p>
        </w:tc>
        <w:tc>
          <w:tcPr>
            <w:tcW w:w="870" w:type="dxa"/>
            <w:vMerge w:val="continue"/>
            <w:tcBorders>
              <w:tl2br w:val="nil"/>
              <w:tr2bl w:val="nil"/>
            </w:tcBorders>
            <w:noWrap/>
            <w:vAlign w:val="center"/>
          </w:tcPr>
          <w:p w14:paraId="34AD4984">
            <w:pPr>
              <w:spacing w:line="360" w:lineRule="auto"/>
              <w:jc w:val="center"/>
              <w:rPr>
                <w:rFonts w:hint="eastAsia" w:ascii="宋体" w:hAnsi="宋体" w:cs="宋体"/>
                <w:color w:val="auto"/>
                <w:sz w:val="21"/>
                <w:szCs w:val="21"/>
                <w:highlight w:val="none"/>
              </w:rPr>
            </w:pPr>
          </w:p>
        </w:tc>
      </w:tr>
      <w:tr w14:paraId="6165CC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10B2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1.2.8.16</w:t>
            </w:r>
          </w:p>
        </w:tc>
        <w:tc>
          <w:tcPr>
            <w:tcW w:w="6982" w:type="dxa"/>
            <w:tcBorders>
              <w:tl2br w:val="nil"/>
              <w:tr2bl w:val="nil"/>
            </w:tcBorders>
            <w:vAlign w:val="center"/>
          </w:tcPr>
          <w:p w14:paraId="7636BC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支持病历内容自动计算统计功能，比如自动计算评分、自动计算体重指数等，以及任意结构化元素内容的联动计算，并应支持信息中心自定义维护规则</w:t>
            </w:r>
          </w:p>
        </w:tc>
        <w:tc>
          <w:tcPr>
            <w:tcW w:w="870" w:type="dxa"/>
            <w:vMerge w:val="continue"/>
            <w:tcBorders>
              <w:tl2br w:val="nil"/>
              <w:tr2bl w:val="nil"/>
            </w:tcBorders>
            <w:noWrap/>
            <w:vAlign w:val="center"/>
          </w:tcPr>
          <w:p w14:paraId="1E0F0F16">
            <w:pPr>
              <w:spacing w:line="360" w:lineRule="auto"/>
              <w:jc w:val="center"/>
              <w:rPr>
                <w:rFonts w:hint="eastAsia" w:ascii="宋体" w:hAnsi="宋体" w:cs="宋体"/>
                <w:color w:val="auto"/>
                <w:sz w:val="21"/>
                <w:szCs w:val="21"/>
                <w:highlight w:val="none"/>
              </w:rPr>
            </w:pPr>
          </w:p>
        </w:tc>
      </w:tr>
      <w:tr w14:paraId="1BAB18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17DD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1.2.8.17</w:t>
            </w:r>
          </w:p>
        </w:tc>
        <w:tc>
          <w:tcPr>
            <w:tcW w:w="6982" w:type="dxa"/>
            <w:tcBorders>
              <w:tl2br w:val="nil"/>
              <w:tr2bl w:val="nil"/>
            </w:tcBorders>
            <w:vAlign w:val="center"/>
          </w:tcPr>
          <w:p w14:paraId="0AA200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支持手动调阅历史病历，并可手动导入到正在书写的病历</w:t>
            </w:r>
          </w:p>
        </w:tc>
        <w:tc>
          <w:tcPr>
            <w:tcW w:w="870" w:type="dxa"/>
            <w:vMerge w:val="continue"/>
            <w:tcBorders>
              <w:tl2br w:val="nil"/>
              <w:tr2bl w:val="nil"/>
            </w:tcBorders>
            <w:noWrap/>
            <w:vAlign w:val="center"/>
          </w:tcPr>
          <w:p w14:paraId="5102AD05">
            <w:pPr>
              <w:spacing w:line="360" w:lineRule="auto"/>
              <w:jc w:val="center"/>
              <w:rPr>
                <w:rFonts w:hint="eastAsia" w:ascii="宋体" w:hAnsi="宋体" w:cs="宋体"/>
                <w:color w:val="auto"/>
                <w:sz w:val="21"/>
                <w:szCs w:val="21"/>
                <w:highlight w:val="none"/>
              </w:rPr>
            </w:pPr>
          </w:p>
        </w:tc>
      </w:tr>
      <w:tr w14:paraId="37952F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9BC1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1.2.8.18</w:t>
            </w:r>
          </w:p>
        </w:tc>
        <w:tc>
          <w:tcPr>
            <w:tcW w:w="6982" w:type="dxa"/>
            <w:tcBorders>
              <w:tl2br w:val="nil"/>
              <w:tr2bl w:val="nil"/>
            </w:tcBorders>
            <w:vAlign w:val="center"/>
          </w:tcPr>
          <w:p w14:paraId="7A51D9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支持医护人员一键合并打印所有文书的功能</w:t>
            </w:r>
          </w:p>
        </w:tc>
        <w:tc>
          <w:tcPr>
            <w:tcW w:w="870" w:type="dxa"/>
            <w:vMerge w:val="continue"/>
            <w:tcBorders>
              <w:tl2br w:val="nil"/>
              <w:tr2bl w:val="nil"/>
            </w:tcBorders>
            <w:noWrap/>
            <w:vAlign w:val="center"/>
          </w:tcPr>
          <w:p w14:paraId="6C9FCFA0">
            <w:pPr>
              <w:spacing w:line="360" w:lineRule="auto"/>
              <w:jc w:val="center"/>
              <w:rPr>
                <w:rFonts w:hint="eastAsia" w:ascii="宋体" w:hAnsi="宋体" w:cs="宋体"/>
                <w:color w:val="auto"/>
                <w:sz w:val="21"/>
                <w:szCs w:val="21"/>
                <w:highlight w:val="none"/>
              </w:rPr>
            </w:pPr>
          </w:p>
        </w:tc>
      </w:tr>
      <w:tr w14:paraId="08E302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64C2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w:t>
            </w:r>
          </w:p>
        </w:tc>
        <w:tc>
          <w:tcPr>
            <w:tcW w:w="6982" w:type="dxa"/>
            <w:tcBorders>
              <w:tl2br w:val="nil"/>
              <w:tr2bl w:val="nil"/>
            </w:tcBorders>
            <w:vAlign w:val="center"/>
          </w:tcPr>
          <w:p w14:paraId="689E69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结构化导引式录入</w:t>
            </w:r>
          </w:p>
        </w:tc>
        <w:tc>
          <w:tcPr>
            <w:tcW w:w="870" w:type="dxa"/>
            <w:vMerge w:val="continue"/>
            <w:tcBorders>
              <w:tl2br w:val="nil"/>
              <w:tr2bl w:val="nil"/>
            </w:tcBorders>
            <w:noWrap/>
            <w:vAlign w:val="center"/>
          </w:tcPr>
          <w:p w14:paraId="345A33A1">
            <w:pPr>
              <w:spacing w:line="360" w:lineRule="auto"/>
              <w:jc w:val="center"/>
              <w:rPr>
                <w:rFonts w:hint="eastAsia" w:ascii="宋体" w:hAnsi="宋体" w:cs="宋体"/>
                <w:color w:val="auto"/>
                <w:sz w:val="21"/>
                <w:szCs w:val="21"/>
                <w:highlight w:val="none"/>
              </w:rPr>
            </w:pPr>
          </w:p>
        </w:tc>
      </w:tr>
      <w:tr w14:paraId="1CA1E4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4880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1.2.9.1</w:t>
            </w:r>
          </w:p>
        </w:tc>
        <w:tc>
          <w:tcPr>
            <w:tcW w:w="6982" w:type="dxa"/>
            <w:tcBorders>
              <w:tl2br w:val="nil"/>
              <w:tr2bl w:val="nil"/>
            </w:tcBorders>
            <w:vAlign w:val="center"/>
          </w:tcPr>
          <w:p w14:paraId="1637E0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支持结构化导引式录入功能，通过双击结构化元素即可快速完成录入</w:t>
            </w:r>
          </w:p>
        </w:tc>
        <w:tc>
          <w:tcPr>
            <w:tcW w:w="870" w:type="dxa"/>
            <w:vMerge w:val="continue"/>
            <w:tcBorders>
              <w:tl2br w:val="nil"/>
              <w:tr2bl w:val="nil"/>
            </w:tcBorders>
            <w:noWrap/>
            <w:vAlign w:val="center"/>
          </w:tcPr>
          <w:p w14:paraId="6146991D">
            <w:pPr>
              <w:spacing w:line="360" w:lineRule="auto"/>
              <w:jc w:val="center"/>
              <w:rPr>
                <w:rFonts w:hint="eastAsia" w:ascii="宋体" w:hAnsi="宋体" w:cs="宋体"/>
                <w:color w:val="auto"/>
                <w:sz w:val="21"/>
                <w:szCs w:val="21"/>
                <w:highlight w:val="none"/>
              </w:rPr>
            </w:pPr>
          </w:p>
        </w:tc>
      </w:tr>
      <w:tr w14:paraId="5F1DF1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4F2B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1.2.9.2</w:t>
            </w:r>
          </w:p>
        </w:tc>
        <w:tc>
          <w:tcPr>
            <w:tcW w:w="6982" w:type="dxa"/>
            <w:tcBorders>
              <w:tl2br w:val="nil"/>
              <w:tr2bl w:val="nil"/>
            </w:tcBorders>
            <w:vAlign w:val="center"/>
          </w:tcPr>
          <w:p w14:paraId="3E431B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支持以下几类结构化元素：文本输入元素（如主诉）、日期输入元素（如病史采集时间），双击弹出日期输入窗口、数值输入元素（如入院体温），双击弹出数值输入窗口、简单选项元素（如睡眠情况），双击弹出选项列表，可由用户自行编辑选项、级联选项元素，双击调出医疗专用知识库列表的功能，在病历录入中，当用户选择阳性症状或体征列表条目时，系统自动调出结构化的描述，为病历录入有效防止漏项；同时，用户选择后，还可以再次双击把列表调出来，选择其他非阳性症状或体征条目，重新调出对应描述（如饮酒史，吸烟史等，当用户选择有时，会引导用户继续结构化输入饮酒，吸烟等具体信息，当用户选择无时，则会自动插入无饮酒，吸烟史等）</w:t>
            </w:r>
          </w:p>
        </w:tc>
        <w:tc>
          <w:tcPr>
            <w:tcW w:w="870" w:type="dxa"/>
            <w:vMerge w:val="continue"/>
            <w:tcBorders>
              <w:tl2br w:val="nil"/>
              <w:tr2bl w:val="nil"/>
            </w:tcBorders>
            <w:noWrap/>
            <w:vAlign w:val="center"/>
          </w:tcPr>
          <w:p w14:paraId="0EF8CD2E">
            <w:pPr>
              <w:spacing w:line="360" w:lineRule="auto"/>
              <w:jc w:val="center"/>
              <w:rPr>
                <w:rFonts w:hint="eastAsia" w:ascii="宋体" w:hAnsi="宋体" w:cs="宋体"/>
                <w:color w:val="auto"/>
                <w:sz w:val="21"/>
                <w:szCs w:val="21"/>
                <w:highlight w:val="none"/>
              </w:rPr>
            </w:pPr>
          </w:p>
        </w:tc>
      </w:tr>
      <w:tr w14:paraId="26BDFB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DC0D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1.2.9.3</w:t>
            </w:r>
          </w:p>
        </w:tc>
        <w:tc>
          <w:tcPr>
            <w:tcW w:w="6982" w:type="dxa"/>
            <w:tcBorders>
              <w:tl2br w:val="nil"/>
              <w:tr2bl w:val="nil"/>
            </w:tcBorders>
            <w:vAlign w:val="center"/>
          </w:tcPr>
          <w:p w14:paraId="24ADBF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支持元素设置为只读、不可删除、不可复制、不可自由录入，以及录入数据范围有效性校验等特性设置</w:t>
            </w:r>
          </w:p>
        </w:tc>
        <w:tc>
          <w:tcPr>
            <w:tcW w:w="870" w:type="dxa"/>
            <w:vMerge w:val="continue"/>
            <w:tcBorders>
              <w:tl2br w:val="nil"/>
              <w:tr2bl w:val="nil"/>
            </w:tcBorders>
            <w:noWrap/>
            <w:vAlign w:val="center"/>
          </w:tcPr>
          <w:p w14:paraId="048DD7BB">
            <w:pPr>
              <w:spacing w:line="360" w:lineRule="auto"/>
              <w:jc w:val="center"/>
              <w:rPr>
                <w:rFonts w:hint="eastAsia" w:ascii="宋体" w:hAnsi="宋体" w:cs="宋体"/>
                <w:color w:val="auto"/>
                <w:sz w:val="21"/>
                <w:szCs w:val="21"/>
                <w:highlight w:val="none"/>
              </w:rPr>
            </w:pPr>
          </w:p>
        </w:tc>
      </w:tr>
      <w:tr w14:paraId="5EC5FA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8A18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1.2.9.4</w:t>
            </w:r>
          </w:p>
        </w:tc>
        <w:tc>
          <w:tcPr>
            <w:tcW w:w="6982" w:type="dxa"/>
            <w:tcBorders>
              <w:tl2br w:val="nil"/>
              <w:tr2bl w:val="nil"/>
            </w:tcBorders>
            <w:vAlign w:val="center"/>
          </w:tcPr>
          <w:p w14:paraId="46F5B0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提供结构化元素库功能，统一对结构化元素进行管理</w:t>
            </w:r>
          </w:p>
        </w:tc>
        <w:tc>
          <w:tcPr>
            <w:tcW w:w="870" w:type="dxa"/>
            <w:vMerge w:val="continue"/>
            <w:tcBorders>
              <w:tl2br w:val="nil"/>
              <w:tr2bl w:val="nil"/>
            </w:tcBorders>
            <w:noWrap/>
            <w:vAlign w:val="center"/>
          </w:tcPr>
          <w:p w14:paraId="39DDD8C8">
            <w:pPr>
              <w:spacing w:line="360" w:lineRule="auto"/>
              <w:jc w:val="center"/>
              <w:rPr>
                <w:rFonts w:hint="eastAsia" w:ascii="宋体" w:hAnsi="宋体" w:cs="宋体"/>
                <w:color w:val="auto"/>
                <w:sz w:val="21"/>
                <w:szCs w:val="21"/>
                <w:highlight w:val="none"/>
              </w:rPr>
            </w:pPr>
          </w:p>
        </w:tc>
      </w:tr>
      <w:tr w14:paraId="4963FF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E757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1.2.9.5</w:t>
            </w:r>
          </w:p>
        </w:tc>
        <w:tc>
          <w:tcPr>
            <w:tcW w:w="6982" w:type="dxa"/>
            <w:tcBorders>
              <w:tl2br w:val="nil"/>
              <w:tr2bl w:val="nil"/>
            </w:tcBorders>
            <w:vAlign w:val="center"/>
          </w:tcPr>
          <w:p w14:paraId="02C75C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支持结构化元素内容被修改时也保留痕迹</w:t>
            </w:r>
          </w:p>
        </w:tc>
        <w:tc>
          <w:tcPr>
            <w:tcW w:w="870" w:type="dxa"/>
            <w:vMerge w:val="continue"/>
            <w:tcBorders>
              <w:tl2br w:val="nil"/>
              <w:tr2bl w:val="nil"/>
            </w:tcBorders>
            <w:noWrap/>
            <w:vAlign w:val="center"/>
          </w:tcPr>
          <w:p w14:paraId="3CDD6E1A">
            <w:pPr>
              <w:spacing w:line="360" w:lineRule="auto"/>
              <w:jc w:val="center"/>
              <w:rPr>
                <w:rFonts w:hint="eastAsia" w:ascii="宋体" w:hAnsi="宋体" w:cs="宋体"/>
                <w:color w:val="auto"/>
                <w:sz w:val="21"/>
                <w:szCs w:val="21"/>
                <w:highlight w:val="none"/>
              </w:rPr>
            </w:pPr>
          </w:p>
        </w:tc>
      </w:tr>
      <w:tr w14:paraId="13C38D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2B4B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1.2.9.6</w:t>
            </w:r>
          </w:p>
        </w:tc>
        <w:tc>
          <w:tcPr>
            <w:tcW w:w="6982" w:type="dxa"/>
            <w:tcBorders>
              <w:tl2br w:val="nil"/>
              <w:tr2bl w:val="nil"/>
            </w:tcBorders>
            <w:vAlign w:val="center"/>
          </w:tcPr>
          <w:p w14:paraId="5B0177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支持结构化元素内容拖拽</w:t>
            </w:r>
          </w:p>
        </w:tc>
        <w:tc>
          <w:tcPr>
            <w:tcW w:w="870" w:type="dxa"/>
            <w:vMerge w:val="continue"/>
            <w:tcBorders>
              <w:tl2br w:val="nil"/>
              <w:tr2bl w:val="nil"/>
            </w:tcBorders>
            <w:noWrap/>
            <w:vAlign w:val="center"/>
          </w:tcPr>
          <w:p w14:paraId="4ECE13CB">
            <w:pPr>
              <w:spacing w:line="360" w:lineRule="auto"/>
              <w:jc w:val="center"/>
              <w:rPr>
                <w:rFonts w:hint="eastAsia" w:ascii="宋体" w:hAnsi="宋体" w:cs="宋体"/>
                <w:color w:val="auto"/>
                <w:sz w:val="21"/>
                <w:szCs w:val="21"/>
                <w:highlight w:val="none"/>
              </w:rPr>
            </w:pPr>
          </w:p>
        </w:tc>
      </w:tr>
      <w:tr w14:paraId="1BB1C2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72B1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1.2.9.7</w:t>
            </w:r>
          </w:p>
        </w:tc>
        <w:tc>
          <w:tcPr>
            <w:tcW w:w="6982" w:type="dxa"/>
            <w:tcBorders>
              <w:tl2br w:val="nil"/>
              <w:tr2bl w:val="nil"/>
            </w:tcBorders>
            <w:vAlign w:val="center"/>
          </w:tcPr>
          <w:p w14:paraId="26263E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支持结构化元素任意嵌套子级结构化元素</w:t>
            </w:r>
          </w:p>
        </w:tc>
        <w:tc>
          <w:tcPr>
            <w:tcW w:w="870" w:type="dxa"/>
            <w:vMerge w:val="continue"/>
            <w:tcBorders>
              <w:tl2br w:val="nil"/>
              <w:tr2bl w:val="nil"/>
            </w:tcBorders>
            <w:noWrap/>
            <w:vAlign w:val="center"/>
          </w:tcPr>
          <w:p w14:paraId="5A0ADB9B">
            <w:pPr>
              <w:spacing w:line="360" w:lineRule="auto"/>
              <w:jc w:val="center"/>
              <w:rPr>
                <w:rFonts w:hint="eastAsia" w:ascii="宋体" w:hAnsi="宋体" w:cs="宋体"/>
                <w:color w:val="auto"/>
                <w:sz w:val="21"/>
                <w:szCs w:val="21"/>
                <w:highlight w:val="none"/>
              </w:rPr>
            </w:pPr>
          </w:p>
        </w:tc>
      </w:tr>
      <w:tr w14:paraId="33663A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DA58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1.2.9.8</w:t>
            </w:r>
          </w:p>
        </w:tc>
        <w:tc>
          <w:tcPr>
            <w:tcW w:w="6982" w:type="dxa"/>
            <w:tcBorders>
              <w:tl2br w:val="nil"/>
              <w:tr2bl w:val="nil"/>
            </w:tcBorders>
            <w:vAlign w:val="center"/>
          </w:tcPr>
          <w:p w14:paraId="6A8D10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支持结构化元素内插入图片和表格，以及其他任意子级结构化元素</w:t>
            </w:r>
          </w:p>
        </w:tc>
        <w:tc>
          <w:tcPr>
            <w:tcW w:w="870" w:type="dxa"/>
            <w:vMerge w:val="continue"/>
            <w:tcBorders>
              <w:tl2br w:val="nil"/>
              <w:tr2bl w:val="nil"/>
            </w:tcBorders>
            <w:noWrap/>
            <w:vAlign w:val="center"/>
          </w:tcPr>
          <w:p w14:paraId="14BEE80E">
            <w:pPr>
              <w:spacing w:line="360" w:lineRule="auto"/>
              <w:jc w:val="center"/>
              <w:rPr>
                <w:rFonts w:hint="eastAsia" w:ascii="宋体" w:hAnsi="宋体" w:cs="宋体"/>
                <w:color w:val="auto"/>
                <w:sz w:val="21"/>
                <w:szCs w:val="21"/>
                <w:highlight w:val="none"/>
              </w:rPr>
            </w:pPr>
          </w:p>
        </w:tc>
      </w:tr>
      <w:tr w14:paraId="6A5044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8AE4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1.2.10</w:t>
            </w:r>
          </w:p>
        </w:tc>
        <w:tc>
          <w:tcPr>
            <w:tcW w:w="6982" w:type="dxa"/>
            <w:tcBorders>
              <w:tl2br w:val="nil"/>
              <w:tr2bl w:val="nil"/>
            </w:tcBorders>
            <w:vAlign w:val="center"/>
          </w:tcPr>
          <w:p w14:paraId="4856B1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修改痕迹保留</w:t>
            </w:r>
          </w:p>
        </w:tc>
        <w:tc>
          <w:tcPr>
            <w:tcW w:w="870" w:type="dxa"/>
            <w:vMerge w:val="continue"/>
            <w:tcBorders>
              <w:tl2br w:val="nil"/>
              <w:tr2bl w:val="nil"/>
            </w:tcBorders>
            <w:noWrap/>
            <w:vAlign w:val="center"/>
          </w:tcPr>
          <w:p w14:paraId="06F6DFF3">
            <w:pPr>
              <w:spacing w:line="360" w:lineRule="auto"/>
              <w:jc w:val="center"/>
              <w:rPr>
                <w:rFonts w:hint="eastAsia" w:ascii="宋体" w:hAnsi="宋体" w:cs="宋体"/>
                <w:color w:val="auto"/>
                <w:sz w:val="21"/>
                <w:szCs w:val="21"/>
                <w:highlight w:val="none"/>
              </w:rPr>
            </w:pPr>
          </w:p>
        </w:tc>
      </w:tr>
      <w:tr w14:paraId="60F54A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93C3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1.2.10.1</w:t>
            </w:r>
          </w:p>
        </w:tc>
        <w:tc>
          <w:tcPr>
            <w:tcW w:w="6982" w:type="dxa"/>
            <w:tcBorders>
              <w:tl2br w:val="nil"/>
              <w:tr2bl w:val="nil"/>
            </w:tcBorders>
            <w:vAlign w:val="center"/>
          </w:tcPr>
          <w:p w14:paraId="2A1366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支持修改痕迹保留功能。从病历新建到最终完成，任意一次的修改痕迹均可追溯，修改痕迹可随时隐藏和显示</w:t>
            </w:r>
          </w:p>
        </w:tc>
        <w:tc>
          <w:tcPr>
            <w:tcW w:w="870" w:type="dxa"/>
            <w:vMerge w:val="continue"/>
            <w:tcBorders>
              <w:tl2br w:val="nil"/>
              <w:tr2bl w:val="nil"/>
            </w:tcBorders>
            <w:noWrap/>
            <w:vAlign w:val="center"/>
          </w:tcPr>
          <w:p w14:paraId="5F5E45E6">
            <w:pPr>
              <w:spacing w:line="360" w:lineRule="auto"/>
              <w:jc w:val="center"/>
              <w:rPr>
                <w:rFonts w:hint="eastAsia" w:ascii="宋体" w:hAnsi="宋体" w:cs="宋体"/>
                <w:color w:val="auto"/>
                <w:sz w:val="21"/>
                <w:szCs w:val="21"/>
                <w:highlight w:val="none"/>
              </w:rPr>
            </w:pPr>
          </w:p>
        </w:tc>
      </w:tr>
      <w:tr w14:paraId="532189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B27C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1.2.10.2</w:t>
            </w:r>
          </w:p>
        </w:tc>
        <w:tc>
          <w:tcPr>
            <w:tcW w:w="6982" w:type="dxa"/>
            <w:tcBorders>
              <w:tl2br w:val="nil"/>
              <w:tr2bl w:val="nil"/>
            </w:tcBorders>
            <w:vAlign w:val="center"/>
          </w:tcPr>
          <w:p w14:paraId="303C66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支持医生在编辑病历的过程中，就隐藏掉修改痕迹，干净整洁的编辑，以免打扰医生正常书写思维，仅需要时再点击工具栏按钮显示</w:t>
            </w:r>
          </w:p>
        </w:tc>
        <w:tc>
          <w:tcPr>
            <w:tcW w:w="870" w:type="dxa"/>
            <w:vMerge w:val="continue"/>
            <w:tcBorders>
              <w:tl2br w:val="nil"/>
              <w:tr2bl w:val="nil"/>
            </w:tcBorders>
            <w:noWrap/>
            <w:vAlign w:val="center"/>
          </w:tcPr>
          <w:p w14:paraId="5815A054">
            <w:pPr>
              <w:spacing w:line="360" w:lineRule="auto"/>
              <w:jc w:val="center"/>
              <w:rPr>
                <w:rFonts w:hint="eastAsia" w:ascii="宋体" w:hAnsi="宋体" w:cs="宋体"/>
                <w:color w:val="auto"/>
                <w:sz w:val="21"/>
                <w:szCs w:val="21"/>
                <w:highlight w:val="none"/>
              </w:rPr>
            </w:pPr>
          </w:p>
        </w:tc>
      </w:tr>
      <w:tr w14:paraId="00920B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A64F4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1.2.10.3</w:t>
            </w:r>
          </w:p>
        </w:tc>
        <w:tc>
          <w:tcPr>
            <w:tcW w:w="6982" w:type="dxa"/>
            <w:tcBorders>
              <w:tl2br w:val="nil"/>
              <w:tr2bl w:val="nil"/>
            </w:tcBorders>
            <w:vAlign w:val="center"/>
          </w:tcPr>
          <w:p w14:paraId="2EEAF9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支持与微软 word 软件类似的修改痕迹列表功能，同时应支持按修改人员、修改时间、修改位置等自由排序，双击可定位到修改位置处</w:t>
            </w:r>
          </w:p>
        </w:tc>
        <w:tc>
          <w:tcPr>
            <w:tcW w:w="870" w:type="dxa"/>
            <w:vMerge w:val="continue"/>
            <w:tcBorders>
              <w:tl2br w:val="nil"/>
              <w:tr2bl w:val="nil"/>
            </w:tcBorders>
            <w:noWrap/>
            <w:vAlign w:val="center"/>
          </w:tcPr>
          <w:p w14:paraId="158A38D5">
            <w:pPr>
              <w:spacing w:line="360" w:lineRule="auto"/>
              <w:jc w:val="center"/>
              <w:rPr>
                <w:rFonts w:hint="eastAsia" w:ascii="宋体" w:hAnsi="宋体" w:cs="宋体"/>
                <w:color w:val="auto"/>
                <w:sz w:val="21"/>
                <w:szCs w:val="21"/>
                <w:highlight w:val="none"/>
              </w:rPr>
            </w:pPr>
          </w:p>
        </w:tc>
      </w:tr>
      <w:tr w14:paraId="7F12DD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9918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1.2.10.4</w:t>
            </w:r>
          </w:p>
        </w:tc>
        <w:tc>
          <w:tcPr>
            <w:tcW w:w="6982" w:type="dxa"/>
            <w:tcBorders>
              <w:tl2br w:val="nil"/>
              <w:tr2bl w:val="nil"/>
            </w:tcBorders>
            <w:vAlign w:val="center"/>
          </w:tcPr>
          <w:p w14:paraId="48CF35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支持修改痕迹高亮显示的功能，帮助医师快速定位到指定的修改痕迹</w:t>
            </w:r>
          </w:p>
        </w:tc>
        <w:tc>
          <w:tcPr>
            <w:tcW w:w="870" w:type="dxa"/>
            <w:vMerge w:val="continue"/>
            <w:tcBorders>
              <w:tl2br w:val="nil"/>
              <w:tr2bl w:val="nil"/>
            </w:tcBorders>
            <w:noWrap/>
            <w:vAlign w:val="center"/>
          </w:tcPr>
          <w:p w14:paraId="322713EF">
            <w:pPr>
              <w:spacing w:line="360" w:lineRule="auto"/>
              <w:jc w:val="center"/>
              <w:rPr>
                <w:rFonts w:hint="eastAsia" w:ascii="宋体" w:hAnsi="宋体" w:cs="宋体"/>
                <w:color w:val="auto"/>
                <w:sz w:val="21"/>
                <w:szCs w:val="21"/>
                <w:highlight w:val="none"/>
              </w:rPr>
            </w:pPr>
          </w:p>
        </w:tc>
      </w:tr>
      <w:tr w14:paraId="1F700B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5124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w:t>
            </w:r>
          </w:p>
        </w:tc>
        <w:tc>
          <w:tcPr>
            <w:tcW w:w="6982" w:type="dxa"/>
            <w:tcBorders>
              <w:tl2br w:val="nil"/>
              <w:tr2bl w:val="nil"/>
            </w:tcBorders>
            <w:vAlign w:val="center"/>
          </w:tcPr>
          <w:p w14:paraId="661DB3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病历打印</w:t>
            </w:r>
          </w:p>
        </w:tc>
        <w:tc>
          <w:tcPr>
            <w:tcW w:w="870" w:type="dxa"/>
            <w:vMerge w:val="continue"/>
            <w:tcBorders>
              <w:tl2br w:val="nil"/>
              <w:tr2bl w:val="nil"/>
            </w:tcBorders>
            <w:noWrap/>
            <w:vAlign w:val="center"/>
          </w:tcPr>
          <w:p w14:paraId="5D4DD575">
            <w:pPr>
              <w:spacing w:line="360" w:lineRule="auto"/>
              <w:jc w:val="center"/>
              <w:rPr>
                <w:rFonts w:hint="eastAsia" w:ascii="宋体" w:hAnsi="宋体" w:cs="宋体"/>
                <w:color w:val="auto"/>
                <w:sz w:val="21"/>
                <w:szCs w:val="21"/>
                <w:highlight w:val="none"/>
              </w:rPr>
            </w:pPr>
          </w:p>
        </w:tc>
      </w:tr>
      <w:tr w14:paraId="1296C9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719E6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1.2.11.1</w:t>
            </w:r>
          </w:p>
        </w:tc>
        <w:tc>
          <w:tcPr>
            <w:tcW w:w="6982" w:type="dxa"/>
            <w:tcBorders>
              <w:tl2br w:val="nil"/>
              <w:tr2bl w:val="nil"/>
            </w:tcBorders>
            <w:vAlign w:val="center"/>
          </w:tcPr>
          <w:p w14:paraId="559F53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支持打印所有页</w:t>
            </w:r>
          </w:p>
        </w:tc>
        <w:tc>
          <w:tcPr>
            <w:tcW w:w="870" w:type="dxa"/>
            <w:vMerge w:val="continue"/>
            <w:tcBorders>
              <w:tl2br w:val="nil"/>
              <w:tr2bl w:val="nil"/>
            </w:tcBorders>
            <w:noWrap/>
            <w:vAlign w:val="center"/>
          </w:tcPr>
          <w:p w14:paraId="15471D94">
            <w:pPr>
              <w:spacing w:line="360" w:lineRule="auto"/>
              <w:jc w:val="center"/>
              <w:rPr>
                <w:rFonts w:hint="eastAsia" w:ascii="宋体" w:hAnsi="宋体" w:cs="宋体"/>
                <w:color w:val="auto"/>
                <w:sz w:val="21"/>
                <w:szCs w:val="21"/>
                <w:highlight w:val="none"/>
              </w:rPr>
            </w:pPr>
          </w:p>
        </w:tc>
      </w:tr>
      <w:tr w14:paraId="0C14C1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263A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1.2.11.2</w:t>
            </w:r>
          </w:p>
        </w:tc>
        <w:tc>
          <w:tcPr>
            <w:tcW w:w="6982" w:type="dxa"/>
            <w:tcBorders>
              <w:tl2br w:val="nil"/>
              <w:tr2bl w:val="nil"/>
            </w:tcBorders>
            <w:vAlign w:val="center"/>
          </w:tcPr>
          <w:p w14:paraId="22E7B6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支持打印指定页，或指定页面范围的页</w:t>
            </w:r>
          </w:p>
        </w:tc>
        <w:tc>
          <w:tcPr>
            <w:tcW w:w="870" w:type="dxa"/>
            <w:vMerge w:val="continue"/>
            <w:tcBorders>
              <w:tl2br w:val="nil"/>
              <w:tr2bl w:val="nil"/>
            </w:tcBorders>
            <w:noWrap/>
            <w:vAlign w:val="center"/>
          </w:tcPr>
          <w:p w14:paraId="77F216E0">
            <w:pPr>
              <w:spacing w:line="360" w:lineRule="auto"/>
              <w:jc w:val="center"/>
              <w:rPr>
                <w:rFonts w:hint="eastAsia" w:ascii="宋体" w:hAnsi="宋体" w:cs="宋体"/>
                <w:color w:val="auto"/>
                <w:sz w:val="21"/>
                <w:szCs w:val="21"/>
                <w:highlight w:val="none"/>
              </w:rPr>
            </w:pPr>
          </w:p>
        </w:tc>
      </w:tr>
      <w:tr w14:paraId="64233F4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5670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1.2.11.3</w:t>
            </w:r>
          </w:p>
        </w:tc>
        <w:tc>
          <w:tcPr>
            <w:tcW w:w="6982" w:type="dxa"/>
            <w:tcBorders>
              <w:tl2br w:val="nil"/>
              <w:tr2bl w:val="nil"/>
            </w:tcBorders>
            <w:vAlign w:val="center"/>
          </w:tcPr>
          <w:p w14:paraId="1E98FB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支持打印选中区域</w:t>
            </w:r>
          </w:p>
        </w:tc>
        <w:tc>
          <w:tcPr>
            <w:tcW w:w="870" w:type="dxa"/>
            <w:vMerge w:val="continue"/>
            <w:tcBorders>
              <w:tl2br w:val="nil"/>
              <w:tr2bl w:val="nil"/>
            </w:tcBorders>
            <w:noWrap/>
            <w:vAlign w:val="center"/>
          </w:tcPr>
          <w:p w14:paraId="1D963749">
            <w:pPr>
              <w:spacing w:line="360" w:lineRule="auto"/>
              <w:jc w:val="center"/>
              <w:rPr>
                <w:rFonts w:hint="eastAsia" w:ascii="宋体" w:hAnsi="宋体" w:cs="宋体"/>
                <w:color w:val="auto"/>
                <w:sz w:val="21"/>
                <w:szCs w:val="21"/>
                <w:highlight w:val="none"/>
              </w:rPr>
            </w:pPr>
          </w:p>
        </w:tc>
      </w:tr>
      <w:tr w14:paraId="19D86A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D526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1.2.11.4</w:t>
            </w:r>
          </w:p>
        </w:tc>
        <w:tc>
          <w:tcPr>
            <w:tcW w:w="6982" w:type="dxa"/>
            <w:tcBorders>
              <w:tl2br w:val="nil"/>
              <w:tr2bl w:val="nil"/>
            </w:tcBorders>
            <w:vAlign w:val="center"/>
          </w:tcPr>
          <w:p w14:paraId="1728DF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支持病程记录续打，可指定从哪一份病程开始续打，也应支持可指定从哪一行开始续打</w:t>
            </w:r>
          </w:p>
        </w:tc>
        <w:tc>
          <w:tcPr>
            <w:tcW w:w="870" w:type="dxa"/>
            <w:vMerge w:val="continue"/>
            <w:tcBorders>
              <w:tl2br w:val="nil"/>
              <w:tr2bl w:val="nil"/>
            </w:tcBorders>
            <w:noWrap/>
            <w:vAlign w:val="center"/>
          </w:tcPr>
          <w:p w14:paraId="068C7C97">
            <w:pPr>
              <w:spacing w:line="360" w:lineRule="auto"/>
              <w:jc w:val="center"/>
              <w:rPr>
                <w:rFonts w:hint="eastAsia" w:ascii="宋体" w:hAnsi="宋体" w:cs="宋体"/>
                <w:color w:val="auto"/>
                <w:sz w:val="21"/>
                <w:szCs w:val="21"/>
                <w:highlight w:val="none"/>
              </w:rPr>
            </w:pPr>
          </w:p>
        </w:tc>
      </w:tr>
      <w:tr w14:paraId="364801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AD4B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1.2.11.5</w:t>
            </w:r>
          </w:p>
        </w:tc>
        <w:tc>
          <w:tcPr>
            <w:tcW w:w="6982" w:type="dxa"/>
            <w:tcBorders>
              <w:tl2br w:val="nil"/>
              <w:tr2bl w:val="nil"/>
            </w:tcBorders>
            <w:vAlign w:val="center"/>
          </w:tcPr>
          <w:p w14:paraId="2DE63D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支持手动的，自动的双面打印功能</w:t>
            </w:r>
          </w:p>
        </w:tc>
        <w:tc>
          <w:tcPr>
            <w:tcW w:w="870" w:type="dxa"/>
            <w:vMerge w:val="continue"/>
            <w:tcBorders>
              <w:tl2br w:val="nil"/>
              <w:tr2bl w:val="nil"/>
            </w:tcBorders>
            <w:noWrap/>
            <w:vAlign w:val="center"/>
          </w:tcPr>
          <w:p w14:paraId="0864C31B">
            <w:pPr>
              <w:spacing w:line="360" w:lineRule="auto"/>
              <w:jc w:val="center"/>
              <w:rPr>
                <w:rFonts w:hint="eastAsia" w:ascii="宋体" w:hAnsi="宋体" w:cs="宋体"/>
                <w:color w:val="auto"/>
                <w:sz w:val="21"/>
                <w:szCs w:val="21"/>
                <w:highlight w:val="none"/>
              </w:rPr>
            </w:pPr>
          </w:p>
        </w:tc>
      </w:tr>
      <w:tr w14:paraId="341965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59FB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w:t>
            </w:r>
          </w:p>
        </w:tc>
        <w:tc>
          <w:tcPr>
            <w:tcW w:w="6982" w:type="dxa"/>
            <w:tcBorders>
              <w:tl2br w:val="nil"/>
              <w:tr2bl w:val="nil"/>
            </w:tcBorders>
            <w:vAlign w:val="center"/>
          </w:tcPr>
          <w:p w14:paraId="32DB31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病历检索</w:t>
            </w:r>
          </w:p>
        </w:tc>
        <w:tc>
          <w:tcPr>
            <w:tcW w:w="870" w:type="dxa"/>
            <w:vMerge w:val="continue"/>
            <w:tcBorders>
              <w:tl2br w:val="nil"/>
              <w:tr2bl w:val="nil"/>
            </w:tcBorders>
            <w:noWrap/>
            <w:vAlign w:val="center"/>
          </w:tcPr>
          <w:p w14:paraId="02E54194">
            <w:pPr>
              <w:spacing w:line="360" w:lineRule="auto"/>
              <w:jc w:val="center"/>
              <w:rPr>
                <w:rFonts w:hint="eastAsia" w:ascii="宋体" w:hAnsi="宋体" w:cs="宋体"/>
                <w:color w:val="auto"/>
                <w:sz w:val="21"/>
                <w:szCs w:val="21"/>
                <w:highlight w:val="none"/>
              </w:rPr>
            </w:pPr>
          </w:p>
        </w:tc>
      </w:tr>
      <w:tr w14:paraId="4440D4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C0F7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1.2.12.1</w:t>
            </w:r>
          </w:p>
        </w:tc>
        <w:tc>
          <w:tcPr>
            <w:tcW w:w="6982" w:type="dxa"/>
            <w:tcBorders>
              <w:tl2br w:val="nil"/>
              <w:tr2bl w:val="nil"/>
            </w:tcBorders>
            <w:vAlign w:val="center"/>
          </w:tcPr>
          <w:p w14:paraId="198838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提供独立的病历检索子系统</w:t>
            </w:r>
          </w:p>
        </w:tc>
        <w:tc>
          <w:tcPr>
            <w:tcW w:w="870" w:type="dxa"/>
            <w:vMerge w:val="continue"/>
            <w:tcBorders>
              <w:tl2br w:val="nil"/>
              <w:tr2bl w:val="nil"/>
            </w:tcBorders>
            <w:noWrap/>
            <w:vAlign w:val="center"/>
          </w:tcPr>
          <w:p w14:paraId="325F7BFD">
            <w:pPr>
              <w:spacing w:line="360" w:lineRule="auto"/>
              <w:jc w:val="center"/>
              <w:rPr>
                <w:rFonts w:hint="eastAsia" w:ascii="宋体" w:hAnsi="宋体" w:cs="宋体"/>
                <w:color w:val="auto"/>
                <w:sz w:val="21"/>
                <w:szCs w:val="21"/>
                <w:highlight w:val="none"/>
              </w:rPr>
            </w:pPr>
          </w:p>
        </w:tc>
      </w:tr>
      <w:tr w14:paraId="07EF64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9C69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1.2.12.2</w:t>
            </w:r>
          </w:p>
        </w:tc>
        <w:tc>
          <w:tcPr>
            <w:tcW w:w="6982" w:type="dxa"/>
            <w:tcBorders>
              <w:tl2br w:val="nil"/>
              <w:tr2bl w:val="nil"/>
            </w:tcBorders>
            <w:vAlign w:val="center"/>
          </w:tcPr>
          <w:p w14:paraId="3B8C6C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支持全文检索，可对病历文书中医护人员书写的任意文本进行自定义条件的检索</w:t>
            </w:r>
          </w:p>
        </w:tc>
        <w:tc>
          <w:tcPr>
            <w:tcW w:w="870" w:type="dxa"/>
            <w:vMerge w:val="continue"/>
            <w:tcBorders>
              <w:tl2br w:val="nil"/>
              <w:tr2bl w:val="nil"/>
            </w:tcBorders>
            <w:noWrap/>
            <w:vAlign w:val="center"/>
          </w:tcPr>
          <w:p w14:paraId="57748271">
            <w:pPr>
              <w:spacing w:line="360" w:lineRule="auto"/>
              <w:jc w:val="center"/>
              <w:rPr>
                <w:rFonts w:hint="eastAsia" w:ascii="宋体" w:hAnsi="宋体" w:cs="宋体"/>
                <w:color w:val="auto"/>
                <w:sz w:val="21"/>
                <w:szCs w:val="21"/>
                <w:highlight w:val="none"/>
              </w:rPr>
            </w:pPr>
          </w:p>
        </w:tc>
      </w:tr>
      <w:tr w14:paraId="71D568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F3C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1.2.12.3</w:t>
            </w:r>
          </w:p>
        </w:tc>
        <w:tc>
          <w:tcPr>
            <w:tcW w:w="6982" w:type="dxa"/>
            <w:tcBorders>
              <w:tl2br w:val="nil"/>
              <w:tr2bl w:val="nil"/>
            </w:tcBorders>
            <w:vAlign w:val="center"/>
          </w:tcPr>
          <w:p w14:paraId="148E4F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支持结构化检索，可对病历文书中任意结构化元素进行自定义条件的检索</w:t>
            </w:r>
          </w:p>
        </w:tc>
        <w:tc>
          <w:tcPr>
            <w:tcW w:w="870" w:type="dxa"/>
            <w:vMerge w:val="continue"/>
            <w:tcBorders>
              <w:tl2br w:val="nil"/>
              <w:tr2bl w:val="nil"/>
            </w:tcBorders>
            <w:noWrap/>
            <w:vAlign w:val="center"/>
          </w:tcPr>
          <w:p w14:paraId="43115D0A">
            <w:pPr>
              <w:spacing w:line="360" w:lineRule="auto"/>
              <w:jc w:val="center"/>
              <w:rPr>
                <w:rFonts w:hint="eastAsia" w:ascii="宋体" w:hAnsi="宋体" w:cs="宋体"/>
                <w:color w:val="auto"/>
                <w:sz w:val="21"/>
                <w:szCs w:val="21"/>
                <w:highlight w:val="none"/>
              </w:rPr>
            </w:pPr>
          </w:p>
        </w:tc>
      </w:tr>
      <w:tr w14:paraId="6F0A14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3536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1.2.12.4</w:t>
            </w:r>
          </w:p>
        </w:tc>
        <w:tc>
          <w:tcPr>
            <w:tcW w:w="6982" w:type="dxa"/>
            <w:tcBorders>
              <w:tl2br w:val="nil"/>
              <w:tr2bl w:val="nil"/>
            </w:tcBorders>
            <w:vAlign w:val="center"/>
          </w:tcPr>
          <w:p w14:paraId="623BFE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支持医护人员完全自定义检索条件和检索结果集</w:t>
            </w:r>
          </w:p>
        </w:tc>
        <w:tc>
          <w:tcPr>
            <w:tcW w:w="870" w:type="dxa"/>
            <w:vMerge w:val="continue"/>
            <w:tcBorders>
              <w:tl2br w:val="nil"/>
              <w:tr2bl w:val="nil"/>
            </w:tcBorders>
            <w:noWrap/>
            <w:vAlign w:val="center"/>
          </w:tcPr>
          <w:p w14:paraId="4D326E99">
            <w:pPr>
              <w:spacing w:line="360" w:lineRule="auto"/>
              <w:jc w:val="center"/>
              <w:rPr>
                <w:rFonts w:hint="eastAsia" w:ascii="宋体" w:hAnsi="宋体" w:cs="宋体"/>
                <w:color w:val="auto"/>
                <w:sz w:val="21"/>
                <w:szCs w:val="21"/>
                <w:highlight w:val="none"/>
              </w:rPr>
            </w:pPr>
          </w:p>
        </w:tc>
      </w:tr>
      <w:tr w14:paraId="3C94EC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F0D6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1.2.12.5</w:t>
            </w:r>
          </w:p>
        </w:tc>
        <w:tc>
          <w:tcPr>
            <w:tcW w:w="6982" w:type="dxa"/>
            <w:tcBorders>
              <w:tl2br w:val="nil"/>
              <w:tr2bl w:val="nil"/>
            </w:tcBorders>
            <w:vAlign w:val="center"/>
          </w:tcPr>
          <w:p w14:paraId="00D8E0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支持将检索条件保存为检索方案，以备下次调出使用</w:t>
            </w:r>
          </w:p>
        </w:tc>
        <w:tc>
          <w:tcPr>
            <w:tcW w:w="870" w:type="dxa"/>
            <w:vMerge w:val="continue"/>
            <w:tcBorders>
              <w:tl2br w:val="nil"/>
              <w:tr2bl w:val="nil"/>
            </w:tcBorders>
            <w:noWrap/>
            <w:vAlign w:val="center"/>
          </w:tcPr>
          <w:p w14:paraId="3E0B328A">
            <w:pPr>
              <w:spacing w:line="360" w:lineRule="auto"/>
              <w:jc w:val="center"/>
              <w:rPr>
                <w:rFonts w:hint="eastAsia" w:ascii="宋体" w:hAnsi="宋体" w:cs="宋体"/>
                <w:color w:val="auto"/>
                <w:sz w:val="21"/>
                <w:szCs w:val="21"/>
                <w:highlight w:val="none"/>
              </w:rPr>
            </w:pPr>
          </w:p>
        </w:tc>
      </w:tr>
      <w:tr w14:paraId="23EA3E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6B80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1.2.12.6</w:t>
            </w:r>
          </w:p>
        </w:tc>
        <w:tc>
          <w:tcPr>
            <w:tcW w:w="6982" w:type="dxa"/>
            <w:tcBorders>
              <w:tl2br w:val="nil"/>
              <w:tr2bl w:val="nil"/>
            </w:tcBorders>
            <w:vAlign w:val="center"/>
          </w:tcPr>
          <w:p w14:paraId="3C5A07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提供将检索结果打印输出，以及导出为 excel 报表的功能</w:t>
            </w:r>
          </w:p>
        </w:tc>
        <w:tc>
          <w:tcPr>
            <w:tcW w:w="870" w:type="dxa"/>
            <w:vMerge w:val="continue"/>
            <w:tcBorders>
              <w:tl2br w:val="nil"/>
              <w:tr2bl w:val="nil"/>
            </w:tcBorders>
            <w:noWrap/>
            <w:vAlign w:val="center"/>
          </w:tcPr>
          <w:p w14:paraId="69473FE4">
            <w:pPr>
              <w:spacing w:line="360" w:lineRule="auto"/>
              <w:jc w:val="center"/>
              <w:rPr>
                <w:rFonts w:hint="eastAsia" w:ascii="宋体" w:hAnsi="宋体" w:cs="宋体"/>
                <w:color w:val="auto"/>
                <w:sz w:val="21"/>
                <w:szCs w:val="21"/>
                <w:highlight w:val="none"/>
              </w:rPr>
            </w:pPr>
          </w:p>
        </w:tc>
      </w:tr>
      <w:tr w14:paraId="7E89C8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1BC1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1.2.13</w:t>
            </w:r>
          </w:p>
        </w:tc>
        <w:tc>
          <w:tcPr>
            <w:tcW w:w="6982" w:type="dxa"/>
            <w:tcBorders>
              <w:tl2br w:val="nil"/>
              <w:tr2bl w:val="nil"/>
            </w:tcBorders>
            <w:vAlign w:val="center"/>
          </w:tcPr>
          <w:p w14:paraId="555235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急诊病历与住院业务打通</w:t>
            </w:r>
          </w:p>
        </w:tc>
        <w:tc>
          <w:tcPr>
            <w:tcW w:w="870" w:type="dxa"/>
            <w:vMerge w:val="continue"/>
            <w:tcBorders>
              <w:tl2br w:val="nil"/>
              <w:tr2bl w:val="nil"/>
            </w:tcBorders>
            <w:noWrap/>
            <w:vAlign w:val="center"/>
          </w:tcPr>
          <w:p w14:paraId="748897EB">
            <w:pPr>
              <w:spacing w:line="360" w:lineRule="auto"/>
              <w:jc w:val="center"/>
              <w:rPr>
                <w:rFonts w:hint="eastAsia" w:ascii="宋体" w:hAnsi="宋体" w:cs="宋体"/>
                <w:color w:val="auto"/>
                <w:sz w:val="21"/>
                <w:szCs w:val="21"/>
                <w:highlight w:val="none"/>
              </w:rPr>
            </w:pPr>
          </w:p>
        </w:tc>
      </w:tr>
      <w:tr w14:paraId="7C377E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A381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1.2.13.1</w:t>
            </w:r>
          </w:p>
        </w:tc>
        <w:tc>
          <w:tcPr>
            <w:tcW w:w="6982" w:type="dxa"/>
            <w:tcBorders>
              <w:tl2br w:val="nil"/>
              <w:tr2bl w:val="nil"/>
            </w:tcBorders>
            <w:vAlign w:val="center"/>
          </w:tcPr>
          <w:p w14:paraId="0D43F6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实现急诊诊疗与住院诊疗业务的连贯衔接，消除业务环节与系统壁垒，本次应对急诊病历与住院业务进行一体化打通改造。通过系统升级与流程整合，将急诊诊疗、抢救、观察、医嘱等业务环节与住院收治、诊疗、护理业务统一串联，实现业务流程闭环管理，确保患者从急诊入院到住院救治全过程业务连贯、操作统一，提升急诊转住院业务办理效率与临床诊疗连续性</w:t>
            </w:r>
          </w:p>
        </w:tc>
        <w:tc>
          <w:tcPr>
            <w:tcW w:w="870" w:type="dxa"/>
            <w:vMerge w:val="continue"/>
            <w:tcBorders>
              <w:tl2br w:val="nil"/>
              <w:tr2bl w:val="nil"/>
            </w:tcBorders>
            <w:noWrap/>
            <w:vAlign w:val="center"/>
          </w:tcPr>
          <w:p w14:paraId="3BF1669A">
            <w:pPr>
              <w:spacing w:line="360" w:lineRule="auto"/>
              <w:jc w:val="center"/>
              <w:rPr>
                <w:rFonts w:hint="eastAsia" w:ascii="宋体" w:hAnsi="宋体" w:cs="宋体"/>
                <w:color w:val="auto"/>
                <w:sz w:val="21"/>
                <w:szCs w:val="21"/>
                <w:highlight w:val="none"/>
              </w:rPr>
            </w:pPr>
          </w:p>
        </w:tc>
      </w:tr>
      <w:tr w14:paraId="1EFD5E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66BF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1.2.14</w:t>
            </w:r>
          </w:p>
        </w:tc>
        <w:tc>
          <w:tcPr>
            <w:tcW w:w="6982" w:type="dxa"/>
            <w:tcBorders>
              <w:tl2br w:val="nil"/>
              <w:tr2bl w:val="nil"/>
            </w:tcBorders>
            <w:vAlign w:val="center"/>
          </w:tcPr>
          <w:p w14:paraId="5B42F4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手术交接单住院续填</w:t>
            </w:r>
          </w:p>
        </w:tc>
        <w:tc>
          <w:tcPr>
            <w:tcW w:w="870" w:type="dxa"/>
            <w:vMerge w:val="continue"/>
            <w:tcBorders>
              <w:tl2br w:val="nil"/>
              <w:tr2bl w:val="nil"/>
            </w:tcBorders>
            <w:noWrap/>
            <w:vAlign w:val="center"/>
          </w:tcPr>
          <w:p w14:paraId="3568AEAB">
            <w:pPr>
              <w:spacing w:line="360" w:lineRule="auto"/>
              <w:jc w:val="center"/>
              <w:rPr>
                <w:rFonts w:hint="eastAsia" w:ascii="宋体" w:hAnsi="宋体" w:cs="宋体"/>
                <w:color w:val="auto"/>
                <w:sz w:val="21"/>
                <w:szCs w:val="21"/>
                <w:highlight w:val="none"/>
              </w:rPr>
            </w:pPr>
          </w:p>
        </w:tc>
      </w:tr>
      <w:tr w14:paraId="00C0EB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EF8D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1.2.14.1</w:t>
            </w:r>
          </w:p>
        </w:tc>
        <w:tc>
          <w:tcPr>
            <w:tcW w:w="6982" w:type="dxa"/>
            <w:tcBorders>
              <w:tl2br w:val="nil"/>
              <w:tr2bl w:val="nil"/>
            </w:tcBorders>
            <w:vAlign w:val="center"/>
          </w:tcPr>
          <w:p w14:paraId="1F0AC3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针对手术患者诊疗流程特点，实现手术交接单在门诊 / 急诊开具后，患者办理住院手续仍可基于原单据继续填写。系统应支持对原手术交接单内容进行查看、补充、完善和确认，保留历史填写痕迹，避免重复录入与信息不一致，实现手术相关信息在急诊、术前、术中、术后全流程可追溯、可延续，保障手术交接安全、规范、高效</w:t>
            </w:r>
          </w:p>
        </w:tc>
        <w:tc>
          <w:tcPr>
            <w:tcW w:w="870" w:type="dxa"/>
            <w:vMerge w:val="continue"/>
            <w:tcBorders>
              <w:tl2br w:val="nil"/>
              <w:tr2bl w:val="nil"/>
            </w:tcBorders>
            <w:noWrap/>
            <w:vAlign w:val="center"/>
          </w:tcPr>
          <w:p w14:paraId="2A247C66">
            <w:pPr>
              <w:spacing w:line="360" w:lineRule="auto"/>
              <w:jc w:val="center"/>
              <w:rPr>
                <w:rFonts w:hint="eastAsia" w:ascii="宋体" w:hAnsi="宋体" w:cs="宋体"/>
                <w:color w:val="auto"/>
                <w:sz w:val="21"/>
                <w:szCs w:val="21"/>
                <w:highlight w:val="none"/>
              </w:rPr>
            </w:pPr>
          </w:p>
        </w:tc>
      </w:tr>
      <w:tr w14:paraId="21EC9B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F8EC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1.2.15</w:t>
            </w:r>
          </w:p>
        </w:tc>
        <w:tc>
          <w:tcPr>
            <w:tcW w:w="6982" w:type="dxa"/>
            <w:tcBorders>
              <w:tl2br w:val="nil"/>
              <w:tr2bl w:val="nil"/>
            </w:tcBorders>
            <w:vAlign w:val="center"/>
          </w:tcPr>
          <w:p w14:paraId="2CEE80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急诊与住院业务数据衔接</w:t>
            </w:r>
          </w:p>
        </w:tc>
        <w:tc>
          <w:tcPr>
            <w:tcW w:w="870" w:type="dxa"/>
            <w:vMerge w:val="continue"/>
            <w:tcBorders>
              <w:tl2br w:val="nil"/>
              <w:tr2bl w:val="nil"/>
            </w:tcBorders>
            <w:noWrap/>
            <w:vAlign w:val="center"/>
          </w:tcPr>
          <w:p w14:paraId="4B9EE0C0">
            <w:pPr>
              <w:spacing w:line="360" w:lineRule="auto"/>
              <w:jc w:val="center"/>
              <w:rPr>
                <w:rFonts w:hint="eastAsia" w:ascii="宋体" w:hAnsi="宋体" w:cs="宋体"/>
                <w:color w:val="auto"/>
                <w:sz w:val="21"/>
                <w:szCs w:val="21"/>
                <w:highlight w:val="none"/>
              </w:rPr>
            </w:pPr>
          </w:p>
        </w:tc>
      </w:tr>
      <w:tr w14:paraId="4FC00A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9A66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1.2.15.1</w:t>
            </w:r>
          </w:p>
        </w:tc>
        <w:tc>
          <w:tcPr>
            <w:tcW w:w="6982" w:type="dxa"/>
            <w:tcBorders>
              <w:tl2br w:val="nil"/>
              <w:tr2bl w:val="nil"/>
            </w:tcBorders>
            <w:vAlign w:val="center"/>
          </w:tcPr>
          <w:p w14:paraId="143DAF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系统升级实现急诊与住院业务数据实时互通与共享，将急诊病历、生命体征、检查检验结果、医嘱信息、手术交接单等关键数据同步至住院业务环节。确保住院医师可完整获取患者急诊诊疗信息，形成统一、完整的电子病历档案，实现数据一次采集、全程复用，提升诊疗数据完整性与准确性，为临床决策、质量管控与医疗安全提供数据支撑</w:t>
            </w:r>
          </w:p>
        </w:tc>
        <w:tc>
          <w:tcPr>
            <w:tcW w:w="870" w:type="dxa"/>
            <w:vMerge w:val="continue"/>
            <w:tcBorders>
              <w:tl2br w:val="nil"/>
              <w:tr2bl w:val="nil"/>
            </w:tcBorders>
            <w:noWrap/>
            <w:vAlign w:val="center"/>
          </w:tcPr>
          <w:p w14:paraId="00DFA55E">
            <w:pPr>
              <w:spacing w:line="360" w:lineRule="auto"/>
              <w:jc w:val="center"/>
              <w:rPr>
                <w:rFonts w:hint="eastAsia" w:ascii="宋体" w:hAnsi="宋体" w:cs="宋体"/>
                <w:color w:val="auto"/>
                <w:sz w:val="21"/>
                <w:szCs w:val="21"/>
                <w:highlight w:val="none"/>
              </w:rPr>
            </w:pPr>
          </w:p>
        </w:tc>
      </w:tr>
      <w:tr w14:paraId="192B37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FAAC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6982" w:type="dxa"/>
            <w:tcBorders>
              <w:tl2br w:val="nil"/>
              <w:tr2bl w:val="nil"/>
            </w:tcBorders>
            <w:vAlign w:val="center"/>
          </w:tcPr>
          <w:p w14:paraId="106441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 / 住院护理电子病历系统（重构、C/S 升级为 B/S）</w:t>
            </w:r>
          </w:p>
        </w:tc>
        <w:tc>
          <w:tcPr>
            <w:tcW w:w="870" w:type="dxa"/>
            <w:vMerge w:val="restart"/>
            <w:tcBorders>
              <w:tl2br w:val="nil"/>
              <w:tr2bl w:val="nil"/>
            </w:tcBorders>
            <w:noWrap/>
            <w:vAlign w:val="center"/>
          </w:tcPr>
          <w:p w14:paraId="3856557E">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5CBD6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DEE5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w:t>
            </w:r>
          </w:p>
        </w:tc>
        <w:tc>
          <w:tcPr>
            <w:tcW w:w="6982" w:type="dxa"/>
            <w:tcBorders>
              <w:tl2br w:val="nil"/>
              <w:tr2bl w:val="nil"/>
            </w:tcBorders>
            <w:vAlign w:val="center"/>
          </w:tcPr>
          <w:p w14:paraId="45E65D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 / 住院护理电子病历系统进行整体重构，需将原有 C/S 架构升级为 B/S 架构。原系统基于传统 C/S 架构构建，在部署、维护、跨终端适配及扩展能力上存在局限，已无法适配医院新的技术底座、业务流程及未来信息化发展要求。为满足临床诊疗业务高效开展、系统统一集成、跨终端便捷使用及长期迭代升级的需要，本次项目需要对急诊 / 住院护理电子病历系统实施全面重构，基于新底座完成开发，全面升级为 B/S 架构，提升系统可用性、扩展性与维护便捷性</w:t>
            </w:r>
          </w:p>
        </w:tc>
        <w:tc>
          <w:tcPr>
            <w:tcW w:w="870" w:type="dxa"/>
            <w:vMerge w:val="continue"/>
            <w:tcBorders>
              <w:tl2br w:val="nil"/>
              <w:tr2bl w:val="nil"/>
            </w:tcBorders>
            <w:noWrap/>
            <w:vAlign w:val="center"/>
          </w:tcPr>
          <w:p w14:paraId="4F2C56AF">
            <w:pPr>
              <w:spacing w:line="360" w:lineRule="auto"/>
              <w:jc w:val="center"/>
              <w:rPr>
                <w:rFonts w:hint="eastAsia" w:ascii="宋体" w:hAnsi="宋体" w:cs="宋体"/>
                <w:color w:val="auto"/>
                <w:sz w:val="21"/>
                <w:szCs w:val="21"/>
                <w:highlight w:val="none"/>
              </w:rPr>
            </w:pPr>
          </w:p>
        </w:tc>
      </w:tr>
      <w:tr w14:paraId="6470A4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BFD9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w:t>
            </w:r>
          </w:p>
        </w:tc>
        <w:tc>
          <w:tcPr>
            <w:tcW w:w="6982" w:type="dxa"/>
            <w:tcBorders>
              <w:tl2br w:val="nil"/>
              <w:tr2bl w:val="nil"/>
            </w:tcBorders>
            <w:vAlign w:val="center"/>
          </w:tcPr>
          <w:p w14:paraId="37D46F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整体架构升级</w:t>
            </w:r>
          </w:p>
        </w:tc>
        <w:tc>
          <w:tcPr>
            <w:tcW w:w="870" w:type="dxa"/>
            <w:vMerge w:val="continue"/>
            <w:tcBorders>
              <w:tl2br w:val="nil"/>
              <w:tr2bl w:val="nil"/>
            </w:tcBorders>
            <w:noWrap/>
            <w:vAlign w:val="center"/>
          </w:tcPr>
          <w:p w14:paraId="268B3442">
            <w:pPr>
              <w:spacing w:line="360" w:lineRule="auto"/>
              <w:jc w:val="center"/>
              <w:rPr>
                <w:rFonts w:hint="eastAsia" w:ascii="宋体" w:hAnsi="宋体" w:cs="宋体"/>
                <w:color w:val="auto"/>
                <w:sz w:val="21"/>
                <w:szCs w:val="21"/>
                <w:highlight w:val="none"/>
              </w:rPr>
            </w:pPr>
          </w:p>
        </w:tc>
      </w:tr>
      <w:tr w14:paraId="0872D9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BD60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1.3.2.1</w:t>
            </w:r>
          </w:p>
        </w:tc>
        <w:tc>
          <w:tcPr>
            <w:tcW w:w="6982" w:type="dxa"/>
            <w:tcBorders>
              <w:tl2br w:val="nil"/>
              <w:tr2bl w:val="nil"/>
            </w:tcBorders>
            <w:vAlign w:val="center"/>
          </w:tcPr>
          <w:p w14:paraId="168180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原有架构采用 .NET 桌面客户端（CS）+ Java RESTful 后端 + FTP 文件服务器架构，客户端需安装部署，文件存储采用传统单机版的 FTP 服务</w:t>
            </w:r>
          </w:p>
        </w:tc>
        <w:tc>
          <w:tcPr>
            <w:tcW w:w="870" w:type="dxa"/>
            <w:vMerge w:val="continue"/>
            <w:tcBorders>
              <w:tl2br w:val="nil"/>
              <w:tr2bl w:val="nil"/>
            </w:tcBorders>
            <w:noWrap/>
            <w:vAlign w:val="center"/>
          </w:tcPr>
          <w:p w14:paraId="6894D263">
            <w:pPr>
              <w:spacing w:line="360" w:lineRule="auto"/>
              <w:jc w:val="center"/>
              <w:rPr>
                <w:rFonts w:hint="eastAsia" w:ascii="宋体" w:hAnsi="宋体" w:cs="宋体"/>
                <w:color w:val="auto"/>
                <w:sz w:val="21"/>
                <w:szCs w:val="21"/>
                <w:highlight w:val="none"/>
              </w:rPr>
            </w:pPr>
          </w:p>
        </w:tc>
      </w:tr>
      <w:tr w14:paraId="21D60A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0562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1.3.2.2</w:t>
            </w:r>
          </w:p>
        </w:tc>
        <w:tc>
          <w:tcPr>
            <w:tcW w:w="6982" w:type="dxa"/>
            <w:tcBorders>
              <w:tl2br w:val="nil"/>
              <w:tr2bl w:val="nil"/>
            </w:tcBorders>
            <w:vAlign w:val="center"/>
          </w:tcPr>
          <w:p w14:paraId="062F76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升级后架构需采用 Vue 前端（BS）+ Java RESTful 后端 + S3 分布式对象存储架构，保持后端服务稳定不变，前端需全面升级为浏览器访问模式，文件存储需升级为分布式存储</w:t>
            </w:r>
          </w:p>
        </w:tc>
        <w:tc>
          <w:tcPr>
            <w:tcW w:w="870" w:type="dxa"/>
            <w:vMerge w:val="continue"/>
            <w:tcBorders>
              <w:tl2br w:val="nil"/>
              <w:tr2bl w:val="nil"/>
            </w:tcBorders>
            <w:noWrap/>
            <w:vAlign w:val="center"/>
          </w:tcPr>
          <w:p w14:paraId="4D00EBA2">
            <w:pPr>
              <w:spacing w:line="360" w:lineRule="auto"/>
              <w:jc w:val="center"/>
              <w:rPr>
                <w:rFonts w:hint="eastAsia" w:ascii="宋体" w:hAnsi="宋体" w:cs="宋体"/>
                <w:color w:val="auto"/>
                <w:sz w:val="21"/>
                <w:szCs w:val="21"/>
                <w:highlight w:val="none"/>
              </w:rPr>
            </w:pPr>
          </w:p>
        </w:tc>
      </w:tr>
      <w:tr w14:paraId="7787B3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015C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1.3.3</w:t>
            </w:r>
          </w:p>
        </w:tc>
        <w:tc>
          <w:tcPr>
            <w:tcW w:w="6982" w:type="dxa"/>
            <w:tcBorders>
              <w:tl2br w:val="nil"/>
              <w:tr2bl w:val="nil"/>
            </w:tcBorders>
            <w:vAlign w:val="center"/>
          </w:tcPr>
          <w:p w14:paraId="70B95F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前端交互与部署模式升级</w:t>
            </w:r>
          </w:p>
        </w:tc>
        <w:tc>
          <w:tcPr>
            <w:tcW w:w="870" w:type="dxa"/>
            <w:vMerge w:val="continue"/>
            <w:tcBorders>
              <w:tl2br w:val="nil"/>
              <w:tr2bl w:val="nil"/>
            </w:tcBorders>
            <w:noWrap/>
            <w:vAlign w:val="center"/>
          </w:tcPr>
          <w:p w14:paraId="478F9012">
            <w:pPr>
              <w:spacing w:line="360" w:lineRule="auto"/>
              <w:jc w:val="center"/>
              <w:rPr>
                <w:rFonts w:hint="eastAsia" w:ascii="宋体" w:hAnsi="宋体" w:cs="宋体"/>
                <w:color w:val="auto"/>
                <w:sz w:val="21"/>
                <w:szCs w:val="21"/>
                <w:highlight w:val="none"/>
              </w:rPr>
            </w:pPr>
          </w:p>
        </w:tc>
      </w:tr>
      <w:tr w14:paraId="356965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23AB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1.3.3.1</w:t>
            </w:r>
          </w:p>
        </w:tc>
        <w:tc>
          <w:tcPr>
            <w:tcW w:w="6982" w:type="dxa"/>
            <w:tcBorders>
              <w:tl2br w:val="nil"/>
              <w:tr2bl w:val="nil"/>
            </w:tcBorders>
            <w:vAlign w:val="center"/>
          </w:tcPr>
          <w:p w14:paraId="6F71DE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 CS 架构采用 .NET 桌面客户端，医护人员需在工作站安装程序，更新维护需逐台升级，跨终端使用受限，文书编辑依赖本地控件</w:t>
            </w:r>
          </w:p>
        </w:tc>
        <w:tc>
          <w:tcPr>
            <w:tcW w:w="870" w:type="dxa"/>
            <w:vMerge w:val="continue"/>
            <w:tcBorders>
              <w:tl2br w:val="nil"/>
              <w:tr2bl w:val="nil"/>
            </w:tcBorders>
            <w:noWrap/>
            <w:vAlign w:val="center"/>
          </w:tcPr>
          <w:p w14:paraId="458A52F2">
            <w:pPr>
              <w:spacing w:line="360" w:lineRule="auto"/>
              <w:jc w:val="center"/>
              <w:rPr>
                <w:rFonts w:hint="eastAsia" w:ascii="宋体" w:hAnsi="宋体" w:cs="宋体"/>
                <w:color w:val="auto"/>
                <w:sz w:val="21"/>
                <w:szCs w:val="21"/>
                <w:highlight w:val="none"/>
              </w:rPr>
            </w:pPr>
          </w:p>
        </w:tc>
      </w:tr>
      <w:tr w14:paraId="1134BA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DDCD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1.3.3.2</w:t>
            </w:r>
          </w:p>
        </w:tc>
        <w:tc>
          <w:tcPr>
            <w:tcW w:w="6982" w:type="dxa"/>
            <w:tcBorders>
              <w:tl2br w:val="nil"/>
              <w:tr2bl w:val="nil"/>
            </w:tcBorders>
            <w:vAlign w:val="center"/>
          </w:tcPr>
          <w:p w14:paraId="368089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 BS 架构需采用 Vue 前端实现浏览器访问，零安装、零维护，全院统一访问、统一升级，使用更便捷、灵活</w:t>
            </w:r>
          </w:p>
        </w:tc>
        <w:tc>
          <w:tcPr>
            <w:tcW w:w="870" w:type="dxa"/>
            <w:vMerge w:val="continue"/>
            <w:tcBorders>
              <w:tl2br w:val="nil"/>
              <w:tr2bl w:val="nil"/>
            </w:tcBorders>
            <w:noWrap/>
            <w:vAlign w:val="center"/>
          </w:tcPr>
          <w:p w14:paraId="1771C360">
            <w:pPr>
              <w:spacing w:line="360" w:lineRule="auto"/>
              <w:jc w:val="center"/>
              <w:rPr>
                <w:rFonts w:hint="eastAsia" w:ascii="宋体" w:hAnsi="宋体" w:cs="宋体"/>
                <w:color w:val="auto"/>
                <w:sz w:val="21"/>
                <w:szCs w:val="21"/>
                <w:highlight w:val="none"/>
              </w:rPr>
            </w:pPr>
          </w:p>
        </w:tc>
      </w:tr>
      <w:tr w14:paraId="22BD6E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C1D9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1.3.4</w:t>
            </w:r>
          </w:p>
        </w:tc>
        <w:tc>
          <w:tcPr>
            <w:tcW w:w="6982" w:type="dxa"/>
            <w:tcBorders>
              <w:tl2br w:val="nil"/>
              <w:tr2bl w:val="nil"/>
            </w:tcBorders>
            <w:vAlign w:val="center"/>
          </w:tcPr>
          <w:p w14:paraId="327B84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文件存储服务升级（FTP → S3）</w:t>
            </w:r>
          </w:p>
        </w:tc>
        <w:tc>
          <w:tcPr>
            <w:tcW w:w="870" w:type="dxa"/>
            <w:vMerge w:val="continue"/>
            <w:tcBorders>
              <w:tl2br w:val="nil"/>
              <w:tr2bl w:val="nil"/>
            </w:tcBorders>
            <w:noWrap/>
            <w:vAlign w:val="center"/>
          </w:tcPr>
          <w:p w14:paraId="1D8E5565">
            <w:pPr>
              <w:spacing w:line="360" w:lineRule="auto"/>
              <w:jc w:val="center"/>
              <w:rPr>
                <w:rFonts w:hint="eastAsia" w:ascii="宋体" w:hAnsi="宋体" w:cs="宋体"/>
                <w:color w:val="auto"/>
                <w:sz w:val="21"/>
                <w:szCs w:val="21"/>
                <w:highlight w:val="none"/>
              </w:rPr>
            </w:pPr>
          </w:p>
        </w:tc>
      </w:tr>
      <w:tr w14:paraId="0A760F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7279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1.3.4.1</w:t>
            </w:r>
          </w:p>
        </w:tc>
        <w:tc>
          <w:tcPr>
            <w:tcW w:w="6982" w:type="dxa"/>
            <w:tcBorders>
              <w:tl2br w:val="nil"/>
              <w:tr2bl w:val="nil"/>
            </w:tcBorders>
            <w:vAlign w:val="center"/>
          </w:tcPr>
          <w:p w14:paraId="704CC1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 FTP 文件服务器医护文书文件、PDF 归档文件等都通过 FTP 上传下载，并发能力弱、大文件易中断、容量扩展困难、权限管理与访问审计能力不足</w:t>
            </w:r>
          </w:p>
        </w:tc>
        <w:tc>
          <w:tcPr>
            <w:tcW w:w="870" w:type="dxa"/>
            <w:vMerge w:val="continue"/>
            <w:tcBorders>
              <w:tl2br w:val="nil"/>
              <w:tr2bl w:val="nil"/>
            </w:tcBorders>
            <w:noWrap/>
            <w:vAlign w:val="center"/>
          </w:tcPr>
          <w:p w14:paraId="72ED1B61">
            <w:pPr>
              <w:spacing w:line="360" w:lineRule="auto"/>
              <w:jc w:val="center"/>
              <w:rPr>
                <w:rFonts w:hint="eastAsia" w:ascii="宋体" w:hAnsi="宋体" w:cs="宋体"/>
                <w:color w:val="auto"/>
                <w:sz w:val="21"/>
                <w:szCs w:val="21"/>
                <w:highlight w:val="none"/>
              </w:rPr>
            </w:pPr>
          </w:p>
        </w:tc>
      </w:tr>
      <w:tr w14:paraId="1DD310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B95D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1.3.4.2</w:t>
            </w:r>
          </w:p>
        </w:tc>
        <w:tc>
          <w:tcPr>
            <w:tcW w:w="6982" w:type="dxa"/>
            <w:tcBorders>
              <w:tl2br w:val="nil"/>
              <w:tr2bl w:val="nil"/>
            </w:tcBorders>
            <w:vAlign w:val="center"/>
          </w:tcPr>
          <w:p w14:paraId="144BB5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升级后 S3 分布式存储需替换 FTP 采用分布式对象存储，应支持高并发、弹性扩容、断点续传、权限隔离、访问日志、文件加密存储，更安全、更稳定、更适合医疗文书长期归档</w:t>
            </w:r>
          </w:p>
        </w:tc>
        <w:tc>
          <w:tcPr>
            <w:tcW w:w="870" w:type="dxa"/>
            <w:vMerge w:val="continue"/>
            <w:tcBorders>
              <w:tl2br w:val="nil"/>
              <w:tr2bl w:val="nil"/>
            </w:tcBorders>
            <w:noWrap/>
            <w:vAlign w:val="center"/>
          </w:tcPr>
          <w:p w14:paraId="7B221AB6">
            <w:pPr>
              <w:spacing w:line="360" w:lineRule="auto"/>
              <w:jc w:val="center"/>
              <w:rPr>
                <w:rFonts w:hint="eastAsia" w:ascii="宋体" w:hAnsi="宋体" w:cs="宋体"/>
                <w:color w:val="auto"/>
                <w:sz w:val="21"/>
                <w:szCs w:val="21"/>
                <w:highlight w:val="none"/>
              </w:rPr>
            </w:pPr>
          </w:p>
        </w:tc>
      </w:tr>
      <w:tr w14:paraId="1BB9D3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CB2E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1.3.5</w:t>
            </w:r>
          </w:p>
        </w:tc>
        <w:tc>
          <w:tcPr>
            <w:tcW w:w="6982" w:type="dxa"/>
            <w:tcBorders>
              <w:tl2br w:val="nil"/>
              <w:tr2bl w:val="nil"/>
            </w:tcBorders>
            <w:vAlign w:val="center"/>
          </w:tcPr>
          <w:p w14:paraId="3B8816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业务与合规升级</w:t>
            </w:r>
          </w:p>
        </w:tc>
        <w:tc>
          <w:tcPr>
            <w:tcW w:w="870" w:type="dxa"/>
            <w:vMerge w:val="continue"/>
            <w:tcBorders>
              <w:tl2br w:val="nil"/>
              <w:tr2bl w:val="nil"/>
            </w:tcBorders>
            <w:noWrap/>
            <w:vAlign w:val="center"/>
          </w:tcPr>
          <w:p w14:paraId="4C79354B">
            <w:pPr>
              <w:spacing w:line="360" w:lineRule="auto"/>
              <w:jc w:val="center"/>
              <w:rPr>
                <w:rFonts w:hint="eastAsia" w:ascii="宋体" w:hAnsi="宋体" w:cs="宋体"/>
                <w:color w:val="auto"/>
                <w:sz w:val="21"/>
                <w:szCs w:val="21"/>
                <w:highlight w:val="none"/>
              </w:rPr>
            </w:pPr>
          </w:p>
        </w:tc>
      </w:tr>
      <w:tr w14:paraId="08E525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E43B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1.3.5.1</w:t>
            </w:r>
          </w:p>
        </w:tc>
        <w:tc>
          <w:tcPr>
            <w:tcW w:w="6982" w:type="dxa"/>
            <w:tcBorders>
              <w:tl2br w:val="nil"/>
              <w:tr2bl w:val="nil"/>
            </w:tcBorders>
            <w:vAlign w:val="center"/>
          </w:tcPr>
          <w:p w14:paraId="673D29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后端 Java RESTful 服务保持稳定兼容，保障业务连续性</w:t>
            </w:r>
          </w:p>
        </w:tc>
        <w:tc>
          <w:tcPr>
            <w:tcW w:w="870" w:type="dxa"/>
            <w:vMerge w:val="continue"/>
            <w:tcBorders>
              <w:tl2br w:val="nil"/>
              <w:tr2bl w:val="nil"/>
            </w:tcBorders>
            <w:noWrap/>
            <w:vAlign w:val="center"/>
          </w:tcPr>
          <w:p w14:paraId="4F921E5F">
            <w:pPr>
              <w:spacing w:line="360" w:lineRule="auto"/>
              <w:jc w:val="center"/>
              <w:rPr>
                <w:rFonts w:hint="eastAsia" w:ascii="宋体" w:hAnsi="宋体" w:cs="宋体"/>
                <w:color w:val="auto"/>
                <w:sz w:val="21"/>
                <w:szCs w:val="21"/>
                <w:highlight w:val="none"/>
              </w:rPr>
            </w:pPr>
          </w:p>
        </w:tc>
      </w:tr>
      <w:tr w14:paraId="4EDBAA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0E1E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1.3.5.2</w:t>
            </w:r>
          </w:p>
        </w:tc>
        <w:tc>
          <w:tcPr>
            <w:tcW w:w="6982" w:type="dxa"/>
            <w:tcBorders>
              <w:tl2br w:val="nil"/>
              <w:tr2bl w:val="nil"/>
            </w:tcBorders>
            <w:vAlign w:val="center"/>
          </w:tcPr>
          <w:p w14:paraId="18D318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前端需从 CS 升级至 BS，降低运维成本，提升医护使用体验</w:t>
            </w:r>
          </w:p>
        </w:tc>
        <w:tc>
          <w:tcPr>
            <w:tcW w:w="870" w:type="dxa"/>
            <w:vMerge w:val="continue"/>
            <w:tcBorders>
              <w:tl2br w:val="nil"/>
              <w:tr2bl w:val="nil"/>
            </w:tcBorders>
            <w:noWrap/>
            <w:vAlign w:val="center"/>
          </w:tcPr>
          <w:p w14:paraId="18B15EA8">
            <w:pPr>
              <w:spacing w:line="360" w:lineRule="auto"/>
              <w:jc w:val="center"/>
              <w:rPr>
                <w:rFonts w:hint="eastAsia" w:ascii="宋体" w:hAnsi="宋体" w:cs="宋体"/>
                <w:color w:val="auto"/>
                <w:sz w:val="21"/>
                <w:szCs w:val="21"/>
                <w:highlight w:val="none"/>
              </w:rPr>
            </w:pPr>
          </w:p>
        </w:tc>
      </w:tr>
      <w:tr w14:paraId="586085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5E89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1.3.5.3</w:t>
            </w:r>
          </w:p>
        </w:tc>
        <w:tc>
          <w:tcPr>
            <w:tcW w:w="6982" w:type="dxa"/>
            <w:tcBorders>
              <w:tl2br w:val="nil"/>
              <w:tr2bl w:val="nil"/>
            </w:tcBorders>
            <w:vAlign w:val="center"/>
          </w:tcPr>
          <w:p w14:paraId="480D35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文件存储需从 FTP 升级至 S3，解决传统文件服务器性能、安全、容量瓶颈</w:t>
            </w:r>
          </w:p>
        </w:tc>
        <w:tc>
          <w:tcPr>
            <w:tcW w:w="870" w:type="dxa"/>
            <w:vMerge w:val="continue"/>
            <w:tcBorders>
              <w:tl2br w:val="nil"/>
              <w:tr2bl w:val="nil"/>
            </w:tcBorders>
            <w:noWrap/>
            <w:vAlign w:val="center"/>
          </w:tcPr>
          <w:p w14:paraId="2330926C">
            <w:pPr>
              <w:spacing w:line="360" w:lineRule="auto"/>
              <w:jc w:val="center"/>
              <w:rPr>
                <w:rFonts w:hint="eastAsia" w:ascii="宋体" w:hAnsi="宋体" w:cs="宋体"/>
                <w:color w:val="auto"/>
                <w:sz w:val="21"/>
                <w:szCs w:val="21"/>
                <w:highlight w:val="none"/>
              </w:rPr>
            </w:pPr>
          </w:p>
        </w:tc>
      </w:tr>
      <w:tr w14:paraId="7ED1F5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B559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w:t>
            </w:r>
          </w:p>
        </w:tc>
        <w:tc>
          <w:tcPr>
            <w:tcW w:w="6982" w:type="dxa"/>
            <w:tcBorders>
              <w:tl2br w:val="nil"/>
              <w:tr2bl w:val="nil"/>
            </w:tcBorders>
            <w:vAlign w:val="center"/>
          </w:tcPr>
          <w:p w14:paraId="2401AE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系统服务</w:t>
            </w:r>
          </w:p>
        </w:tc>
        <w:tc>
          <w:tcPr>
            <w:tcW w:w="870" w:type="dxa"/>
            <w:vMerge w:val="continue"/>
            <w:tcBorders>
              <w:tl2br w:val="nil"/>
              <w:tr2bl w:val="nil"/>
            </w:tcBorders>
            <w:noWrap/>
            <w:vAlign w:val="center"/>
          </w:tcPr>
          <w:p w14:paraId="2A06BDFB">
            <w:pPr>
              <w:spacing w:line="360" w:lineRule="auto"/>
              <w:jc w:val="center"/>
              <w:rPr>
                <w:rFonts w:hint="eastAsia" w:ascii="宋体" w:hAnsi="宋体" w:cs="宋体"/>
                <w:color w:val="auto"/>
                <w:sz w:val="21"/>
                <w:szCs w:val="21"/>
                <w:highlight w:val="none"/>
              </w:rPr>
            </w:pPr>
          </w:p>
        </w:tc>
      </w:tr>
      <w:tr w14:paraId="55D01E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CF3D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1.3.6.1</w:t>
            </w:r>
          </w:p>
        </w:tc>
        <w:tc>
          <w:tcPr>
            <w:tcW w:w="6982" w:type="dxa"/>
            <w:tcBorders>
              <w:tl2br w:val="nil"/>
              <w:tr2bl w:val="nil"/>
            </w:tcBorders>
            <w:vAlign w:val="center"/>
          </w:tcPr>
          <w:p w14:paraId="74757F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用户登入到本系统</w:t>
            </w:r>
          </w:p>
        </w:tc>
        <w:tc>
          <w:tcPr>
            <w:tcW w:w="870" w:type="dxa"/>
            <w:vMerge w:val="continue"/>
            <w:tcBorders>
              <w:tl2br w:val="nil"/>
              <w:tr2bl w:val="nil"/>
            </w:tcBorders>
            <w:noWrap/>
            <w:vAlign w:val="center"/>
          </w:tcPr>
          <w:p w14:paraId="0CFCB384">
            <w:pPr>
              <w:spacing w:line="360" w:lineRule="auto"/>
              <w:jc w:val="center"/>
              <w:rPr>
                <w:rFonts w:hint="eastAsia" w:ascii="宋体" w:hAnsi="宋体" w:cs="宋体"/>
                <w:color w:val="auto"/>
                <w:sz w:val="21"/>
                <w:szCs w:val="21"/>
                <w:highlight w:val="none"/>
              </w:rPr>
            </w:pPr>
          </w:p>
        </w:tc>
      </w:tr>
      <w:tr w14:paraId="3B1191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9807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1.3.6.2</w:t>
            </w:r>
          </w:p>
        </w:tc>
        <w:tc>
          <w:tcPr>
            <w:tcW w:w="6982" w:type="dxa"/>
            <w:tcBorders>
              <w:tl2br w:val="nil"/>
              <w:tr2bl w:val="nil"/>
            </w:tcBorders>
            <w:vAlign w:val="center"/>
          </w:tcPr>
          <w:p w14:paraId="0ADAF9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提供用户登录认证功能</w:t>
            </w:r>
          </w:p>
        </w:tc>
        <w:tc>
          <w:tcPr>
            <w:tcW w:w="870" w:type="dxa"/>
            <w:vMerge w:val="continue"/>
            <w:tcBorders>
              <w:tl2br w:val="nil"/>
              <w:tr2bl w:val="nil"/>
            </w:tcBorders>
            <w:noWrap/>
            <w:vAlign w:val="center"/>
          </w:tcPr>
          <w:p w14:paraId="155C1EB0">
            <w:pPr>
              <w:spacing w:line="360" w:lineRule="auto"/>
              <w:jc w:val="center"/>
              <w:rPr>
                <w:rFonts w:hint="eastAsia" w:ascii="宋体" w:hAnsi="宋体" w:cs="宋体"/>
                <w:color w:val="auto"/>
                <w:sz w:val="21"/>
                <w:szCs w:val="21"/>
                <w:highlight w:val="none"/>
              </w:rPr>
            </w:pPr>
          </w:p>
        </w:tc>
      </w:tr>
      <w:tr w14:paraId="38C599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3A56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1.3.6.3</w:t>
            </w:r>
          </w:p>
        </w:tc>
        <w:tc>
          <w:tcPr>
            <w:tcW w:w="6982" w:type="dxa"/>
            <w:tcBorders>
              <w:tl2br w:val="nil"/>
              <w:tr2bl w:val="nil"/>
            </w:tcBorders>
            <w:vAlign w:val="center"/>
          </w:tcPr>
          <w:p w14:paraId="6CFF6F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不同用户登录系统具有不同权限</w:t>
            </w:r>
          </w:p>
        </w:tc>
        <w:tc>
          <w:tcPr>
            <w:tcW w:w="870" w:type="dxa"/>
            <w:vMerge w:val="continue"/>
            <w:tcBorders>
              <w:tl2br w:val="nil"/>
              <w:tr2bl w:val="nil"/>
            </w:tcBorders>
            <w:noWrap/>
            <w:vAlign w:val="center"/>
          </w:tcPr>
          <w:p w14:paraId="3A7B3085">
            <w:pPr>
              <w:spacing w:line="360" w:lineRule="auto"/>
              <w:jc w:val="center"/>
              <w:rPr>
                <w:rFonts w:hint="eastAsia" w:ascii="宋体" w:hAnsi="宋体" w:cs="宋体"/>
                <w:color w:val="auto"/>
                <w:sz w:val="21"/>
                <w:szCs w:val="21"/>
                <w:highlight w:val="none"/>
              </w:rPr>
            </w:pPr>
          </w:p>
        </w:tc>
      </w:tr>
      <w:tr w14:paraId="47CAFF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83B3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1.3.6.4</w:t>
            </w:r>
          </w:p>
        </w:tc>
        <w:tc>
          <w:tcPr>
            <w:tcW w:w="6982" w:type="dxa"/>
            <w:tcBorders>
              <w:tl2br w:val="nil"/>
              <w:tr2bl w:val="nil"/>
            </w:tcBorders>
            <w:vAlign w:val="center"/>
          </w:tcPr>
          <w:p w14:paraId="61C17D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可以使用不同角色在系统中进行切换</w:t>
            </w:r>
          </w:p>
        </w:tc>
        <w:tc>
          <w:tcPr>
            <w:tcW w:w="870" w:type="dxa"/>
            <w:vMerge w:val="continue"/>
            <w:tcBorders>
              <w:tl2br w:val="nil"/>
              <w:tr2bl w:val="nil"/>
            </w:tcBorders>
            <w:noWrap/>
            <w:vAlign w:val="center"/>
          </w:tcPr>
          <w:p w14:paraId="1D792E4A">
            <w:pPr>
              <w:spacing w:line="360" w:lineRule="auto"/>
              <w:jc w:val="center"/>
              <w:rPr>
                <w:rFonts w:hint="eastAsia" w:ascii="宋体" w:hAnsi="宋体" w:cs="宋体"/>
                <w:color w:val="auto"/>
                <w:sz w:val="21"/>
                <w:szCs w:val="21"/>
                <w:highlight w:val="none"/>
              </w:rPr>
            </w:pPr>
          </w:p>
        </w:tc>
      </w:tr>
      <w:tr w14:paraId="391381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BD1D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1.3.6.5</w:t>
            </w:r>
          </w:p>
        </w:tc>
        <w:tc>
          <w:tcPr>
            <w:tcW w:w="6982" w:type="dxa"/>
            <w:tcBorders>
              <w:tl2br w:val="nil"/>
              <w:tr2bl w:val="nil"/>
            </w:tcBorders>
            <w:vAlign w:val="center"/>
          </w:tcPr>
          <w:p w14:paraId="70719D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修改当前用户口令</w:t>
            </w:r>
          </w:p>
        </w:tc>
        <w:tc>
          <w:tcPr>
            <w:tcW w:w="870" w:type="dxa"/>
            <w:vMerge w:val="continue"/>
            <w:tcBorders>
              <w:tl2br w:val="nil"/>
              <w:tr2bl w:val="nil"/>
            </w:tcBorders>
            <w:noWrap/>
            <w:vAlign w:val="center"/>
          </w:tcPr>
          <w:p w14:paraId="780B70E2">
            <w:pPr>
              <w:spacing w:line="360" w:lineRule="auto"/>
              <w:jc w:val="center"/>
              <w:rPr>
                <w:rFonts w:hint="eastAsia" w:ascii="宋体" w:hAnsi="宋体" w:cs="宋体"/>
                <w:color w:val="auto"/>
                <w:sz w:val="21"/>
                <w:szCs w:val="21"/>
                <w:highlight w:val="none"/>
              </w:rPr>
            </w:pPr>
          </w:p>
        </w:tc>
      </w:tr>
      <w:tr w14:paraId="51389F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64CB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1.3.6.6</w:t>
            </w:r>
          </w:p>
        </w:tc>
        <w:tc>
          <w:tcPr>
            <w:tcW w:w="6982" w:type="dxa"/>
            <w:tcBorders>
              <w:tl2br w:val="nil"/>
              <w:tr2bl w:val="nil"/>
            </w:tcBorders>
            <w:vAlign w:val="center"/>
          </w:tcPr>
          <w:p w14:paraId="715E23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日志记录功能</w:t>
            </w:r>
          </w:p>
        </w:tc>
        <w:tc>
          <w:tcPr>
            <w:tcW w:w="870" w:type="dxa"/>
            <w:vMerge w:val="continue"/>
            <w:tcBorders>
              <w:tl2br w:val="nil"/>
              <w:tr2bl w:val="nil"/>
            </w:tcBorders>
            <w:noWrap/>
            <w:vAlign w:val="center"/>
          </w:tcPr>
          <w:p w14:paraId="5BA368BB">
            <w:pPr>
              <w:spacing w:line="360" w:lineRule="auto"/>
              <w:jc w:val="center"/>
              <w:rPr>
                <w:rFonts w:hint="eastAsia" w:ascii="宋体" w:hAnsi="宋体" w:cs="宋体"/>
                <w:color w:val="auto"/>
                <w:sz w:val="21"/>
                <w:szCs w:val="21"/>
                <w:highlight w:val="none"/>
              </w:rPr>
            </w:pPr>
          </w:p>
        </w:tc>
      </w:tr>
      <w:tr w14:paraId="0B8B6D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5C94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1.3.6.7</w:t>
            </w:r>
          </w:p>
        </w:tc>
        <w:tc>
          <w:tcPr>
            <w:tcW w:w="6982" w:type="dxa"/>
            <w:tcBorders>
              <w:tl2br w:val="nil"/>
              <w:tr2bl w:val="nil"/>
            </w:tcBorders>
            <w:vAlign w:val="center"/>
          </w:tcPr>
          <w:p w14:paraId="0B1C8E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客户端应用版本自动升级，版本自动升级信息提示</w:t>
            </w:r>
          </w:p>
        </w:tc>
        <w:tc>
          <w:tcPr>
            <w:tcW w:w="870" w:type="dxa"/>
            <w:vMerge w:val="continue"/>
            <w:tcBorders>
              <w:tl2br w:val="nil"/>
              <w:tr2bl w:val="nil"/>
            </w:tcBorders>
            <w:noWrap/>
            <w:vAlign w:val="center"/>
          </w:tcPr>
          <w:p w14:paraId="4904CCA8">
            <w:pPr>
              <w:spacing w:line="360" w:lineRule="auto"/>
              <w:jc w:val="center"/>
              <w:rPr>
                <w:rFonts w:hint="eastAsia" w:ascii="宋体" w:hAnsi="宋体" w:cs="宋体"/>
                <w:color w:val="auto"/>
                <w:sz w:val="21"/>
                <w:szCs w:val="21"/>
                <w:highlight w:val="none"/>
              </w:rPr>
            </w:pPr>
          </w:p>
        </w:tc>
      </w:tr>
      <w:tr w14:paraId="1B0B51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0D2B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1.3.7</w:t>
            </w:r>
          </w:p>
        </w:tc>
        <w:tc>
          <w:tcPr>
            <w:tcW w:w="6982" w:type="dxa"/>
            <w:tcBorders>
              <w:tl2br w:val="nil"/>
              <w:tr2bl w:val="nil"/>
            </w:tcBorders>
            <w:vAlign w:val="center"/>
          </w:tcPr>
          <w:p w14:paraId="378AB8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病人浏览</w:t>
            </w:r>
          </w:p>
        </w:tc>
        <w:tc>
          <w:tcPr>
            <w:tcW w:w="870" w:type="dxa"/>
            <w:vMerge w:val="continue"/>
            <w:tcBorders>
              <w:tl2br w:val="nil"/>
              <w:tr2bl w:val="nil"/>
            </w:tcBorders>
            <w:noWrap/>
            <w:vAlign w:val="center"/>
          </w:tcPr>
          <w:p w14:paraId="3B5E7357">
            <w:pPr>
              <w:spacing w:line="360" w:lineRule="auto"/>
              <w:jc w:val="center"/>
              <w:rPr>
                <w:rFonts w:hint="eastAsia" w:ascii="宋体" w:hAnsi="宋体" w:cs="宋体"/>
                <w:color w:val="auto"/>
                <w:sz w:val="21"/>
                <w:szCs w:val="21"/>
                <w:highlight w:val="none"/>
              </w:rPr>
            </w:pPr>
          </w:p>
        </w:tc>
      </w:tr>
      <w:tr w14:paraId="115586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6FB7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1.3.7.1</w:t>
            </w:r>
          </w:p>
        </w:tc>
        <w:tc>
          <w:tcPr>
            <w:tcW w:w="6982" w:type="dxa"/>
            <w:tcBorders>
              <w:tl2br w:val="nil"/>
              <w:tr2bl w:val="nil"/>
            </w:tcBorders>
            <w:vAlign w:val="center"/>
          </w:tcPr>
          <w:p w14:paraId="19C833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病区床卡一览：浏览在科病人信息，床卡显示的病人基本信息可配置</w:t>
            </w:r>
          </w:p>
        </w:tc>
        <w:tc>
          <w:tcPr>
            <w:tcW w:w="870" w:type="dxa"/>
            <w:vMerge w:val="continue"/>
            <w:tcBorders>
              <w:tl2br w:val="nil"/>
              <w:tr2bl w:val="nil"/>
            </w:tcBorders>
            <w:noWrap/>
            <w:vAlign w:val="center"/>
          </w:tcPr>
          <w:p w14:paraId="231AB0F8">
            <w:pPr>
              <w:spacing w:line="360" w:lineRule="auto"/>
              <w:jc w:val="center"/>
              <w:rPr>
                <w:rFonts w:hint="eastAsia" w:ascii="宋体" w:hAnsi="宋体" w:cs="宋体"/>
                <w:color w:val="auto"/>
                <w:sz w:val="21"/>
                <w:szCs w:val="21"/>
                <w:highlight w:val="none"/>
              </w:rPr>
            </w:pPr>
          </w:p>
        </w:tc>
      </w:tr>
      <w:tr w14:paraId="6C74B4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2F63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1.3.7.2</w:t>
            </w:r>
          </w:p>
        </w:tc>
        <w:tc>
          <w:tcPr>
            <w:tcW w:w="6982" w:type="dxa"/>
            <w:tcBorders>
              <w:tl2br w:val="nil"/>
              <w:tr2bl w:val="nil"/>
            </w:tcBorders>
            <w:vAlign w:val="center"/>
          </w:tcPr>
          <w:p w14:paraId="5D984E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病区动态统计：可根据病人病情、护理等级等相关情况统计人数（统计项目可配置，如出入转、病情、护理等级、高危压疮、高危跌倒）</w:t>
            </w:r>
          </w:p>
        </w:tc>
        <w:tc>
          <w:tcPr>
            <w:tcW w:w="870" w:type="dxa"/>
            <w:vMerge w:val="continue"/>
            <w:tcBorders>
              <w:tl2br w:val="nil"/>
              <w:tr2bl w:val="nil"/>
            </w:tcBorders>
            <w:noWrap/>
            <w:vAlign w:val="center"/>
          </w:tcPr>
          <w:p w14:paraId="1AC179C7">
            <w:pPr>
              <w:spacing w:line="360" w:lineRule="auto"/>
              <w:jc w:val="center"/>
              <w:rPr>
                <w:rFonts w:hint="eastAsia" w:ascii="宋体" w:hAnsi="宋体" w:cs="宋体"/>
                <w:color w:val="auto"/>
                <w:sz w:val="21"/>
                <w:szCs w:val="21"/>
                <w:highlight w:val="none"/>
              </w:rPr>
            </w:pPr>
          </w:p>
        </w:tc>
      </w:tr>
      <w:tr w14:paraId="1452D1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574F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1.3.7.3</w:t>
            </w:r>
          </w:p>
        </w:tc>
        <w:tc>
          <w:tcPr>
            <w:tcW w:w="6982" w:type="dxa"/>
            <w:tcBorders>
              <w:tl2br w:val="nil"/>
              <w:tr2bl w:val="nil"/>
            </w:tcBorders>
            <w:vAlign w:val="center"/>
          </w:tcPr>
          <w:p w14:paraId="7C95F7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专科病人一览：浏览专科类病人列表（如压疮类、糖尿病类、疼痛类、PICC 类），列表信息及专科类别可配置</w:t>
            </w:r>
          </w:p>
        </w:tc>
        <w:tc>
          <w:tcPr>
            <w:tcW w:w="870" w:type="dxa"/>
            <w:vMerge w:val="continue"/>
            <w:tcBorders>
              <w:tl2br w:val="nil"/>
              <w:tr2bl w:val="nil"/>
            </w:tcBorders>
            <w:noWrap/>
            <w:vAlign w:val="center"/>
          </w:tcPr>
          <w:p w14:paraId="4DED02F8">
            <w:pPr>
              <w:spacing w:line="360" w:lineRule="auto"/>
              <w:jc w:val="center"/>
              <w:rPr>
                <w:rFonts w:hint="eastAsia" w:ascii="宋体" w:hAnsi="宋体" w:cs="宋体"/>
                <w:color w:val="auto"/>
                <w:sz w:val="21"/>
                <w:szCs w:val="21"/>
                <w:highlight w:val="none"/>
              </w:rPr>
            </w:pPr>
          </w:p>
        </w:tc>
      </w:tr>
      <w:tr w14:paraId="037663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B8A3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1.3.7.4</w:t>
            </w:r>
          </w:p>
        </w:tc>
        <w:tc>
          <w:tcPr>
            <w:tcW w:w="6982" w:type="dxa"/>
            <w:tcBorders>
              <w:tl2br w:val="nil"/>
              <w:tr2bl w:val="nil"/>
            </w:tcBorders>
            <w:vAlign w:val="center"/>
          </w:tcPr>
          <w:p w14:paraId="7DF8A1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病人查询：根据指定的查询条件查找病人，条件项可按科室进行配置</w:t>
            </w:r>
          </w:p>
        </w:tc>
        <w:tc>
          <w:tcPr>
            <w:tcW w:w="870" w:type="dxa"/>
            <w:vMerge w:val="continue"/>
            <w:tcBorders>
              <w:tl2br w:val="nil"/>
              <w:tr2bl w:val="nil"/>
            </w:tcBorders>
            <w:noWrap/>
            <w:vAlign w:val="center"/>
          </w:tcPr>
          <w:p w14:paraId="665A44FA">
            <w:pPr>
              <w:spacing w:line="360" w:lineRule="auto"/>
              <w:jc w:val="center"/>
              <w:rPr>
                <w:rFonts w:hint="eastAsia" w:ascii="宋体" w:hAnsi="宋体" w:cs="宋体"/>
                <w:color w:val="auto"/>
                <w:sz w:val="21"/>
                <w:szCs w:val="21"/>
                <w:highlight w:val="none"/>
              </w:rPr>
            </w:pPr>
          </w:p>
        </w:tc>
      </w:tr>
      <w:tr w14:paraId="143A1A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50A6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1.3.8</w:t>
            </w:r>
          </w:p>
        </w:tc>
        <w:tc>
          <w:tcPr>
            <w:tcW w:w="6982" w:type="dxa"/>
            <w:tcBorders>
              <w:tl2br w:val="nil"/>
              <w:tr2bl w:val="nil"/>
            </w:tcBorders>
            <w:vAlign w:val="center"/>
          </w:tcPr>
          <w:p w14:paraId="429E21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入院（首次）评估</w:t>
            </w:r>
          </w:p>
        </w:tc>
        <w:tc>
          <w:tcPr>
            <w:tcW w:w="870" w:type="dxa"/>
            <w:vMerge w:val="continue"/>
            <w:tcBorders>
              <w:tl2br w:val="nil"/>
              <w:tr2bl w:val="nil"/>
            </w:tcBorders>
            <w:noWrap/>
            <w:vAlign w:val="center"/>
          </w:tcPr>
          <w:p w14:paraId="0C0FCAA3">
            <w:pPr>
              <w:spacing w:line="360" w:lineRule="auto"/>
              <w:jc w:val="center"/>
              <w:rPr>
                <w:rFonts w:hint="eastAsia" w:ascii="宋体" w:hAnsi="宋体" w:cs="宋体"/>
                <w:color w:val="auto"/>
                <w:sz w:val="21"/>
                <w:szCs w:val="21"/>
                <w:highlight w:val="none"/>
              </w:rPr>
            </w:pPr>
          </w:p>
        </w:tc>
      </w:tr>
      <w:tr w14:paraId="487361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1B8B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1.3.8.1</w:t>
            </w:r>
          </w:p>
        </w:tc>
        <w:tc>
          <w:tcPr>
            <w:tcW w:w="6982" w:type="dxa"/>
            <w:tcBorders>
              <w:tl2br w:val="nil"/>
              <w:tr2bl w:val="nil"/>
            </w:tcBorders>
            <w:vAlign w:val="center"/>
          </w:tcPr>
          <w:p w14:paraId="406356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能够录入、显示、打印病人入院评估相关信息，评估内容包括：一般信息（可自动获取）、现在健康状况、过去健康状况、生活状况及自理能力、护理体检、社会心理状况</w:t>
            </w:r>
          </w:p>
        </w:tc>
        <w:tc>
          <w:tcPr>
            <w:tcW w:w="870" w:type="dxa"/>
            <w:vMerge w:val="continue"/>
            <w:tcBorders>
              <w:tl2br w:val="nil"/>
              <w:tr2bl w:val="nil"/>
            </w:tcBorders>
            <w:noWrap/>
            <w:vAlign w:val="center"/>
          </w:tcPr>
          <w:p w14:paraId="0A04D6A1">
            <w:pPr>
              <w:spacing w:line="360" w:lineRule="auto"/>
              <w:jc w:val="center"/>
              <w:rPr>
                <w:rFonts w:hint="eastAsia" w:ascii="宋体" w:hAnsi="宋体" w:cs="宋体"/>
                <w:color w:val="auto"/>
                <w:sz w:val="21"/>
                <w:szCs w:val="21"/>
                <w:highlight w:val="none"/>
              </w:rPr>
            </w:pPr>
          </w:p>
        </w:tc>
      </w:tr>
      <w:tr w14:paraId="0FF2EA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B69B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1.3.8.2</w:t>
            </w:r>
          </w:p>
        </w:tc>
        <w:tc>
          <w:tcPr>
            <w:tcW w:w="6982" w:type="dxa"/>
            <w:tcBorders>
              <w:tl2br w:val="nil"/>
              <w:tr2bl w:val="nil"/>
            </w:tcBorders>
            <w:vAlign w:val="center"/>
          </w:tcPr>
          <w:p w14:paraId="1A5898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支持科室按不同类型评估单进行评估，如常规入院评估、儿童入院评估、中医入院评估</w:t>
            </w:r>
          </w:p>
        </w:tc>
        <w:tc>
          <w:tcPr>
            <w:tcW w:w="870" w:type="dxa"/>
            <w:vMerge w:val="continue"/>
            <w:tcBorders>
              <w:tl2br w:val="nil"/>
              <w:tr2bl w:val="nil"/>
            </w:tcBorders>
            <w:noWrap/>
            <w:vAlign w:val="center"/>
          </w:tcPr>
          <w:p w14:paraId="3D0AC144">
            <w:pPr>
              <w:spacing w:line="360" w:lineRule="auto"/>
              <w:jc w:val="center"/>
              <w:rPr>
                <w:rFonts w:hint="eastAsia" w:ascii="宋体" w:hAnsi="宋体" w:cs="宋体"/>
                <w:color w:val="auto"/>
                <w:sz w:val="21"/>
                <w:szCs w:val="21"/>
                <w:highlight w:val="none"/>
              </w:rPr>
            </w:pPr>
          </w:p>
        </w:tc>
      </w:tr>
      <w:tr w14:paraId="2E0B3D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1F76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1.3.8.3</w:t>
            </w:r>
          </w:p>
        </w:tc>
        <w:tc>
          <w:tcPr>
            <w:tcW w:w="6982" w:type="dxa"/>
            <w:tcBorders>
              <w:tl2br w:val="nil"/>
              <w:tr2bl w:val="nil"/>
            </w:tcBorders>
            <w:vAlign w:val="center"/>
          </w:tcPr>
          <w:p w14:paraId="0EAC37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可根据科室情况自定义评估项目，制作评估及打印模板</w:t>
            </w:r>
          </w:p>
        </w:tc>
        <w:tc>
          <w:tcPr>
            <w:tcW w:w="870" w:type="dxa"/>
            <w:vMerge w:val="continue"/>
            <w:tcBorders>
              <w:tl2br w:val="nil"/>
              <w:tr2bl w:val="nil"/>
            </w:tcBorders>
            <w:noWrap/>
            <w:vAlign w:val="center"/>
          </w:tcPr>
          <w:p w14:paraId="3482DCD9">
            <w:pPr>
              <w:spacing w:line="360" w:lineRule="auto"/>
              <w:jc w:val="center"/>
              <w:rPr>
                <w:rFonts w:hint="eastAsia" w:ascii="宋体" w:hAnsi="宋体" w:cs="宋体"/>
                <w:color w:val="auto"/>
                <w:sz w:val="21"/>
                <w:szCs w:val="21"/>
                <w:highlight w:val="none"/>
              </w:rPr>
            </w:pPr>
          </w:p>
        </w:tc>
      </w:tr>
      <w:tr w14:paraId="67CF35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DC3F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1.3.8.4</w:t>
            </w:r>
          </w:p>
        </w:tc>
        <w:tc>
          <w:tcPr>
            <w:tcW w:w="6982" w:type="dxa"/>
            <w:tcBorders>
              <w:tl2br w:val="nil"/>
              <w:tr2bl w:val="nil"/>
            </w:tcBorders>
            <w:vAlign w:val="center"/>
          </w:tcPr>
          <w:p w14:paraId="09D24F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支持评估内容同步生成首次护理记录，避免重复录入</w:t>
            </w:r>
          </w:p>
        </w:tc>
        <w:tc>
          <w:tcPr>
            <w:tcW w:w="870" w:type="dxa"/>
            <w:vMerge w:val="continue"/>
            <w:tcBorders>
              <w:tl2br w:val="nil"/>
              <w:tr2bl w:val="nil"/>
            </w:tcBorders>
            <w:noWrap/>
            <w:vAlign w:val="center"/>
          </w:tcPr>
          <w:p w14:paraId="58CDD94A">
            <w:pPr>
              <w:spacing w:line="360" w:lineRule="auto"/>
              <w:jc w:val="center"/>
              <w:rPr>
                <w:rFonts w:hint="eastAsia" w:ascii="宋体" w:hAnsi="宋体" w:cs="宋体"/>
                <w:color w:val="auto"/>
                <w:sz w:val="21"/>
                <w:szCs w:val="21"/>
                <w:highlight w:val="none"/>
              </w:rPr>
            </w:pPr>
          </w:p>
        </w:tc>
      </w:tr>
      <w:tr w14:paraId="1AC419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0EF05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w:t>
            </w:r>
          </w:p>
        </w:tc>
        <w:tc>
          <w:tcPr>
            <w:tcW w:w="6982" w:type="dxa"/>
            <w:tcBorders>
              <w:tl2br w:val="nil"/>
              <w:tr2bl w:val="nil"/>
            </w:tcBorders>
            <w:vAlign w:val="center"/>
          </w:tcPr>
          <w:p w14:paraId="60D892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体温单</w:t>
            </w:r>
          </w:p>
        </w:tc>
        <w:tc>
          <w:tcPr>
            <w:tcW w:w="870" w:type="dxa"/>
            <w:vMerge w:val="continue"/>
            <w:tcBorders>
              <w:tl2br w:val="nil"/>
              <w:tr2bl w:val="nil"/>
            </w:tcBorders>
            <w:noWrap/>
            <w:vAlign w:val="center"/>
          </w:tcPr>
          <w:p w14:paraId="003C70BC">
            <w:pPr>
              <w:spacing w:line="360" w:lineRule="auto"/>
              <w:jc w:val="center"/>
              <w:rPr>
                <w:rFonts w:hint="eastAsia" w:ascii="宋体" w:hAnsi="宋体" w:cs="宋体"/>
                <w:color w:val="auto"/>
                <w:sz w:val="21"/>
                <w:szCs w:val="21"/>
                <w:highlight w:val="none"/>
              </w:rPr>
            </w:pPr>
          </w:p>
        </w:tc>
      </w:tr>
      <w:tr w14:paraId="563E30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A4B8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1.3.9.1</w:t>
            </w:r>
          </w:p>
        </w:tc>
        <w:tc>
          <w:tcPr>
            <w:tcW w:w="6982" w:type="dxa"/>
            <w:tcBorders>
              <w:tl2br w:val="nil"/>
              <w:tr2bl w:val="nil"/>
            </w:tcBorders>
            <w:vAlign w:val="center"/>
          </w:tcPr>
          <w:p w14:paraId="78708D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可按单个病人录入体温、脉搏、呼吸、出入量等体征信息</w:t>
            </w:r>
          </w:p>
        </w:tc>
        <w:tc>
          <w:tcPr>
            <w:tcW w:w="870" w:type="dxa"/>
            <w:vMerge w:val="continue"/>
            <w:tcBorders>
              <w:tl2br w:val="nil"/>
              <w:tr2bl w:val="nil"/>
            </w:tcBorders>
            <w:noWrap/>
            <w:vAlign w:val="center"/>
          </w:tcPr>
          <w:p w14:paraId="136F8D24">
            <w:pPr>
              <w:spacing w:line="360" w:lineRule="auto"/>
              <w:jc w:val="center"/>
              <w:rPr>
                <w:rFonts w:hint="eastAsia" w:ascii="宋体" w:hAnsi="宋体" w:cs="宋体"/>
                <w:color w:val="auto"/>
                <w:sz w:val="21"/>
                <w:szCs w:val="21"/>
                <w:highlight w:val="none"/>
              </w:rPr>
            </w:pPr>
          </w:p>
        </w:tc>
      </w:tr>
      <w:tr w14:paraId="5C4493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F5FB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1.3.9.2</w:t>
            </w:r>
          </w:p>
        </w:tc>
        <w:tc>
          <w:tcPr>
            <w:tcW w:w="6982" w:type="dxa"/>
            <w:tcBorders>
              <w:tl2br w:val="nil"/>
              <w:tr2bl w:val="nil"/>
            </w:tcBorders>
            <w:vAlign w:val="center"/>
          </w:tcPr>
          <w:p w14:paraId="3C817A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按病人列表批量录入体征信息，可手动选择病人</w:t>
            </w:r>
          </w:p>
        </w:tc>
        <w:tc>
          <w:tcPr>
            <w:tcW w:w="870" w:type="dxa"/>
            <w:vMerge w:val="continue"/>
            <w:tcBorders>
              <w:tl2br w:val="nil"/>
              <w:tr2bl w:val="nil"/>
            </w:tcBorders>
            <w:noWrap/>
            <w:vAlign w:val="center"/>
          </w:tcPr>
          <w:p w14:paraId="3C84EBAC">
            <w:pPr>
              <w:spacing w:line="360" w:lineRule="auto"/>
              <w:jc w:val="center"/>
              <w:rPr>
                <w:rFonts w:hint="eastAsia" w:ascii="宋体" w:hAnsi="宋体" w:cs="宋体"/>
                <w:color w:val="auto"/>
                <w:sz w:val="21"/>
                <w:szCs w:val="21"/>
                <w:highlight w:val="none"/>
              </w:rPr>
            </w:pPr>
          </w:p>
        </w:tc>
      </w:tr>
      <w:tr w14:paraId="78AC71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FE15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1.3.9.3</w:t>
            </w:r>
          </w:p>
        </w:tc>
        <w:tc>
          <w:tcPr>
            <w:tcW w:w="6982" w:type="dxa"/>
            <w:tcBorders>
              <w:tl2br w:val="nil"/>
              <w:tr2bl w:val="nil"/>
            </w:tcBorders>
            <w:vAlign w:val="center"/>
          </w:tcPr>
          <w:p w14:paraId="5DCF595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体征异常时，系统自动提醒，给予相关护理措施的建议，并可制定相关护理计划</w:t>
            </w:r>
          </w:p>
        </w:tc>
        <w:tc>
          <w:tcPr>
            <w:tcW w:w="870" w:type="dxa"/>
            <w:vMerge w:val="continue"/>
            <w:tcBorders>
              <w:tl2br w:val="nil"/>
              <w:tr2bl w:val="nil"/>
            </w:tcBorders>
            <w:noWrap/>
            <w:vAlign w:val="center"/>
          </w:tcPr>
          <w:p w14:paraId="32AA062C">
            <w:pPr>
              <w:spacing w:line="360" w:lineRule="auto"/>
              <w:jc w:val="center"/>
              <w:rPr>
                <w:rFonts w:hint="eastAsia" w:ascii="宋体" w:hAnsi="宋体" w:cs="宋体"/>
                <w:color w:val="auto"/>
                <w:sz w:val="21"/>
                <w:szCs w:val="21"/>
                <w:highlight w:val="none"/>
              </w:rPr>
            </w:pPr>
          </w:p>
        </w:tc>
      </w:tr>
      <w:tr w14:paraId="571E07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2A43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1.3.9.4</w:t>
            </w:r>
          </w:p>
        </w:tc>
        <w:tc>
          <w:tcPr>
            <w:tcW w:w="6982" w:type="dxa"/>
            <w:tcBorders>
              <w:tl2br w:val="nil"/>
              <w:tr2bl w:val="nil"/>
            </w:tcBorders>
            <w:vAlign w:val="center"/>
          </w:tcPr>
          <w:p w14:paraId="19E04D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根据病人体温测量规则系统自动产生每个时间点的待测病人列表，进行批量采集录入</w:t>
            </w:r>
          </w:p>
        </w:tc>
        <w:tc>
          <w:tcPr>
            <w:tcW w:w="870" w:type="dxa"/>
            <w:vMerge w:val="continue"/>
            <w:tcBorders>
              <w:tl2br w:val="nil"/>
              <w:tr2bl w:val="nil"/>
            </w:tcBorders>
            <w:noWrap/>
            <w:vAlign w:val="center"/>
          </w:tcPr>
          <w:p w14:paraId="4A4B164D">
            <w:pPr>
              <w:spacing w:line="360" w:lineRule="auto"/>
              <w:jc w:val="center"/>
              <w:rPr>
                <w:rFonts w:hint="eastAsia" w:ascii="宋体" w:hAnsi="宋体" w:cs="宋体"/>
                <w:color w:val="auto"/>
                <w:sz w:val="21"/>
                <w:szCs w:val="21"/>
                <w:highlight w:val="none"/>
              </w:rPr>
            </w:pPr>
          </w:p>
        </w:tc>
      </w:tr>
      <w:tr w14:paraId="382829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55C7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1.3.9.5</w:t>
            </w:r>
          </w:p>
        </w:tc>
        <w:tc>
          <w:tcPr>
            <w:tcW w:w="6982" w:type="dxa"/>
            <w:tcBorders>
              <w:tl2br w:val="nil"/>
              <w:tr2bl w:val="nil"/>
            </w:tcBorders>
            <w:vAlign w:val="center"/>
          </w:tcPr>
          <w:p w14:paraId="01FBF0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根据医嘱自动统计 24 小时出入量</w:t>
            </w:r>
          </w:p>
        </w:tc>
        <w:tc>
          <w:tcPr>
            <w:tcW w:w="870" w:type="dxa"/>
            <w:vMerge w:val="continue"/>
            <w:tcBorders>
              <w:tl2br w:val="nil"/>
              <w:tr2bl w:val="nil"/>
            </w:tcBorders>
            <w:noWrap/>
            <w:vAlign w:val="center"/>
          </w:tcPr>
          <w:p w14:paraId="115387A8">
            <w:pPr>
              <w:spacing w:line="360" w:lineRule="auto"/>
              <w:jc w:val="center"/>
              <w:rPr>
                <w:rFonts w:hint="eastAsia" w:ascii="宋体" w:hAnsi="宋体" w:cs="宋体"/>
                <w:color w:val="auto"/>
                <w:sz w:val="21"/>
                <w:szCs w:val="21"/>
                <w:highlight w:val="none"/>
              </w:rPr>
            </w:pPr>
          </w:p>
        </w:tc>
      </w:tr>
      <w:tr w14:paraId="7208C5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0A2A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1.3.9.6</w:t>
            </w:r>
          </w:p>
        </w:tc>
        <w:tc>
          <w:tcPr>
            <w:tcW w:w="6982" w:type="dxa"/>
            <w:tcBorders>
              <w:tl2br w:val="nil"/>
              <w:tr2bl w:val="nil"/>
            </w:tcBorders>
            <w:vAlign w:val="center"/>
          </w:tcPr>
          <w:p w14:paraId="261EBA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自动获取其他各类评估单、护理记录中的体征</w:t>
            </w:r>
          </w:p>
        </w:tc>
        <w:tc>
          <w:tcPr>
            <w:tcW w:w="870" w:type="dxa"/>
            <w:vMerge w:val="continue"/>
            <w:tcBorders>
              <w:tl2br w:val="nil"/>
              <w:tr2bl w:val="nil"/>
            </w:tcBorders>
            <w:noWrap/>
            <w:vAlign w:val="center"/>
          </w:tcPr>
          <w:p w14:paraId="7B6556D1">
            <w:pPr>
              <w:spacing w:line="360" w:lineRule="auto"/>
              <w:jc w:val="center"/>
              <w:rPr>
                <w:rFonts w:hint="eastAsia" w:ascii="宋体" w:hAnsi="宋体" w:cs="宋体"/>
                <w:color w:val="auto"/>
                <w:sz w:val="21"/>
                <w:szCs w:val="21"/>
                <w:highlight w:val="none"/>
              </w:rPr>
            </w:pPr>
          </w:p>
        </w:tc>
      </w:tr>
      <w:tr w14:paraId="3CE130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585A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1.3.9.7</w:t>
            </w:r>
          </w:p>
        </w:tc>
        <w:tc>
          <w:tcPr>
            <w:tcW w:w="6982" w:type="dxa"/>
            <w:tcBorders>
              <w:tl2br w:val="nil"/>
              <w:tr2bl w:val="nil"/>
            </w:tcBorders>
            <w:vAlign w:val="center"/>
          </w:tcPr>
          <w:p w14:paraId="20F809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w:t>
            </w:r>
            <w:r>
              <w:rPr>
                <w:rFonts w:hint="eastAsia" w:ascii="宋体" w:hAnsi="宋体" w:cs="宋体"/>
                <w:color w:val="auto"/>
                <w:kern w:val="0"/>
                <w:sz w:val="21"/>
                <w:szCs w:val="21"/>
                <w:highlight w:val="none"/>
                <w:lang w:eastAsia="zh-CN" w:bidi="ar"/>
              </w:rPr>
              <w:t>卫健委</w:t>
            </w:r>
            <w:r>
              <w:rPr>
                <w:rFonts w:hint="eastAsia" w:ascii="宋体" w:hAnsi="宋体" w:cs="宋体"/>
                <w:color w:val="auto"/>
                <w:kern w:val="0"/>
                <w:sz w:val="21"/>
                <w:szCs w:val="21"/>
                <w:highlight w:val="none"/>
                <w:lang w:bidi="ar"/>
              </w:rPr>
              <w:t>统一的体温单填写规范自动生成体温单，如体温曲线、脉搏曲线</w:t>
            </w:r>
          </w:p>
        </w:tc>
        <w:tc>
          <w:tcPr>
            <w:tcW w:w="870" w:type="dxa"/>
            <w:vMerge w:val="continue"/>
            <w:tcBorders>
              <w:tl2br w:val="nil"/>
              <w:tr2bl w:val="nil"/>
            </w:tcBorders>
            <w:noWrap/>
            <w:vAlign w:val="center"/>
          </w:tcPr>
          <w:p w14:paraId="30B4727A">
            <w:pPr>
              <w:spacing w:line="360" w:lineRule="auto"/>
              <w:jc w:val="center"/>
              <w:rPr>
                <w:rFonts w:hint="eastAsia" w:ascii="宋体" w:hAnsi="宋体" w:cs="宋体"/>
                <w:color w:val="auto"/>
                <w:sz w:val="21"/>
                <w:szCs w:val="21"/>
                <w:highlight w:val="none"/>
              </w:rPr>
            </w:pPr>
          </w:p>
        </w:tc>
      </w:tr>
      <w:tr w14:paraId="7777D8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77D1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1.3.9.8</w:t>
            </w:r>
          </w:p>
        </w:tc>
        <w:tc>
          <w:tcPr>
            <w:tcW w:w="6982" w:type="dxa"/>
            <w:tcBorders>
              <w:tl2br w:val="nil"/>
              <w:tr2bl w:val="nil"/>
            </w:tcBorders>
            <w:vAlign w:val="center"/>
          </w:tcPr>
          <w:p w14:paraId="106FB2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可添加疼、体重、呼吸、箱温曲线</w:t>
            </w:r>
          </w:p>
        </w:tc>
        <w:tc>
          <w:tcPr>
            <w:tcW w:w="870" w:type="dxa"/>
            <w:vMerge w:val="continue"/>
            <w:tcBorders>
              <w:tl2br w:val="nil"/>
              <w:tr2bl w:val="nil"/>
            </w:tcBorders>
            <w:noWrap/>
            <w:vAlign w:val="center"/>
          </w:tcPr>
          <w:p w14:paraId="21269570">
            <w:pPr>
              <w:spacing w:line="360" w:lineRule="auto"/>
              <w:jc w:val="center"/>
              <w:rPr>
                <w:rFonts w:hint="eastAsia" w:ascii="宋体" w:hAnsi="宋体" w:cs="宋体"/>
                <w:color w:val="auto"/>
                <w:sz w:val="21"/>
                <w:szCs w:val="21"/>
                <w:highlight w:val="none"/>
              </w:rPr>
            </w:pPr>
          </w:p>
        </w:tc>
      </w:tr>
      <w:tr w14:paraId="34A06E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C665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1.3.9.9</w:t>
            </w:r>
          </w:p>
        </w:tc>
        <w:tc>
          <w:tcPr>
            <w:tcW w:w="6982" w:type="dxa"/>
            <w:tcBorders>
              <w:tl2br w:val="nil"/>
              <w:tr2bl w:val="nil"/>
            </w:tcBorders>
            <w:vAlign w:val="center"/>
          </w:tcPr>
          <w:p w14:paraId="213166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按周浏览打印体温单，具有满页打印提醒功能</w:t>
            </w:r>
          </w:p>
        </w:tc>
        <w:tc>
          <w:tcPr>
            <w:tcW w:w="870" w:type="dxa"/>
            <w:vMerge w:val="continue"/>
            <w:tcBorders>
              <w:tl2br w:val="nil"/>
              <w:tr2bl w:val="nil"/>
            </w:tcBorders>
            <w:noWrap/>
            <w:vAlign w:val="center"/>
          </w:tcPr>
          <w:p w14:paraId="2895884D">
            <w:pPr>
              <w:spacing w:line="360" w:lineRule="auto"/>
              <w:jc w:val="center"/>
              <w:rPr>
                <w:rFonts w:hint="eastAsia" w:ascii="宋体" w:hAnsi="宋体" w:cs="宋体"/>
                <w:color w:val="auto"/>
                <w:sz w:val="21"/>
                <w:szCs w:val="21"/>
                <w:highlight w:val="none"/>
              </w:rPr>
            </w:pPr>
          </w:p>
        </w:tc>
      </w:tr>
      <w:tr w14:paraId="532522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F7A3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1.3.10</w:t>
            </w:r>
          </w:p>
        </w:tc>
        <w:tc>
          <w:tcPr>
            <w:tcW w:w="6982" w:type="dxa"/>
            <w:tcBorders>
              <w:tl2br w:val="nil"/>
              <w:tr2bl w:val="nil"/>
            </w:tcBorders>
            <w:vAlign w:val="center"/>
          </w:tcPr>
          <w:p w14:paraId="7AE789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医嘱记录单</w:t>
            </w:r>
          </w:p>
        </w:tc>
        <w:tc>
          <w:tcPr>
            <w:tcW w:w="870" w:type="dxa"/>
            <w:vMerge w:val="continue"/>
            <w:tcBorders>
              <w:tl2br w:val="nil"/>
              <w:tr2bl w:val="nil"/>
            </w:tcBorders>
            <w:noWrap/>
            <w:vAlign w:val="center"/>
          </w:tcPr>
          <w:p w14:paraId="037369B1">
            <w:pPr>
              <w:spacing w:line="360" w:lineRule="auto"/>
              <w:jc w:val="center"/>
              <w:rPr>
                <w:rFonts w:hint="eastAsia" w:ascii="宋体" w:hAnsi="宋体" w:cs="宋体"/>
                <w:color w:val="auto"/>
                <w:sz w:val="21"/>
                <w:szCs w:val="21"/>
                <w:highlight w:val="none"/>
              </w:rPr>
            </w:pPr>
          </w:p>
        </w:tc>
      </w:tr>
      <w:tr w14:paraId="4A3DF5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DB56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1.3.10.1</w:t>
            </w:r>
          </w:p>
        </w:tc>
        <w:tc>
          <w:tcPr>
            <w:tcW w:w="6982" w:type="dxa"/>
            <w:tcBorders>
              <w:tl2br w:val="nil"/>
              <w:tr2bl w:val="nil"/>
            </w:tcBorders>
            <w:vAlign w:val="center"/>
          </w:tcPr>
          <w:p w14:paraId="19040F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可浏览长期医嘱，提供长期医嘱单标准打印格式</w:t>
            </w:r>
          </w:p>
        </w:tc>
        <w:tc>
          <w:tcPr>
            <w:tcW w:w="870" w:type="dxa"/>
            <w:vMerge w:val="continue"/>
            <w:tcBorders>
              <w:tl2br w:val="nil"/>
              <w:tr2bl w:val="nil"/>
            </w:tcBorders>
            <w:noWrap/>
            <w:vAlign w:val="center"/>
          </w:tcPr>
          <w:p w14:paraId="461804A9">
            <w:pPr>
              <w:spacing w:line="360" w:lineRule="auto"/>
              <w:jc w:val="center"/>
              <w:rPr>
                <w:rFonts w:hint="eastAsia" w:ascii="宋体" w:hAnsi="宋体" w:cs="宋体"/>
                <w:color w:val="auto"/>
                <w:sz w:val="21"/>
                <w:szCs w:val="21"/>
                <w:highlight w:val="none"/>
              </w:rPr>
            </w:pPr>
          </w:p>
        </w:tc>
      </w:tr>
      <w:tr w14:paraId="07E9B7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B7D6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1.3.10.2</w:t>
            </w:r>
          </w:p>
        </w:tc>
        <w:tc>
          <w:tcPr>
            <w:tcW w:w="6982" w:type="dxa"/>
            <w:tcBorders>
              <w:tl2br w:val="nil"/>
              <w:tr2bl w:val="nil"/>
            </w:tcBorders>
            <w:vAlign w:val="center"/>
          </w:tcPr>
          <w:p w14:paraId="7A33B5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可浏览临时医嘱，提供临时医嘱单标准打印格式</w:t>
            </w:r>
          </w:p>
        </w:tc>
        <w:tc>
          <w:tcPr>
            <w:tcW w:w="870" w:type="dxa"/>
            <w:vMerge w:val="continue"/>
            <w:tcBorders>
              <w:tl2br w:val="nil"/>
              <w:tr2bl w:val="nil"/>
            </w:tcBorders>
            <w:noWrap/>
            <w:vAlign w:val="center"/>
          </w:tcPr>
          <w:p w14:paraId="4738D65D">
            <w:pPr>
              <w:spacing w:line="360" w:lineRule="auto"/>
              <w:jc w:val="center"/>
              <w:rPr>
                <w:rFonts w:hint="eastAsia" w:ascii="宋体" w:hAnsi="宋体" w:cs="宋体"/>
                <w:color w:val="auto"/>
                <w:sz w:val="21"/>
                <w:szCs w:val="21"/>
                <w:highlight w:val="none"/>
              </w:rPr>
            </w:pPr>
          </w:p>
        </w:tc>
      </w:tr>
      <w:tr w14:paraId="0498F2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B2BF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w:t>
            </w:r>
          </w:p>
        </w:tc>
        <w:tc>
          <w:tcPr>
            <w:tcW w:w="6982" w:type="dxa"/>
            <w:tcBorders>
              <w:tl2br w:val="nil"/>
              <w:tr2bl w:val="nil"/>
            </w:tcBorders>
            <w:vAlign w:val="center"/>
          </w:tcPr>
          <w:p w14:paraId="4899D7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护理计划</w:t>
            </w:r>
          </w:p>
        </w:tc>
        <w:tc>
          <w:tcPr>
            <w:tcW w:w="870" w:type="dxa"/>
            <w:vMerge w:val="continue"/>
            <w:tcBorders>
              <w:tl2br w:val="nil"/>
              <w:tr2bl w:val="nil"/>
            </w:tcBorders>
            <w:noWrap/>
            <w:vAlign w:val="center"/>
          </w:tcPr>
          <w:p w14:paraId="4F61AB1E">
            <w:pPr>
              <w:spacing w:line="360" w:lineRule="auto"/>
              <w:jc w:val="center"/>
              <w:rPr>
                <w:rFonts w:hint="eastAsia" w:ascii="宋体" w:hAnsi="宋体" w:cs="宋体"/>
                <w:color w:val="auto"/>
                <w:sz w:val="21"/>
                <w:szCs w:val="21"/>
                <w:highlight w:val="none"/>
              </w:rPr>
            </w:pPr>
          </w:p>
        </w:tc>
      </w:tr>
      <w:tr w14:paraId="373070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41DD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1.3.11.1</w:t>
            </w:r>
          </w:p>
        </w:tc>
        <w:tc>
          <w:tcPr>
            <w:tcW w:w="6982" w:type="dxa"/>
            <w:tcBorders>
              <w:tl2br w:val="nil"/>
              <w:tr2bl w:val="nil"/>
            </w:tcBorders>
            <w:vAlign w:val="center"/>
          </w:tcPr>
          <w:p w14:paraId="399A19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可维护临床科室常用的护理诊断</w:t>
            </w:r>
          </w:p>
        </w:tc>
        <w:tc>
          <w:tcPr>
            <w:tcW w:w="870" w:type="dxa"/>
            <w:vMerge w:val="continue"/>
            <w:tcBorders>
              <w:tl2br w:val="nil"/>
              <w:tr2bl w:val="nil"/>
            </w:tcBorders>
            <w:noWrap/>
            <w:vAlign w:val="center"/>
          </w:tcPr>
          <w:p w14:paraId="2B4CD3D3">
            <w:pPr>
              <w:spacing w:line="360" w:lineRule="auto"/>
              <w:jc w:val="center"/>
              <w:rPr>
                <w:rFonts w:hint="eastAsia" w:ascii="宋体" w:hAnsi="宋体" w:cs="宋体"/>
                <w:color w:val="auto"/>
                <w:sz w:val="21"/>
                <w:szCs w:val="21"/>
                <w:highlight w:val="none"/>
              </w:rPr>
            </w:pPr>
          </w:p>
        </w:tc>
      </w:tr>
      <w:tr w14:paraId="11D4BE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6311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1.3.11.2</w:t>
            </w:r>
          </w:p>
        </w:tc>
        <w:tc>
          <w:tcPr>
            <w:tcW w:w="6982" w:type="dxa"/>
            <w:tcBorders>
              <w:tl2br w:val="nil"/>
              <w:tr2bl w:val="nil"/>
            </w:tcBorders>
            <w:vAlign w:val="center"/>
          </w:tcPr>
          <w:p w14:paraId="3F3594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支持护理诊断为基础维护常用相关因素，可按病理生理性的（生物的或精神的）、心理上的，与治疗有关的、情境上的（环境或个人的）、成熟上的（即年龄上的）进行分类</w:t>
            </w:r>
          </w:p>
        </w:tc>
        <w:tc>
          <w:tcPr>
            <w:tcW w:w="870" w:type="dxa"/>
            <w:vMerge w:val="continue"/>
            <w:tcBorders>
              <w:tl2br w:val="nil"/>
              <w:tr2bl w:val="nil"/>
            </w:tcBorders>
            <w:noWrap/>
            <w:vAlign w:val="center"/>
          </w:tcPr>
          <w:p w14:paraId="15B9BAF5">
            <w:pPr>
              <w:spacing w:line="360" w:lineRule="auto"/>
              <w:jc w:val="center"/>
              <w:rPr>
                <w:rFonts w:hint="eastAsia" w:ascii="宋体" w:hAnsi="宋体" w:cs="宋体"/>
                <w:color w:val="auto"/>
                <w:sz w:val="21"/>
                <w:szCs w:val="21"/>
                <w:highlight w:val="none"/>
              </w:rPr>
            </w:pPr>
          </w:p>
        </w:tc>
      </w:tr>
      <w:tr w14:paraId="7EA219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D29A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1.3.11.3</w:t>
            </w:r>
          </w:p>
        </w:tc>
        <w:tc>
          <w:tcPr>
            <w:tcW w:w="6982" w:type="dxa"/>
            <w:tcBorders>
              <w:tl2br w:val="nil"/>
              <w:tr2bl w:val="nil"/>
            </w:tcBorders>
            <w:vAlign w:val="center"/>
          </w:tcPr>
          <w:p w14:paraId="2A4B60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支持护理诊断为基础维护临床常用的护理目标，可分为近期目标和远期目标</w:t>
            </w:r>
          </w:p>
        </w:tc>
        <w:tc>
          <w:tcPr>
            <w:tcW w:w="870" w:type="dxa"/>
            <w:vMerge w:val="continue"/>
            <w:tcBorders>
              <w:tl2br w:val="nil"/>
              <w:tr2bl w:val="nil"/>
            </w:tcBorders>
            <w:noWrap/>
            <w:vAlign w:val="center"/>
          </w:tcPr>
          <w:p w14:paraId="7A493615">
            <w:pPr>
              <w:spacing w:line="360" w:lineRule="auto"/>
              <w:jc w:val="center"/>
              <w:rPr>
                <w:rFonts w:hint="eastAsia" w:ascii="宋体" w:hAnsi="宋体" w:cs="宋体"/>
                <w:color w:val="auto"/>
                <w:sz w:val="21"/>
                <w:szCs w:val="21"/>
                <w:highlight w:val="none"/>
              </w:rPr>
            </w:pPr>
          </w:p>
        </w:tc>
      </w:tr>
      <w:tr w14:paraId="738DBB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E784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1.3.11.4</w:t>
            </w:r>
          </w:p>
        </w:tc>
        <w:tc>
          <w:tcPr>
            <w:tcW w:w="6982" w:type="dxa"/>
            <w:tcBorders>
              <w:tl2br w:val="nil"/>
              <w:tr2bl w:val="nil"/>
            </w:tcBorders>
            <w:vAlign w:val="center"/>
          </w:tcPr>
          <w:p w14:paraId="601B8B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支持护理诊断为基础维护对应的一系列常用护理措施</w:t>
            </w:r>
          </w:p>
        </w:tc>
        <w:tc>
          <w:tcPr>
            <w:tcW w:w="870" w:type="dxa"/>
            <w:vMerge w:val="continue"/>
            <w:tcBorders>
              <w:tl2br w:val="nil"/>
              <w:tr2bl w:val="nil"/>
            </w:tcBorders>
            <w:noWrap/>
            <w:vAlign w:val="center"/>
          </w:tcPr>
          <w:p w14:paraId="7A32F2DB">
            <w:pPr>
              <w:spacing w:line="360" w:lineRule="auto"/>
              <w:jc w:val="center"/>
              <w:rPr>
                <w:rFonts w:hint="eastAsia" w:ascii="宋体" w:hAnsi="宋体" w:cs="宋体"/>
                <w:color w:val="auto"/>
                <w:sz w:val="21"/>
                <w:szCs w:val="21"/>
                <w:highlight w:val="none"/>
              </w:rPr>
            </w:pPr>
          </w:p>
        </w:tc>
      </w:tr>
      <w:tr w14:paraId="3B4357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4856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1.3.11.5</w:t>
            </w:r>
          </w:p>
        </w:tc>
        <w:tc>
          <w:tcPr>
            <w:tcW w:w="6982" w:type="dxa"/>
            <w:tcBorders>
              <w:tl2br w:val="nil"/>
              <w:tr2bl w:val="nil"/>
            </w:tcBorders>
            <w:vAlign w:val="center"/>
          </w:tcPr>
          <w:p w14:paraId="56C5E1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可根据日常护理评估中发现的健康问题制定护理计划，包括确认护理诊断及相关因素，确定护理目标，制定详细的护理措施</w:t>
            </w:r>
          </w:p>
        </w:tc>
        <w:tc>
          <w:tcPr>
            <w:tcW w:w="870" w:type="dxa"/>
            <w:vMerge w:val="continue"/>
            <w:tcBorders>
              <w:tl2br w:val="nil"/>
              <w:tr2bl w:val="nil"/>
            </w:tcBorders>
            <w:noWrap/>
            <w:vAlign w:val="center"/>
          </w:tcPr>
          <w:p w14:paraId="47943536">
            <w:pPr>
              <w:spacing w:line="360" w:lineRule="auto"/>
              <w:jc w:val="center"/>
              <w:rPr>
                <w:rFonts w:hint="eastAsia" w:ascii="宋体" w:hAnsi="宋体" w:cs="宋体"/>
                <w:color w:val="auto"/>
                <w:sz w:val="21"/>
                <w:szCs w:val="21"/>
                <w:highlight w:val="none"/>
              </w:rPr>
            </w:pPr>
          </w:p>
        </w:tc>
      </w:tr>
      <w:tr w14:paraId="3B6680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4830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1.3.11.6</w:t>
            </w:r>
          </w:p>
        </w:tc>
        <w:tc>
          <w:tcPr>
            <w:tcW w:w="6982" w:type="dxa"/>
            <w:tcBorders>
              <w:tl2br w:val="nil"/>
              <w:tr2bl w:val="nil"/>
            </w:tcBorders>
            <w:vAlign w:val="center"/>
          </w:tcPr>
          <w:p w14:paraId="3A6BE0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支持在实施过程中病人及家属对效果的反馈，停止实施已完成的项目；对效果不好的护理措施应予修订</w:t>
            </w:r>
          </w:p>
        </w:tc>
        <w:tc>
          <w:tcPr>
            <w:tcW w:w="870" w:type="dxa"/>
            <w:vMerge w:val="continue"/>
            <w:tcBorders>
              <w:tl2br w:val="nil"/>
              <w:tr2bl w:val="nil"/>
            </w:tcBorders>
            <w:noWrap/>
            <w:vAlign w:val="center"/>
          </w:tcPr>
          <w:p w14:paraId="3B40E9E4">
            <w:pPr>
              <w:spacing w:line="360" w:lineRule="auto"/>
              <w:jc w:val="center"/>
              <w:rPr>
                <w:rFonts w:hint="eastAsia" w:ascii="宋体" w:hAnsi="宋体" w:cs="宋体"/>
                <w:color w:val="auto"/>
                <w:sz w:val="21"/>
                <w:szCs w:val="21"/>
                <w:highlight w:val="none"/>
              </w:rPr>
            </w:pPr>
          </w:p>
        </w:tc>
      </w:tr>
      <w:tr w14:paraId="5E3292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9F85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1.3.11.7</w:t>
            </w:r>
          </w:p>
        </w:tc>
        <w:tc>
          <w:tcPr>
            <w:tcW w:w="6982" w:type="dxa"/>
            <w:tcBorders>
              <w:tl2br w:val="nil"/>
              <w:tr2bl w:val="nil"/>
            </w:tcBorders>
            <w:vAlign w:val="center"/>
          </w:tcPr>
          <w:p w14:paraId="320938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支持根据指定的条件查询护理计划单，并查看整个护理计划的执行情况及评价</w:t>
            </w:r>
          </w:p>
        </w:tc>
        <w:tc>
          <w:tcPr>
            <w:tcW w:w="870" w:type="dxa"/>
            <w:vMerge w:val="continue"/>
            <w:tcBorders>
              <w:tl2br w:val="nil"/>
              <w:tr2bl w:val="nil"/>
            </w:tcBorders>
            <w:noWrap/>
            <w:vAlign w:val="center"/>
          </w:tcPr>
          <w:p w14:paraId="243B3727">
            <w:pPr>
              <w:spacing w:line="360" w:lineRule="auto"/>
              <w:jc w:val="center"/>
              <w:rPr>
                <w:rFonts w:hint="eastAsia" w:ascii="宋体" w:hAnsi="宋体" w:cs="宋体"/>
                <w:color w:val="auto"/>
                <w:sz w:val="21"/>
                <w:szCs w:val="21"/>
                <w:highlight w:val="none"/>
              </w:rPr>
            </w:pPr>
          </w:p>
        </w:tc>
      </w:tr>
      <w:tr w14:paraId="3B9866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36E4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1.3.11.8</w:t>
            </w:r>
          </w:p>
        </w:tc>
        <w:tc>
          <w:tcPr>
            <w:tcW w:w="6982" w:type="dxa"/>
            <w:tcBorders>
              <w:tl2br w:val="nil"/>
              <w:tr2bl w:val="nil"/>
            </w:tcBorders>
            <w:vAlign w:val="center"/>
          </w:tcPr>
          <w:p w14:paraId="6F2C0B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支持可配置打印模板，支持续打</w:t>
            </w:r>
          </w:p>
        </w:tc>
        <w:tc>
          <w:tcPr>
            <w:tcW w:w="870" w:type="dxa"/>
            <w:vMerge w:val="continue"/>
            <w:tcBorders>
              <w:tl2br w:val="nil"/>
              <w:tr2bl w:val="nil"/>
            </w:tcBorders>
            <w:noWrap/>
            <w:vAlign w:val="center"/>
          </w:tcPr>
          <w:p w14:paraId="4D78F851">
            <w:pPr>
              <w:spacing w:line="360" w:lineRule="auto"/>
              <w:jc w:val="center"/>
              <w:rPr>
                <w:rFonts w:hint="eastAsia" w:ascii="宋体" w:hAnsi="宋体" w:cs="宋体"/>
                <w:color w:val="auto"/>
                <w:sz w:val="21"/>
                <w:szCs w:val="21"/>
                <w:highlight w:val="none"/>
              </w:rPr>
            </w:pPr>
          </w:p>
        </w:tc>
      </w:tr>
      <w:tr w14:paraId="5D60FC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24CF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w:t>
            </w:r>
          </w:p>
        </w:tc>
        <w:tc>
          <w:tcPr>
            <w:tcW w:w="6982" w:type="dxa"/>
            <w:tcBorders>
              <w:tl2br w:val="nil"/>
              <w:tr2bl w:val="nil"/>
            </w:tcBorders>
            <w:vAlign w:val="center"/>
          </w:tcPr>
          <w:p w14:paraId="11AE16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专项评估</w:t>
            </w:r>
          </w:p>
        </w:tc>
        <w:tc>
          <w:tcPr>
            <w:tcW w:w="870" w:type="dxa"/>
            <w:vMerge w:val="continue"/>
            <w:tcBorders>
              <w:tl2br w:val="nil"/>
              <w:tr2bl w:val="nil"/>
            </w:tcBorders>
            <w:noWrap/>
            <w:vAlign w:val="center"/>
          </w:tcPr>
          <w:p w14:paraId="15ECB3EF">
            <w:pPr>
              <w:spacing w:line="360" w:lineRule="auto"/>
              <w:jc w:val="center"/>
              <w:rPr>
                <w:rFonts w:hint="eastAsia" w:ascii="宋体" w:hAnsi="宋体" w:cs="宋体"/>
                <w:color w:val="auto"/>
                <w:sz w:val="21"/>
                <w:szCs w:val="21"/>
                <w:highlight w:val="none"/>
              </w:rPr>
            </w:pPr>
          </w:p>
        </w:tc>
      </w:tr>
      <w:tr w14:paraId="20E8C8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8809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1.3.12.1</w:t>
            </w:r>
          </w:p>
        </w:tc>
        <w:tc>
          <w:tcPr>
            <w:tcW w:w="6982" w:type="dxa"/>
            <w:tcBorders>
              <w:tl2br w:val="nil"/>
              <w:tr2bl w:val="nil"/>
            </w:tcBorders>
            <w:vAlign w:val="center"/>
          </w:tcPr>
          <w:p w14:paraId="320232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提供压疮危险因素评估模板， 可自动统计评估总分，历次评分形成压疮风险评估监控表</w:t>
            </w:r>
          </w:p>
        </w:tc>
        <w:tc>
          <w:tcPr>
            <w:tcW w:w="870" w:type="dxa"/>
            <w:vMerge w:val="continue"/>
            <w:tcBorders>
              <w:tl2br w:val="nil"/>
              <w:tr2bl w:val="nil"/>
            </w:tcBorders>
            <w:noWrap/>
            <w:vAlign w:val="center"/>
          </w:tcPr>
          <w:p w14:paraId="2B8016CA">
            <w:pPr>
              <w:spacing w:line="360" w:lineRule="auto"/>
              <w:jc w:val="center"/>
              <w:rPr>
                <w:rFonts w:hint="eastAsia" w:ascii="宋体" w:hAnsi="宋体" w:cs="宋体"/>
                <w:color w:val="auto"/>
                <w:sz w:val="21"/>
                <w:szCs w:val="21"/>
                <w:highlight w:val="none"/>
              </w:rPr>
            </w:pPr>
          </w:p>
        </w:tc>
      </w:tr>
      <w:tr w14:paraId="0ED89D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CE69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1.3.12.2</w:t>
            </w:r>
          </w:p>
        </w:tc>
        <w:tc>
          <w:tcPr>
            <w:tcW w:w="6982" w:type="dxa"/>
            <w:tcBorders>
              <w:tl2br w:val="nil"/>
              <w:tr2bl w:val="nil"/>
            </w:tcBorders>
            <w:vAlign w:val="center"/>
          </w:tcPr>
          <w:p w14:paraId="011DDE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提供跌倒 / 坠床危险因子评估模板， 可自动统计评估总分，历次评分形成跌倒 / 坠床危险评估监控表</w:t>
            </w:r>
          </w:p>
        </w:tc>
        <w:tc>
          <w:tcPr>
            <w:tcW w:w="870" w:type="dxa"/>
            <w:vMerge w:val="continue"/>
            <w:tcBorders>
              <w:tl2br w:val="nil"/>
              <w:tr2bl w:val="nil"/>
            </w:tcBorders>
            <w:noWrap/>
            <w:vAlign w:val="center"/>
          </w:tcPr>
          <w:p w14:paraId="5C4FE659">
            <w:pPr>
              <w:spacing w:line="360" w:lineRule="auto"/>
              <w:jc w:val="center"/>
              <w:rPr>
                <w:rFonts w:hint="eastAsia" w:ascii="宋体" w:hAnsi="宋体" w:cs="宋体"/>
                <w:color w:val="auto"/>
                <w:sz w:val="21"/>
                <w:szCs w:val="21"/>
                <w:highlight w:val="none"/>
              </w:rPr>
            </w:pPr>
          </w:p>
        </w:tc>
      </w:tr>
      <w:tr w14:paraId="786B1F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8DB4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1.3.12.3</w:t>
            </w:r>
          </w:p>
        </w:tc>
        <w:tc>
          <w:tcPr>
            <w:tcW w:w="6982" w:type="dxa"/>
            <w:tcBorders>
              <w:tl2br w:val="nil"/>
              <w:tr2bl w:val="nil"/>
            </w:tcBorders>
            <w:vAlign w:val="center"/>
          </w:tcPr>
          <w:p w14:paraId="03F782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除系统提供的常用专项评估单，各类告知书模板外，可按科室自定义模板，如住院患者出走风险因素评估表、自杀危险因素评估表等</w:t>
            </w:r>
          </w:p>
        </w:tc>
        <w:tc>
          <w:tcPr>
            <w:tcW w:w="870" w:type="dxa"/>
            <w:vMerge w:val="continue"/>
            <w:tcBorders>
              <w:tl2br w:val="nil"/>
              <w:tr2bl w:val="nil"/>
            </w:tcBorders>
            <w:noWrap/>
            <w:vAlign w:val="center"/>
          </w:tcPr>
          <w:p w14:paraId="55269B29">
            <w:pPr>
              <w:spacing w:line="360" w:lineRule="auto"/>
              <w:jc w:val="center"/>
              <w:rPr>
                <w:rFonts w:hint="eastAsia" w:ascii="宋体" w:hAnsi="宋体" w:cs="宋体"/>
                <w:color w:val="auto"/>
                <w:sz w:val="21"/>
                <w:szCs w:val="21"/>
                <w:highlight w:val="none"/>
              </w:rPr>
            </w:pPr>
          </w:p>
        </w:tc>
      </w:tr>
      <w:tr w14:paraId="3DC24F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FBF7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1.3.12.4</w:t>
            </w:r>
          </w:p>
        </w:tc>
        <w:tc>
          <w:tcPr>
            <w:tcW w:w="6982" w:type="dxa"/>
            <w:tcBorders>
              <w:tl2br w:val="nil"/>
              <w:tr2bl w:val="nil"/>
            </w:tcBorders>
            <w:vAlign w:val="center"/>
          </w:tcPr>
          <w:p w14:paraId="53E86D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系统根据评估总分按申报规则，自动提醒不良事件或专项申报，如 Braden 评分≥9 时，提醒压疮申报</w:t>
            </w:r>
          </w:p>
        </w:tc>
        <w:tc>
          <w:tcPr>
            <w:tcW w:w="870" w:type="dxa"/>
            <w:vMerge w:val="continue"/>
            <w:tcBorders>
              <w:tl2br w:val="nil"/>
              <w:tr2bl w:val="nil"/>
            </w:tcBorders>
            <w:noWrap/>
            <w:vAlign w:val="center"/>
          </w:tcPr>
          <w:p w14:paraId="787F9FF0">
            <w:pPr>
              <w:spacing w:line="360" w:lineRule="auto"/>
              <w:jc w:val="center"/>
              <w:rPr>
                <w:rFonts w:hint="eastAsia" w:ascii="宋体" w:hAnsi="宋体" w:cs="宋体"/>
                <w:color w:val="auto"/>
                <w:sz w:val="21"/>
                <w:szCs w:val="21"/>
                <w:highlight w:val="none"/>
              </w:rPr>
            </w:pPr>
          </w:p>
        </w:tc>
      </w:tr>
      <w:tr w14:paraId="33434E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A9EE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1.3.12.5</w:t>
            </w:r>
          </w:p>
        </w:tc>
        <w:tc>
          <w:tcPr>
            <w:tcW w:w="6982" w:type="dxa"/>
            <w:tcBorders>
              <w:tl2br w:val="nil"/>
              <w:tr2bl w:val="nil"/>
            </w:tcBorders>
            <w:vAlign w:val="center"/>
          </w:tcPr>
          <w:p w14:paraId="7D7B7B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支持管路评估对各类管路进行独立评估，支持进行分类统计</w:t>
            </w:r>
          </w:p>
        </w:tc>
        <w:tc>
          <w:tcPr>
            <w:tcW w:w="870" w:type="dxa"/>
            <w:vMerge w:val="continue"/>
            <w:tcBorders>
              <w:tl2br w:val="nil"/>
              <w:tr2bl w:val="nil"/>
            </w:tcBorders>
            <w:noWrap/>
            <w:vAlign w:val="center"/>
          </w:tcPr>
          <w:p w14:paraId="02465190">
            <w:pPr>
              <w:spacing w:line="360" w:lineRule="auto"/>
              <w:jc w:val="center"/>
              <w:rPr>
                <w:rFonts w:hint="eastAsia" w:ascii="宋体" w:hAnsi="宋体" w:cs="宋体"/>
                <w:color w:val="auto"/>
                <w:sz w:val="21"/>
                <w:szCs w:val="21"/>
                <w:highlight w:val="none"/>
              </w:rPr>
            </w:pPr>
          </w:p>
        </w:tc>
      </w:tr>
      <w:tr w14:paraId="4CDF0E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D3A0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1.3.12.6</w:t>
            </w:r>
          </w:p>
        </w:tc>
        <w:tc>
          <w:tcPr>
            <w:tcW w:w="6982" w:type="dxa"/>
            <w:tcBorders>
              <w:tl2br w:val="nil"/>
              <w:tr2bl w:val="nil"/>
            </w:tcBorders>
            <w:vAlign w:val="center"/>
          </w:tcPr>
          <w:p w14:paraId="4634E2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收到申报消息，对病区申报的单据进行审核处理</w:t>
            </w:r>
          </w:p>
        </w:tc>
        <w:tc>
          <w:tcPr>
            <w:tcW w:w="870" w:type="dxa"/>
            <w:vMerge w:val="continue"/>
            <w:tcBorders>
              <w:tl2br w:val="nil"/>
              <w:tr2bl w:val="nil"/>
            </w:tcBorders>
            <w:noWrap/>
            <w:vAlign w:val="center"/>
          </w:tcPr>
          <w:p w14:paraId="2C551832">
            <w:pPr>
              <w:spacing w:line="360" w:lineRule="auto"/>
              <w:jc w:val="center"/>
              <w:rPr>
                <w:rFonts w:hint="eastAsia" w:ascii="宋体" w:hAnsi="宋体" w:cs="宋体"/>
                <w:color w:val="auto"/>
                <w:sz w:val="21"/>
                <w:szCs w:val="21"/>
                <w:highlight w:val="none"/>
              </w:rPr>
            </w:pPr>
          </w:p>
        </w:tc>
      </w:tr>
      <w:tr w14:paraId="37C1D0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2E30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1.3.12.7</w:t>
            </w:r>
          </w:p>
        </w:tc>
        <w:tc>
          <w:tcPr>
            <w:tcW w:w="6982" w:type="dxa"/>
            <w:tcBorders>
              <w:tl2br w:val="nil"/>
              <w:tr2bl w:val="nil"/>
            </w:tcBorders>
            <w:vAlign w:val="center"/>
          </w:tcPr>
          <w:p w14:paraId="6746B4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可设置不同申报类型的审核流程</w:t>
            </w:r>
          </w:p>
        </w:tc>
        <w:tc>
          <w:tcPr>
            <w:tcW w:w="870" w:type="dxa"/>
            <w:vMerge w:val="continue"/>
            <w:tcBorders>
              <w:tl2br w:val="nil"/>
              <w:tr2bl w:val="nil"/>
            </w:tcBorders>
            <w:noWrap/>
            <w:vAlign w:val="center"/>
          </w:tcPr>
          <w:p w14:paraId="753051BF">
            <w:pPr>
              <w:spacing w:line="360" w:lineRule="auto"/>
              <w:jc w:val="center"/>
              <w:rPr>
                <w:rFonts w:hint="eastAsia" w:ascii="宋体" w:hAnsi="宋体" w:cs="宋体"/>
                <w:color w:val="auto"/>
                <w:sz w:val="21"/>
                <w:szCs w:val="21"/>
                <w:highlight w:val="none"/>
              </w:rPr>
            </w:pPr>
          </w:p>
        </w:tc>
      </w:tr>
      <w:tr w14:paraId="6A7E3E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F994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w:t>
            </w:r>
          </w:p>
        </w:tc>
        <w:tc>
          <w:tcPr>
            <w:tcW w:w="6982" w:type="dxa"/>
            <w:tcBorders>
              <w:tl2br w:val="nil"/>
              <w:tr2bl w:val="nil"/>
            </w:tcBorders>
            <w:vAlign w:val="center"/>
          </w:tcPr>
          <w:p w14:paraId="4EEBFD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护理记录</w:t>
            </w:r>
          </w:p>
        </w:tc>
        <w:tc>
          <w:tcPr>
            <w:tcW w:w="870" w:type="dxa"/>
            <w:vMerge w:val="continue"/>
            <w:tcBorders>
              <w:tl2br w:val="nil"/>
              <w:tr2bl w:val="nil"/>
            </w:tcBorders>
            <w:noWrap/>
            <w:vAlign w:val="center"/>
          </w:tcPr>
          <w:p w14:paraId="6DF18842">
            <w:pPr>
              <w:spacing w:line="360" w:lineRule="auto"/>
              <w:jc w:val="center"/>
              <w:rPr>
                <w:rFonts w:hint="eastAsia" w:ascii="宋体" w:hAnsi="宋体" w:cs="宋体"/>
                <w:color w:val="auto"/>
                <w:sz w:val="21"/>
                <w:szCs w:val="21"/>
                <w:highlight w:val="none"/>
              </w:rPr>
            </w:pPr>
          </w:p>
        </w:tc>
      </w:tr>
      <w:tr w14:paraId="5E642A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3C6D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w:t>
            </w:r>
          </w:p>
        </w:tc>
        <w:tc>
          <w:tcPr>
            <w:tcW w:w="6982" w:type="dxa"/>
            <w:tcBorders>
              <w:tl2br w:val="nil"/>
              <w:tr2bl w:val="nil"/>
            </w:tcBorders>
            <w:vAlign w:val="center"/>
          </w:tcPr>
          <w:p w14:paraId="7CC2AC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应支持护理记录单的表单结构化录入</w:t>
            </w:r>
          </w:p>
        </w:tc>
        <w:tc>
          <w:tcPr>
            <w:tcW w:w="870" w:type="dxa"/>
            <w:vMerge w:val="continue"/>
            <w:tcBorders>
              <w:tl2br w:val="nil"/>
              <w:tr2bl w:val="nil"/>
            </w:tcBorders>
            <w:noWrap/>
            <w:vAlign w:val="center"/>
          </w:tcPr>
          <w:p w14:paraId="2277B78E">
            <w:pPr>
              <w:spacing w:line="360" w:lineRule="auto"/>
              <w:jc w:val="center"/>
              <w:rPr>
                <w:rFonts w:hint="eastAsia" w:ascii="宋体" w:hAnsi="宋体" w:cs="宋体"/>
                <w:color w:val="auto"/>
                <w:sz w:val="21"/>
                <w:szCs w:val="21"/>
                <w:highlight w:val="none"/>
              </w:rPr>
            </w:pPr>
          </w:p>
        </w:tc>
      </w:tr>
      <w:tr w14:paraId="6E5D7C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41B7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1.3.13.2</w:t>
            </w:r>
          </w:p>
        </w:tc>
        <w:tc>
          <w:tcPr>
            <w:tcW w:w="6982" w:type="dxa"/>
            <w:tcBorders>
              <w:tl2br w:val="nil"/>
              <w:tr2bl w:val="nil"/>
            </w:tcBorders>
            <w:vAlign w:val="center"/>
          </w:tcPr>
          <w:p w14:paraId="275646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按科室或者专科系统评估单，对单病人进行评估记录及相应的护理措施记录</w:t>
            </w:r>
          </w:p>
        </w:tc>
        <w:tc>
          <w:tcPr>
            <w:tcW w:w="870" w:type="dxa"/>
            <w:vMerge w:val="continue"/>
            <w:tcBorders>
              <w:tl2br w:val="nil"/>
              <w:tr2bl w:val="nil"/>
            </w:tcBorders>
            <w:noWrap/>
            <w:vAlign w:val="center"/>
          </w:tcPr>
          <w:p w14:paraId="58EE5D18">
            <w:pPr>
              <w:spacing w:line="360" w:lineRule="auto"/>
              <w:jc w:val="center"/>
              <w:rPr>
                <w:rFonts w:hint="eastAsia" w:ascii="宋体" w:hAnsi="宋体" w:cs="宋体"/>
                <w:color w:val="auto"/>
                <w:sz w:val="21"/>
                <w:szCs w:val="21"/>
                <w:highlight w:val="none"/>
              </w:rPr>
            </w:pPr>
          </w:p>
        </w:tc>
      </w:tr>
      <w:tr w14:paraId="13EEAD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9B0B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1.3.13.3</w:t>
            </w:r>
          </w:p>
        </w:tc>
        <w:tc>
          <w:tcPr>
            <w:tcW w:w="6982" w:type="dxa"/>
            <w:tcBorders>
              <w:tl2br w:val="nil"/>
              <w:tr2bl w:val="nil"/>
            </w:tcBorders>
            <w:vAlign w:val="center"/>
          </w:tcPr>
          <w:p w14:paraId="5EF7C6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根据病人评估信息，系统自动生成护理记录，保证记录与评估内容一致，减少重复书写</w:t>
            </w:r>
          </w:p>
        </w:tc>
        <w:tc>
          <w:tcPr>
            <w:tcW w:w="870" w:type="dxa"/>
            <w:vMerge w:val="continue"/>
            <w:tcBorders>
              <w:tl2br w:val="nil"/>
              <w:tr2bl w:val="nil"/>
            </w:tcBorders>
            <w:noWrap/>
            <w:vAlign w:val="center"/>
          </w:tcPr>
          <w:p w14:paraId="0DD13C63">
            <w:pPr>
              <w:spacing w:line="360" w:lineRule="auto"/>
              <w:jc w:val="center"/>
              <w:rPr>
                <w:rFonts w:hint="eastAsia" w:ascii="宋体" w:hAnsi="宋体" w:cs="宋体"/>
                <w:color w:val="auto"/>
                <w:sz w:val="21"/>
                <w:szCs w:val="21"/>
                <w:highlight w:val="none"/>
              </w:rPr>
            </w:pPr>
          </w:p>
        </w:tc>
      </w:tr>
      <w:tr w14:paraId="59CAFB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84D6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1.3.13.4</w:t>
            </w:r>
          </w:p>
        </w:tc>
        <w:tc>
          <w:tcPr>
            <w:tcW w:w="6982" w:type="dxa"/>
            <w:tcBorders>
              <w:tl2br w:val="nil"/>
              <w:tr2bl w:val="nil"/>
            </w:tcBorders>
            <w:vAlign w:val="center"/>
          </w:tcPr>
          <w:p w14:paraId="19AC3F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可导入病人相关的检查检验报告到护理记录中</w:t>
            </w:r>
          </w:p>
        </w:tc>
        <w:tc>
          <w:tcPr>
            <w:tcW w:w="870" w:type="dxa"/>
            <w:vMerge w:val="continue"/>
            <w:tcBorders>
              <w:tl2br w:val="nil"/>
              <w:tr2bl w:val="nil"/>
            </w:tcBorders>
            <w:noWrap/>
            <w:vAlign w:val="center"/>
          </w:tcPr>
          <w:p w14:paraId="7B2DEB81">
            <w:pPr>
              <w:spacing w:line="360" w:lineRule="auto"/>
              <w:jc w:val="center"/>
              <w:rPr>
                <w:rFonts w:hint="eastAsia" w:ascii="宋体" w:hAnsi="宋体" w:cs="宋体"/>
                <w:color w:val="auto"/>
                <w:sz w:val="21"/>
                <w:szCs w:val="21"/>
                <w:highlight w:val="none"/>
              </w:rPr>
            </w:pPr>
          </w:p>
        </w:tc>
      </w:tr>
      <w:tr w14:paraId="0A131E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FC29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1.3.13.5</w:t>
            </w:r>
          </w:p>
        </w:tc>
        <w:tc>
          <w:tcPr>
            <w:tcW w:w="6982" w:type="dxa"/>
            <w:tcBorders>
              <w:tl2br w:val="nil"/>
              <w:tr2bl w:val="nil"/>
            </w:tcBorders>
            <w:vAlign w:val="center"/>
          </w:tcPr>
          <w:p w14:paraId="5D3EBE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可导入病人相关的医嘱信息到护理记录中</w:t>
            </w:r>
          </w:p>
        </w:tc>
        <w:tc>
          <w:tcPr>
            <w:tcW w:w="870" w:type="dxa"/>
            <w:vMerge w:val="continue"/>
            <w:tcBorders>
              <w:tl2br w:val="nil"/>
              <w:tr2bl w:val="nil"/>
            </w:tcBorders>
            <w:noWrap/>
            <w:vAlign w:val="center"/>
          </w:tcPr>
          <w:p w14:paraId="2D59F4A3">
            <w:pPr>
              <w:spacing w:line="360" w:lineRule="auto"/>
              <w:jc w:val="center"/>
              <w:rPr>
                <w:rFonts w:hint="eastAsia" w:ascii="宋体" w:hAnsi="宋体" w:cs="宋体"/>
                <w:color w:val="auto"/>
                <w:sz w:val="21"/>
                <w:szCs w:val="21"/>
                <w:highlight w:val="none"/>
              </w:rPr>
            </w:pPr>
          </w:p>
        </w:tc>
      </w:tr>
      <w:tr w14:paraId="6A700D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D113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1.3.13.6</w:t>
            </w:r>
          </w:p>
        </w:tc>
        <w:tc>
          <w:tcPr>
            <w:tcW w:w="6982" w:type="dxa"/>
            <w:tcBorders>
              <w:tl2br w:val="nil"/>
              <w:tr2bl w:val="nil"/>
            </w:tcBorders>
            <w:vAlign w:val="center"/>
          </w:tcPr>
          <w:p w14:paraId="30D49A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可按科室或个人制定护理记录小模板，如入院记录、手术记录等</w:t>
            </w:r>
          </w:p>
        </w:tc>
        <w:tc>
          <w:tcPr>
            <w:tcW w:w="870" w:type="dxa"/>
            <w:vMerge w:val="continue"/>
            <w:tcBorders>
              <w:tl2br w:val="nil"/>
              <w:tr2bl w:val="nil"/>
            </w:tcBorders>
            <w:noWrap/>
            <w:vAlign w:val="center"/>
          </w:tcPr>
          <w:p w14:paraId="4ABEB939">
            <w:pPr>
              <w:spacing w:line="360" w:lineRule="auto"/>
              <w:jc w:val="center"/>
              <w:rPr>
                <w:rFonts w:hint="eastAsia" w:ascii="宋体" w:hAnsi="宋体" w:cs="宋体"/>
                <w:color w:val="auto"/>
                <w:sz w:val="21"/>
                <w:szCs w:val="21"/>
                <w:highlight w:val="none"/>
              </w:rPr>
            </w:pPr>
          </w:p>
        </w:tc>
      </w:tr>
      <w:tr w14:paraId="178656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58D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1.3.13.7</w:t>
            </w:r>
          </w:p>
        </w:tc>
        <w:tc>
          <w:tcPr>
            <w:tcW w:w="6982" w:type="dxa"/>
            <w:tcBorders>
              <w:tl2br w:val="nil"/>
              <w:tr2bl w:val="nil"/>
            </w:tcBorders>
            <w:vAlign w:val="center"/>
          </w:tcPr>
          <w:p w14:paraId="0BD2F9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可按科室制定护理评估模板</w:t>
            </w:r>
          </w:p>
        </w:tc>
        <w:tc>
          <w:tcPr>
            <w:tcW w:w="870" w:type="dxa"/>
            <w:vMerge w:val="continue"/>
            <w:tcBorders>
              <w:tl2br w:val="nil"/>
              <w:tr2bl w:val="nil"/>
            </w:tcBorders>
            <w:noWrap/>
            <w:vAlign w:val="center"/>
          </w:tcPr>
          <w:p w14:paraId="218CAA51">
            <w:pPr>
              <w:spacing w:line="360" w:lineRule="auto"/>
              <w:jc w:val="center"/>
              <w:rPr>
                <w:rFonts w:hint="eastAsia" w:ascii="宋体" w:hAnsi="宋体" w:cs="宋体"/>
                <w:color w:val="auto"/>
                <w:sz w:val="21"/>
                <w:szCs w:val="21"/>
                <w:highlight w:val="none"/>
              </w:rPr>
            </w:pPr>
          </w:p>
        </w:tc>
      </w:tr>
      <w:tr w14:paraId="2D4F1B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CC4D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1.3.13.8</w:t>
            </w:r>
          </w:p>
        </w:tc>
        <w:tc>
          <w:tcPr>
            <w:tcW w:w="6982" w:type="dxa"/>
            <w:tcBorders>
              <w:tl2br w:val="nil"/>
              <w:tr2bl w:val="nil"/>
            </w:tcBorders>
            <w:vAlign w:val="center"/>
          </w:tcPr>
          <w:p w14:paraId="5967D0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提供一般护理记录单模板</w:t>
            </w:r>
          </w:p>
        </w:tc>
        <w:tc>
          <w:tcPr>
            <w:tcW w:w="870" w:type="dxa"/>
            <w:vMerge w:val="continue"/>
            <w:tcBorders>
              <w:tl2br w:val="nil"/>
              <w:tr2bl w:val="nil"/>
            </w:tcBorders>
            <w:noWrap/>
            <w:vAlign w:val="center"/>
          </w:tcPr>
          <w:p w14:paraId="5443A3B1">
            <w:pPr>
              <w:spacing w:line="360" w:lineRule="auto"/>
              <w:jc w:val="center"/>
              <w:rPr>
                <w:rFonts w:hint="eastAsia" w:ascii="宋体" w:hAnsi="宋体" w:cs="宋体"/>
                <w:color w:val="auto"/>
                <w:sz w:val="21"/>
                <w:szCs w:val="21"/>
                <w:highlight w:val="none"/>
              </w:rPr>
            </w:pPr>
          </w:p>
        </w:tc>
      </w:tr>
      <w:tr w14:paraId="5D0B16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E9BF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1.3.13.9</w:t>
            </w:r>
          </w:p>
        </w:tc>
        <w:tc>
          <w:tcPr>
            <w:tcW w:w="6982" w:type="dxa"/>
            <w:tcBorders>
              <w:tl2br w:val="nil"/>
              <w:tr2bl w:val="nil"/>
            </w:tcBorders>
            <w:vAlign w:val="center"/>
          </w:tcPr>
          <w:p w14:paraId="5B408E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提供危重护理记录单模板</w:t>
            </w:r>
          </w:p>
        </w:tc>
        <w:tc>
          <w:tcPr>
            <w:tcW w:w="870" w:type="dxa"/>
            <w:vMerge w:val="continue"/>
            <w:tcBorders>
              <w:tl2br w:val="nil"/>
              <w:tr2bl w:val="nil"/>
            </w:tcBorders>
            <w:noWrap/>
            <w:vAlign w:val="center"/>
          </w:tcPr>
          <w:p w14:paraId="67FCF48D">
            <w:pPr>
              <w:spacing w:line="360" w:lineRule="auto"/>
              <w:jc w:val="center"/>
              <w:rPr>
                <w:rFonts w:hint="eastAsia" w:ascii="宋体" w:hAnsi="宋体" w:cs="宋体"/>
                <w:color w:val="auto"/>
                <w:sz w:val="21"/>
                <w:szCs w:val="21"/>
                <w:highlight w:val="none"/>
              </w:rPr>
            </w:pPr>
          </w:p>
        </w:tc>
      </w:tr>
      <w:tr w14:paraId="554EB9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FE97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1.3.13.10</w:t>
            </w:r>
          </w:p>
        </w:tc>
        <w:tc>
          <w:tcPr>
            <w:tcW w:w="6982" w:type="dxa"/>
            <w:tcBorders>
              <w:tl2br w:val="nil"/>
              <w:tr2bl w:val="nil"/>
            </w:tcBorders>
            <w:vAlign w:val="center"/>
          </w:tcPr>
          <w:p w14:paraId="43485B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提供特殊护理记录单模板</w:t>
            </w:r>
          </w:p>
        </w:tc>
        <w:tc>
          <w:tcPr>
            <w:tcW w:w="870" w:type="dxa"/>
            <w:vMerge w:val="continue"/>
            <w:tcBorders>
              <w:tl2br w:val="nil"/>
              <w:tr2bl w:val="nil"/>
            </w:tcBorders>
            <w:noWrap/>
            <w:vAlign w:val="center"/>
          </w:tcPr>
          <w:p w14:paraId="59A50EA0">
            <w:pPr>
              <w:spacing w:line="360" w:lineRule="auto"/>
              <w:jc w:val="center"/>
              <w:rPr>
                <w:rFonts w:hint="eastAsia" w:ascii="宋体" w:hAnsi="宋体" w:cs="宋体"/>
                <w:color w:val="auto"/>
                <w:sz w:val="21"/>
                <w:szCs w:val="21"/>
                <w:highlight w:val="none"/>
              </w:rPr>
            </w:pPr>
          </w:p>
        </w:tc>
      </w:tr>
      <w:tr w14:paraId="546B53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B16A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1.3.13.11</w:t>
            </w:r>
          </w:p>
        </w:tc>
        <w:tc>
          <w:tcPr>
            <w:tcW w:w="6982" w:type="dxa"/>
            <w:tcBorders>
              <w:tl2br w:val="nil"/>
              <w:tr2bl w:val="nil"/>
            </w:tcBorders>
            <w:vAlign w:val="center"/>
          </w:tcPr>
          <w:p w14:paraId="543BD1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除标准记录单模板外，可按科室自定义模板</w:t>
            </w:r>
          </w:p>
        </w:tc>
        <w:tc>
          <w:tcPr>
            <w:tcW w:w="870" w:type="dxa"/>
            <w:vMerge w:val="continue"/>
            <w:tcBorders>
              <w:tl2br w:val="nil"/>
              <w:tr2bl w:val="nil"/>
            </w:tcBorders>
            <w:noWrap/>
            <w:vAlign w:val="center"/>
          </w:tcPr>
          <w:p w14:paraId="749F9742">
            <w:pPr>
              <w:spacing w:line="360" w:lineRule="auto"/>
              <w:jc w:val="center"/>
              <w:rPr>
                <w:rFonts w:hint="eastAsia" w:ascii="宋体" w:hAnsi="宋体" w:cs="宋体"/>
                <w:color w:val="auto"/>
                <w:sz w:val="21"/>
                <w:szCs w:val="21"/>
                <w:highlight w:val="none"/>
              </w:rPr>
            </w:pPr>
          </w:p>
        </w:tc>
      </w:tr>
      <w:tr w14:paraId="170DAB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30557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1.3.13.12</w:t>
            </w:r>
          </w:p>
        </w:tc>
        <w:tc>
          <w:tcPr>
            <w:tcW w:w="6982" w:type="dxa"/>
            <w:tcBorders>
              <w:tl2br w:val="nil"/>
              <w:tr2bl w:val="nil"/>
            </w:tcBorders>
            <w:vAlign w:val="center"/>
          </w:tcPr>
          <w:p w14:paraId="516C86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支持护理记录单续打、选择打印等功能</w:t>
            </w:r>
          </w:p>
        </w:tc>
        <w:tc>
          <w:tcPr>
            <w:tcW w:w="870" w:type="dxa"/>
            <w:vMerge w:val="continue"/>
            <w:tcBorders>
              <w:tl2br w:val="nil"/>
              <w:tr2bl w:val="nil"/>
            </w:tcBorders>
            <w:noWrap/>
            <w:vAlign w:val="center"/>
          </w:tcPr>
          <w:p w14:paraId="4190E1C6">
            <w:pPr>
              <w:spacing w:line="360" w:lineRule="auto"/>
              <w:jc w:val="center"/>
              <w:rPr>
                <w:rFonts w:hint="eastAsia" w:ascii="宋体" w:hAnsi="宋体" w:cs="宋体"/>
                <w:color w:val="auto"/>
                <w:sz w:val="21"/>
                <w:szCs w:val="21"/>
                <w:highlight w:val="none"/>
              </w:rPr>
            </w:pPr>
          </w:p>
        </w:tc>
      </w:tr>
      <w:tr w14:paraId="6D8986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4651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1.3.13.13</w:t>
            </w:r>
          </w:p>
        </w:tc>
        <w:tc>
          <w:tcPr>
            <w:tcW w:w="6982" w:type="dxa"/>
            <w:tcBorders>
              <w:tl2br w:val="nil"/>
              <w:tr2bl w:val="nil"/>
            </w:tcBorders>
            <w:vAlign w:val="center"/>
          </w:tcPr>
          <w:p w14:paraId="35182F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可批量打印满页的护理记录</w:t>
            </w:r>
          </w:p>
        </w:tc>
        <w:tc>
          <w:tcPr>
            <w:tcW w:w="870" w:type="dxa"/>
            <w:vMerge w:val="continue"/>
            <w:tcBorders>
              <w:tl2br w:val="nil"/>
              <w:tr2bl w:val="nil"/>
            </w:tcBorders>
            <w:noWrap/>
            <w:vAlign w:val="center"/>
          </w:tcPr>
          <w:p w14:paraId="1A70128B">
            <w:pPr>
              <w:spacing w:line="360" w:lineRule="auto"/>
              <w:jc w:val="center"/>
              <w:rPr>
                <w:rFonts w:hint="eastAsia" w:ascii="宋体" w:hAnsi="宋体" w:cs="宋体"/>
                <w:color w:val="auto"/>
                <w:sz w:val="21"/>
                <w:szCs w:val="21"/>
                <w:highlight w:val="none"/>
              </w:rPr>
            </w:pPr>
          </w:p>
        </w:tc>
      </w:tr>
      <w:tr w14:paraId="486B406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E94D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1.3.13.14</w:t>
            </w:r>
          </w:p>
        </w:tc>
        <w:tc>
          <w:tcPr>
            <w:tcW w:w="6982" w:type="dxa"/>
            <w:tcBorders>
              <w:tl2br w:val="nil"/>
              <w:tr2bl w:val="nil"/>
            </w:tcBorders>
            <w:vAlign w:val="center"/>
          </w:tcPr>
          <w:p w14:paraId="5FBA39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可支持表格式和表单式两种录入模式</w:t>
            </w:r>
          </w:p>
        </w:tc>
        <w:tc>
          <w:tcPr>
            <w:tcW w:w="870" w:type="dxa"/>
            <w:vMerge w:val="continue"/>
            <w:tcBorders>
              <w:tl2br w:val="nil"/>
              <w:tr2bl w:val="nil"/>
            </w:tcBorders>
            <w:noWrap/>
            <w:vAlign w:val="center"/>
          </w:tcPr>
          <w:p w14:paraId="0936787C">
            <w:pPr>
              <w:spacing w:line="360" w:lineRule="auto"/>
              <w:jc w:val="center"/>
              <w:rPr>
                <w:rFonts w:hint="eastAsia" w:ascii="宋体" w:hAnsi="宋体" w:cs="宋体"/>
                <w:color w:val="auto"/>
                <w:sz w:val="21"/>
                <w:szCs w:val="21"/>
                <w:highlight w:val="none"/>
              </w:rPr>
            </w:pPr>
          </w:p>
        </w:tc>
      </w:tr>
      <w:tr w14:paraId="55BA48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FAC2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1.3.14</w:t>
            </w:r>
          </w:p>
        </w:tc>
        <w:tc>
          <w:tcPr>
            <w:tcW w:w="6982" w:type="dxa"/>
            <w:tcBorders>
              <w:tl2br w:val="nil"/>
              <w:tr2bl w:val="nil"/>
            </w:tcBorders>
            <w:vAlign w:val="center"/>
          </w:tcPr>
          <w:p w14:paraId="792471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护理小结</w:t>
            </w:r>
          </w:p>
        </w:tc>
        <w:tc>
          <w:tcPr>
            <w:tcW w:w="870" w:type="dxa"/>
            <w:vMerge w:val="continue"/>
            <w:tcBorders>
              <w:tl2br w:val="nil"/>
              <w:tr2bl w:val="nil"/>
            </w:tcBorders>
            <w:noWrap/>
            <w:vAlign w:val="center"/>
          </w:tcPr>
          <w:p w14:paraId="6BA60BCB">
            <w:pPr>
              <w:spacing w:line="360" w:lineRule="auto"/>
              <w:jc w:val="center"/>
              <w:rPr>
                <w:rFonts w:hint="eastAsia" w:ascii="宋体" w:hAnsi="宋体" w:cs="宋体"/>
                <w:color w:val="auto"/>
                <w:sz w:val="21"/>
                <w:szCs w:val="21"/>
                <w:highlight w:val="none"/>
              </w:rPr>
            </w:pPr>
          </w:p>
        </w:tc>
      </w:tr>
      <w:tr w14:paraId="1C3B0E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5E26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1.3.14.1</w:t>
            </w:r>
          </w:p>
        </w:tc>
        <w:tc>
          <w:tcPr>
            <w:tcW w:w="6982" w:type="dxa"/>
            <w:tcBorders>
              <w:tl2br w:val="nil"/>
              <w:tr2bl w:val="nil"/>
            </w:tcBorders>
            <w:vAlign w:val="center"/>
          </w:tcPr>
          <w:p w14:paraId="0399C1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可按班次或时间对病人出入量自动小结统计，并将小结加入到护理记录中</w:t>
            </w:r>
          </w:p>
        </w:tc>
        <w:tc>
          <w:tcPr>
            <w:tcW w:w="870" w:type="dxa"/>
            <w:vMerge w:val="continue"/>
            <w:tcBorders>
              <w:tl2br w:val="nil"/>
              <w:tr2bl w:val="nil"/>
            </w:tcBorders>
            <w:noWrap/>
            <w:vAlign w:val="center"/>
          </w:tcPr>
          <w:p w14:paraId="42C5C68C">
            <w:pPr>
              <w:spacing w:line="360" w:lineRule="auto"/>
              <w:jc w:val="center"/>
              <w:rPr>
                <w:rFonts w:hint="eastAsia" w:ascii="宋体" w:hAnsi="宋体" w:cs="宋体"/>
                <w:color w:val="auto"/>
                <w:sz w:val="21"/>
                <w:szCs w:val="21"/>
                <w:highlight w:val="none"/>
              </w:rPr>
            </w:pPr>
          </w:p>
        </w:tc>
      </w:tr>
      <w:tr w14:paraId="50E028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46E0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1.3.14.2</w:t>
            </w:r>
          </w:p>
        </w:tc>
        <w:tc>
          <w:tcPr>
            <w:tcW w:w="6982" w:type="dxa"/>
            <w:tcBorders>
              <w:tl2br w:val="nil"/>
              <w:tr2bl w:val="nil"/>
            </w:tcBorders>
            <w:vAlign w:val="center"/>
          </w:tcPr>
          <w:p w14:paraId="36A62D3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书写病人在住院期间护士按护理程序对患者进行护理的概括记录。包括病人入院时的状态，护理措施实施情况，护理效果是否满意，护理目标是否达到，护理问题是否解决，有否护理并发症，护理经验教训和存在的问题等</w:t>
            </w:r>
          </w:p>
        </w:tc>
        <w:tc>
          <w:tcPr>
            <w:tcW w:w="870" w:type="dxa"/>
            <w:vMerge w:val="continue"/>
            <w:tcBorders>
              <w:tl2br w:val="nil"/>
              <w:tr2bl w:val="nil"/>
            </w:tcBorders>
            <w:noWrap/>
            <w:vAlign w:val="center"/>
          </w:tcPr>
          <w:p w14:paraId="4A8AC5EC">
            <w:pPr>
              <w:spacing w:line="360" w:lineRule="auto"/>
              <w:jc w:val="center"/>
              <w:rPr>
                <w:rFonts w:hint="eastAsia" w:ascii="宋体" w:hAnsi="宋体" w:cs="宋体"/>
                <w:color w:val="auto"/>
                <w:sz w:val="21"/>
                <w:szCs w:val="21"/>
                <w:highlight w:val="none"/>
              </w:rPr>
            </w:pPr>
          </w:p>
        </w:tc>
      </w:tr>
      <w:tr w14:paraId="71612D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CECA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w:t>
            </w:r>
          </w:p>
        </w:tc>
        <w:tc>
          <w:tcPr>
            <w:tcW w:w="6982" w:type="dxa"/>
            <w:tcBorders>
              <w:tl2br w:val="nil"/>
              <w:tr2bl w:val="nil"/>
            </w:tcBorders>
            <w:vAlign w:val="center"/>
          </w:tcPr>
          <w:p w14:paraId="623D97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健康宣教</w:t>
            </w:r>
          </w:p>
        </w:tc>
        <w:tc>
          <w:tcPr>
            <w:tcW w:w="870" w:type="dxa"/>
            <w:vMerge w:val="continue"/>
            <w:tcBorders>
              <w:tl2br w:val="nil"/>
              <w:tr2bl w:val="nil"/>
            </w:tcBorders>
            <w:noWrap/>
            <w:vAlign w:val="center"/>
          </w:tcPr>
          <w:p w14:paraId="4D9FA47A">
            <w:pPr>
              <w:spacing w:line="360" w:lineRule="auto"/>
              <w:jc w:val="center"/>
              <w:rPr>
                <w:rFonts w:hint="eastAsia" w:ascii="宋体" w:hAnsi="宋体" w:cs="宋体"/>
                <w:color w:val="auto"/>
                <w:sz w:val="21"/>
                <w:szCs w:val="21"/>
                <w:highlight w:val="none"/>
              </w:rPr>
            </w:pPr>
          </w:p>
        </w:tc>
      </w:tr>
      <w:tr w14:paraId="24A342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672E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1.3.15.1</w:t>
            </w:r>
          </w:p>
        </w:tc>
        <w:tc>
          <w:tcPr>
            <w:tcW w:w="6982" w:type="dxa"/>
            <w:tcBorders>
              <w:tl2br w:val="nil"/>
              <w:tr2bl w:val="nil"/>
            </w:tcBorders>
            <w:vAlign w:val="center"/>
          </w:tcPr>
          <w:p w14:paraId="0B85C0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能够录入护理人员针对病人进行疾病知识、安全、睡眠、饮食、排泄、药物、治疗、特殊检查、异常检查结果、康复、节前宣教等各方面的健康宣教的记录</w:t>
            </w:r>
          </w:p>
        </w:tc>
        <w:tc>
          <w:tcPr>
            <w:tcW w:w="870" w:type="dxa"/>
            <w:vMerge w:val="continue"/>
            <w:tcBorders>
              <w:tl2br w:val="nil"/>
              <w:tr2bl w:val="nil"/>
            </w:tcBorders>
            <w:noWrap/>
            <w:vAlign w:val="center"/>
          </w:tcPr>
          <w:p w14:paraId="08E2C3D2">
            <w:pPr>
              <w:spacing w:line="360" w:lineRule="auto"/>
              <w:jc w:val="center"/>
              <w:rPr>
                <w:rFonts w:hint="eastAsia" w:ascii="宋体" w:hAnsi="宋体" w:cs="宋体"/>
                <w:color w:val="auto"/>
                <w:sz w:val="21"/>
                <w:szCs w:val="21"/>
                <w:highlight w:val="none"/>
              </w:rPr>
            </w:pPr>
          </w:p>
        </w:tc>
      </w:tr>
      <w:tr w14:paraId="6E12BE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F3BC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1.3.15.2</w:t>
            </w:r>
          </w:p>
        </w:tc>
        <w:tc>
          <w:tcPr>
            <w:tcW w:w="6982" w:type="dxa"/>
            <w:tcBorders>
              <w:tl2br w:val="nil"/>
              <w:tr2bl w:val="nil"/>
            </w:tcBorders>
            <w:vAlign w:val="center"/>
          </w:tcPr>
          <w:p w14:paraId="6CEC22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对宣教结果进行评价</w:t>
            </w:r>
          </w:p>
        </w:tc>
        <w:tc>
          <w:tcPr>
            <w:tcW w:w="870" w:type="dxa"/>
            <w:vMerge w:val="continue"/>
            <w:tcBorders>
              <w:tl2br w:val="nil"/>
              <w:tr2bl w:val="nil"/>
            </w:tcBorders>
            <w:noWrap/>
            <w:vAlign w:val="center"/>
          </w:tcPr>
          <w:p w14:paraId="5CC3042E">
            <w:pPr>
              <w:spacing w:line="360" w:lineRule="auto"/>
              <w:jc w:val="center"/>
              <w:rPr>
                <w:rFonts w:hint="eastAsia" w:ascii="宋体" w:hAnsi="宋体" w:cs="宋体"/>
                <w:color w:val="auto"/>
                <w:sz w:val="21"/>
                <w:szCs w:val="21"/>
                <w:highlight w:val="none"/>
              </w:rPr>
            </w:pPr>
          </w:p>
        </w:tc>
      </w:tr>
      <w:tr w14:paraId="04DCF9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7C64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1.3.15.3</w:t>
            </w:r>
          </w:p>
        </w:tc>
        <w:tc>
          <w:tcPr>
            <w:tcW w:w="6982" w:type="dxa"/>
            <w:tcBorders>
              <w:tl2br w:val="nil"/>
              <w:tr2bl w:val="nil"/>
            </w:tcBorders>
            <w:vAlign w:val="center"/>
          </w:tcPr>
          <w:p w14:paraId="046921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对评价不理想的宣教内容进行再次宣教</w:t>
            </w:r>
          </w:p>
        </w:tc>
        <w:tc>
          <w:tcPr>
            <w:tcW w:w="870" w:type="dxa"/>
            <w:vMerge w:val="continue"/>
            <w:tcBorders>
              <w:tl2br w:val="nil"/>
              <w:tr2bl w:val="nil"/>
            </w:tcBorders>
            <w:noWrap/>
            <w:vAlign w:val="center"/>
          </w:tcPr>
          <w:p w14:paraId="5DDA15E4">
            <w:pPr>
              <w:spacing w:line="360" w:lineRule="auto"/>
              <w:jc w:val="center"/>
              <w:rPr>
                <w:rFonts w:hint="eastAsia" w:ascii="宋体" w:hAnsi="宋体" w:cs="宋体"/>
                <w:color w:val="auto"/>
                <w:sz w:val="21"/>
                <w:szCs w:val="21"/>
                <w:highlight w:val="none"/>
              </w:rPr>
            </w:pPr>
          </w:p>
        </w:tc>
      </w:tr>
      <w:tr w14:paraId="3B9DE6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0829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1.3.15.4</w:t>
            </w:r>
          </w:p>
        </w:tc>
        <w:tc>
          <w:tcPr>
            <w:tcW w:w="6982" w:type="dxa"/>
            <w:tcBorders>
              <w:tl2br w:val="nil"/>
              <w:tr2bl w:val="nil"/>
            </w:tcBorders>
            <w:vAlign w:val="center"/>
          </w:tcPr>
          <w:p w14:paraId="0778DD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对患者的学习能力进行评估</w:t>
            </w:r>
          </w:p>
        </w:tc>
        <w:tc>
          <w:tcPr>
            <w:tcW w:w="870" w:type="dxa"/>
            <w:vMerge w:val="continue"/>
            <w:tcBorders>
              <w:tl2br w:val="nil"/>
              <w:tr2bl w:val="nil"/>
            </w:tcBorders>
            <w:noWrap/>
            <w:vAlign w:val="center"/>
          </w:tcPr>
          <w:p w14:paraId="6606E241">
            <w:pPr>
              <w:spacing w:line="360" w:lineRule="auto"/>
              <w:jc w:val="center"/>
              <w:rPr>
                <w:rFonts w:hint="eastAsia" w:ascii="宋体" w:hAnsi="宋体" w:cs="宋体"/>
                <w:color w:val="auto"/>
                <w:sz w:val="21"/>
                <w:szCs w:val="21"/>
                <w:highlight w:val="none"/>
              </w:rPr>
            </w:pPr>
          </w:p>
        </w:tc>
      </w:tr>
      <w:tr w14:paraId="5E2935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6D27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1.3.15.5</w:t>
            </w:r>
          </w:p>
        </w:tc>
        <w:tc>
          <w:tcPr>
            <w:tcW w:w="6982" w:type="dxa"/>
            <w:tcBorders>
              <w:tl2br w:val="nil"/>
              <w:tr2bl w:val="nil"/>
            </w:tcBorders>
            <w:vAlign w:val="center"/>
          </w:tcPr>
          <w:p w14:paraId="56C052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按病人浏览打印宣教记录，支持续打</w:t>
            </w:r>
          </w:p>
        </w:tc>
        <w:tc>
          <w:tcPr>
            <w:tcW w:w="870" w:type="dxa"/>
            <w:vMerge w:val="continue"/>
            <w:tcBorders>
              <w:tl2br w:val="nil"/>
              <w:tr2bl w:val="nil"/>
            </w:tcBorders>
            <w:noWrap/>
            <w:vAlign w:val="center"/>
          </w:tcPr>
          <w:p w14:paraId="7668E041">
            <w:pPr>
              <w:spacing w:line="360" w:lineRule="auto"/>
              <w:jc w:val="center"/>
              <w:rPr>
                <w:rFonts w:hint="eastAsia" w:ascii="宋体" w:hAnsi="宋体" w:cs="宋体"/>
                <w:color w:val="auto"/>
                <w:sz w:val="21"/>
                <w:szCs w:val="21"/>
                <w:highlight w:val="none"/>
              </w:rPr>
            </w:pPr>
          </w:p>
        </w:tc>
      </w:tr>
      <w:tr w14:paraId="601D73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18D3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1.3.15.6</w:t>
            </w:r>
          </w:p>
        </w:tc>
        <w:tc>
          <w:tcPr>
            <w:tcW w:w="6982" w:type="dxa"/>
            <w:tcBorders>
              <w:tl2br w:val="nil"/>
              <w:tr2bl w:val="nil"/>
            </w:tcBorders>
            <w:vAlign w:val="center"/>
          </w:tcPr>
          <w:p w14:paraId="471BA8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支持健康教育中对患者以及患者家属的学习能力评估</w:t>
            </w:r>
          </w:p>
        </w:tc>
        <w:tc>
          <w:tcPr>
            <w:tcW w:w="870" w:type="dxa"/>
            <w:vMerge w:val="continue"/>
            <w:tcBorders>
              <w:tl2br w:val="nil"/>
              <w:tr2bl w:val="nil"/>
            </w:tcBorders>
            <w:noWrap/>
            <w:vAlign w:val="center"/>
          </w:tcPr>
          <w:p w14:paraId="7146112B">
            <w:pPr>
              <w:spacing w:line="360" w:lineRule="auto"/>
              <w:jc w:val="center"/>
              <w:rPr>
                <w:rFonts w:hint="eastAsia" w:ascii="宋体" w:hAnsi="宋体" w:cs="宋体"/>
                <w:color w:val="auto"/>
                <w:sz w:val="21"/>
                <w:szCs w:val="21"/>
                <w:highlight w:val="none"/>
              </w:rPr>
            </w:pPr>
          </w:p>
        </w:tc>
      </w:tr>
      <w:tr w14:paraId="2A9030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0EBF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1.3.15.7</w:t>
            </w:r>
          </w:p>
        </w:tc>
        <w:tc>
          <w:tcPr>
            <w:tcW w:w="6982" w:type="dxa"/>
            <w:tcBorders>
              <w:tl2br w:val="nil"/>
              <w:tr2bl w:val="nil"/>
            </w:tcBorders>
            <w:vAlign w:val="center"/>
          </w:tcPr>
          <w:p w14:paraId="181876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支持健康教育内容项目模板各科室可自行维护</w:t>
            </w:r>
          </w:p>
        </w:tc>
        <w:tc>
          <w:tcPr>
            <w:tcW w:w="870" w:type="dxa"/>
            <w:vMerge w:val="continue"/>
            <w:tcBorders>
              <w:tl2br w:val="nil"/>
              <w:tr2bl w:val="nil"/>
            </w:tcBorders>
            <w:noWrap/>
            <w:vAlign w:val="center"/>
          </w:tcPr>
          <w:p w14:paraId="2CDB89BC">
            <w:pPr>
              <w:spacing w:line="360" w:lineRule="auto"/>
              <w:jc w:val="center"/>
              <w:rPr>
                <w:rFonts w:hint="eastAsia" w:ascii="宋体" w:hAnsi="宋体" w:cs="宋体"/>
                <w:color w:val="auto"/>
                <w:sz w:val="21"/>
                <w:szCs w:val="21"/>
                <w:highlight w:val="none"/>
              </w:rPr>
            </w:pPr>
          </w:p>
        </w:tc>
      </w:tr>
      <w:tr w14:paraId="3D66BE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93C8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w:t>
            </w:r>
          </w:p>
        </w:tc>
        <w:tc>
          <w:tcPr>
            <w:tcW w:w="6982" w:type="dxa"/>
            <w:tcBorders>
              <w:tl2br w:val="nil"/>
              <w:tr2bl w:val="nil"/>
            </w:tcBorders>
            <w:vAlign w:val="center"/>
          </w:tcPr>
          <w:p w14:paraId="68106A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观察量表</w:t>
            </w:r>
          </w:p>
        </w:tc>
        <w:tc>
          <w:tcPr>
            <w:tcW w:w="870" w:type="dxa"/>
            <w:vMerge w:val="continue"/>
            <w:tcBorders>
              <w:tl2br w:val="nil"/>
              <w:tr2bl w:val="nil"/>
            </w:tcBorders>
            <w:noWrap/>
            <w:vAlign w:val="center"/>
          </w:tcPr>
          <w:p w14:paraId="1DA8D805">
            <w:pPr>
              <w:spacing w:line="360" w:lineRule="auto"/>
              <w:jc w:val="center"/>
              <w:rPr>
                <w:rFonts w:hint="eastAsia" w:ascii="宋体" w:hAnsi="宋体" w:cs="宋体"/>
                <w:color w:val="auto"/>
                <w:sz w:val="21"/>
                <w:szCs w:val="21"/>
                <w:highlight w:val="none"/>
              </w:rPr>
            </w:pPr>
          </w:p>
        </w:tc>
      </w:tr>
      <w:tr w14:paraId="0DB8D8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C348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1.3.16.1</w:t>
            </w:r>
          </w:p>
        </w:tc>
        <w:tc>
          <w:tcPr>
            <w:tcW w:w="6982" w:type="dxa"/>
            <w:tcBorders>
              <w:tl2br w:val="nil"/>
              <w:tr2bl w:val="nil"/>
            </w:tcBorders>
            <w:vAlign w:val="center"/>
          </w:tcPr>
          <w:p w14:paraId="5600F2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能够定期记录病人病情观察结果</w:t>
            </w:r>
          </w:p>
        </w:tc>
        <w:tc>
          <w:tcPr>
            <w:tcW w:w="870" w:type="dxa"/>
            <w:vMerge w:val="continue"/>
            <w:tcBorders>
              <w:tl2br w:val="nil"/>
              <w:tr2bl w:val="nil"/>
            </w:tcBorders>
            <w:noWrap/>
            <w:vAlign w:val="center"/>
          </w:tcPr>
          <w:p w14:paraId="3E8F1EF6">
            <w:pPr>
              <w:spacing w:line="360" w:lineRule="auto"/>
              <w:jc w:val="center"/>
              <w:rPr>
                <w:rFonts w:hint="eastAsia" w:ascii="宋体" w:hAnsi="宋体" w:cs="宋体"/>
                <w:color w:val="auto"/>
                <w:sz w:val="21"/>
                <w:szCs w:val="21"/>
                <w:highlight w:val="none"/>
              </w:rPr>
            </w:pPr>
          </w:p>
        </w:tc>
      </w:tr>
      <w:tr w14:paraId="75F80E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9AB9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1.3.16.2</w:t>
            </w:r>
          </w:p>
        </w:tc>
        <w:tc>
          <w:tcPr>
            <w:tcW w:w="6982" w:type="dxa"/>
            <w:tcBorders>
              <w:tl2br w:val="nil"/>
              <w:tr2bl w:val="nil"/>
            </w:tcBorders>
            <w:vAlign w:val="center"/>
          </w:tcPr>
          <w:p w14:paraId="03CBD5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能够自动进行相关量化统计及评分</w:t>
            </w:r>
          </w:p>
        </w:tc>
        <w:tc>
          <w:tcPr>
            <w:tcW w:w="870" w:type="dxa"/>
            <w:vMerge w:val="continue"/>
            <w:tcBorders>
              <w:tl2br w:val="nil"/>
              <w:tr2bl w:val="nil"/>
            </w:tcBorders>
            <w:noWrap/>
            <w:vAlign w:val="center"/>
          </w:tcPr>
          <w:p w14:paraId="38F8B762">
            <w:pPr>
              <w:spacing w:line="360" w:lineRule="auto"/>
              <w:jc w:val="center"/>
              <w:rPr>
                <w:rFonts w:hint="eastAsia" w:ascii="宋体" w:hAnsi="宋体" w:cs="宋体"/>
                <w:color w:val="auto"/>
                <w:sz w:val="21"/>
                <w:szCs w:val="21"/>
                <w:highlight w:val="none"/>
              </w:rPr>
            </w:pPr>
          </w:p>
        </w:tc>
      </w:tr>
      <w:tr w14:paraId="53B2F4D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51A0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1.3.16.3</w:t>
            </w:r>
          </w:p>
        </w:tc>
        <w:tc>
          <w:tcPr>
            <w:tcW w:w="6982" w:type="dxa"/>
            <w:tcBorders>
              <w:tl2br w:val="nil"/>
              <w:tr2bl w:val="nil"/>
            </w:tcBorders>
            <w:vAlign w:val="center"/>
          </w:tcPr>
          <w:p w14:paraId="60C216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提供血糖监测模板</w:t>
            </w:r>
          </w:p>
        </w:tc>
        <w:tc>
          <w:tcPr>
            <w:tcW w:w="870" w:type="dxa"/>
            <w:vMerge w:val="continue"/>
            <w:tcBorders>
              <w:tl2br w:val="nil"/>
              <w:tr2bl w:val="nil"/>
            </w:tcBorders>
            <w:noWrap/>
            <w:vAlign w:val="center"/>
          </w:tcPr>
          <w:p w14:paraId="68446D23">
            <w:pPr>
              <w:spacing w:line="360" w:lineRule="auto"/>
              <w:jc w:val="center"/>
              <w:rPr>
                <w:rFonts w:hint="eastAsia" w:ascii="宋体" w:hAnsi="宋体" w:cs="宋体"/>
                <w:color w:val="auto"/>
                <w:sz w:val="21"/>
                <w:szCs w:val="21"/>
                <w:highlight w:val="none"/>
              </w:rPr>
            </w:pPr>
          </w:p>
        </w:tc>
      </w:tr>
      <w:tr w14:paraId="3067D3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60AE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1.3.16.4</w:t>
            </w:r>
          </w:p>
        </w:tc>
        <w:tc>
          <w:tcPr>
            <w:tcW w:w="6982" w:type="dxa"/>
            <w:tcBorders>
              <w:tl2br w:val="nil"/>
              <w:tr2bl w:val="nil"/>
            </w:tcBorders>
            <w:vAlign w:val="center"/>
          </w:tcPr>
          <w:p w14:paraId="65C424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提供新生儿观察记录模板</w:t>
            </w:r>
          </w:p>
        </w:tc>
        <w:tc>
          <w:tcPr>
            <w:tcW w:w="870" w:type="dxa"/>
            <w:vMerge w:val="continue"/>
            <w:tcBorders>
              <w:tl2br w:val="nil"/>
              <w:tr2bl w:val="nil"/>
            </w:tcBorders>
            <w:noWrap/>
            <w:vAlign w:val="center"/>
          </w:tcPr>
          <w:p w14:paraId="10F16714">
            <w:pPr>
              <w:spacing w:line="360" w:lineRule="auto"/>
              <w:jc w:val="center"/>
              <w:rPr>
                <w:rFonts w:hint="eastAsia" w:ascii="宋体" w:hAnsi="宋体" w:cs="宋体"/>
                <w:color w:val="auto"/>
                <w:sz w:val="21"/>
                <w:szCs w:val="21"/>
                <w:highlight w:val="none"/>
              </w:rPr>
            </w:pPr>
          </w:p>
        </w:tc>
      </w:tr>
      <w:tr w14:paraId="53892F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6554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1.3.16.5</w:t>
            </w:r>
          </w:p>
        </w:tc>
        <w:tc>
          <w:tcPr>
            <w:tcW w:w="6982" w:type="dxa"/>
            <w:tcBorders>
              <w:tl2br w:val="nil"/>
              <w:tr2bl w:val="nil"/>
            </w:tcBorders>
            <w:vAlign w:val="center"/>
          </w:tcPr>
          <w:p w14:paraId="317866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可根据科室观察类型，配置不同的观察量表，如机械通气监测记录单</w:t>
            </w:r>
          </w:p>
        </w:tc>
        <w:tc>
          <w:tcPr>
            <w:tcW w:w="870" w:type="dxa"/>
            <w:vMerge w:val="continue"/>
            <w:tcBorders>
              <w:tl2br w:val="nil"/>
              <w:tr2bl w:val="nil"/>
            </w:tcBorders>
            <w:noWrap/>
            <w:vAlign w:val="center"/>
          </w:tcPr>
          <w:p w14:paraId="7D5BFAF2">
            <w:pPr>
              <w:spacing w:line="360" w:lineRule="auto"/>
              <w:jc w:val="center"/>
              <w:rPr>
                <w:rFonts w:hint="eastAsia" w:ascii="宋体" w:hAnsi="宋体" w:cs="宋体"/>
                <w:color w:val="auto"/>
                <w:sz w:val="21"/>
                <w:szCs w:val="21"/>
                <w:highlight w:val="none"/>
              </w:rPr>
            </w:pPr>
          </w:p>
        </w:tc>
      </w:tr>
      <w:tr w14:paraId="27EE9E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80C1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1.3.17</w:t>
            </w:r>
          </w:p>
        </w:tc>
        <w:tc>
          <w:tcPr>
            <w:tcW w:w="6982" w:type="dxa"/>
            <w:tcBorders>
              <w:tl2br w:val="nil"/>
              <w:tr2bl w:val="nil"/>
            </w:tcBorders>
            <w:vAlign w:val="center"/>
          </w:tcPr>
          <w:p w14:paraId="1F37C98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专科护理</w:t>
            </w:r>
          </w:p>
        </w:tc>
        <w:tc>
          <w:tcPr>
            <w:tcW w:w="870" w:type="dxa"/>
            <w:vMerge w:val="continue"/>
            <w:tcBorders>
              <w:tl2br w:val="nil"/>
              <w:tr2bl w:val="nil"/>
            </w:tcBorders>
            <w:noWrap/>
            <w:vAlign w:val="center"/>
          </w:tcPr>
          <w:p w14:paraId="5B227CB8">
            <w:pPr>
              <w:spacing w:line="360" w:lineRule="auto"/>
              <w:jc w:val="center"/>
              <w:rPr>
                <w:rFonts w:hint="eastAsia" w:ascii="宋体" w:hAnsi="宋体" w:cs="宋体"/>
                <w:color w:val="auto"/>
                <w:sz w:val="21"/>
                <w:szCs w:val="21"/>
                <w:highlight w:val="none"/>
              </w:rPr>
            </w:pPr>
          </w:p>
        </w:tc>
      </w:tr>
      <w:tr w14:paraId="4F766A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9BAA7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1.3.17.1</w:t>
            </w:r>
          </w:p>
        </w:tc>
        <w:tc>
          <w:tcPr>
            <w:tcW w:w="6982" w:type="dxa"/>
            <w:tcBorders>
              <w:tl2br w:val="nil"/>
              <w:tr2bl w:val="nil"/>
            </w:tcBorders>
            <w:vAlign w:val="center"/>
          </w:tcPr>
          <w:p w14:paraId="5725E8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支持专科护士对全院各病区的专科病人（如发生压疮的病人，糖尿病病人，造口病人）进行全面的专科评估，并指导相应的护理措施</w:t>
            </w:r>
          </w:p>
        </w:tc>
        <w:tc>
          <w:tcPr>
            <w:tcW w:w="870" w:type="dxa"/>
            <w:vMerge w:val="continue"/>
            <w:tcBorders>
              <w:tl2br w:val="nil"/>
              <w:tr2bl w:val="nil"/>
            </w:tcBorders>
            <w:noWrap/>
            <w:vAlign w:val="center"/>
          </w:tcPr>
          <w:p w14:paraId="602B5946">
            <w:pPr>
              <w:spacing w:line="360" w:lineRule="auto"/>
              <w:jc w:val="center"/>
              <w:rPr>
                <w:rFonts w:hint="eastAsia" w:ascii="宋体" w:hAnsi="宋体" w:cs="宋体"/>
                <w:color w:val="auto"/>
                <w:sz w:val="21"/>
                <w:szCs w:val="21"/>
                <w:highlight w:val="none"/>
              </w:rPr>
            </w:pPr>
          </w:p>
        </w:tc>
      </w:tr>
      <w:tr w14:paraId="5291A5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CE73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1.3.17.2</w:t>
            </w:r>
          </w:p>
        </w:tc>
        <w:tc>
          <w:tcPr>
            <w:tcW w:w="6982" w:type="dxa"/>
            <w:tcBorders>
              <w:tl2br w:val="nil"/>
              <w:tr2bl w:val="nil"/>
            </w:tcBorders>
            <w:vAlign w:val="center"/>
          </w:tcPr>
          <w:p w14:paraId="10BE92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支持专科护士持续跟进全院各病区的专科病人，监控护理措施的执行</w:t>
            </w:r>
          </w:p>
        </w:tc>
        <w:tc>
          <w:tcPr>
            <w:tcW w:w="870" w:type="dxa"/>
            <w:vMerge w:val="continue"/>
            <w:tcBorders>
              <w:tl2br w:val="nil"/>
              <w:tr2bl w:val="nil"/>
            </w:tcBorders>
            <w:noWrap/>
            <w:vAlign w:val="center"/>
          </w:tcPr>
          <w:p w14:paraId="32F71DCD">
            <w:pPr>
              <w:spacing w:line="360" w:lineRule="auto"/>
              <w:jc w:val="center"/>
              <w:rPr>
                <w:rFonts w:hint="eastAsia" w:ascii="宋体" w:hAnsi="宋体" w:cs="宋体"/>
                <w:color w:val="auto"/>
                <w:sz w:val="21"/>
                <w:szCs w:val="21"/>
                <w:highlight w:val="none"/>
              </w:rPr>
            </w:pPr>
          </w:p>
        </w:tc>
      </w:tr>
      <w:tr w14:paraId="2FC3F8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05E7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1.3.17.3</w:t>
            </w:r>
          </w:p>
        </w:tc>
        <w:tc>
          <w:tcPr>
            <w:tcW w:w="6982" w:type="dxa"/>
            <w:tcBorders>
              <w:tl2br w:val="nil"/>
              <w:tr2bl w:val="nil"/>
            </w:tcBorders>
            <w:vAlign w:val="center"/>
          </w:tcPr>
          <w:p w14:paraId="140C97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可按专科类型设置各专科的统计报表，如静脉输液专科的拔管原因统计表</w:t>
            </w:r>
          </w:p>
        </w:tc>
        <w:tc>
          <w:tcPr>
            <w:tcW w:w="870" w:type="dxa"/>
            <w:vMerge w:val="continue"/>
            <w:tcBorders>
              <w:tl2br w:val="nil"/>
              <w:tr2bl w:val="nil"/>
            </w:tcBorders>
            <w:noWrap/>
            <w:vAlign w:val="center"/>
          </w:tcPr>
          <w:p w14:paraId="5082D7D2">
            <w:pPr>
              <w:spacing w:line="360" w:lineRule="auto"/>
              <w:jc w:val="center"/>
              <w:rPr>
                <w:rFonts w:hint="eastAsia" w:ascii="宋体" w:hAnsi="宋体" w:cs="宋体"/>
                <w:color w:val="auto"/>
                <w:sz w:val="21"/>
                <w:szCs w:val="21"/>
                <w:highlight w:val="none"/>
              </w:rPr>
            </w:pPr>
          </w:p>
        </w:tc>
      </w:tr>
      <w:tr w14:paraId="779C30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D827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1.3.17.4</w:t>
            </w:r>
          </w:p>
        </w:tc>
        <w:tc>
          <w:tcPr>
            <w:tcW w:w="6982" w:type="dxa"/>
            <w:tcBorders>
              <w:tl2br w:val="nil"/>
              <w:tr2bl w:val="nil"/>
            </w:tcBorders>
            <w:vAlign w:val="center"/>
          </w:tcPr>
          <w:p w14:paraId="59BE5A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可根据医院专科护士设置情况，配置各类专科，如糖尿病专科、静脉输液专科、压疮伤口专科等</w:t>
            </w:r>
          </w:p>
        </w:tc>
        <w:tc>
          <w:tcPr>
            <w:tcW w:w="870" w:type="dxa"/>
            <w:vMerge w:val="continue"/>
            <w:tcBorders>
              <w:tl2br w:val="nil"/>
              <w:tr2bl w:val="nil"/>
            </w:tcBorders>
            <w:noWrap/>
            <w:vAlign w:val="center"/>
          </w:tcPr>
          <w:p w14:paraId="1462EA89">
            <w:pPr>
              <w:spacing w:line="360" w:lineRule="auto"/>
              <w:jc w:val="center"/>
              <w:rPr>
                <w:rFonts w:hint="eastAsia" w:ascii="宋体" w:hAnsi="宋体" w:cs="宋体"/>
                <w:color w:val="auto"/>
                <w:sz w:val="21"/>
                <w:szCs w:val="21"/>
                <w:highlight w:val="none"/>
              </w:rPr>
            </w:pPr>
          </w:p>
        </w:tc>
      </w:tr>
      <w:tr w14:paraId="3F3E7D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817E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w:t>
            </w:r>
          </w:p>
        </w:tc>
        <w:tc>
          <w:tcPr>
            <w:tcW w:w="6982" w:type="dxa"/>
            <w:tcBorders>
              <w:tl2br w:val="nil"/>
              <w:tr2bl w:val="nil"/>
            </w:tcBorders>
            <w:vAlign w:val="center"/>
          </w:tcPr>
          <w:p w14:paraId="4E1660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护理会诊</w:t>
            </w:r>
          </w:p>
        </w:tc>
        <w:tc>
          <w:tcPr>
            <w:tcW w:w="870" w:type="dxa"/>
            <w:vMerge w:val="continue"/>
            <w:tcBorders>
              <w:tl2br w:val="nil"/>
              <w:tr2bl w:val="nil"/>
            </w:tcBorders>
            <w:noWrap/>
            <w:vAlign w:val="center"/>
          </w:tcPr>
          <w:p w14:paraId="716048A8">
            <w:pPr>
              <w:spacing w:line="360" w:lineRule="auto"/>
              <w:jc w:val="center"/>
              <w:rPr>
                <w:rFonts w:hint="eastAsia" w:ascii="宋体" w:hAnsi="宋体" w:cs="宋体"/>
                <w:color w:val="auto"/>
                <w:sz w:val="21"/>
                <w:szCs w:val="21"/>
                <w:highlight w:val="none"/>
              </w:rPr>
            </w:pPr>
          </w:p>
        </w:tc>
      </w:tr>
      <w:tr w14:paraId="78A54C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A2EB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1.3.18.1</w:t>
            </w:r>
          </w:p>
        </w:tc>
        <w:tc>
          <w:tcPr>
            <w:tcW w:w="6982" w:type="dxa"/>
            <w:tcBorders>
              <w:tl2br w:val="nil"/>
              <w:tr2bl w:val="nil"/>
            </w:tcBorders>
            <w:vAlign w:val="center"/>
          </w:tcPr>
          <w:p w14:paraId="650084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根据被邀请的会诊科室，自动加载会诊模板，填写会诊申请的相关内容</w:t>
            </w:r>
          </w:p>
        </w:tc>
        <w:tc>
          <w:tcPr>
            <w:tcW w:w="870" w:type="dxa"/>
            <w:vMerge w:val="continue"/>
            <w:tcBorders>
              <w:tl2br w:val="nil"/>
              <w:tr2bl w:val="nil"/>
            </w:tcBorders>
            <w:noWrap/>
            <w:vAlign w:val="center"/>
          </w:tcPr>
          <w:p w14:paraId="256F40C8">
            <w:pPr>
              <w:spacing w:line="360" w:lineRule="auto"/>
              <w:jc w:val="center"/>
              <w:rPr>
                <w:rFonts w:hint="eastAsia" w:ascii="宋体" w:hAnsi="宋体" w:cs="宋体"/>
                <w:color w:val="auto"/>
                <w:sz w:val="21"/>
                <w:szCs w:val="21"/>
                <w:highlight w:val="none"/>
              </w:rPr>
            </w:pPr>
          </w:p>
        </w:tc>
      </w:tr>
      <w:tr w14:paraId="498B2E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A96C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1.3.18.2</w:t>
            </w:r>
          </w:p>
        </w:tc>
        <w:tc>
          <w:tcPr>
            <w:tcW w:w="6982" w:type="dxa"/>
            <w:tcBorders>
              <w:tl2br w:val="nil"/>
              <w:tr2bl w:val="nil"/>
            </w:tcBorders>
            <w:vAlign w:val="center"/>
          </w:tcPr>
          <w:p w14:paraId="114A6E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被邀请科室接收会诊申请消息，安排会诊，录入会诊意见</w:t>
            </w:r>
          </w:p>
        </w:tc>
        <w:tc>
          <w:tcPr>
            <w:tcW w:w="870" w:type="dxa"/>
            <w:vMerge w:val="continue"/>
            <w:tcBorders>
              <w:tl2br w:val="nil"/>
              <w:tr2bl w:val="nil"/>
            </w:tcBorders>
            <w:noWrap/>
            <w:vAlign w:val="center"/>
          </w:tcPr>
          <w:p w14:paraId="0FB954A1">
            <w:pPr>
              <w:spacing w:line="360" w:lineRule="auto"/>
              <w:jc w:val="center"/>
              <w:rPr>
                <w:rFonts w:hint="eastAsia" w:ascii="宋体" w:hAnsi="宋体" w:cs="宋体"/>
                <w:color w:val="auto"/>
                <w:sz w:val="21"/>
                <w:szCs w:val="21"/>
                <w:highlight w:val="none"/>
              </w:rPr>
            </w:pPr>
          </w:p>
        </w:tc>
      </w:tr>
      <w:tr w14:paraId="13B1A1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DE04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1.3.18.3</w:t>
            </w:r>
          </w:p>
        </w:tc>
        <w:tc>
          <w:tcPr>
            <w:tcW w:w="6982" w:type="dxa"/>
            <w:tcBorders>
              <w:tl2br w:val="nil"/>
              <w:tr2bl w:val="nil"/>
            </w:tcBorders>
            <w:vAlign w:val="center"/>
          </w:tcPr>
          <w:p w14:paraId="2CEDE0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会诊结束后，申请科室对会诊结果进行评价反馈</w:t>
            </w:r>
          </w:p>
        </w:tc>
        <w:tc>
          <w:tcPr>
            <w:tcW w:w="870" w:type="dxa"/>
            <w:vMerge w:val="continue"/>
            <w:tcBorders>
              <w:tl2br w:val="nil"/>
              <w:tr2bl w:val="nil"/>
            </w:tcBorders>
            <w:noWrap/>
            <w:vAlign w:val="center"/>
          </w:tcPr>
          <w:p w14:paraId="0011E009">
            <w:pPr>
              <w:spacing w:line="360" w:lineRule="auto"/>
              <w:jc w:val="center"/>
              <w:rPr>
                <w:rFonts w:hint="eastAsia" w:ascii="宋体" w:hAnsi="宋体" w:cs="宋体"/>
                <w:color w:val="auto"/>
                <w:sz w:val="21"/>
                <w:szCs w:val="21"/>
                <w:highlight w:val="none"/>
              </w:rPr>
            </w:pPr>
          </w:p>
        </w:tc>
      </w:tr>
      <w:tr w14:paraId="4317E2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FB68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1.3.18.4</w:t>
            </w:r>
          </w:p>
        </w:tc>
        <w:tc>
          <w:tcPr>
            <w:tcW w:w="6982" w:type="dxa"/>
            <w:tcBorders>
              <w:tl2br w:val="nil"/>
              <w:tr2bl w:val="nil"/>
            </w:tcBorders>
            <w:vAlign w:val="center"/>
          </w:tcPr>
          <w:p w14:paraId="539FF5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根据指定的查询条件查看会诊列表，条件及列表项目可配置</w:t>
            </w:r>
          </w:p>
        </w:tc>
        <w:tc>
          <w:tcPr>
            <w:tcW w:w="870" w:type="dxa"/>
            <w:vMerge w:val="continue"/>
            <w:tcBorders>
              <w:tl2br w:val="nil"/>
              <w:tr2bl w:val="nil"/>
            </w:tcBorders>
            <w:noWrap/>
            <w:vAlign w:val="center"/>
          </w:tcPr>
          <w:p w14:paraId="6BDFB86C">
            <w:pPr>
              <w:spacing w:line="360" w:lineRule="auto"/>
              <w:jc w:val="center"/>
              <w:rPr>
                <w:rFonts w:hint="eastAsia" w:ascii="宋体" w:hAnsi="宋体" w:cs="宋体"/>
                <w:color w:val="auto"/>
                <w:sz w:val="21"/>
                <w:szCs w:val="21"/>
                <w:highlight w:val="none"/>
              </w:rPr>
            </w:pPr>
          </w:p>
        </w:tc>
      </w:tr>
      <w:tr w14:paraId="01C683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E82B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1.3.18.5</w:t>
            </w:r>
          </w:p>
        </w:tc>
        <w:tc>
          <w:tcPr>
            <w:tcW w:w="6982" w:type="dxa"/>
            <w:tcBorders>
              <w:tl2br w:val="nil"/>
              <w:tr2bl w:val="nil"/>
            </w:tcBorders>
            <w:vAlign w:val="center"/>
          </w:tcPr>
          <w:p w14:paraId="584805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可按被邀请会诊科室，自定义会诊模板</w:t>
            </w:r>
          </w:p>
        </w:tc>
        <w:tc>
          <w:tcPr>
            <w:tcW w:w="870" w:type="dxa"/>
            <w:vMerge w:val="continue"/>
            <w:tcBorders>
              <w:tl2br w:val="nil"/>
              <w:tr2bl w:val="nil"/>
            </w:tcBorders>
            <w:noWrap/>
            <w:vAlign w:val="center"/>
          </w:tcPr>
          <w:p w14:paraId="5CED5EE1">
            <w:pPr>
              <w:spacing w:line="360" w:lineRule="auto"/>
              <w:jc w:val="center"/>
              <w:rPr>
                <w:rFonts w:hint="eastAsia" w:ascii="宋体" w:hAnsi="宋体" w:cs="宋体"/>
                <w:color w:val="auto"/>
                <w:sz w:val="21"/>
                <w:szCs w:val="21"/>
                <w:highlight w:val="none"/>
              </w:rPr>
            </w:pPr>
          </w:p>
        </w:tc>
      </w:tr>
      <w:tr w14:paraId="704F31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3B1B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1.3.18.6</w:t>
            </w:r>
          </w:p>
        </w:tc>
        <w:tc>
          <w:tcPr>
            <w:tcW w:w="6982" w:type="dxa"/>
            <w:tcBorders>
              <w:tl2br w:val="nil"/>
              <w:tr2bl w:val="nil"/>
            </w:tcBorders>
            <w:vAlign w:val="center"/>
          </w:tcPr>
          <w:p w14:paraId="5C0FD9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可自定义会诊流程</w:t>
            </w:r>
          </w:p>
        </w:tc>
        <w:tc>
          <w:tcPr>
            <w:tcW w:w="870" w:type="dxa"/>
            <w:vMerge w:val="continue"/>
            <w:tcBorders>
              <w:tl2br w:val="nil"/>
              <w:tr2bl w:val="nil"/>
            </w:tcBorders>
            <w:noWrap/>
            <w:vAlign w:val="center"/>
          </w:tcPr>
          <w:p w14:paraId="3250C479">
            <w:pPr>
              <w:spacing w:line="360" w:lineRule="auto"/>
              <w:jc w:val="center"/>
              <w:rPr>
                <w:rFonts w:hint="eastAsia" w:ascii="宋体" w:hAnsi="宋体" w:cs="宋体"/>
                <w:color w:val="auto"/>
                <w:sz w:val="21"/>
                <w:szCs w:val="21"/>
                <w:highlight w:val="none"/>
              </w:rPr>
            </w:pPr>
          </w:p>
        </w:tc>
      </w:tr>
      <w:tr w14:paraId="4E4877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3520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1.3.18.7</w:t>
            </w:r>
          </w:p>
        </w:tc>
        <w:tc>
          <w:tcPr>
            <w:tcW w:w="6982" w:type="dxa"/>
            <w:tcBorders>
              <w:tl2br w:val="nil"/>
              <w:tr2bl w:val="nil"/>
            </w:tcBorders>
            <w:vAlign w:val="center"/>
          </w:tcPr>
          <w:p w14:paraId="2BAEC5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护理会诊可触发短信提醒</w:t>
            </w:r>
          </w:p>
        </w:tc>
        <w:tc>
          <w:tcPr>
            <w:tcW w:w="870" w:type="dxa"/>
            <w:vMerge w:val="continue"/>
            <w:tcBorders>
              <w:tl2br w:val="nil"/>
              <w:tr2bl w:val="nil"/>
            </w:tcBorders>
            <w:noWrap/>
            <w:vAlign w:val="center"/>
          </w:tcPr>
          <w:p w14:paraId="1554A08B">
            <w:pPr>
              <w:spacing w:line="360" w:lineRule="auto"/>
              <w:jc w:val="center"/>
              <w:rPr>
                <w:rFonts w:hint="eastAsia" w:ascii="宋体" w:hAnsi="宋体" w:cs="宋体"/>
                <w:color w:val="auto"/>
                <w:sz w:val="21"/>
                <w:szCs w:val="21"/>
                <w:highlight w:val="none"/>
              </w:rPr>
            </w:pPr>
          </w:p>
        </w:tc>
      </w:tr>
      <w:tr w14:paraId="2C18DD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7393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w:t>
            </w:r>
          </w:p>
        </w:tc>
        <w:tc>
          <w:tcPr>
            <w:tcW w:w="6982" w:type="dxa"/>
            <w:tcBorders>
              <w:tl2br w:val="nil"/>
              <w:tr2bl w:val="nil"/>
            </w:tcBorders>
            <w:vAlign w:val="center"/>
          </w:tcPr>
          <w:p w14:paraId="54F8CC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护理交接班</w:t>
            </w:r>
          </w:p>
        </w:tc>
        <w:tc>
          <w:tcPr>
            <w:tcW w:w="870" w:type="dxa"/>
            <w:vMerge w:val="continue"/>
            <w:tcBorders>
              <w:tl2br w:val="nil"/>
              <w:tr2bl w:val="nil"/>
            </w:tcBorders>
            <w:noWrap/>
            <w:vAlign w:val="center"/>
          </w:tcPr>
          <w:p w14:paraId="52A5A58F">
            <w:pPr>
              <w:spacing w:line="360" w:lineRule="auto"/>
              <w:jc w:val="center"/>
              <w:rPr>
                <w:rFonts w:hint="eastAsia" w:ascii="宋体" w:hAnsi="宋体" w:cs="宋体"/>
                <w:color w:val="auto"/>
                <w:sz w:val="21"/>
                <w:szCs w:val="21"/>
                <w:highlight w:val="none"/>
              </w:rPr>
            </w:pPr>
          </w:p>
        </w:tc>
      </w:tr>
      <w:tr w14:paraId="785907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84CD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1.3.19.1</w:t>
            </w:r>
          </w:p>
        </w:tc>
        <w:tc>
          <w:tcPr>
            <w:tcW w:w="6982" w:type="dxa"/>
            <w:tcBorders>
              <w:tl2br w:val="nil"/>
              <w:tr2bl w:val="nil"/>
            </w:tcBorders>
            <w:vAlign w:val="center"/>
          </w:tcPr>
          <w:p w14:paraId="7AFC2A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可按班次进行交接班，班次及对应时间可配置</w:t>
            </w:r>
          </w:p>
        </w:tc>
        <w:tc>
          <w:tcPr>
            <w:tcW w:w="870" w:type="dxa"/>
            <w:vMerge w:val="continue"/>
            <w:tcBorders>
              <w:tl2br w:val="nil"/>
              <w:tr2bl w:val="nil"/>
            </w:tcBorders>
            <w:noWrap/>
            <w:vAlign w:val="center"/>
          </w:tcPr>
          <w:p w14:paraId="077EFE7A">
            <w:pPr>
              <w:spacing w:line="360" w:lineRule="auto"/>
              <w:jc w:val="center"/>
              <w:rPr>
                <w:rFonts w:hint="eastAsia" w:ascii="宋体" w:hAnsi="宋体" w:cs="宋体"/>
                <w:color w:val="auto"/>
                <w:sz w:val="21"/>
                <w:szCs w:val="21"/>
                <w:highlight w:val="none"/>
              </w:rPr>
            </w:pPr>
          </w:p>
        </w:tc>
      </w:tr>
      <w:tr w14:paraId="600070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F0B7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1.3.19.2</w:t>
            </w:r>
          </w:p>
        </w:tc>
        <w:tc>
          <w:tcPr>
            <w:tcW w:w="6982" w:type="dxa"/>
            <w:tcBorders>
              <w:tl2br w:val="nil"/>
              <w:tr2bl w:val="nil"/>
            </w:tcBorders>
            <w:vAlign w:val="center"/>
          </w:tcPr>
          <w:p w14:paraId="388C20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根据病人病情、护理等级等情况自动统计每班的病人数（统计项目可配置），并提供修改功能</w:t>
            </w:r>
          </w:p>
        </w:tc>
        <w:tc>
          <w:tcPr>
            <w:tcW w:w="870" w:type="dxa"/>
            <w:vMerge w:val="continue"/>
            <w:tcBorders>
              <w:tl2br w:val="nil"/>
              <w:tr2bl w:val="nil"/>
            </w:tcBorders>
            <w:noWrap/>
            <w:vAlign w:val="center"/>
          </w:tcPr>
          <w:p w14:paraId="2B2D88C7">
            <w:pPr>
              <w:spacing w:line="360" w:lineRule="auto"/>
              <w:jc w:val="center"/>
              <w:rPr>
                <w:rFonts w:hint="eastAsia" w:ascii="宋体" w:hAnsi="宋体" w:cs="宋体"/>
                <w:color w:val="auto"/>
                <w:sz w:val="21"/>
                <w:szCs w:val="21"/>
                <w:highlight w:val="none"/>
              </w:rPr>
            </w:pPr>
          </w:p>
        </w:tc>
      </w:tr>
      <w:tr w14:paraId="2BEC79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950E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1.3.19.3</w:t>
            </w:r>
          </w:p>
        </w:tc>
        <w:tc>
          <w:tcPr>
            <w:tcW w:w="6982" w:type="dxa"/>
            <w:tcBorders>
              <w:tl2br w:val="nil"/>
              <w:tr2bl w:val="nil"/>
            </w:tcBorders>
            <w:vAlign w:val="center"/>
          </w:tcPr>
          <w:p w14:paraId="3EA2EF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根据交班规则自动获取需要交班的病人，如新入院、重危、抢救、手术、分娩等病人</w:t>
            </w:r>
          </w:p>
        </w:tc>
        <w:tc>
          <w:tcPr>
            <w:tcW w:w="870" w:type="dxa"/>
            <w:vMerge w:val="continue"/>
            <w:tcBorders>
              <w:tl2br w:val="nil"/>
              <w:tr2bl w:val="nil"/>
            </w:tcBorders>
            <w:noWrap/>
            <w:vAlign w:val="center"/>
          </w:tcPr>
          <w:p w14:paraId="406985D6">
            <w:pPr>
              <w:spacing w:line="360" w:lineRule="auto"/>
              <w:jc w:val="center"/>
              <w:rPr>
                <w:rFonts w:hint="eastAsia" w:ascii="宋体" w:hAnsi="宋体" w:cs="宋体"/>
                <w:color w:val="auto"/>
                <w:sz w:val="21"/>
                <w:szCs w:val="21"/>
                <w:highlight w:val="none"/>
              </w:rPr>
            </w:pPr>
          </w:p>
        </w:tc>
      </w:tr>
      <w:tr w14:paraId="67E984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E3B7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1.3.19.4</w:t>
            </w:r>
          </w:p>
        </w:tc>
        <w:tc>
          <w:tcPr>
            <w:tcW w:w="6982" w:type="dxa"/>
            <w:tcBorders>
              <w:tl2br w:val="nil"/>
              <w:tr2bl w:val="nil"/>
            </w:tcBorders>
            <w:vAlign w:val="center"/>
          </w:tcPr>
          <w:p w14:paraId="51C34C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可从护理记录导入交班内容，或在书写护理记录时，选择将护理记录内容导入到交接班中</w:t>
            </w:r>
          </w:p>
        </w:tc>
        <w:tc>
          <w:tcPr>
            <w:tcW w:w="870" w:type="dxa"/>
            <w:vMerge w:val="continue"/>
            <w:tcBorders>
              <w:tl2br w:val="nil"/>
              <w:tr2bl w:val="nil"/>
            </w:tcBorders>
            <w:noWrap/>
            <w:vAlign w:val="center"/>
          </w:tcPr>
          <w:p w14:paraId="3BCA9162">
            <w:pPr>
              <w:spacing w:line="360" w:lineRule="auto"/>
              <w:jc w:val="center"/>
              <w:rPr>
                <w:rFonts w:hint="eastAsia" w:ascii="宋体" w:hAnsi="宋体" w:cs="宋体"/>
                <w:color w:val="auto"/>
                <w:sz w:val="21"/>
                <w:szCs w:val="21"/>
                <w:highlight w:val="none"/>
              </w:rPr>
            </w:pPr>
          </w:p>
        </w:tc>
      </w:tr>
      <w:tr w14:paraId="1B8CB5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DE04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1.3.19.5</w:t>
            </w:r>
          </w:p>
        </w:tc>
        <w:tc>
          <w:tcPr>
            <w:tcW w:w="6982" w:type="dxa"/>
            <w:tcBorders>
              <w:tl2br w:val="nil"/>
              <w:tr2bl w:val="nil"/>
            </w:tcBorders>
            <w:vAlign w:val="center"/>
          </w:tcPr>
          <w:p w14:paraId="4BABC7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录入需要交接的特殊项目</w:t>
            </w:r>
          </w:p>
        </w:tc>
        <w:tc>
          <w:tcPr>
            <w:tcW w:w="870" w:type="dxa"/>
            <w:vMerge w:val="continue"/>
            <w:tcBorders>
              <w:tl2br w:val="nil"/>
              <w:tr2bl w:val="nil"/>
            </w:tcBorders>
            <w:noWrap/>
            <w:vAlign w:val="center"/>
          </w:tcPr>
          <w:p w14:paraId="5E895D04">
            <w:pPr>
              <w:spacing w:line="360" w:lineRule="auto"/>
              <w:jc w:val="center"/>
              <w:rPr>
                <w:rFonts w:hint="eastAsia" w:ascii="宋体" w:hAnsi="宋体" w:cs="宋体"/>
                <w:color w:val="auto"/>
                <w:sz w:val="21"/>
                <w:szCs w:val="21"/>
                <w:highlight w:val="none"/>
              </w:rPr>
            </w:pPr>
          </w:p>
        </w:tc>
      </w:tr>
      <w:tr w14:paraId="4B0CDC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179E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1.3.19.6</w:t>
            </w:r>
          </w:p>
        </w:tc>
        <w:tc>
          <w:tcPr>
            <w:tcW w:w="6982" w:type="dxa"/>
            <w:tcBorders>
              <w:tl2br w:val="nil"/>
              <w:tr2bl w:val="nil"/>
            </w:tcBorders>
            <w:vAlign w:val="center"/>
          </w:tcPr>
          <w:p w14:paraId="49F12E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自定义报告模板</w:t>
            </w:r>
          </w:p>
        </w:tc>
        <w:tc>
          <w:tcPr>
            <w:tcW w:w="870" w:type="dxa"/>
            <w:vMerge w:val="continue"/>
            <w:tcBorders>
              <w:tl2br w:val="nil"/>
              <w:tr2bl w:val="nil"/>
            </w:tcBorders>
            <w:noWrap/>
            <w:vAlign w:val="center"/>
          </w:tcPr>
          <w:p w14:paraId="3A40BCB6">
            <w:pPr>
              <w:spacing w:line="360" w:lineRule="auto"/>
              <w:jc w:val="center"/>
              <w:rPr>
                <w:rFonts w:hint="eastAsia" w:ascii="宋体" w:hAnsi="宋体" w:cs="宋体"/>
                <w:color w:val="auto"/>
                <w:sz w:val="21"/>
                <w:szCs w:val="21"/>
                <w:highlight w:val="none"/>
              </w:rPr>
            </w:pPr>
          </w:p>
        </w:tc>
      </w:tr>
      <w:tr w14:paraId="2ECB0B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F75E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w:t>
            </w:r>
          </w:p>
        </w:tc>
        <w:tc>
          <w:tcPr>
            <w:tcW w:w="6982" w:type="dxa"/>
            <w:tcBorders>
              <w:tl2br w:val="nil"/>
              <w:tr2bl w:val="nil"/>
            </w:tcBorders>
            <w:vAlign w:val="center"/>
          </w:tcPr>
          <w:p w14:paraId="61E7B2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任务提醒</w:t>
            </w:r>
          </w:p>
        </w:tc>
        <w:tc>
          <w:tcPr>
            <w:tcW w:w="870" w:type="dxa"/>
            <w:vMerge w:val="continue"/>
            <w:tcBorders>
              <w:tl2br w:val="nil"/>
              <w:tr2bl w:val="nil"/>
            </w:tcBorders>
            <w:noWrap/>
            <w:vAlign w:val="center"/>
          </w:tcPr>
          <w:p w14:paraId="15AE8F94">
            <w:pPr>
              <w:spacing w:line="360" w:lineRule="auto"/>
              <w:jc w:val="center"/>
              <w:rPr>
                <w:rFonts w:hint="eastAsia" w:ascii="宋体" w:hAnsi="宋体" w:cs="宋体"/>
                <w:color w:val="auto"/>
                <w:sz w:val="21"/>
                <w:szCs w:val="21"/>
                <w:highlight w:val="none"/>
              </w:rPr>
            </w:pPr>
          </w:p>
        </w:tc>
      </w:tr>
      <w:tr w14:paraId="40726C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CA91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1.3.20.1</w:t>
            </w:r>
          </w:p>
        </w:tc>
        <w:tc>
          <w:tcPr>
            <w:tcW w:w="6982" w:type="dxa"/>
            <w:tcBorders>
              <w:tl2br w:val="nil"/>
              <w:tr2bl w:val="nil"/>
            </w:tcBorders>
            <w:vAlign w:val="center"/>
          </w:tcPr>
          <w:p w14:paraId="3A27CB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根据病情、护理等级、手术、抢救等情况，提醒护士当前班次哪些病人需求书写护理记录，产生待记录病人任务列表</w:t>
            </w:r>
          </w:p>
        </w:tc>
        <w:tc>
          <w:tcPr>
            <w:tcW w:w="870" w:type="dxa"/>
            <w:vMerge w:val="continue"/>
            <w:tcBorders>
              <w:tl2br w:val="nil"/>
              <w:tr2bl w:val="nil"/>
            </w:tcBorders>
            <w:noWrap/>
            <w:vAlign w:val="center"/>
          </w:tcPr>
          <w:p w14:paraId="30E7D064">
            <w:pPr>
              <w:spacing w:line="360" w:lineRule="auto"/>
              <w:jc w:val="center"/>
              <w:rPr>
                <w:rFonts w:hint="eastAsia" w:ascii="宋体" w:hAnsi="宋体" w:cs="宋体"/>
                <w:color w:val="auto"/>
                <w:sz w:val="21"/>
                <w:szCs w:val="21"/>
                <w:highlight w:val="none"/>
              </w:rPr>
            </w:pPr>
          </w:p>
        </w:tc>
      </w:tr>
      <w:tr w14:paraId="108D76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A6D2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1.3.20.2</w:t>
            </w:r>
          </w:p>
        </w:tc>
        <w:tc>
          <w:tcPr>
            <w:tcW w:w="6982" w:type="dxa"/>
            <w:tcBorders>
              <w:tl2br w:val="nil"/>
              <w:tr2bl w:val="nil"/>
            </w:tcBorders>
            <w:vAlign w:val="center"/>
          </w:tcPr>
          <w:p w14:paraId="4C52E0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根据评估规则，提醒每个病人需要进行哪些评估，产生待完成评估单任务列表</w:t>
            </w:r>
          </w:p>
        </w:tc>
        <w:tc>
          <w:tcPr>
            <w:tcW w:w="870" w:type="dxa"/>
            <w:vMerge w:val="continue"/>
            <w:tcBorders>
              <w:tl2br w:val="nil"/>
              <w:tr2bl w:val="nil"/>
            </w:tcBorders>
            <w:noWrap/>
            <w:vAlign w:val="center"/>
          </w:tcPr>
          <w:p w14:paraId="71D48989">
            <w:pPr>
              <w:spacing w:line="360" w:lineRule="auto"/>
              <w:jc w:val="center"/>
              <w:rPr>
                <w:rFonts w:hint="eastAsia" w:ascii="宋体" w:hAnsi="宋体" w:cs="宋体"/>
                <w:color w:val="auto"/>
                <w:sz w:val="21"/>
                <w:szCs w:val="21"/>
                <w:highlight w:val="none"/>
              </w:rPr>
            </w:pPr>
          </w:p>
        </w:tc>
      </w:tr>
      <w:tr w14:paraId="380AE7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BC9A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1.3.20.3</w:t>
            </w:r>
          </w:p>
        </w:tc>
        <w:tc>
          <w:tcPr>
            <w:tcW w:w="6982" w:type="dxa"/>
            <w:tcBorders>
              <w:tl2br w:val="nil"/>
              <w:tr2bl w:val="nil"/>
            </w:tcBorders>
            <w:vAlign w:val="center"/>
          </w:tcPr>
          <w:p w14:paraId="2BA165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按申报流程规则，生成审核任务列表，提醒相关人员完成审核任务</w:t>
            </w:r>
          </w:p>
        </w:tc>
        <w:tc>
          <w:tcPr>
            <w:tcW w:w="870" w:type="dxa"/>
            <w:vMerge w:val="continue"/>
            <w:tcBorders>
              <w:tl2br w:val="nil"/>
              <w:tr2bl w:val="nil"/>
            </w:tcBorders>
            <w:noWrap/>
            <w:vAlign w:val="center"/>
          </w:tcPr>
          <w:p w14:paraId="7EA74CFE">
            <w:pPr>
              <w:spacing w:line="360" w:lineRule="auto"/>
              <w:jc w:val="center"/>
              <w:rPr>
                <w:rFonts w:hint="eastAsia" w:ascii="宋体" w:hAnsi="宋体" w:cs="宋体"/>
                <w:color w:val="auto"/>
                <w:sz w:val="21"/>
                <w:szCs w:val="21"/>
                <w:highlight w:val="none"/>
              </w:rPr>
            </w:pPr>
          </w:p>
        </w:tc>
      </w:tr>
      <w:tr w14:paraId="49F0FD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277B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1.3.20.4</w:t>
            </w:r>
          </w:p>
        </w:tc>
        <w:tc>
          <w:tcPr>
            <w:tcW w:w="6982" w:type="dxa"/>
            <w:tcBorders>
              <w:tl2br w:val="nil"/>
              <w:tr2bl w:val="nil"/>
            </w:tcBorders>
            <w:vAlign w:val="center"/>
          </w:tcPr>
          <w:p w14:paraId="2B5844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可按不同的任务规则配置各类任务提醒</w:t>
            </w:r>
          </w:p>
        </w:tc>
        <w:tc>
          <w:tcPr>
            <w:tcW w:w="870" w:type="dxa"/>
            <w:vMerge w:val="continue"/>
            <w:tcBorders>
              <w:tl2br w:val="nil"/>
              <w:tr2bl w:val="nil"/>
            </w:tcBorders>
            <w:noWrap/>
            <w:vAlign w:val="center"/>
          </w:tcPr>
          <w:p w14:paraId="33B3D1FC">
            <w:pPr>
              <w:spacing w:line="360" w:lineRule="auto"/>
              <w:jc w:val="center"/>
              <w:rPr>
                <w:rFonts w:hint="eastAsia" w:ascii="宋体" w:hAnsi="宋体" w:cs="宋体"/>
                <w:color w:val="auto"/>
                <w:sz w:val="21"/>
                <w:szCs w:val="21"/>
                <w:highlight w:val="none"/>
              </w:rPr>
            </w:pPr>
          </w:p>
        </w:tc>
      </w:tr>
      <w:tr w14:paraId="24D027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47E7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1.3.20.5</w:t>
            </w:r>
          </w:p>
        </w:tc>
        <w:tc>
          <w:tcPr>
            <w:tcW w:w="6982" w:type="dxa"/>
            <w:tcBorders>
              <w:tl2br w:val="nil"/>
              <w:tr2bl w:val="nil"/>
            </w:tcBorders>
            <w:vAlign w:val="center"/>
          </w:tcPr>
          <w:p w14:paraId="6EC007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可自定义任务提醒规则</w:t>
            </w:r>
          </w:p>
        </w:tc>
        <w:tc>
          <w:tcPr>
            <w:tcW w:w="870" w:type="dxa"/>
            <w:vMerge w:val="continue"/>
            <w:tcBorders>
              <w:tl2br w:val="nil"/>
              <w:tr2bl w:val="nil"/>
            </w:tcBorders>
            <w:noWrap/>
            <w:vAlign w:val="center"/>
          </w:tcPr>
          <w:p w14:paraId="16A90109">
            <w:pPr>
              <w:spacing w:line="360" w:lineRule="auto"/>
              <w:jc w:val="center"/>
              <w:rPr>
                <w:rFonts w:hint="eastAsia" w:ascii="宋体" w:hAnsi="宋体" w:cs="宋体"/>
                <w:color w:val="auto"/>
                <w:sz w:val="21"/>
                <w:szCs w:val="21"/>
                <w:highlight w:val="none"/>
              </w:rPr>
            </w:pPr>
          </w:p>
        </w:tc>
      </w:tr>
      <w:tr w14:paraId="662960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015D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二</w:t>
            </w:r>
          </w:p>
        </w:tc>
        <w:tc>
          <w:tcPr>
            <w:tcW w:w="6982" w:type="dxa"/>
            <w:tcBorders>
              <w:tl2br w:val="nil"/>
              <w:tr2bl w:val="nil"/>
            </w:tcBorders>
            <w:vAlign w:val="center"/>
          </w:tcPr>
          <w:p w14:paraId="34003B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新院区核心业务系统改造</w:t>
            </w:r>
          </w:p>
        </w:tc>
        <w:tc>
          <w:tcPr>
            <w:tcW w:w="870" w:type="dxa"/>
            <w:tcBorders>
              <w:tl2br w:val="nil"/>
              <w:tr2bl w:val="nil"/>
            </w:tcBorders>
            <w:noWrap/>
            <w:vAlign w:val="center"/>
          </w:tcPr>
          <w:p w14:paraId="42C857BF">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2C7C3D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72BF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w:t>
            </w:r>
          </w:p>
        </w:tc>
        <w:tc>
          <w:tcPr>
            <w:tcW w:w="6982" w:type="dxa"/>
            <w:tcBorders>
              <w:tl2br w:val="nil"/>
              <w:tr2bl w:val="nil"/>
            </w:tcBorders>
            <w:vAlign w:val="center"/>
          </w:tcPr>
          <w:p w14:paraId="01D537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门诊业务流程改造</w:t>
            </w:r>
          </w:p>
        </w:tc>
        <w:tc>
          <w:tcPr>
            <w:tcW w:w="870" w:type="dxa"/>
            <w:vMerge w:val="restart"/>
            <w:tcBorders>
              <w:tl2br w:val="nil"/>
              <w:tr2bl w:val="nil"/>
            </w:tcBorders>
            <w:noWrap/>
            <w:vAlign w:val="center"/>
          </w:tcPr>
          <w:p w14:paraId="6E7CD8BD">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8A9FC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D1CA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w:t>
            </w:r>
          </w:p>
        </w:tc>
        <w:tc>
          <w:tcPr>
            <w:tcW w:w="6982" w:type="dxa"/>
            <w:tcBorders>
              <w:tl2br w:val="nil"/>
              <w:tr2bl w:val="nil"/>
            </w:tcBorders>
            <w:vAlign w:val="center"/>
          </w:tcPr>
          <w:p w14:paraId="6D2B75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门诊医生工作站系统是门诊子系统的核心，整合病历书写、诊断管理、处方录入等核心业务，应支持自动获取患者信息、审核医嘱，具备痕迹跟踪功能，与分诊叫号系统联动，全面提升门诊诊疗效率与规范性</w:t>
            </w:r>
          </w:p>
        </w:tc>
        <w:tc>
          <w:tcPr>
            <w:tcW w:w="870" w:type="dxa"/>
            <w:vMerge w:val="continue"/>
            <w:tcBorders>
              <w:tl2br w:val="nil"/>
              <w:tr2bl w:val="nil"/>
            </w:tcBorders>
            <w:noWrap/>
            <w:vAlign w:val="center"/>
          </w:tcPr>
          <w:p w14:paraId="3ABE814D">
            <w:pPr>
              <w:spacing w:line="360" w:lineRule="auto"/>
              <w:jc w:val="center"/>
              <w:rPr>
                <w:rFonts w:hint="eastAsia" w:ascii="宋体" w:hAnsi="宋体" w:cs="宋体"/>
                <w:color w:val="auto"/>
                <w:sz w:val="21"/>
                <w:szCs w:val="21"/>
                <w:highlight w:val="none"/>
              </w:rPr>
            </w:pPr>
          </w:p>
        </w:tc>
      </w:tr>
      <w:tr w14:paraId="036AB7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CE6C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w:t>
            </w:r>
          </w:p>
        </w:tc>
        <w:tc>
          <w:tcPr>
            <w:tcW w:w="6982" w:type="dxa"/>
            <w:tcBorders>
              <w:tl2br w:val="nil"/>
              <w:tr2bl w:val="nil"/>
            </w:tcBorders>
            <w:vAlign w:val="center"/>
          </w:tcPr>
          <w:p w14:paraId="6CED20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病历书写</w:t>
            </w:r>
          </w:p>
        </w:tc>
        <w:tc>
          <w:tcPr>
            <w:tcW w:w="870" w:type="dxa"/>
            <w:vMerge w:val="continue"/>
            <w:tcBorders>
              <w:tl2br w:val="nil"/>
              <w:tr2bl w:val="nil"/>
            </w:tcBorders>
            <w:noWrap/>
            <w:vAlign w:val="center"/>
          </w:tcPr>
          <w:p w14:paraId="04AD694B">
            <w:pPr>
              <w:spacing w:line="360" w:lineRule="auto"/>
              <w:jc w:val="center"/>
              <w:rPr>
                <w:rFonts w:hint="eastAsia" w:ascii="宋体" w:hAnsi="宋体" w:cs="宋体"/>
                <w:color w:val="auto"/>
                <w:sz w:val="21"/>
                <w:szCs w:val="21"/>
                <w:highlight w:val="none"/>
              </w:rPr>
            </w:pPr>
          </w:p>
        </w:tc>
      </w:tr>
      <w:tr w14:paraId="7BCE20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14B3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w:t>
            </w:r>
          </w:p>
        </w:tc>
        <w:tc>
          <w:tcPr>
            <w:tcW w:w="6982" w:type="dxa"/>
            <w:tcBorders>
              <w:tl2br w:val="nil"/>
              <w:tr2bl w:val="nil"/>
            </w:tcBorders>
            <w:vAlign w:val="center"/>
          </w:tcPr>
          <w:p w14:paraId="2E2EFD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结构化模板录入，涵盖病历核心模块，实现字段标准化与必填项校验；应支持院级、科室级、个人级三级模板维护，可自定义调整；自动关联患者各类诊疗数据，减少重复录入；具备病历修改痕迹跟踪与审批闭环，应支持规范打印与电子归档，可快速查询调阅</w:t>
            </w:r>
          </w:p>
        </w:tc>
        <w:tc>
          <w:tcPr>
            <w:tcW w:w="870" w:type="dxa"/>
            <w:vMerge w:val="continue"/>
            <w:tcBorders>
              <w:tl2br w:val="nil"/>
              <w:tr2bl w:val="nil"/>
            </w:tcBorders>
            <w:noWrap/>
            <w:vAlign w:val="center"/>
          </w:tcPr>
          <w:p w14:paraId="59A43028">
            <w:pPr>
              <w:spacing w:line="360" w:lineRule="auto"/>
              <w:jc w:val="center"/>
              <w:rPr>
                <w:rFonts w:hint="eastAsia" w:ascii="宋体" w:hAnsi="宋体" w:cs="宋体"/>
                <w:color w:val="auto"/>
                <w:sz w:val="21"/>
                <w:szCs w:val="21"/>
                <w:highlight w:val="none"/>
              </w:rPr>
            </w:pPr>
          </w:p>
        </w:tc>
      </w:tr>
      <w:tr w14:paraId="703DF5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EB5F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w:t>
            </w:r>
          </w:p>
        </w:tc>
        <w:tc>
          <w:tcPr>
            <w:tcW w:w="6982" w:type="dxa"/>
            <w:tcBorders>
              <w:tl2br w:val="nil"/>
              <w:tr2bl w:val="nil"/>
            </w:tcBorders>
            <w:vAlign w:val="center"/>
          </w:tcPr>
          <w:p w14:paraId="133F54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诊断统一管理</w:t>
            </w:r>
          </w:p>
        </w:tc>
        <w:tc>
          <w:tcPr>
            <w:tcW w:w="870" w:type="dxa"/>
            <w:vMerge w:val="continue"/>
            <w:tcBorders>
              <w:tl2br w:val="nil"/>
              <w:tr2bl w:val="nil"/>
            </w:tcBorders>
            <w:noWrap/>
            <w:vAlign w:val="center"/>
          </w:tcPr>
          <w:p w14:paraId="01452B9C">
            <w:pPr>
              <w:spacing w:line="360" w:lineRule="auto"/>
              <w:jc w:val="center"/>
              <w:rPr>
                <w:rFonts w:hint="eastAsia" w:ascii="宋体" w:hAnsi="宋体" w:cs="宋体"/>
                <w:color w:val="auto"/>
                <w:sz w:val="21"/>
                <w:szCs w:val="21"/>
                <w:highlight w:val="none"/>
              </w:rPr>
            </w:pPr>
          </w:p>
        </w:tc>
      </w:tr>
      <w:tr w14:paraId="72AD8C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E0F3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2.1.3.1</w:t>
            </w:r>
          </w:p>
        </w:tc>
        <w:tc>
          <w:tcPr>
            <w:tcW w:w="6982" w:type="dxa"/>
            <w:tcBorders>
              <w:tl2br w:val="nil"/>
              <w:tr2bl w:val="nil"/>
            </w:tcBorders>
            <w:vAlign w:val="center"/>
          </w:tcPr>
          <w:p w14:paraId="0332DB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ICD10 编码与中医诊断双重录入，实现标准化存储检索；可区分诊断级别，应支持 “待查” 状态标记与补充；复诊时可复用既往诊断，关联门慢特病申请；应支持多维度诊断统计与多条件查询，为医疗管理提供数据支撑</w:t>
            </w:r>
          </w:p>
        </w:tc>
        <w:tc>
          <w:tcPr>
            <w:tcW w:w="870" w:type="dxa"/>
            <w:vMerge w:val="continue"/>
            <w:tcBorders>
              <w:tl2br w:val="nil"/>
              <w:tr2bl w:val="nil"/>
            </w:tcBorders>
            <w:noWrap/>
            <w:vAlign w:val="center"/>
          </w:tcPr>
          <w:p w14:paraId="7E60D6DE">
            <w:pPr>
              <w:spacing w:line="360" w:lineRule="auto"/>
              <w:jc w:val="center"/>
              <w:rPr>
                <w:rFonts w:hint="eastAsia" w:ascii="宋体" w:hAnsi="宋体" w:cs="宋体"/>
                <w:color w:val="auto"/>
                <w:sz w:val="21"/>
                <w:szCs w:val="21"/>
                <w:highlight w:val="none"/>
              </w:rPr>
            </w:pPr>
          </w:p>
        </w:tc>
      </w:tr>
      <w:tr w14:paraId="628FB9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4530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2.1.4</w:t>
            </w:r>
          </w:p>
        </w:tc>
        <w:tc>
          <w:tcPr>
            <w:tcW w:w="6982" w:type="dxa"/>
            <w:tcBorders>
              <w:tl2br w:val="nil"/>
              <w:tr2bl w:val="nil"/>
            </w:tcBorders>
            <w:vAlign w:val="center"/>
          </w:tcPr>
          <w:p w14:paraId="515CA9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处方录入</w:t>
            </w:r>
          </w:p>
        </w:tc>
        <w:tc>
          <w:tcPr>
            <w:tcW w:w="870" w:type="dxa"/>
            <w:vMerge w:val="continue"/>
            <w:tcBorders>
              <w:tl2br w:val="nil"/>
              <w:tr2bl w:val="nil"/>
            </w:tcBorders>
            <w:noWrap/>
            <w:vAlign w:val="center"/>
          </w:tcPr>
          <w:p w14:paraId="243A3291">
            <w:pPr>
              <w:spacing w:line="360" w:lineRule="auto"/>
              <w:jc w:val="center"/>
              <w:rPr>
                <w:rFonts w:hint="eastAsia" w:ascii="宋体" w:hAnsi="宋体" w:cs="宋体"/>
                <w:color w:val="auto"/>
                <w:sz w:val="21"/>
                <w:szCs w:val="21"/>
                <w:highlight w:val="none"/>
              </w:rPr>
            </w:pPr>
          </w:p>
        </w:tc>
      </w:tr>
      <w:tr w14:paraId="33A306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5B56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2.1.4.1</w:t>
            </w:r>
          </w:p>
        </w:tc>
        <w:tc>
          <w:tcPr>
            <w:tcW w:w="6982" w:type="dxa"/>
            <w:tcBorders>
              <w:tl2br w:val="nil"/>
              <w:tr2bl w:val="nil"/>
            </w:tcBorders>
            <w:vAlign w:val="center"/>
          </w:tcPr>
          <w:p w14:paraId="602F3E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模板、模糊查询等多种录入方式，适配各类处方类型；精准管控药品用法剂量，自动核算药品总量；与合理用药系统对接，实时预警用药风险，关联患者过敏史；应支持处方自动分方、规范打印，具备审核与修改闭环，确保合规</w:t>
            </w:r>
          </w:p>
        </w:tc>
        <w:tc>
          <w:tcPr>
            <w:tcW w:w="870" w:type="dxa"/>
            <w:vMerge w:val="continue"/>
            <w:tcBorders>
              <w:tl2br w:val="nil"/>
              <w:tr2bl w:val="nil"/>
            </w:tcBorders>
            <w:noWrap/>
            <w:vAlign w:val="center"/>
          </w:tcPr>
          <w:p w14:paraId="404D5BE6">
            <w:pPr>
              <w:spacing w:line="360" w:lineRule="auto"/>
              <w:jc w:val="center"/>
              <w:rPr>
                <w:rFonts w:hint="eastAsia" w:ascii="宋体" w:hAnsi="宋体" w:cs="宋体"/>
                <w:color w:val="auto"/>
                <w:sz w:val="21"/>
                <w:szCs w:val="21"/>
                <w:highlight w:val="none"/>
              </w:rPr>
            </w:pPr>
          </w:p>
        </w:tc>
      </w:tr>
      <w:tr w14:paraId="3D158F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226A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△2.1.4.2</w:t>
            </w:r>
          </w:p>
        </w:tc>
        <w:tc>
          <w:tcPr>
            <w:tcW w:w="6982" w:type="dxa"/>
            <w:tcBorders>
              <w:tl2br w:val="nil"/>
              <w:tr2bl w:val="nil"/>
            </w:tcBorders>
            <w:vAlign w:val="center"/>
          </w:tcPr>
          <w:p w14:paraId="3F724D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可维护抗肿瘤药物信息（基因检测要求、单次最大剂量、适应症及适用分级），并管理治疗方案的适用诊断、分级、预处理方案及具体方案内容，医生可在医生站开具抗肿瘤药物申请单，自动调取患者基本信息和治疗方案，保存时系统对适用诊断、分级、剂量等进行校验提醒。</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02B9D598">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5C9D51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8D78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2.1.5</w:t>
            </w:r>
          </w:p>
        </w:tc>
        <w:tc>
          <w:tcPr>
            <w:tcW w:w="6982" w:type="dxa"/>
            <w:tcBorders>
              <w:tl2br w:val="nil"/>
              <w:tr2bl w:val="nil"/>
            </w:tcBorders>
            <w:vAlign w:val="center"/>
          </w:tcPr>
          <w:p w14:paraId="04562C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各类医技申请</w:t>
            </w:r>
          </w:p>
        </w:tc>
        <w:tc>
          <w:tcPr>
            <w:tcW w:w="870" w:type="dxa"/>
            <w:vMerge w:val="restart"/>
            <w:tcBorders>
              <w:tl2br w:val="nil"/>
              <w:tr2bl w:val="nil"/>
            </w:tcBorders>
            <w:noWrap/>
            <w:vAlign w:val="center"/>
          </w:tcPr>
          <w:p w14:paraId="3F0C2514">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329ACA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1E1A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2.1.5.1</w:t>
            </w:r>
          </w:p>
        </w:tc>
        <w:tc>
          <w:tcPr>
            <w:tcW w:w="6982" w:type="dxa"/>
            <w:tcBorders>
              <w:tl2br w:val="nil"/>
              <w:tr2bl w:val="nil"/>
            </w:tcBorders>
            <w:vAlign w:val="center"/>
          </w:tcPr>
          <w:p w14:paraId="6E5C72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LIS、RIS 等各类医技项目电子申请，提供标准化模板与必填项校验；可预约大型检查，跟踪申请执行状态；实时接收并展示医技报告，应支持报告打印、导出与病历关联；与医技系统标准化对接，实现全流程电子化</w:t>
            </w:r>
          </w:p>
        </w:tc>
        <w:tc>
          <w:tcPr>
            <w:tcW w:w="870" w:type="dxa"/>
            <w:vMerge w:val="continue"/>
            <w:tcBorders>
              <w:tl2br w:val="nil"/>
              <w:tr2bl w:val="nil"/>
            </w:tcBorders>
            <w:noWrap/>
            <w:vAlign w:val="center"/>
          </w:tcPr>
          <w:p w14:paraId="7847D3E6">
            <w:pPr>
              <w:spacing w:line="360" w:lineRule="auto"/>
              <w:jc w:val="center"/>
              <w:rPr>
                <w:rFonts w:hint="eastAsia" w:ascii="宋体" w:hAnsi="宋体" w:cs="宋体"/>
                <w:color w:val="auto"/>
                <w:sz w:val="21"/>
                <w:szCs w:val="21"/>
                <w:highlight w:val="none"/>
              </w:rPr>
            </w:pPr>
          </w:p>
        </w:tc>
      </w:tr>
      <w:tr w14:paraId="648E3A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274A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2.1.6</w:t>
            </w:r>
          </w:p>
        </w:tc>
        <w:tc>
          <w:tcPr>
            <w:tcW w:w="6982" w:type="dxa"/>
            <w:tcBorders>
              <w:tl2br w:val="nil"/>
              <w:tr2bl w:val="nil"/>
            </w:tcBorders>
            <w:vAlign w:val="center"/>
          </w:tcPr>
          <w:p w14:paraId="03B024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疾病 / 院感上报</w:t>
            </w:r>
          </w:p>
        </w:tc>
        <w:tc>
          <w:tcPr>
            <w:tcW w:w="870" w:type="dxa"/>
            <w:vMerge w:val="continue"/>
            <w:tcBorders>
              <w:tl2br w:val="nil"/>
              <w:tr2bl w:val="nil"/>
            </w:tcBorders>
            <w:noWrap/>
            <w:vAlign w:val="center"/>
          </w:tcPr>
          <w:p w14:paraId="2AA8BF2B">
            <w:pPr>
              <w:spacing w:line="360" w:lineRule="auto"/>
              <w:jc w:val="center"/>
              <w:rPr>
                <w:rFonts w:hint="eastAsia" w:ascii="宋体" w:hAnsi="宋体" w:cs="宋体"/>
                <w:color w:val="auto"/>
                <w:sz w:val="21"/>
                <w:szCs w:val="21"/>
                <w:highlight w:val="none"/>
              </w:rPr>
            </w:pPr>
          </w:p>
        </w:tc>
      </w:tr>
      <w:tr w14:paraId="663B84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2629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2.1.6.1</w:t>
            </w:r>
          </w:p>
        </w:tc>
        <w:tc>
          <w:tcPr>
            <w:tcW w:w="6982" w:type="dxa"/>
            <w:tcBorders>
              <w:tl2br w:val="nil"/>
              <w:tr2bl w:val="nil"/>
            </w:tcBorders>
            <w:vAlign w:val="center"/>
          </w:tcPr>
          <w:p w14:paraId="2208AF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支持法定传染病与院感信息规范录入，具备审核与逐级上报流程，记录可追溯；可按多维度统计上报数据，生成报表；具备传染病、院感风险预警功能，及时提醒相关人员采取防控措施</w:t>
            </w:r>
          </w:p>
        </w:tc>
        <w:tc>
          <w:tcPr>
            <w:tcW w:w="870" w:type="dxa"/>
            <w:vMerge w:val="continue"/>
            <w:tcBorders>
              <w:tl2br w:val="nil"/>
              <w:tr2bl w:val="nil"/>
            </w:tcBorders>
            <w:noWrap/>
            <w:vAlign w:val="center"/>
          </w:tcPr>
          <w:p w14:paraId="34E5F5EF">
            <w:pPr>
              <w:spacing w:line="360" w:lineRule="auto"/>
              <w:jc w:val="center"/>
              <w:rPr>
                <w:rFonts w:hint="eastAsia" w:ascii="宋体" w:hAnsi="宋体" w:cs="宋体"/>
                <w:color w:val="auto"/>
                <w:sz w:val="21"/>
                <w:szCs w:val="21"/>
                <w:highlight w:val="none"/>
              </w:rPr>
            </w:pPr>
          </w:p>
        </w:tc>
      </w:tr>
      <w:tr w14:paraId="7CF429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1F645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2.1.7</w:t>
            </w:r>
          </w:p>
        </w:tc>
        <w:tc>
          <w:tcPr>
            <w:tcW w:w="6982" w:type="dxa"/>
            <w:tcBorders>
              <w:tl2br w:val="nil"/>
              <w:tr2bl w:val="nil"/>
            </w:tcBorders>
            <w:vAlign w:val="center"/>
          </w:tcPr>
          <w:p w14:paraId="24D325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危急值管理</w:t>
            </w:r>
          </w:p>
        </w:tc>
        <w:tc>
          <w:tcPr>
            <w:tcW w:w="870" w:type="dxa"/>
            <w:vMerge w:val="continue"/>
            <w:tcBorders>
              <w:tl2br w:val="nil"/>
              <w:tr2bl w:val="nil"/>
            </w:tcBorders>
            <w:noWrap/>
            <w:vAlign w:val="center"/>
          </w:tcPr>
          <w:p w14:paraId="1430A127">
            <w:pPr>
              <w:spacing w:line="360" w:lineRule="auto"/>
              <w:jc w:val="center"/>
              <w:rPr>
                <w:rFonts w:hint="eastAsia" w:ascii="宋体" w:hAnsi="宋体" w:cs="宋体"/>
                <w:color w:val="auto"/>
                <w:sz w:val="21"/>
                <w:szCs w:val="21"/>
                <w:highlight w:val="none"/>
              </w:rPr>
            </w:pPr>
          </w:p>
        </w:tc>
      </w:tr>
      <w:tr w14:paraId="25DD38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8E6B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2.1.7.1</w:t>
            </w:r>
          </w:p>
        </w:tc>
        <w:tc>
          <w:tcPr>
            <w:tcW w:w="6982" w:type="dxa"/>
            <w:tcBorders>
              <w:tl2br w:val="nil"/>
              <w:tr2bl w:val="nil"/>
            </w:tcBorders>
            <w:vAlign w:val="center"/>
          </w:tcPr>
          <w:p w14:paraId="4DEFB9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与医技系统对接，实时接收危急值并弹窗 + 声音双重提醒；应支持危急值处理记录录入与流程跟踪，确保及时规范处置；可多维度统计分析危急值数据，应支持阈值自定义配置，实现全流程追溯与管控</w:t>
            </w:r>
          </w:p>
        </w:tc>
        <w:tc>
          <w:tcPr>
            <w:tcW w:w="870" w:type="dxa"/>
            <w:vMerge w:val="continue"/>
            <w:tcBorders>
              <w:tl2br w:val="nil"/>
              <w:tr2bl w:val="nil"/>
            </w:tcBorders>
            <w:noWrap/>
            <w:vAlign w:val="center"/>
          </w:tcPr>
          <w:p w14:paraId="2F25BD17">
            <w:pPr>
              <w:spacing w:line="360" w:lineRule="auto"/>
              <w:jc w:val="center"/>
              <w:rPr>
                <w:rFonts w:hint="eastAsia" w:ascii="宋体" w:hAnsi="宋体" w:cs="宋体"/>
                <w:color w:val="auto"/>
                <w:sz w:val="21"/>
                <w:szCs w:val="21"/>
                <w:highlight w:val="none"/>
              </w:rPr>
            </w:pPr>
          </w:p>
        </w:tc>
      </w:tr>
      <w:tr w14:paraId="59A96A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28FB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2.1.8</w:t>
            </w:r>
          </w:p>
        </w:tc>
        <w:tc>
          <w:tcPr>
            <w:tcW w:w="6982" w:type="dxa"/>
            <w:tcBorders>
              <w:tl2br w:val="nil"/>
              <w:tr2bl w:val="nil"/>
            </w:tcBorders>
            <w:vAlign w:val="center"/>
          </w:tcPr>
          <w:p w14:paraId="0ED453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住院申请</w:t>
            </w:r>
          </w:p>
        </w:tc>
        <w:tc>
          <w:tcPr>
            <w:tcW w:w="870" w:type="dxa"/>
            <w:vMerge w:val="continue"/>
            <w:tcBorders>
              <w:tl2br w:val="nil"/>
              <w:tr2bl w:val="nil"/>
            </w:tcBorders>
            <w:noWrap/>
            <w:vAlign w:val="center"/>
          </w:tcPr>
          <w:p w14:paraId="7418FC02">
            <w:pPr>
              <w:spacing w:line="360" w:lineRule="auto"/>
              <w:jc w:val="center"/>
              <w:rPr>
                <w:rFonts w:hint="eastAsia" w:ascii="宋体" w:hAnsi="宋体" w:cs="宋体"/>
                <w:color w:val="auto"/>
                <w:sz w:val="21"/>
                <w:szCs w:val="21"/>
                <w:highlight w:val="none"/>
              </w:rPr>
            </w:pPr>
          </w:p>
        </w:tc>
      </w:tr>
      <w:tr w14:paraId="158CE2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6CBC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2.1.8.1</w:t>
            </w:r>
          </w:p>
        </w:tc>
        <w:tc>
          <w:tcPr>
            <w:tcW w:w="6982" w:type="dxa"/>
            <w:tcBorders>
              <w:tl2br w:val="nil"/>
              <w:tr2bl w:val="nil"/>
            </w:tcBorders>
            <w:vAlign w:val="center"/>
          </w:tcPr>
          <w:p w14:paraId="6DD599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支持门诊转住院电子开单，生成标准化申请单；可提交至住院预约排队系统，按病情调整优先级；可为住院申请患者开立院前医嘱，同步至相关科室；应支持实时查询申请状态，实现门诊与住院无缝衔接</w:t>
            </w:r>
          </w:p>
        </w:tc>
        <w:tc>
          <w:tcPr>
            <w:tcW w:w="870" w:type="dxa"/>
            <w:vMerge w:val="continue"/>
            <w:tcBorders>
              <w:tl2br w:val="nil"/>
              <w:tr2bl w:val="nil"/>
            </w:tcBorders>
            <w:noWrap/>
            <w:vAlign w:val="center"/>
          </w:tcPr>
          <w:p w14:paraId="0A1F3F99">
            <w:pPr>
              <w:spacing w:line="360" w:lineRule="auto"/>
              <w:jc w:val="center"/>
              <w:rPr>
                <w:rFonts w:hint="eastAsia" w:ascii="宋体" w:hAnsi="宋体" w:cs="宋体"/>
                <w:color w:val="auto"/>
                <w:sz w:val="21"/>
                <w:szCs w:val="21"/>
                <w:highlight w:val="none"/>
              </w:rPr>
            </w:pPr>
          </w:p>
        </w:tc>
      </w:tr>
      <w:tr w14:paraId="2DDCCF3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D63D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2.1.9</w:t>
            </w:r>
          </w:p>
        </w:tc>
        <w:tc>
          <w:tcPr>
            <w:tcW w:w="6982" w:type="dxa"/>
            <w:tcBorders>
              <w:tl2br w:val="nil"/>
              <w:tr2bl w:val="nil"/>
            </w:tcBorders>
            <w:vAlign w:val="center"/>
          </w:tcPr>
          <w:p w14:paraId="3354D03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诊间预约</w:t>
            </w:r>
          </w:p>
        </w:tc>
        <w:tc>
          <w:tcPr>
            <w:tcW w:w="870" w:type="dxa"/>
            <w:vMerge w:val="continue"/>
            <w:tcBorders>
              <w:tl2br w:val="nil"/>
              <w:tr2bl w:val="nil"/>
            </w:tcBorders>
            <w:noWrap/>
            <w:vAlign w:val="center"/>
          </w:tcPr>
          <w:p w14:paraId="002F2D87">
            <w:pPr>
              <w:spacing w:line="360" w:lineRule="auto"/>
              <w:jc w:val="center"/>
              <w:rPr>
                <w:rFonts w:hint="eastAsia" w:ascii="宋体" w:hAnsi="宋体" w:cs="宋体"/>
                <w:color w:val="auto"/>
                <w:sz w:val="21"/>
                <w:szCs w:val="21"/>
                <w:highlight w:val="none"/>
              </w:rPr>
            </w:pPr>
          </w:p>
        </w:tc>
      </w:tr>
      <w:tr w14:paraId="12E91E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EC6A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2.1.9.1</w:t>
            </w:r>
          </w:p>
        </w:tc>
        <w:tc>
          <w:tcPr>
            <w:tcW w:w="6982" w:type="dxa"/>
            <w:tcBorders>
              <w:tl2br w:val="nil"/>
              <w:tr2bl w:val="nil"/>
            </w:tcBorders>
            <w:vAlign w:val="center"/>
          </w:tcPr>
          <w:p w14:paraId="261364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医生可在诊疗中直接为患者预约后续号源，同步至预约挂号系统；具备预约冲突检测与限额设置功能；可修改、取消预约并添加备注，与分诊叫号系统联动，优先安排预约患者就诊</w:t>
            </w:r>
          </w:p>
        </w:tc>
        <w:tc>
          <w:tcPr>
            <w:tcW w:w="870" w:type="dxa"/>
            <w:vMerge w:val="continue"/>
            <w:tcBorders>
              <w:tl2br w:val="nil"/>
              <w:tr2bl w:val="nil"/>
            </w:tcBorders>
            <w:noWrap/>
            <w:vAlign w:val="center"/>
          </w:tcPr>
          <w:p w14:paraId="12AE6E2E">
            <w:pPr>
              <w:spacing w:line="360" w:lineRule="auto"/>
              <w:jc w:val="center"/>
              <w:rPr>
                <w:rFonts w:hint="eastAsia" w:ascii="宋体" w:hAnsi="宋体" w:cs="宋体"/>
                <w:color w:val="auto"/>
                <w:sz w:val="21"/>
                <w:szCs w:val="21"/>
                <w:highlight w:val="none"/>
              </w:rPr>
            </w:pPr>
          </w:p>
        </w:tc>
      </w:tr>
      <w:tr w14:paraId="6F1E82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8F11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2.1.10</w:t>
            </w:r>
          </w:p>
        </w:tc>
        <w:tc>
          <w:tcPr>
            <w:tcW w:w="6982" w:type="dxa"/>
            <w:tcBorders>
              <w:tl2br w:val="nil"/>
              <w:tr2bl w:val="nil"/>
            </w:tcBorders>
            <w:vAlign w:val="center"/>
          </w:tcPr>
          <w:p w14:paraId="457C11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复诊预约</w:t>
            </w:r>
          </w:p>
        </w:tc>
        <w:tc>
          <w:tcPr>
            <w:tcW w:w="870" w:type="dxa"/>
            <w:vMerge w:val="continue"/>
            <w:tcBorders>
              <w:tl2br w:val="nil"/>
              <w:tr2bl w:val="nil"/>
            </w:tcBorders>
            <w:noWrap/>
            <w:vAlign w:val="center"/>
          </w:tcPr>
          <w:p w14:paraId="1F744A32">
            <w:pPr>
              <w:spacing w:line="360" w:lineRule="auto"/>
              <w:jc w:val="center"/>
              <w:rPr>
                <w:rFonts w:hint="eastAsia" w:ascii="宋体" w:hAnsi="宋体" w:cs="宋体"/>
                <w:color w:val="auto"/>
                <w:sz w:val="21"/>
                <w:szCs w:val="21"/>
                <w:highlight w:val="none"/>
              </w:rPr>
            </w:pPr>
          </w:p>
        </w:tc>
      </w:tr>
      <w:tr w14:paraId="1A13BC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5634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2.1.10.1</w:t>
            </w:r>
          </w:p>
        </w:tc>
        <w:tc>
          <w:tcPr>
            <w:tcW w:w="6982" w:type="dxa"/>
            <w:tcBorders>
              <w:tl2br w:val="nil"/>
              <w:tr2bl w:val="nil"/>
            </w:tcBorders>
            <w:vAlign w:val="center"/>
          </w:tcPr>
          <w:p w14:paraId="56CB30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可根据患者病情、治疗周期精准开立复诊预约，关联诊疗记录；通过多渠道推送复诊提醒，降低爽约率；复诊时自动关联既往诊疗信息，应支持预约调整与批量管理，提升复诊效率</w:t>
            </w:r>
          </w:p>
        </w:tc>
        <w:tc>
          <w:tcPr>
            <w:tcW w:w="870" w:type="dxa"/>
            <w:vMerge w:val="continue"/>
            <w:tcBorders>
              <w:tl2br w:val="nil"/>
              <w:tr2bl w:val="nil"/>
            </w:tcBorders>
            <w:noWrap/>
            <w:vAlign w:val="center"/>
          </w:tcPr>
          <w:p w14:paraId="15E3CC52">
            <w:pPr>
              <w:spacing w:line="360" w:lineRule="auto"/>
              <w:jc w:val="center"/>
              <w:rPr>
                <w:rFonts w:hint="eastAsia" w:ascii="宋体" w:hAnsi="宋体" w:cs="宋体"/>
                <w:color w:val="auto"/>
                <w:sz w:val="21"/>
                <w:szCs w:val="21"/>
                <w:highlight w:val="none"/>
              </w:rPr>
            </w:pPr>
          </w:p>
        </w:tc>
      </w:tr>
      <w:tr w14:paraId="2403D0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5B67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w:t>
            </w:r>
          </w:p>
        </w:tc>
        <w:tc>
          <w:tcPr>
            <w:tcW w:w="6982" w:type="dxa"/>
            <w:tcBorders>
              <w:tl2br w:val="nil"/>
              <w:tr2bl w:val="nil"/>
            </w:tcBorders>
            <w:vAlign w:val="center"/>
          </w:tcPr>
          <w:p w14:paraId="425E45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急诊业务流程改造</w:t>
            </w:r>
          </w:p>
        </w:tc>
        <w:tc>
          <w:tcPr>
            <w:tcW w:w="870" w:type="dxa"/>
            <w:vMerge w:val="restart"/>
            <w:tcBorders>
              <w:tl2br w:val="nil"/>
              <w:tr2bl w:val="nil"/>
            </w:tcBorders>
            <w:noWrap/>
            <w:vAlign w:val="center"/>
          </w:tcPr>
          <w:p w14:paraId="03E27EC6">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E1C4C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3FA3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2.2.1</w:t>
            </w:r>
          </w:p>
        </w:tc>
        <w:tc>
          <w:tcPr>
            <w:tcW w:w="6982" w:type="dxa"/>
            <w:tcBorders>
              <w:tl2br w:val="nil"/>
              <w:tr2bl w:val="nil"/>
            </w:tcBorders>
            <w:vAlign w:val="center"/>
          </w:tcPr>
          <w:p w14:paraId="13A8CF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急诊医生信息系统作为门诊系统延伸，承担急危重症抢救相关功能</w:t>
            </w:r>
          </w:p>
        </w:tc>
        <w:tc>
          <w:tcPr>
            <w:tcW w:w="870" w:type="dxa"/>
            <w:vMerge w:val="continue"/>
            <w:tcBorders>
              <w:tl2br w:val="nil"/>
              <w:tr2bl w:val="nil"/>
            </w:tcBorders>
            <w:noWrap/>
            <w:vAlign w:val="center"/>
          </w:tcPr>
          <w:p w14:paraId="51095A63">
            <w:pPr>
              <w:spacing w:line="360" w:lineRule="auto"/>
              <w:jc w:val="center"/>
              <w:rPr>
                <w:rFonts w:hint="eastAsia" w:ascii="宋体" w:hAnsi="宋体" w:cs="宋体"/>
                <w:color w:val="auto"/>
                <w:sz w:val="21"/>
                <w:szCs w:val="21"/>
                <w:highlight w:val="none"/>
              </w:rPr>
            </w:pPr>
          </w:p>
        </w:tc>
      </w:tr>
      <w:tr w14:paraId="489462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2E2F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2.2.2</w:t>
            </w:r>
          </w:p>
        </w:tc>
        <w:tc>
          <w:tcPr>
            <w:tcW w:w="6982" w:type="dxa"/>
            <w:tcBorders>
              <w:tl2br w:val="nil"/>
              <w:tr2bl w:val="nil"/>
            </w:tcBorders>
            <w:vAlign w:val="center"/>
          </w:tcPr>
          <w:p w14:paraId="2A99C6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急诊相关病历的录入功能</w:t>
            </w:r>
          </w:p>
        </w:tc>
        <w:tc>
          <w:tcPr>
            <w:tcW w:w="870" w:type="dxa"/>
            <w:vMerge w:val="continue"/>
            <w:tcBorders>
              <w:tl2br w:val="nil"/>
              <w:tr2bl w:val="nil"/>
            </w:tcBorders>
            <w:noWrap/>
            <w:vAlign w:val="center"/>
          </w:tcPr>
          <w:p w14:paraId="186249DB">
            <w:pPr>
              <w:spacing w:line="360" w:lineRule="auto"/>
              <w:jc w:val="center"/>
              <w:rPr>
                <w:rFonts w:hint="eastAsia" w:ascii="宋体" w:hAnsi="宋体" w:cs="宋体"/>
                <w:color w:val="auto"/>
                <w:sz w:val="21"/>
                <w:szCs w:val="21"/>
                <w:highlight w:val="none"/>
              </w:rPr>
            </w:pPr>
          </w:p>
        </w:tc>
      </w:tr>
      <w:tr w14:paraId="27D83B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A0D7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2.2.2.1</w:t>
            </w:r>
          </w:p>
        </w:tc>
        <w:tc>
          <w:tcPr>
            <w:tcW w:w="6982" w:type="dxa"/>
            <w:tcBorders>
              <w:tl2br w:val="nil"/>
              <w:tr2bl w:val="nil"/>
            </w:tcBorders>
            <w:vAlign w:val="center"/>
          </w:tcPr>
          <w:p w14:paraId="7AED0B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支持专科化、结构化急诊文书录入，提供标准化模板，适配急诊高效诊疗需求；具备快速录入、实时自动保存功能，避免数据丢失；应支持修改痕迹跟踪与审批闭环，符合急诊医疗文书规范</w:t>
            </w:r>
          </w:p>
        </w:tc>
        <w:tc>
          <w:tcPr>
            <w:tcW w:w="870" w:type="dxa"/>
            <w:vMerge w:val="continue"/>
            <w:tcBorders>
              <w:tl2br w:val="nil"/>
              <w:tr2bl w:val="nil"/>
            </w:tcBorders>
            <w:noWrap/>
            <w:vAlign w:val="center"/>
          </w:tcPr>
          <w:p w14:paraId="394933BA">
            <w:pPr>
              <w:spacing w:line="360" w:lineRule="auto"/>
              <w:jc w:val="center"/>
              <w:rPr>
                <w:rFonts w:hint="eastAsia" w:ascii="宋体" w:hAnsi="宋体" w:cs="宋体"/>
                <w:color w:val="auto"/>
                <w:sz w:val="21"/>
                <w:szCs w:val="21"/>
                <w:highlight w:val="none"/>
              </w:rPr>
            </w:pPr>
          </w:p>
        </w:tc>
      </w:tr>
      <w:tr w14:paraId="58BA2C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617E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2.2.3</w:t>
            </w:r>
          </w:p>
        </w:tc>
        <w:tc>
          <w:tcPr>
            <w:tcW w:w="6982" w:type="dxa"/>
            <w:tcBorders>
              <w:tl2br w:val="nil"/>
              <w:tr2bl w:val="nil"/>
            </w:tcBorders>
            <w:vAlign w:val="center"/>
          </w:tcPr>
          <w:p w14:paraId="7555F6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院前急救记录补录功能</w:t>
            </w:r>
          </w:p>
        </w:tc>
        <w:tc>
          <w:tcPr>
            <w:tcW w:w="870" w:type="dxa"/>
            <w:vMerge w:val="continue"/>
            <w:tcBorders>
              <w:tl2br w:val="nil"/>
              <w:tr2bl w:val="nil"/>
            </w:tcBorders>
            <w:noWrap/>
            <w:vAlign w:val="center"/>
          </w:tcPr>
          <w:p w14:paraId="46D0C2BE">
            <w:pPr>
              <w:spacing w:line="360" w:lineRule="auto"/>
              <w:jc w:val="center"/>
              <w:rPr>
                <w:rFonts w:hint="eastAsia" w:ascii="宋体" w:hAnsi="宋体" w:cs="宋体"/>
                <w:color w:val="auto"/>
                <w:sz w:val="21"/>
                <w:szCs w:val="21"/>
                <w:highlight w:val="none"/>
              </w:rPr>
            </w:pPr>
          </w:p>
        </w:tc>
      </w:tr>
      <w:tr w14:paraId="30D865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4E03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2.2.3.1</w:t>
            </w:r>
          </w:p>
        </w:tc>
        <w:tc>
          <w:tcPr>
            <w:tcW w:w="6982" w:type="dxa"/>
            <w:tcBorders>
              <w:tl2br w:val="nil"/>
              <w:tr2bl w:val="nil"/>
            </w:tcBorders>
            <w:vAlign w:val="center"/>
          </w:tcPr>
          <w:p w14:paraId="745EDC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支持补录 120 转运患者的院前急救信息，涵盖急救基本信息、体征、抢救措施等；补录信息自动关联急诊档案，提供快捷检索功能，审核通过后不可随意修改，记录可追溯</w:t>
            </w:r>
          </w:p>
        </w:tc>
        <w:tc>
          <w:tcPr>
            <w:tcW w:w="870" w:type="dxa"/>
            <w:vMerge w:val="continue"/>
            <w:tcBorders>
              <w:tl2br w:val="nil"/>
              <w:tr2bl w:val="nil"/>
            </w:tcBorders>
            <w:noWrap/>
            <w:vAlign w:val="center"/>
          </w:tcPr>
          <w:p w14:paraId="25918383">
            <w:pPr>
              <w:spacing w:line="360" w:lineRule="auto"/>
              <w:jc w:val="center"/>
              <w:rPr>
                <w:rFonts w:hint="eastAsia" w:ascii="宋体" w:hAnsi="宋体" w:cs="宋体"/>
                <w:color w:val="auto"/>
                <w:sz w:val="21"/>
                <w:szCs w:val="21"/>
                <w:highlight w:val="none"/>
              </w:rPr>
            </w:pPr>
          </w:p>
        </w:tc>
      </w:tr>
      <w:tr w14:paraId="3F13A4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65F2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2.2.4</w:t>
            </w:r>
          </w:p>
        </w:tc>
        <w:tc>
          <w:tcPr>
            <w:tcW w:w="6982" w:type="dxa"/>
            <w:tcBorders>
              <w:tl2br w:val="nil"/>
              <w:tr2bl w:val="nil"/>
            </w:tcBorders>
            <w:vAlign w:val="center"/>
          </w:tcPr>
          <w:p w14:paraId="535DFD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评估分级功能</w:t>
            </w:r>
          </w:p>
        </w:tc>
        <w:tc>
          <w:tcPr>
            <w:tcW w:w="870" w:type="dxa"/>
            <w:vMerge w:val="continue"/>
            <w:tcBorders>
              <w:tl2br w:val="nil"/>
              <w:tr2bl w:val="nil"/>
            </w:tcBorders>
            <w:noWrap/>
            <w:vAlign w:val="center"/>
          </w:tcPr>
          <w:p w14:paraId="0AFB60D7">
            <w:pPr>
              <w:spacing w:line="360" w:lineRule="auto"/>
              <w:jc w:val="center"/>
              <w:rPr>
                <w:rFonts w:hint="eastAsia" w:ascii="宋体" w:hAnsi="宋体" w:cs="宋体"/>
                <w:color w:val="auto"/>
                <w:sz w:val="21"/>
                <w:szCs w:val="21"/>
                <w:highlight w:val="none"/>
              </w:rPr>
            </w:pPr>
          </w:p>
        </w:tc>
      </w:tr>
      <w:tr w14:paraId="7FA8CE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96514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2.2.4.1</w:t>
            </w:r>
          </w:p>
        </w:tc>
        <w:tc>
          <w:tcPr>
            <w:tcW w:w="6982" w:type="dxa"/>
            <w:tcBorders>
              <w:tl2br w:val="nil"/>
              <w:tr2bl w:val="nil"/>
            </w:tcBorders>
            <w:vAlign w:val="center"/>
          </w:tcPr>
          <w:p w14:paraId="335FD6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与预检分诊系统对接，自动获取基础评估数据，应支持二次评估与分级调整；具备基础与专科评估功能，提供标准化量表，自动计算评估结果；可自动或手动进行病情分级，分级结果同步至相关站点，评估记录可查询统计</w:t>
            </w:r>
          </w:p>
        </w:tc>
        <w:tc>
          <w:tcPr>
            <w:tcW w:w="870" w:type="dxa"/>
            <w:vMerge w:val="continue"/>
            <w:tcBorders>
              <w:tl2br w:val="nil"/>
              <w:tr2bl w:val="nil"/>
            </w:tcBorders>
            <w:noWrap/>
            <w:vAlign w:val="center"/>
          </w:tcPr>
          <w:p w14:paraId="0EC362ED">
            <w:pPr>
              <w:spacing w:line="360" w:lineRule="auto"/>
              <w:jc w:val="center"/>
              <w:rPr>
                <w:rFonts w:hint="eastAsia" w:ascii="宋体" w:hAnsi="宋体" w:cs="宋体"/>
                <w:color w:val="auto"/>
                <w:sz w:val="21"/>
                <w:szCs w:val="21"/>
                <w:highlight w:val="none"/>
              </w:rPr>
            </w:pPr>
          </w:p>
        </w:tc>
      </w:tr>
      <w:tr w14:paraId="20F728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DDB8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2.2.5</w:t>
            </w:r>
          </w:p>
        </w:tc>
        <w:tc>
          <w:tcPr>
            <w:tcW w:w="6982" w:type="dxa"/>
            <w:tcBorders>
              <w:tl2br w:val="nil"/>
              <w:tr2bl w:val="nil"/>
            </w:tcBorders>
            <w:vAlign w:val="center"/>
          </w:tcPr>
          <w:p w14:paraId="4EEF82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普通急诊医生站功能</w:t>
            </w:r>
          </w:p>
        </w:tc>
        <w:tc>
          <w:tcPr>
            <w:tcW w:w="870" w:type="dxa"/>
            <w:vMerge w:val="continue"/>
            <w:tcBorders>
              <w:tl2br w:val="nil"/>
              <w:tr2bl w:val="nil"/>
            </w:tcBorders>
            <w:noWrap/>
            <w:vAlign w:val="center"/>
          </w:tcPr>
          <w:p w14:paraId="50C4C15D">
            <w:pPr>
              <w:spacing w:line="360" w:lineRule="auto"/>
              <w:jc w:val="center"/>
              <w:rPr>
                <w:rFonts w:hint="eastAsia" w:ascii="宋体" w:hAnsi="宋体" w:cs="宋体"/>
                <w:color w:val="auto"/>
                <w:sz w:val="21"/>
                <w:szCs w:val="21"/>
                <w:highlight w:val="none"/>
              </w:rPr>
            </w:pPr>
          </w:p>
        </w:tc>
      </w:tr>
      <w:tr w14:paraId="63F549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493A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2.2.5.1</w:t>
            </w:r>
          </w:p>
        </w:tc>
        <w:tc>
          <w:tcPr>
            <w:tcW w:w="6982" w:type="dxa"/>
            <w:tcBorders>
              <w:tl2br w:val="nil"/>
              <w:tr2bl w:val="nil"/>
            </w:tcBorders>
            <w:vAlign w:val="center"/>
          </w:tcPr>
          <w:p w14:paraId="344FA1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核心为急诊患者全流程诊疗管理，可快速获取患者各类信息；应支持各类急诊医嘱快捷开立，对接合理用药系统预警用药风险；具备电子会诊、交班管理功能，可浏览医技报告，办理转诊、住院申请等事务</w:t>
            </w:r>
          </w:p>
        </w:tc>
        <w:tc>
          <w:tcPr>
            <w:tcW w:w="870" w:type="dxa"/>
            <w:vMerge w:val="continue"/>
            <w:tcBorders>
              <w:tl2br w:val="nil"/>
              <w:tr2bl w:val="nil"/>
            </w:tcBorders>
            <w:noWrap/>
            <w:vAlign w:val="center"/>
          </w:tcPr>
          <w:p w14:paraId="65508FEC">
            <w:pPr>
              <w:spacing w:line="360" w:lineRule="auto"/>
              <w:jc w:val="center"/>
              <w:rPr>
                <w:rFonts w:hint="eastAsia" w:ascii="宋体" w:hAnsi="宋体" w:cs="宋体"/>
                <w:color w:val="auto"/>
                <w:sz w:val="21"/>
                <w:szCs w:val="21"/>
                <w:highlight w:val="none"/>
              </w:rPr>
            </w:pPr>
          </w:p>
        </w:tc>
      </w:tr>
      <w:tr w14:paraId="7CC506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CDEA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2.2.6</w:t>
            </w:r>
          </w:p>
        </w:tc>
        <w:tc>
          <w:tcPr>
            <w:tcW w:w="6982" w:type="dxa"/>
            <w:tcBorders>
              <w:tl2br w:val="nil"/>
              <w:tr2bl w:val="nil"/>
            </w:tcBorders>
            <w:vAlign w:val="center"/>
          </w:tcPr>
          <w:p w14:paraId="1E615C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急诊留观工作站功能</w:t>
            </w:r>
          </w:p>
        </w:tc>
        <w:tc>
          <w:tcPr>
            <w:tcW w:w="870" w:type="dxa"/>
            <w:vMerge w:val="continue"/>
            <w:tcBorders>
              <w:tl2br w:val="nil"/>
              <w:tr2bl w:val="nil"/>
            </w:tcBorders>
            <w:noWrap/>
            <w:vAlign w:val="center"/>
          </w:tcPr>
          <w:p w14:paraId="66C3893B">
            <w:pPr>
              <w:spacing w:line="360" w:lineRule="auto"/>
              <w:jc w:val="center"/>
              <w:rPr>
                <w:rFonts w:hint="eastAsia" w:ascii="宋体" w:hAnsi="宋体" w:cs="宋体"/>
                <w:color w:val="auto"/>
                <w:sz w:val="21"/>
                <w:szCs w:val="21"/>
                <w:highlight w:val="none"/>
              </w:rPr>
            </w:pPr>
          </w:p>
        </w:tc>
      </w:tr>
      <w:tr w14:paraId="4BC44E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0269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2.2.6.1</w:t>
            </w:r>
          </w:p>
        </w:tc>
        <w:tc>
          <w:tcPr>
            <w:tcW w:w="6982" w:type="dxa"/>
            <w:tcBorders>
              <w:tl2br w:val="nil"/>
              <w:tr2bl w:val="nil"/>
            </w:tcBorders>
            <w:vAlign w:val="center"/>
          </w:tcPr>
          <w:p w14:paraId="776477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留观患者，应支持各类医嘱处理与智能辅助开单，管控用药安全；可录入患者体征、费用信息，实时更新床位状态；应支持医嘱执行、病床使用等信息查询，具备退药、会诊等闭环流程，应支持特殊用药审批与消息提醒</w:t>
            </w:r>
          </w:p>
        </w:tc>
        <w:tc>
          <w:tcPr>
            <w:tcW w:w="870" w:type="dxa"/>
            <w:vMerge w:val="continue"/>
            <w:tcBorders>
              <w:tl2br w:val="nil"/>
              <w:tr2bl w:val="nil"/>
            </w:tcBorders>
            <w:noWrap/>
            <w:vAlign w:val="center"/>
          </w:tcPr>
          <w:p w14:paraId="3C6207FD">
            <w:pPr>
              <w:spacing w:line="360" w:lineRule="auto"/>
              <w:jc w:val="center"/>
              <w:rPr>
                <w:rFonts w:hint="eastAsia" w:ascii="宋体" w:hAnsi="宋体" w:cs="宋体"/>
                <w:color w:val="auto"/>
                <w:sz w:val="21"/>
                <w:szCs w:val="21"/>
                <w:highlight w:val="none"/>
              </w:rPr>
            </w:pPr>
          </w:p>
        </w:tc>
      </w:tr>
      <w:tr w14:paraId="30648B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298B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2.2.7</w:t>
            </w:r>
          </w:p>
        </w:tc>
        <w:tc>
          <w:tcPr>
            <w:tcW w:w="6982" w:type="dxa"/>
            <w:tcBorders>
              <w:tl2br w:val="nil"/>
              <w:tr2bl w:val="nil"/>
            </w:tcBorders>
            <w:vAlign w:val="center"/>
          </w:tcPr>
          <w:p w14:paraId="1D2FE3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 EICU 功能</w:t>
            </w:r>
          </w:p>
        </w:tc>
        <w:tc>
          <w:tcPr>
            <w:tcW w:w="870" w:type="dxa"/>
            <w:vMerge w:val="continue"/>
            <w:tcBorders>
              <w:tl2br w:val="nil"/>
              <w:tr2bl w:val="nil"/>
            </w:tcBorders>
            <w:noWrap/>
            <w:vAlign w:val="center"/>
          </w:tcPr>
          <w:p w14:paraId="2E52B256">
            <w:pPr>
              <w:spacing w:line="360" w:lineRule="auto"/>
              <w:jc w:val="center"/>
              <w:rPr>
                <w:rFonts w:hint="eastAsia" w:ascii="宋体" w:hAnsi="宋体" w:cs="宋体"/>
                <w:color w:val="auto"/>
                <w:sz w:val="21"/>
                <w:szCs w:val="21"/>
                <w:highlight w:val="none"/>
              </w:rPr>
            </w:pPr>
          </w:p>
        </w:tc>
      </w:tr>
      <w:tr w14:paraId="44DF52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F311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2.2.7.1</w:t>
            </w:r>
          </w:p>
        </w:tc>
        <w:tc>
          <w:tcPr>
            <w:tcW w:w="6982" w:type="dxa"/>
            <w:tcBorders>
              <w:tl2br w:val="nil"/>
              <w:tr2bl w:val="nil"/>
            </w:tcBorders>
            <w:vAlign w:val="center"/>
          </w:tcPr>
          <w:p w14:paraId="16EFDF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急危重症监护抢救需求，与监护设备对接，实时采集同步患者生命体征数据并预警异常；应支持抢救医嘱快捷开立与过程记录，提供专属结构化病历模板；具备患者转出入管理、多学科会诊功能，规范记录专项诊疗信息</w:t>
            </w:r>
          </w:p>
        </w:tc>
        <w:tc>
          <w:tcPr>
            <w:tcW w:w="870" w:type="dxa"/>
            <w:vMerge w:val="continue"/>
            <w:tcBorders>
              <w:tl2br w:val="nil"/>
              <w:tr2bl w:val="nil"/>
            </w:tcBorders>
            <w:noWrap/>
            <w:vAlign w:val="center"/>
          </w:tcPr>
          <w:p w14:paraId="5589CD52">
            <w:pPr>
              <w:spacing w:line="360" w:lineRule="auto"/>
              <w:jc w:val="center"/>
              <w:rPr>
                <w:rFonts w:hint="eastAsia" w:ascii="宋体" w:hAnsi="宋体" w:cs="宋体"/>
                <w:color w:val="auto"/>
                <w:sz w:val="21"/>
                <w:szCs w:val="21"/>
                <w:highlight w:val="none"/>
              </w:rPr>
            </w:pPr>
          </w:p>
        </w:tc>
      </w:tr>
      <w:tr w14:paraId="02A1D0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2B72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2.2.8</w:t>
            </w:r>
          </w:p>
        </w:tc>
        <w:tc>
          <w:tcPr>
            <w:tcW w:w="6982" w:type="dxa"/>
            <w:tcBorders>
              <w:tl2br w:val="nil"/>
              <w:tr2bl w:val="nil"/>
            </w:tcBorders>
            <w:vAlign w:val="center"/>
          </w:tcPr>
          <w:p w14:paraId="39C92F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检验检查结果、既往病历及健康档案快速调阅功能</w:t>
            </w:r>
          </w:p>
        </w:tc>
        <w:tc>
          <w:tcPr>
            <w:tcW w:w="870" w:type="dxa"/>
            <w:vMerge w:val="continue"/>
            <w:tcBorders>
              <w:tl2br w:val="nil"/>
              <w:tr2bl w:val="nil"/>
            </w:tcBorders>
            <w:noWrap/>
            <w:vAlign w:val="center"/>
          </w:tcPr>
          <w:p w14:paraId="0C657569">
            <w:pPr>
              <w:spacing w:line="360" w:lineRule="auto"/>
              <w:jc w:val="center"/>
              <w:rPr>
                <w:rFonts w:hint="eastAsia" w:ascii="宋体" w:hAnsi="宋体" w:cs="宋体"/>
                <w:color w:val="auto"/>
                <w:sz w:val="21"/>
                <w:szCs w:val="21"/>
                <w:highlight w:val="none"/>
              </w:rPr>
            </w:pPr>
          </w:p>
        </w:tc>
      </w:tr>
      <w:tr w14:paraId="77FBAB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EFD3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2.2.8.1</w:t>
            </w:r>
          </w:p>
        </w:tc>
        <w:tc>
          <w:tcPr>
            <w:tcW w:w="6982" w:type="dxa"/>
            <w:tcBorders>
              <w:tl2br w:val="nil"/>
              <w:tr2bl w:val="nil"/>
            </w:tcBorders>
            <w:vAlign w:val="center"/>
          </w:tcPr>
          <w:p w14:paraId="5C7788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与医技系统对接，实时调阅各类检验检查报告，异常指标自动提醒；可快速查询患者历次就诊病历，对接健康档案系统，全面了解患者健康状况；调阅过程具备权限管控，保障患者隐私</w:t>
            </w:r>
          </w:p>
        </w:tc>
        <w:tc>
          <w:tcPr>
            <w:tcW w:w="870" w:type="dxa"/>
            <w:vMerge w:val="continue"/>
            <w:tcBorders>
              <w:tl2br w:val="nil"/>
              <w:tr2bl w:val="nil"/>
            </w:tcBorders>
            <w:noWrap/>
            <w:vAlign w:val="center"/>
          </w:tcPr>
          <w:p w14:paraId="1C643392">
            <w:pPr>
              <w:spacing w:line="360" w:lineRule="auto"/>
              <w:jc w:val="center"/>
              <w:rPr>
                <w:rFonts w:hint="eastAsia" w:ascii="宋体" w:hAnsi="宋体" w:cs="宋体"/>
                <w:color w:val="auto"/>
                <w:sz w:val="21"/>
                <w:szCs w:val="21"/>
                <w:highlight w:val="none"/>
              </w:rPr>
            </w:pPr>
          </w:p>
        </w:tc>
      </w:tr>
      <w:tr w14:paraId="1205DD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24B5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2.2.9</w:t>
            </w:r>
          </w:p>
        </w:tc>
        <w:tc>
          <w:tcPr>
            <w:tcW w:w="6982" w:type="dxa"/>
            <w:tcBorders>
              <w:tl2br w:val="nil"/>
              <w:tr2bl w:val="nil"/>
            </w:tcBorders>
            <w:vAlign w:val="center"/>
          </w:tcPr>
          <w:p w14:paraId="30C71F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急诊病历打印</w:t>
            </w:r>
          </w:p>
        </w:tc>
        <w:tc>
          <w:tcPr>
            <w:tcW w:w="870" w:type="dxa"/>
            <w:vMerge w:val="continue"/>
            <w:tcBorders>
              <w:tl2br w:val="nil"/>
              <w:tr2bl w:val="nil"/>
            </w:tcBorders>
            <w:noWrap/>
            <w:vAlign w:val="center"/>
          </w:tcPr>
          <w:p w14:paraId="13D26848">
            <w:pPr>
              <w:spacing w:line="360" w:lineRule="auto"/>
              <w:jc w:val="center"/>
              <w:rPr>
                <w:rFonts w:hint="eastAsia" w:ascii="宋体" w:hAnsi="宋体" w:cs="宋体"/>
                <w:color w:val="auto"/>
                <w:sz w:val="21"/>
                <w:szCs w:val="21"/>
                <w:highlight w:val="none"/>
              </w:rPr>
            </w:pPr>
          </w:p>
        </w:tc>
      </w:tr>
      <w:tr w14:paraId="24139E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2DEBF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2.2.9.1</w:t>
            </w:r>
          </w:p>
        </w:tc>
        <w:tc>
          <w:tcPr>
            <w:tcW w:w="6982" w:type="dxa"/>
            <w:tcBorders>
              <w:tl2br w:val="nil"/>
              <w:tr2bl w:val="nil"/>
            </w:tcBorders>
            <w:vAlign w:val="center"/>
          </w:tcPr>
          <w:p w14:paraId="385379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支持单份、批量、局部打印，可自定义打印格式与纸张规格；覆盖各类急诊文书，具备补打功能并记录补打信息；应支持多站点集中打印，具备权限管控与打印记录追溯，适配各类急诊场景需求</w:t>
            </w:r>
          </w:p>
        </w:tc>
        <w:tc>
          <w:tcPr>
            <w:tcW w:w="870" w:type="dxa"/>
            <w:vMerge w:val="continue"/>
            <w:tcBorders>
              <w:tl2br w:val="nil"/>
              <w:tr2bl w:val="nil"/>
            </w:tcBorders>
            <w:noWrap/>
            <w:vAlign w:val="center"/>
          </w:tcPr>
          <w:p w14:paraId="6B2CDBDE">
            <w:pPr>
              <w:spacing w:line="360" w:lineRule="auto"/>
              <w:jc w:val="center"/>
              <w:rPr>
                <w:rFonts w:hint="eastAsia" w:ascii="宋体" w:hAnsi="宋体" w:cs="宋体"/>
                <w:color w:val="auto"/>
                <w:sz w:val="21"/>
                <w:szCs w:val="21"/>
                <w:highlight w:val="none"/>
              </w:rPr>
            </w:pPr>
          </w:p>
        </w:tc>
      </w:tr>
      <w:tr w14:paraId="54F68E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F265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2.2.10</w:t>
            </w:r>
          </w:p>
        </w:tc>
        <w:tc>
          <w:tcPr>
            <w:tcW w:w="6982" w:type="dxa"/>
            <w:tcBorders>
              <w:tl2br w:val="nil"/>
              <w:tr2bl w:val="nil"/>
            </w:tcBorders>
            <w:vAlign w:val="center"/>
          </w:tcPr>
          <w:p w14:paraId="02A38C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信息系统整合功能</w:t>
            </w:r>
          </w:p>
        </w:tc>
        <w:tc>
          <w:tcPr>
            <w:tcW w:w="870" w:type="dxa"/>
            <w:vMerge w:val="continue"/>
            <w:tcBorders>
              <w:tl2br w:val="nil"/>
              <w:tr2bl w:val="nil"/>
            </w:tcBorders>
            <w:noWrap/>
            <w:vAlign w:val="center"/>
          </w:tcPr>
          <w:p w14:paraId="44BEDA16">
            <w:pPr>
              <w:spacing w:line="360" w:lineRule="auto"/>
              <w:jc w:val="center"/>
              <w:rPr>
                <w:rFonts w:hint="eastAsia" w:ascii="宋体" w:hAnsi="宋体" w:cs="宋体"/>
                <w:color w:val="auto"/>
                <w:sz w:val="21"/>
                <w:szCs w:val="21"/>
                <w:highlight w:val="none"/>
              </w:rPr>
            </w:pPr>
          </w:p>
        </w:tc>
      </w:tr>
      <w:tr w14:paraId="722FDC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8FC1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2.2.10.1</w:t>
            </w:r>
          </w:p>
        </w:tc>
        <w:tc>
          <w:tcPr>
            <w:tcW w:w="6982" w:type="dxa"/>
            <w:tcBorders>
              <w:tl2br w:val="nil"/>
              <w:tr2bl w:val="nil"/>
            </w:tcBorders>
            <w:vAlign w:val="center"/>
          </w:tcPr>
          <w:p w14:paraId="62C45D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可与 HIS、分诊护理、医技、安全认证等医院现有系统无缝整合，实现数据共享与流程联动；优化急诊就诊与诊疗协同流程，减少人工操作，提升效率与诊疗精准性，同时联动患者服务渠道，提升就医体验</w:t>
            </w:r>
          </w:p>
        </w:tc>
        <w:tc>
          <w:tcPr>
            <w:tcW w:w="870" w:type="dxa"/>
            <w:vMerge w:val="continue"/>
            <w:tcBorders>
              <w:tl2br w:val="nil"/>
              <w:tr2bl w:val="nil"/>
            </w:tcBorders>
            <w:noWrap/>
            <w:vAlign w:val="center"/>
          </w:tcPr>
          <w:p w14:paraId="4040256F">
            <w:pPr>
              <w:spacing w:line="360" w:lineRule="auto"/>
              <w:jc w:val="center"/>
              <w:rPr>
                <w:rFonts w:hint="eastAsia" w:ascii="宋体" w:hAnsi="宋体" w:cs="宋体"/>
                <w:color w:val="auto"/>
                <w:sz w:val="21"/>
                <w:szCs w:val="21"/>
                <w:highlight w:val="none"/>
              </w:rPr>
            </w:pPr>
          </w:p>
        </w:tc>
      </w:tr>
      <w:tr w14:paraId="73BC30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2739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w:t>
            </w:r>
          </w:p>
        </w:tc>
        <w:tc>
          <w:tcPr>
            <w:tcW w:w="6982" w:type="dxa"/>
            <w:tcBorders>
              <w:tl2br w:val="nil"/>
              <w:tr2bl w:val="nil"/>
            </w:tcBorders>
            <w:vAlign w:val="center"/>
          </w:tcPr>
          <w:p w14:paraId="24596D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住院业务流程改造</w:t>
            </w:r>
          </w:p>
        </w:tc>
        <w:tc>
          <w:tcPr>
            <w:tcW w:w="870" w:type="dxa"/>
            <w:vMerge w:val="restart"/>
            <w:tcBorders>
              <w:tl2br w:val="nil"/>
              <w:tr2bl w:val="nil"/>
            </w:tcBorders>
            <w:noWrap/>
            <w:vAlign w:val="center"/>
          </w:tcPr>
          <w:p w14:paraId="75EE83BB">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1612B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B364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2.3.1</w:t>
            </w:r>
          </w:p>
        </w:tc>
        <w:tc>
          <w:tcPr>
            <w:tcW w:w="6982" w:type="dxa"/>
            <w:tcBorders>
              <w:tl2br w:val="nil"/>
              <w:tr2bl w:val="nil"/>
            </w:tcBorders>
            <w:vAlign w:val="center"/>
          </w:tcPr>
          <w:p w14:paraId="453218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医生工作站－住院以住院临床业务为中心，适用于各临床科室，以数字形式记录诊疗信息、规范医疗文书，融合多类核心功能，支撑医生完成住院患者日常诊疗处置</w:t>
            </w:r>
          </w:p>
        </w:tc>
        <w:tc>
          <w:tcPr>
            <w:tcW w:w="870" w:type="dxa"/>
            <w:vMerge w:val="continue"/>
            <w:tcBorders>
              <w:tl2br w:val="nil"/>
              <w:tr2bl w:val="nil"/>
            </w:tcBorders>
            <w:noWrap/>
            <w:vAlign w:val="center"/>
          </w:tcPr>
          <w:p w14:paraId="666496D7">
            <w:pPr>
              <w:spacing w:line="360" w:lineRule="auto"/>
              <w:jc w:val="center"/>
              <w:rPr>
                <w:rFonts w:hint="eastAsia" w:ascii="宋体" w:hAnsi="宋体" w:cs="宋体"/>
                <w:color w:val="auto"/>
                <w:sz w:val="21"/>
                <w:szCs w:val="21"/>
                <w:highlight w:val="none"/>
              </w:rPr>
            </w:pPr>
          </w:p>
        </w:tc>
      </w:tr>
      <w:tr w14:paraId="31D492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079E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2.3.2</w:t>
            </w:r>
          </w:p>
        </w:tc>
        <w:tc>
          <w:tcPr>
            <w:tcW w:w="6982" w:type="dxa"/>
            <w:tcBorders>
              <w:tl2br w:val="nil"/>
              <w:tr2bl w:val="nil"/>
            </w:tcBorders>
            <w:vAlign w:val="center"/>
          </w:tcPr>
          <w:p w14:paraId="5AA7DE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医嘱功能</w:t>
            </w:r>
          </w:p>
        </w:tc>
        <w:tc>
          <w:tcPr>
            <w:tcW w:w="870" w:type="dxa"/>
            <w:vMerge w:val="continue"/>
            <w:tcBorders>
              <w:tl2br w:val="nil"/>
              <w:tr2bl w:val="nil"/>
            </w:tcBorders>
            <w:noWrap/>
            <w:vAlign w:val="center"/>
          </w:tcPr>
          <w:p w14:paraId="19A533F8">
            <w:pPr>
              <w:spacing w:line="360" w:lineRule="auto"/>
              <w:jc w:val="center"/>
              <w:rPr>
                <w:rFonts w:hint="eastAsia" w:ascii="宋体" w:hAnsi="宋体" w:cs="宋体"/>
                <w:color w:val="auto"/>
                <w:sz w:val="21"/>
                <w:szCs w:val="21"/>
                <w:highlight w:val="none"/>
              </w:rPr>
            </w:pPr>
          </w:p>
        </w:tc>
      </w:tr>
      <w:tr w14:paraId="5699A2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B56F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2.3.2.1</w:t>
            </w:r>
          </w:p>
        </w:tc>
        <w:tc>
          <w:tcPr>
            <w:tcW w:w="6982" w:type="dxa"/>
            <w:tcBorders>
              <w:tl2br w:val="nil"/>
              <w:tr2bl w:val="nil"/>
            </w:tcBorders>
            <w:vAlign w:val="center"/>
          </w:tcPr>
          <w:p w14:paraId="6BAD42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支持长期、临时医嘱全流程操作，按类型精细化管理，操作全程留痕；具备智能辅助开单、用药安全监测功能，应支持特殊用药分级审批，可查询医嘱执行、病床使用及费用明细，实现各类医嘱闭环管理</w:t>
            </w:r>
          </w:p>
        </w:tc>
        <w:tc>
          <w:tcPr>
            <w:tcW w:w="870" w:type="dxa"/>
            <w:vMerge w:val="continue"/>
            <w:tcBorders>
              <w:tl2br w:val="nil"/>
              <w:tr2bl w:val="nil"/>
            </w:tcBorders>
            <w:noWrap/>
            <w:vAlign w:val="center"/>
          </w:tcPr>
          <w:p w14:paraId="1DE987A8">
            <w:pPr>
              <w:spacing w:line="360" w:lineRule="auto"/>
              <w:jc w:val="center"/>
              <w:rPr>
                <w:rFonts w:hint="eastAsia" w:ascii="宋体" w:hAnsi="宋体" w:cs="宋体"/>
                <w:color w:val="auto"/>
                <w:sz w:val="21"/>
                <w:szCs w:val="21"/>
                <w:highlight w:val="none"/>
              </w:rPr>
            </w:pPr>
          </w:p>
        </w:tc>
      </w:tr>
      <w:tr w14:paraId="0AC751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066E2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2.3.3</w:t>
            </w:r>
          </w:p>
        </w:tc>
        <w:tc>
          <w:tcPr>
            <w:tcW w:w="6982" w:type="dxa"/>
            <w:tcBorders>
              <w:tl2br w:val="nil"/>
              <w:tr2bl w:val="nil"/>
            </w:tcBorders>
            <w:vAlign w:val="center"/>
          </w:tcPr>
          <w:p w14:paraId="2AD940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各类医技申请单功能</w:t>
            </w:r>
          </w:p>
        </w:tc>
        <w:tc>
          <w:tcPr>
            <w:tcW w:w="870" w:type="dxa"/>
            <w:vMerge w:val="continue"/>
            <w:tcBorders>
              <w:tl2br w:val="nil"/>
              <w:tr2bl w:val="nil"/>
            </w:tcBorders>
            <w:noWrap/>
            <w:vAlign w:val="center"/>
          </w:tcPr>
          <w:p w14:paraId="300298FB">
            <w:pPr>
              <w:spacing w:line="360" w:lineRule="auto"/>
              <w:jc w:val="center"/>
              <w:rPr>
                <w:rFonts w:hint="eastAsia" w:ascii="宋体" w:hAnsi="宋体" w:cs="宋体"/>
                <w:color w:val="auto"/>
                <w:sz w:val="21"/>
                <w:szCs w:val="21"/>
                <w:highlight w:val="none"/>
              </w:rPr>
            </w:pPr>
          </w:p>
        </w:tc>
      </w:tr>
      <w:tr w14:paraId="06FEA3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5812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2.3.3.1</w:t>
            </w:r>
          </w:p>
        </w:tc>
        <w:tc>
          <w:tcPr>
            <w:tcW w:w="6982" w:type="dxa"/>
            <w:tcBorders>
              <w:tl2br w:val="nil"/>
              <w:tr2bl w:val="nil"/>
            </w:tcBorders>
            <w:vAlign w:val="center"/>
          </w:tcPr>
          <w:p w14:paraId="7A40F79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支持各类住院医技项目电子申请，提供标准化模板与校验；可预约大型检查、跟踪执行进度，实时接收并展示医技报告，应支持报告关联病历与导出，实现医技申请全流程电子化协同</w:t>
            </w:r>
          </w:p>
        </w:tc>
        <w:tc>
          <w:tcPr>
            <w:tcW w:w="870" w:type="dxa"/>
            <w:vMerge w:val="continue"/>
            <w:tcBorders>
              <w:tl2br w:val="nil"/>
              <w:tr2bl w:val="nil"/>
            </w:tcBorders>
            <w:noWrap/>
            <w:vAlign w:val="center"/>
          </w:tcPr>
          <w:p w14:paraId="3DCA002D">
            <w:pPr>
              <w:spacing w:line="360" w:lineRule="auto"/>
              <w:jc w:val="center"/>
              <w:rPr>
                <w:rFonts w:hint="eastAsia" w:ascii="宋体" w:hAnsi="宋体" w:cs="宋体"/>
                <w:color w:val="auto"/>
                <w:sz w:val="21"/>
                <w:szCs w:val="21"/>
                <w:highlight w:val="none"/>
              </w:rPr>
            </w:pPr>
          </w:p>
        </w:tc>
      </w:tr>
      <w:tr w14:paraId="25850E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316" w:type="dxa"/>
            <w:tcBorders>
              <w:tl2br w:val="nil"/>
              <w:tr2bl w:val="nil"/>
            </w:tcBorders>
            <w:vAlign w:val="center"/>
          </w:tcPr>
          <w:p w14:paraId="038C53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2.3.4</w:t>
            </w:r>
          </w:p>
        </w:tc>
        <w:tc>
          <w:tcPr>
            <w:tcW w:w="6982" w:type="dxa"/>
            <w:tcBorders>
              <w:tl2br w:val="nil"/>
              <w:tr2bl w:val="nil"/>
            </w:tcBorders>
            <w:vAlign w:val="center"/>
          </w:tcPr>
          <w:p w14:paraId="7D92C2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临床路径功能</w:t>
            </w:r>
          </w:p>
        </w:tc>
        <w:tc>
          <w:tcPr>
            <w:tcW w:w="870" w:type="dxa"/>
            <w:vMerge w:val="continue"/>
            <w:tcBorders>
              <w:tl2br w:val="nil"/>
              <w:tr2bl w:val="nil"/>
            </w:tcBorders>
            <w:noWrap/>
            <w:vAlign w:val="center"/>
          </w:tcPr>
          <w:p w14:paraId="687330A3">
            <w:pPr>
              <w:spacing w:line="360" w:lineRule="auto"/>
              <w:jc w:val="center"/>
              <w:rPr>
                <w:rFonts w:hint="eastAsia" w:ascii="宋体" w:hAnsi="宋体" w:cs="宋体"/>
                <w:color w:val="auto"/>
                <w:sz w:val="21"/>
                <w:szCs w:val="21"/>
                <w:highlight w:val="none"/>
              </w:rPr>
            </w:pPr>
          </w:p>
        </w:tc>
      </w:tr>
      <w:tr w14:paraId="04AE76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21F6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2.3.4.1</w:t>
            </w:r>
          </w:p>
        </w:tc>
        <w:tc>
          <w:tcPr>
            <w:tcW w:w="6982" w:type="dxa"/>
            <w:tcBorders>
              <w:tl2br w:val="nil"/>
              <w:tr2bl w:val="nil"/>
            </w:tcBorders>
            <w:vAlign w:val="center"/>
          </w:tcPr>
          <w:p w14:paraId="50AE66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支持标准化临床路径模板预设与自定义调整，自动关联诊疗相关项目，引导规范诊疗；实时跟踪执行进度，提醒偏离行为，助力提升住院诊疗标准化水平与医疗质量</w:t>
            </w:r>
          </w:p>
        </w:tc>
        <w:tc>
          <w:tcPr>
            <w:tcW w:w="870" w:type="dxa"/>
            <w:vMerge w:val="continue"/>
            <w:tcBorders>
              <w:tl2br w:val="nil"/>
              <w:tr2bl w:val="nil"/>
            </w:tcBorders>
            <w:noWrap/>
            <w:vAlign w:val="center"/>
          </w:tcPr>
          <w:p w14:paraId="3EDDDD23">
            <w:pPr>
              <w:spacing w:line="360" w:lineRule="auto"/>
              <w:jc w:val="center"/>
              <w:rPr>
                <w:rFonts w:hint="eastAsia" w:ascii="宋体" w:hAnsi="宋体" w:cs="宋体"/>
                <w:color w:val="auto"/>
                <w:sz w:val="21"/>
                <w:szCs w:val="21"/>
                <w:highlight w:val="none"/>
              </w:rPr>
            </w:pPr>
          </w:p>
        </w:tc>
      </w:tr>
      <w:tr w14:paraId="1AC133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B50F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2.3.5</w:t>
            </w:r>
          </w:p>
        </w:tc>
        <w:tc>
          <w:tcPr>
            <w:tcW w:w="6982" w:type="dxa"/>
            <w:tcBorders>
              <w:tl2br w:val="nil"/>
              <w:tr2bl w:val="nil"/>
            </w:tcBorders>
            <w:vAlign w:val="center"/>
          </w:tcPr>
          <w:p w14:paraId="106D08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病历质控功能</w:t>
            </w:r>
          </w:p>
        </w:tc>
        <w:tc>
          <w:tcPr>
            <w:tcW w:w="870" w:type="dxa"/>
            <w:vMerge w:val="continue"/>
            <w:tcBorders>
              <w:tl2br w:val="nil"/>
              <w:tr2bl w:val="nil"/>
            </w:tcBorders>
            <w:noWrap/>
            <w:vAlign w:val="center"/>
          </w:tcPr>
          <w:p w14:paraId="47FDE3F5">
            <w:pPr>
              <w:spacing w:line="360" w:lineRule="auto"/>
              <w:jc w:val="center"/>
              <w:rPr>
                <w:rFonts w:hint="eastAsia" w:ascii="宋体" w:hAnsi="宋体" w:cs="宋体"/>
                <w:color w:val="auto"/>
                <w:sz w:val="21"/>
                <w:szCs w:val="21"/>
                <w:highlight w:val="none"/>
              </w:rPr>
            </w:pPr>
          </w:p>
        </w:tc>
      </w:tr>
      <w:tr w14:paraId="505AC2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1089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2.3.5.1</w:t>
            </w:r>
          </w:p>
        </w:tc>
        <w:tc>
          <w:tcPr>
            <w:tcW w:w="6982" w:type="dxa"/>
            <w:tcBorders>
              <w:tl2br w:val="nil"/>
              <w:tr2bl w:val="nil"/>
            </w:tcBorders>
            <w:vAlign w:val="center"/>
          </w:tcPr>
          <w:p w14:paraId="37A3CD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集成内涵质控系统，覆盖运行与终末病历全流程；实时提醒病历缺陷，应支持人工审核与双向沟通，可统计质控数据、自定义质控规则，确保病历符合相关规范</w:t>
            </w:r>
          </w:p>
        </w:tc>
        <w:tc>
          <w:tcPr>
            <w:tcW w:w="870" w:type="dxa"/>
            <w:vMerge w:val="continue"/>
            <w:tcBorders>
              <w:tl2br w:val="nil"/>
              <w:tr2bl w:val="nil"/>
            </w:tcBorders>
            <w:noWrap/>
            <w:vAlign w:val="center"/>
          </w:tcPr>
          <w:p w14:paraId="4EF80C36">
            <w:pPr>
              <w:spacing w:line="360" w:lineRule="auto"/>
              <w:jc w:val="center"/>
              <w:rPr>
                <w:rFonts w:hint="eastAsia" w:ascii="宋体" w:hAnsi="宋体" w:cs="宋体"/>
                <w:color w:val="auto"/>
                <w:sz w:val="21"/>
                <w:szCs w:val="21"/>
                <w:highlight w:val="none"/>
              </w:rPr>
            </w:pPr>
          </w:p>
        </w:tc>
      </w:tr>
      <w:tr w14:paraId="3755C8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AD5E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2.3.6</w:t>
            </w:r>
          </w:p>
        </w:tc>
        <w:tc>
          <w:tcPr>
            <w:tcW w:w="6982" w:type="dxa"/>
            <w:tcBorders>
              <w:tl2br w:val="nil"/>
              <w:tr2bl w:val="nil"/>
            </w:tcBorders>
            <w:vAlign w:val="center"/>
          </w:tcPr>
          <w:p w14:paraId="782754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辅助决策功能</w:t>
            </w:r>
          </w:p>
        </w:tc>
        <w:tc>
          <w:tcPr>
            <w:tcW w:w="870" w:type="dxa"/>
            <w:vMerge w:val="continue"/>
            <w:tcBorders>
              <w:tl2br w:val="nil"/>
              <w:tr2bl w:val="nil"/>
            </w:tcBorders>
            <w:noWrap/>
            <w:vAlign w:val="center"/>
          </w:tcPr>
          <w:p w14:paraId="18EE9172">
            <w:pPr>
              <w:spacing w:line="360" w:lineRule="auto"/>
              <w:jc w:val="center"/>
              <w:rPr>
                <w:rFonts w:hint="eastAsia" w:ascii="宋体" w:hAnsi="宋体" w:cs="宋体"/>
                <w:color w:val="auto"/>
                <w:sz w:val="21"/>
                <w:szCs w:val="21"/>
                <w:highlight w:val="none"/>
              </w:rPr>
            </w:pPr>
          </w:p>
        </w:tc>
      </w:tr>
      <w:tr w14:paraId="7730C7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F42D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2.3.6.1</w:t>
            </w:r>
          </w:p>
        </w:tc>
        <w:tc>
          <w:tcPr>
            <w:tcW w:w="6982" w:type="dxa"/>
            <w:tcBorders>
              <w:tl2br w:val="nil"/>
              <w:tr2bl w:val="nil"/>
            </w:tcBorders>
            <w:vAlign w:val="center"/>
          </w:tcPr>
          <w:p w14:paraId="662CCB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依托临床知识库，智能推荐诊疗方案、预警风险，校验诊疗行为合理性；应支持多维度数据统计，为诊疗调整与医院管理提供数据支撑</w:t>
            </w:r>
          </w:p>
        </w:tc>
        <w:tc>
          <w:tcPr>
            <w:tcW w:w="870" w:type="dxa"/>
            <w:vMerge w:val="continue"/>
            <w:tcBorders>
              <w:tl2br w:val="nil"/>
              <w:tr2bl w:val="nil"/>
            </w:tcBorders>
            <w:noWrap/>
            <w:vAlign w:val="center"/>
          </w:tcPr>
          <w:p w14:paraId="42349E4A">
            <w:pPr>
              <w:spacing w:line="360" w:lineRule="auto"/>
              <w:jc w:val="center"/>
              <w:rPr>
                <w:rFonts w:hint="eastAsia" w:ascii="宋体" w:hAnsi="宋体" w:cs="宋体"/>
                <w:color w:val="auto"/>
                <w:sz w:val="21"/>
                <w:szCs w:val="21"/>
                <w:highlight w:val="none"/>
              </w:rPr>
            </w:pPr>
          </w:p>
        </w:tc>
      </w:tr>
      <w:tr w14:paraId="12080A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7F7C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2.3.7</w:t>
            </w:r>
          </w:p>
        </w:tc>
        <w:tc>
          <w:tcPr>
            <w:tcW w:w="6982" w:type="dxa"/>
            <w:tcBorders>
              <w:tl2br w:val="nil"/>
              <w:tr2bl w:val="nil"/>
            </w:tcBorders>
            <w:vAlign w:val="center"/>
          </w:tcPr>
          <w:p w14:paraId="4517F2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各类报卡功能</w:t>
            </w:r>
          </w:p>
        </w:tc>
        <w:tc>
          <w:tcPr>
            <w:tcW w:w="870" w:type="dxa"/>
            <w:vMerge w:val="continue"/>
            <w:tcBorders>
              <w:tl2br w:val="nil"/>
              <w:tr2bl w:val="nil"/>
            </w:tcBorders>
            <w:noWrap/>
            <w:vAlign w:val="center"/>
          </w:tcPr>
          <w:p w14:paraId="1B5B4505">
            <w:pPr>
              <w:spacing w:line="360" w:lineRule="auto"/>
              <w:jc w:val="center"/>
              <w:rPr>
                <w:rFonts w:hint="eastAsia" w:ascii="宋体" w:hAnsi="宋体" w:cs="宋体"/>
                <w:color w:val="auto"/>
                <w:sz w:val="21"/>
                <w:szCs w:val="21"/>
                <w:highlight w:val="none"/>
              </w:rPr>
            </w:pPr>
          </w:p>
        </w:tc>
      </w:tr>
      <w:tr w14:paraId="77AB79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BBE4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2.3.7.1</w:t>
            </w:r>
          </w:p>
        </w:tc>
        <w:tc>
          <w:tcPr>
            <w:tcW w:w="6982" w:type="dxa"/>
            <w:tcBorders>
              <w:tl2br w:val="nil"/>
              <w:tr2bl w:val="nil"/>
            </w:tcBorders>
            <w:vAlign w:val="center"/>
          </w:tcPr>
          <w:p w14:paraId="6B4962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涵盖传染病、院感等各类报卡，应支持规范录入、审核与逐级上报，报卡信息关联病历；可统计报卡数据、生成报表，具备记录追溯功能，保障报卡工作合规高效</w:t>
            </w:r>
          </w:p>
        </w:tc>
        <w:tc>
          <w:tcPr>
            <w:tcW w:w="870" w:type="dxa"/>
            <w:vMerge w:val="continue"/>
            <w:tcBorders>
              <w:tl2br w:val="nil"/>
              <w:tr2bl w:val="nil"/>
            </w:tcBorders>
            <w:noWrap/>
            <w:vAlign w:val="center"/>
          </w:tcPr>
          <w:p w14:paraId="0BBFE962">
            <w:pPr>
              <w:spacing w:line="360" w:lineRule="auto"/>
              <w:jc w:val="center"/>
              <w:rPr>
                <w:rFonts w:hint="eastAsia" w:ascii="宋体" w:hAnsi="宋体" w:cs="宋体"/>
                <w:color w:val="auto"/>
                <w:sz w:val="21"/>
                <w:szCs w:val="21"/>
                <w:highlight w:val="none"/>
              </w:rPr>
            </w:pPr>
          </w:p>
        </w:tc>
      </w:tr>
      <w:tr w14:paraId="41909F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998E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2.3.8</w:t>
            </w:r>
          </w:p>
        </w:tc>
        <w:tc>
          <w:tcPr>
            <w:tcW w:w="6982" w:type="dxa"/>
            <w:tcBorders>
              <w:tl2br w:val="nil"/>
              <w:tr2bl w:val="nil"/>
            </w:tcBorders>
            <w:vAlign w:val="center"/>
          </w:tcPr>
          <w:p w14:paraId="77FDB4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病案首页功能</w:t>
            </w:r>
          </w:p>
        </w:tc>
        <w:tc>
          <w:tcPr>
            <w:tcW w:w="870" w:type="dxa"/>
            <w:vMerge w:val="continue"/>
            <w:tcBorders>
              <w:tl2br w:val="nil"/>
              <w:tr2bl w:val="nil"/>
            </w:tcBorders>
            <w:noWrap/>
            <w:vAlign w:val="center"/>
          </w:tcPr>
          <w:p w14:paraId="15534299">
            <w:pPr>
              <w:spacing w:line="360" w:lineRule="auto"/>
              <w:jc w:val="center"/>
              <w:rPr>
                <w:rFonts w:hint="eastAsia" w:ascii="宋体" w:hAnsi="宋体" w:cs="宋体"/>
                <w:color w:val="auto"/>
                <w:sz w:val="21"/>
                <w:szCs w:val="21"/>
                <w:highlight w:val="none"/>
              </w:rPr>
            </w:pPr>
          </w:p>
        </w:tc>
      </w:tr>
      <w:tr w14:paraId="6AD48F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D8FD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2.3.8.1</w:t>
            </w:r>
          </w:p>
        </w:tc>
        <w:tc>
          <w:tcPr>
            <w:tcW w:w="6982" w:type="dxa"/>
            <w:tcBorders>
              <w:tl2br w:val="nil"/>
              <w:tr2bl w:val="nil"/>
            </w:tcBorders>
            <w:vAlign w:val="center"/>
          </w:tcPr>
          <w:p w14:paraId="589AEA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支持住院病案首页标准化录入与校验，可自动提取相关数据；具备审核、修改与归档功能，数据可导出统计，适配医保结算、科研教学等需求</w:t>
            </w:r>
          </w:p>
        </w:tc>
        <w:tc>
          <w:tcPr>
            <w:tcW w:w="870" w:type="dxa"/>
            <w:vMerge w:val="continue"/>
            <w:tcBorders>
              <w:tl2br w:val="nil"/>
              <w:tr2bl w:val="nil"/>
            </w:tcBorders>
            <w:noWrap/>
            <w:vAlign w:val="center"/>
          </w:tcPr>
          <w:p w14:paraId="1D99E36A">
            <w:pPr>
              <w:spacing w:line="360" w:lineRule="auto"/>
              <w:jc w:val="center"/>
              <w:rPr>
                <w:rFonts w:hint="eastAsia" w:ascii="宋体" w:hAnsi="宋体" w:cs="宋体"/>
                <w:color w:val="auto"/>
                <w:sz w:val="21"/>
                <w:szCs w:val="21"/>
                <w:highlight w:val="none"/>
              </w:rPr>
            </w:pPr>
          </w:p>
        </w:tc>
      </w:tr>
      <w:tr w14:paraId="316274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F65F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2.3.9</w:t>
            </w:r>
          </w:p>
        </w:tc>
        <w:tc>
          <w:tcPr>
            <w:tcW w:w="6982" w:type="dxa"/>
            <w:tcBorders>
              <w:tl2br w:val="nil"/>
              <w:tr2bl w:val="nil"/>
            </w:tcBorders>
            <w:vAlign w:val="center"/>
          </w:tcPr>
          <w:p w14:paraId="556810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患者就诊全息视图功能</w:t>
            </w:r>
          </w:p>
        </w:tc>
        <w:tc>
          <w:tcPr>
            <w:tcW w:w="870" w:type="dxa"/>
            <w:vMerge w:val="continue"/>
            <w:tcBorders>
              <w:tl2br w:val="nil"/>
              <w:tr2bl w:val="nil"/>
            </w:tcBorders>
            <w:noWrap/>
            <w:vAlign w:val="center"/>
          </w:tcPr>
          <w:p w14:paraId="7491E925">
            <w:pPr>
              <w:spacing w:line="360" w:lineRule="auto"/>
              <w:jc w:val="center"/>
              <w:rPr>
                <w:rFonts w:hint="eastAsia" w:ascii="宋体" w:hAnsi="宋体" w:cs="宋体"/>
                <w:color w:val="auto"/>
                <w:sz w:val="21"/>
                <w:szCs w:val="21"/>
                <w:highlight w:val="none"/>
              </w:rPr>
            </w:pPr>
          </w:p>
        </w:tc>
      </w:tr>
      <w:tr w14:paraId="182567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5FD4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2.3.9.1</w:t>
            </w:r>
          </w:p>
        </w:tc>
        <w:tc>
          <w:tcPr>
            <w:tcW w:w="6982" w:type="dxa"/>
            <w:tcBorders>
              <w:tl2br w:val="nil"/>
              <w:tr2bl w:val="nil"/>
            </w:tcBorders>
            <w:vAlign w:val="center"/>
          </w:tcPr>
          <w:p w14:paraId="3B2E9E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整合患者全生命周期诊疗信息，集中展示各类核心数据；应支持多维度筛选检索，具备权限管控，帮助医生快速全面了解患者情况，支撑精准诊疗</w:t>
            </w:r>
          </w:p>
        </w:tc>
        <w:tc>
          <w:tcPr>
            <w:tcW w:w="870" w:type="dxa"/>
            <w:vMerge w:val="continue"/>
            <w:tcBorders>
              <w:tl2br w:val="nil"/>
              <w:tr2bl w:val="nil"/>
            </w:tcBorders>
            <w:noWrap/>
            <w:vAlign w:val="center"/>
          </w:tcPr>
          <w:p w14:paraId="266D269E">
            <w:pPr>
              <w:spacing w:line="360" w:lineRule="auto"/>
              <w:jc w:val="center"/>
              <w:rPr>
                <w:rFonts w:hint="eastAsia" w:ascii="宋体" w:hAnsi="宋体" w:cs="宋体"/>
                <w:color w:val="auto"/>
                <w:sz w:val="21"/>
                <w:szCs w:val="21"/>
                <w:highlight w:val="none"/>
              </w:rPr>
            </w:pPr>
          </w:p>
        </w:tc>
      </w:tr>
      <w:tr w14:paraId="62C402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034F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w:t>
            </w:r>
          </w:p>
        </w:tc>
        <w:tc>
          <w:tcPr>
            <w:tcW w:w="6982" w:type="dxa"/>
            <w:tcBorders>
              <w:tl2br w:val="nil"/>
              <w:tr2bl w:val="nil"/>
            </w:tcBorders>
            <w:vAlign w:val="center"/>
          </w:tcPr>
          <w:p w14:paraId="7C07F7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财务业务流程改造</w:t>
            </w:r>
          </w:p>
        </w:tc>
        <w:tc>
          <w:tcPr>
            <w:tcW w:w="870" w:type="dxa"/>
            <w:vMerge w:val="restart"/>
            <w:tcBorders>
              <w:tl2br w:val="nil"/>
              <w:tr2bl w:val="nil"/>
            </w:tcBorders>
            <w:noWrap/>
            <w:vAlign w:val="center"/>
          </w:tcPr>
          <w:p w14:paraId="0D66F839">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51BBB9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C003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2.4.1</w:t>
            </w:r>
          </w:p>
        </w:tc>
        <w:tc>
          <w:tcPr>
            <w:tcW w:w="6982" w:type="dxa"/>
            <w:tcBorders>
              <w:tl2br w:val="nil"/>
              <w:tr2bl w:val="nil"/>
            </w:tcBorders>
            <w:vAlign w:val="center"/>
          </w:tcPr>
          <w:p w14:paraId="16A3A5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本次项目要求将各专业领域进行细分，构建围绕财务科核心的微小化服务模块，充分将排班、挂号、收费、结算、医保、患者基础信息管理等模块彻底整合，将业务与收费剥离，实现以财务为核心的系统轻量化。应不仅支持临床业务的相关费用，同时支持临床试验费用的接收、拆分、拨付和结算</w:t>
            </w:r>
          </w:p>
        </w:tc>
        <w:tc>
          <w:tcPr>
            <w:tcW w:w="870" w:type="dxa"/>
            <w:vMerge w:val="continue"/>
            <w:tcBorders>
              <w:tl2br w:val="nil"/>
              <w:tr2bl w:val="nil"/>
            </w:tcBorders>
            <w:noWrap/>
            <w:vAlign w:val="center"/>
          </w:tcPr>
          <w:p w14:paraId="6DC0963E">
            <w:pPr>
              <w:spacing w:line="360" w:lineRule="auto"/>
              <w:jc w:val="center"/>
              <w:rPr>
                <w:rFonts w:hint="eastAsia" w:ascii="宋体" w:hAnsi="宋体" w:cs="宋体"/>
                <w:color w:val="auto"/>
                <w:sz w:val="21"/>
                <w:szCs w:val="21"/>
                <w:highlight w:val="none"/>
              </w:rPr>
            </w:pPr>
          </w:p>
        </w:tc>
      </w:tr>
      <w:tr w14:paraId="4701CF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A6D9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2.4.2</w:t>
            </w:r>
          </w:p>
        </w:tc>
        <w:tc>
          <w:tcPr>
            <w:tcW w:w="6982" w:type="dxa"/>
            <w:tcBorders>
              <w:tl2br w:val="nil"/>
              <w:tr2bl w:val="nil"/>
            </w:tcBorders>
            <w:vAlign w:val="center"/>
          </w:tcPr>
          <w:p w14:paraId="28147A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患者档案管理功能</w:t>
            </w:r>
          </w:p>
        </w:tc>
        <w:tc>
          <w:tcPr>
            <w:tcW w:w="870" w:type="dxa"/>
            <w:vMerge w:val="continue"/>
            <w:tcBorders>
              <w:tl2br w:val="nil"/>
              <w:tr2bl w:val="nil"/>
            </w:tcBorders>
            <w:noWrap/>
            <w:vAlign w:val="center"/>
          </w:tcPr>
          <w:p w14:paraId="31F2B59C">
            <w:pPr>
              <w:spacing w:line="360" w:lineRule="auto"/>
              <w:jc w:val="center"/>
              <w:rPr>
                <w:rFonts w:hint="eastAsia" w:ascii="宋体" w:hAnsi="宋体" w:cs="宋体"/>
                <w:color w:val="auto"/>
                <w:sz w:val="21"/>
                <w:szCs w:val="21"/>
                <w:highlight w:val="none"/>
              </w:rPr>
            </w:pPr>
          </w:p>
        </w:tc>
      </w:tr>
      <w:tr w14:paraId="133B2F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3A5B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2.4.2.1</w:t>
            </w:r>
          </w:p>
        </w:tc>
        <w:tc>
          <w:tcPr>
            <w:tcW w:w="6982" w:type="dxa"/>
            <w:tcBorders>
              <w:tl2br w:val="nil"/>
              <w:tr2bl w:val="nil"/>
            </w:tcBorders>
            <w:vAlign w:val="center"/>
          </w:tcPr>
          <w:p w14:paraId="37CFA1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管理功能是用于对不同患者类型，包括：自费、医保、老干部、农保、商保等用户群体进行患者信息统一管理。患者管理功能包含信息建档、基本信息修改、查询等功能。所有来院就诊患者都需建立一份唯一档案信息，并生成一个唯一索引，通过唯一索引可串联所有历次的就诊记录和住院记录</w:t>
            </w:r>
          </w:p>
        </w:tc>
        <w:tc>
          <w:tcPr>
            <w:tcW w:w="870" w:type="dxa"/>
            <w:vMerge w:val="continue"/>
            <w:tcBorders>
              <w:tl2br w:val="nil"/>
              <w:tr2bl w:val="nil"/>
            </w:tcBorders>
            <w:noWrap/>
            <w:vAlign w:val="center"/>
          </w:tcPr>
          <w:p w14:paraId="2DC3EFF2">
            <w:pPr>
              <w:spacing w:line="360" w:lineRule="auto"/>
              <w:jc w:val="center"/>
              <w:rPr>
                <w:rFonts w:hint="eastAsia" w:ascii="宋体" w:hAnsi="宋体" w:cs="宋体"/>
                <w:color w:val="auto"/>
                <w:sz w:val="21"/>
                <w:szCs w:val="21"/>
                <w:highlight w:val="none"/>
              </w:rPr>
            </w:pPr>
          </w:p>
        </w:tc>
      </w:tr>
      <w:tr w14:paraId="2911AB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2DB2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2.4.2.2</w:t>
            </w:r>
          </w:p>
        </w:tc>
        <w:tc>
          <w:tcPr>
            <w:tcW w:w="6982" w:type="dxa"/>
            <w:tcBorders>
              <w:tl2br w:val="nil"/>
              <w:tr2bl w:val="nil"/>
            </w:tcBorders>
            <w:vAlign w:val="center"/>
          </w:tcPr>
          <w:p w14:paraId="76D0EC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要求支持磁卡、IC 卡、医保卡、电子健康卡、电子医保卡、医保电子凭证（支付宝、浙里办）等进行患者信息建档，要求平台提供患者档案查询和创建接口，供自助服务系统等外部接口调用</w:t>
            </w:r>
          </w:p>
        </w:tc>
        <w:tc>
          <w:tcPr>
            <w:tcW w:w="870" w:type="dxa"/>
            <w:vMerge w:val="continue"/>
            <w:tcBorders>
              <w:tl2br w:val="nil"/>
              <w:tr2bl w:val="nil"/>
            </w:tcBorders>
            <w:noWrap/>
            <w:vAlign w:val="center"/>
          </w:tcPr>
          <w:p w14:paraId="69C3C106">
            <w:pPr>
              <w:spacing w:line="360" w:lineRule="auto"/>
              <w:jc w:val="center"/>
              <w:rPr>
                <w:rFonts w:hint="eastAsia" w:ascii="宋体" w:hAnsi="宋体" w:cs="宋体"/>
                <w:color w:val="auto"/>
                <w:sz w:val="21"/>
                <w:szCs w:val="21"/>
                <w:highlight w:val="none"/>
              </w:rPr>
            </w:pPr>
          </w:p>
        </w:tc>
      </w:tr>
      <w:tr w14:paraId="5AAA563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3B9FD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2.4.3</w:t>
            </w:r>
          </w:p>
        </w:tc>
        <w:tc>
          <w:tcPr>
            <w:tcW w:w="6982" w:type="dxa"/>
            <w:tcBorders>
              <w:tl2br w:val="nil"/>
              <w:tr2bl w:val="nil"/>
            </w:tcBorders>
            <w:vAlign w:val="center"/>
          </w:tcPr>
          <w:p w14:paraId="78A952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门急诊医师排班功能</w:t>
            </w:r>
          </w:p>
        </w:tc>
        <w:tc>
          <w:tcPr>
            <w:tcW w:w="870" w:type="dxa"/>
            <w:vMerge w:val="continue"/>
            <w:tcBorders>
              <w:tl2br w:val="nil"/>
              <w:tr2bl w:val="nil"/>
            </w:tcBorders>
            <w:noWrap/>
            <w:vAlign w:val="center"/>
          </w:tcPr>
          <w:p w14:paraId="33B74EEF">
            <w:pPr>
              <w:spacing w:line="360" w:lineRule="auto"/>
              <w:jc w:val="center"/>
              <w:rPr>
                <w:rFonts w:hint="eastAsia" w:ascii="宋体" w:hAnsi="宋体" w:cs="宋体"/>
                <w:color w:val="auto"/>
                <w:sz w:val="21"/>
                <w:szCs w:val="21"/>
                <w:highlight w:val="none"/>
              </w:rPr>
            </w:pPr>
          </w:p>
        </w:tc>
      </w:tr>
      <w:tr w14:paraId="62E346D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D1E7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2.4.3.1</w:t>
            </w:r>
          </w:p>
        </w:tc>
        <w:tc>
          <w:tcPr>
            <w:tcW w:w="6982" w:type="dxa"/>
            <w:tcBorders>
              <w:tl2br w:val="nil"/>
              <w:tr2bl w:val="nil"/>
            </w:tcBorders>
            <w:vAlign w:val="center"/>
          </w:tcPr>
          <w:p w14:paraId="68627C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排班管理便于规范医生排班就诊情况，支持医生因故停诊及恢复功能。医生排班管理可以进行日排班、周排班、班次设置、节假日设置，按周、按日生成医生坐诊安排明细表。支持市平台对接，可以设置基层号源。支持指定号源放号。支持医生排班和医生考勤对接等</w:t>
            </w:r>
          </w:p>
        </w:tc>
        <w:tc>
          <w:tcPr>
            <w:tcW w:w="870" w:type="dxa"/>
            <w:vMerge w:val="continue"/>
            <w:tcBorders>
              <w:tl2br w:val="nil"/>
              <w:tr2bl w:val="nil"/>
            </w:tcBorders>
            <w:noWrap/>
            <w:vAlign w:val="center"/>
          </w:tcPr>
          <w:p w14:paraId="73B1B274">
            <w:pPr>
              <w:spacing w:line="360" w:lineRule="auto"/>
              <w:jc w:val="center"/>
              <w:rPr>
                <w:rFonts w:hint="eastAsia" w:ascii="宋体" w:hAnsi="宋体" w:cs="宋体"/>
                <w:color w:val="auto"/>
                <w:sz w:val="21"/>
                <w:szCs w:val="21"/>
                <w:highlight w:val="none"/>
              </w:rPr>
            </w:pPr>
          </w:p>
        </w:tc>
      </w:tr>
      <w:tr w14:paraId="1B9E17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2260C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2.4.4</w:t>
            </w:r>
          </w:p>
        </w:tc>
        <w:tc>
          <w:tcPr>
            <w:tcW w:w="6982" w:type="dxa"/>
            <w:tcBorders>
              <w:tl2br w:val="nil"/>
              <w:tr2bl w:val="nil"/>
            </w:tcBorders>
            <w:vAlign w:val="center"/>
          </w:tcPr>
          <w:p w14:paraId="490549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门急诊收费管理功能</w:t>
            </w:r>
          </w:p>
        </w:tc>
        <w:tc>
          <w:tcPr>
            <w:tcW w:w="870" w:type="dxa"/>
            <w:vMerge w:val="continue"/>
            <w:tcBorders>
              <w:tl2br w:val="nil"/>
              <w:tr2bl w:val="nil"/>
            </w:tcBorders>
            <w:noWrap/>
            <w:vAlign w:val="center"/>
          </w:tcPr>
          <w:p w14:paraId="580B1240">
            <w:pPr>
              <w:spacing w:line="360" w:lineRule="auto"/>
              <w:jc w:val="center"/>
              <w:rPr>
                <w:rFonts w:hint="eastAsia" w:ascii="宋体" w:hAnsi="宋体" w:cs="宋体"/>
                <w:color w:val="auto"/>
                <w:sz w:val="21"/>
                <w:szCs w:val="21"/>
                <w:highlight w:val="none"/>
              </w:rPr>
            </w:pPr>
          </w:p>
        </w:tc>
      </w:tr>
      <w:tr w14:paraId="0A922D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04DB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2.4.4.1</w:t>
            </w:r>
          </w:p>
        </w:tc>
        <w:tc>
          <w:tcPr>
            <w:tcW w:w="6982" w:type="dxa"/>
            <w:tcBorders>
              <w:tl2br w:val="nil"/>
              <w:tr2bl w:val="nil"/>
            </w:tcBorders>
            <w:vAlign w:val="center"/>
          </w:tcPr>
          <w:p w14:paraId="088DE1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收费管理是完成门、急诊病人收费工作，并向门、急诊药房，医技科室等传送处方信息。门诊管理系统应用于医院门急诊挂号收费窗口，是直接为门急诊患者服务的，减少患者排队时间，提高挂号工作效率和服务质量是其主要目标</w:t>
            </w:r>
          </w:p>
        </w:tc>
        <w:tc>
          <w:tcPr>
            <w:tcW w:w="870" w:type="dxa"/>
            <w:vMerge w:val="continue"/>
            <w:tcBorders>
              <w:tl2br w:val="nil"/>
              <w:tr2bl w:val="nil"/>
            </w:tcBorders>
            <w:noWrap/>
            <w:vAlign w:val="center"/>
          </w:tcPr>
          <w:p w14:paraId="248D7240">
            <w:pPr>
              <w:spacing w:line="360" w:lineRule="auto"/>
              <w:jc w:val="center"/>
              <w:rPr>
                <w:rFonts w:hint="eastAsia" w:ascii="宋体" w:hAnsi="宋体" w:cs="宋体"/>
                <w:color w:val="auto"/>
                <w:sz w:val="21"/>
                <w:szCs w:val="21"/>
                <w:highlight w:val="none"/>
              </w:rPr>
            </w:pPr>
          </w:p>
        </w:tc>
      </w:tr>
      <w:tr w14:paraId="0E7DDC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5AC6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2.4.5</w:t>
            </w:r>
          </w:p>
        </w:tc>
        <w:tc>
          <w:tcPr>
            <w:tcW w:w="6982" w:type="dxa"/>
            <w:tcBorders>
              <w:tl2br w:val="nil"/>
              <w:tr2bl w:val="nil"/>
            </w:tcBorders>
            <w:vAlign w:val="center"/>
          </w:tcPr>
          <w:p w14:paraId="4BEFDD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住院结算管理功能</w:t>
            </w:r>
          </w:p>
        </w:tc>
        <w:tc>
          <w:tcPr>
            <w:tcW w:w="870" w:type="dxa"/>
            <w:vMerge w:val="continue"/>
            <w:tcBorders>
              <w:tl2br w:val="nil"/>
              <w:tr2bl w:val="nil"/>
            </w:tcBorders>
            <w:noWrap/>
            <w:vAlign w:val="center"/>
          </w:tcPr>
          <w:p w14:paraId="0924DA80">
            <w:pPr>
              <w:spacing w:line="360" w:lineRule="auto"/>
              <w:jc w:val="center"/>
              <w:rPr>
                <w:rFonts w:hint="eastAsia" w:ascii="宋体" w:hAnsi="宋体" w:cs="宋体"/>
                <w:color w:val="auto"/>
                <w:sz w:val="21"/>
                <w:szCs w:val="21"/>
                <w:highlight w:val="none"/>
              </w:rPr>
            </w:pPr>
          </w:p>
        </w:tc>
      </w:tr>
      <w:tr w14:paraId="2D8C3D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3410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2.4.5.1</w:t>
            </w:r>
          </w:p>
        </w:tc>
        <w:tc>
          <w:tcPr>
            <w:tcW w:w="6982" w:type="dxa"/>
            <w:tcBorders>
              <w:tl2br w:val="nil"/>
              <w:tr2bl w:val="nil"/>
            </w:tcBorders>
            <w:vAlign w:val="center"/>
          </w:tcPr>
          <w:p w14:paraId="44A312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结算管理功能是用于住院患者全流程的应用管理，包括：入院登记、床位管理、住院预交金管理、住院病人结算、住院病人中间结算，上传医保数据，发票打印，发票作废、退费，催缴费病人查询及日报表打印等。该系统的目标是方便患者办理住院手续，促进医院合理使用床位，及时准确地为患者和临床医护人员提供费用信息，及时准确地为患者办理出院手续，支持医院经济核算、提供信息共享和减轻工作人员的劳动强度</w:t>
            </w:r>
          </w:p>
        </w:tc>
        <w:tc>
          <w:tcPr>
            <w:tcW w:w="870" w:type="dxa"/>
            <w:vMerge w:val="continue"/>
            <w:tcBorders>
              <w:tl2br w:val="nil"/>
              <w:tr2bl w:val="nil"/>
            </w:tcBorders>
            <w:noWrap/>
            <w:vAlign w:val="center"/>
          </w:tcPr>
          <w:p w14:paraId="1BC474F3">
            <w:pPr>
              <w:spacing w:line="360" w:lineRule="auto"/>
              <w:jc w:val="center"/>
              <w:rPr>
                <w:rFonts w:hint="eastAsia" w:ascii="宋体" w:hAnsi="宋体" w:cs="宋体"/>
                <w:color w:val="auto"/>
                <w:sz w:val="21"/>
                <w:szCs w:val="21"/>
                <w:highlight w:val="none"/>
              </w:rPr>
            </w:pPr>
          </w:p>
        </w:tc>
      </w:tr>
      <w:tr w14:paraId="40565A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4885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2.4.6</w:t>
            </w:r>
          </w:p>
        </w:tc>
        <w:tc>
          <w:tcPr>
            <w:tcW w:w="6982" w:type="dxa"/>
            <w:tcBorders>
              <w:tl2br w:val="nil"/>
              <w:tr2bl w:val="nil"/>
            </w:tcBorders>
            <w:vAlign w:val="center"/>
          </w:tcPr>
          <w:p w14:paraId="2AA7BE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票据管理功能</w:t>
            </w:r>
          </w:p>
        </w:tc>
        <w:tc>
          <w:tcPr>
            <w:tcW w:w="870" w:type="dxa"/>
            <w:vMerge w:val="continue"/>
            <w:tcBorders>
              <w:tl2br w:val="nil"/>
              <w:tr2bl w:val="nil"/>
            </w:tcBorders>
            <w:noWrap/>
            <w:vAlign w:val="center"/>
          </w:tcPr>
          <w:p w14:paraId="6CDA1A66">
            <w:pPr>
              <w:spacing w:line="360" w:lineRule="auto"/>
              <w:jc w:val="center"/>
              <w:rPr>
                <w:rFonts w:hint="eastAsia" w:ascii="宋体" w:hAnsi="宋体" w:cs="宋体"/>
                <w:color w:val="auto"/>
                <w:sz w:val="21"/>
                <w:szCs w:val="21"/>
                <w:highlight w:val="none"/>
              </w:rPr>
            </w:pPr>
          </w:p>
        </w:tc>
      </w:tr>
      <w:tr w14:paraId="4C19D0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6345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2.4.6.1</w:t>
            </w:r>
          </w:p>
        </w:tc>
        <w:tc>
          <w:tcPr>
            <w:tcW w:w="6982" w:type="dxa"/>
            <w:tcBorders>
              <w:tl2br w:val="nil"/>
              <w:tr2bl w:val="nil"/>
            </w:tcBorders>
            <w:vAlign w:val="center"/>
          </w:tcPr>
          <w:p w14:paraId="6514B8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票据管理功能是为方便医院财务科对票据精细化管理，采用票据从入库、出库、作废、回收、历史票据管理等全链路闭环管理模式。推行电子发票使用，使发票走向无纸化</w:t>
            </w:r>
          </w:p>
        </w:tc>
        <w:tc>
          <w:tcPr>
            <w:tcW w:w="870" w:type="dxa"/>
            <w:vMerge w:val="continue"/>
            <w:tcBorders>
              <w:tl2br w:val="nil"/>
              <w:tr2bl w:val="nil"/>
            </w:tcBorders>
            <w:noWrap/>
            <w:vAlign w:val="center"/>
          </w:tcPr>
          <w:p w14:paraId="25B46EA4">
            <w:pPr>
              <w:spacing w:line="360" w:lineRule="auto"/>
              <w:jc w:val="center"/>
              <w:rPr>
                <w:rFonts w:hint="eastAsia" w:ascii="宋体" w:hAnsi="宋体" w:cs="宋体"/>
                <w:color w:val="auto"/>
                <w:sz w:val="21"/>
                <w:szCs w:val="21"/>
                <w:highlight w:val="none"/>
              </w:rPr>
            </w:pPr>
          </w:p>
        </w:tc>
      </w:tr>
      <w:tr w14:paraId="08FBFE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4FAD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2.4.7</w:t>
            </w:r>
          </w:p>
        </w:tc>
        <w:tc>
          <w:tcPr>
            <w:tcW w:w="6982" w:type="dxa"/>
            <w:tcBorders>
              <w:tl2br w:val="nil"/>
              <w:tr2bl w:val="nil"/>
            </w:tcBorders>
            <w:vAlign w:val="center"/>
          </w:tcPr>
          <w:p w14:paraId="126F75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财务对账功能</w:t>
            </w:r>
          </w:p>
        </w:tc>
        <w:tc>
          <w:tcPr>
            <w:tcW w:w="870" w:type="dxa"/>
            <w:vMerge w:val="continue"/>
            <w:tcBorders>
              <w:tl2br w:val="nil"/>
              <w:tr2bl w:val="nil"/>
            </w:tcBorders>
            <w:noWrap/>
            <w:vAlign w:val="center"/>
          </w:tcPr>
          <w:p w14:paraId="07B23D5D">
            <w:pPr>
              <w:spacing w:line="360" w:lineRule="auto"/>
              <w:jc w:val="center"/>
              <w:rPr>
                <w:rFonts w:hint="eastAsia" w:ascii="宋体" w:hAnsi="宋体" w:cs="宋体"/>
                <w:color w:val="auto"/>
                <w:sz w:val="21"/>
                <w:szCs w:val="21"/>
                <w:highlight w:val="none"/>
              </w:rPr>
            </w:pPr>
          </w:p>
        </w:tc>
      </w:tr>
      <w:tr w14:paraId="04F03B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016E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2.4.7.1</w:t>
            </w:r>
          </w:p>
        </w:tc>
        <w:tc>
          <w:tcPr>
            <w:tcW w:w="6982" w:type="dxa"/>
            <w:tcBorders>
              <w:tl2br w:val="nil"/>
              <w:tr2bl w:val="nil"/>
            </w:tcBorders>
            <w:vAlign w:val="center"/>
          </w:tcPr>
          <w:p w14:paraId="11DEFA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医疗系统中越来越多样的就医服务渠道与支付渠道的接入，医院财务系统对账越发复杂和困难，亟需加强对各个渠道的数据管控和分析能力，财务对账功能核心是实现各类第三方支付方式，包括支付宝、微信、医保、异地医保、银行 pos、银行代扣和互联网医院等支付的接口管理，流程管理，数据管理，最终保障支付数据的安全可靠存储，提高财务对账效率并能提供一定的财务分析和决策支持。如果有客观原因造成的单边账，能及时提醒操作员进行处理，能实现按日、按月数据自动比对，把异常数据醒目提示，该系统中还能以各种柱状图、饼状图的方式把支付数据完美地展示给用户</w:t>
            </w:r>
          </w:p>
        </w:tc>
        <w:tc>
          <w:tcPr>
            <w:tcW w:w="870" w:type="dxa"/>
            <w:vMerge w:val="continue"/>
            <w:tcBorders>
              <w:tl2br w:val="nil"/>
              <w:tr2bl w:val="nil"/>
            </w:tcBorders>
            <w:noWrap/>
            <w:vAlign w:val="center"/>
          </w:tcPr>
          <w:p w14:paraId="475F2CFB">
            <w:pPr>
              <w:spacing w:line="360" w:lineRule="auto"/>
              <w:jc w:val="center"/>
              <w:rPr>
                <w:rFonts w:hint="eastAsia" w:ascii="宋体" w:hAnsi="宋体" w:cs="宋体"/>
                <w:color w:val="auto"/>
                <w:sz w:val="21"/>
                <w:szCs w:val="21"/>
                <w:highlight w:val="none"/>
              </w:rPr>
            </w:pPr>
          </w:p>
        </w:tc>
      </w:tr>
      <w:tr w14:paraId="5A739B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83EC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2.4.8</w:t>
            </w:r>
          </w:p>
        </w:tc>
        <w:tc>
          <w:tcPr>
            <w:tcW w:w="6982" w:type="dxa"/>
            <w:tcBorders>
              <w:tl2br w:val="nil"/>
              <w:tr2bl w:val="nil"/>
            </w:tcBorders>
            <w:vAlign w:val="center"/>
          </w:tcPr>
          <w:p w14:paraId="2065D7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医保管理功能</w:t>
            </w:r>
          </w:p>
        </w:tc>
        <w:tc>
          <w:tcPr>
            <w:tcW w:w="870" w:type="dxa"/>
            <w:vMerge w:val="continue"/>
            <w:tcBorders>
              <w:tl2br w:val="nil"/>
              <w:tr2bl w:val="nil"/>
            </w:tcBorders>
            <w:noWrap/>
            <w:vAlign w:val="center"/>
          </w:tcPr>
          <w:p w14:paraId="4BE86F85">
            <w:pPr>
              <w:spacing w:line="360" w:lineRule="auto"/>
              <w:jc w:val="center"/>
              <w:rPr>
                <w:rFonts w:hint="eastAsia" w:ascii="宋体" w:hAnsi="宋体" w:cs="宋体"/>
                <w:color w:val="auto"/>
                <w:sz w:val="21"/>
                <w:szCs w:val="21"/>
                <w:highlight w:val="none"/>
              </w:rPr>
            </w:pPr>
          </w:p>
        </w:tc>
      </w:tr>
      <w:tr w14:paraId="22DBAC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3AEE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2.4.8.1</w:t>
            </w:r>
          </w:p>
        </w:tc>
        <w:tc>
          <w:tcPr>
            <w:tcW w:w="6982" w:type="dxa"/>
            <w:tcBorders>
              <w:tl2br w:val="nil"/>
              <w:tr2bl w:val="nil"/>
            </w:tcBorders>
            <w:vAlign w:val="center"/>
          </w:tcPr>
          <w:p w14:paraId="792A6A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医保管理功能是集医保病人信息查询、医保病人出入院管理、医保收费项目维护等功能为一体，实现与医保部门实时信息交互，包括上传、下载的管理系统</w:t>
            </w:r>
          </w:p>
        </w:tc>
        <w:tc>
          <w:tcPr>
            <w:tcW w:w="870" w:type="dxa"/>
            <w:vMerge w:val="continue"/>
            <w:tcBorders>
              <w:tl2br w:val="nil"/>
              <w:tr2bl w:val="nil"/>
            </w:tcBorders>
            <w:noWrap/>
            <w:vAlign w:val="center"/>
          </w:tcPr>
          <w:p w14:paraId="430DDEE0">
            <w:pPr>
              <w:spacing w:line="360" w:lineRule="auto"/>
              <w:jc w:val="center"/>
              <w:rPr>
                <w:rFonts w:hint="eastAsia" w:ascii="宋体" w:hAnsi="宋体" w:cs="宋体"/>
                <w:color w:val="auto"/>
                <w:sz w:val="21"/>
                <w:szCs w:val="21"/>
                <w:highlight w:val="none"/>
              </w:rPr>
            </w:pPr>
          </w:p>
        </w:tc>
      </w:tr>
      <w:tr w14:paraId="4DA75A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6ADB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2.4.9</w:t>
            </w:r>
          </w:p>
        </w:tc>
        <w:tc>
          <w:tcPr>
            <w:tcW w:w="6982" w:type="dxa"/>
            <w:tcBorders>
              <w:tl2br w:val="nil"/>
              <w:tr2bl w:val="nil"/>
            </w:tcBorders>
            <w:vAlign w:val="center"/>
          </w:tcPr>
          <w:p w14:paraId="6FAB47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医技确费功能</w:t>
            </w:r>
          </w:p>
        </w:tc>
        <w:tc>
          <w:tcPr>
            <w:tcW w:w="870" w:type="dxa"/>
            <w:vMerge w:val="continue"/>
            <w:tcBorders>
              <w:tl2br w:val="nil"/>
              <w:tr2bl w:val="nil"/>
            </w:tcBorders>
            <w:noWrap/>
            <w:vAlign w:val="center"/>
          </w:tcPr>
          <w:p w14:paraId="7C9BBEA2">
            <w:pPr>
              <w:spacing w:line="360" w:lineRule="auto"/>
              <w:jc w:val="center"/>
              <w:rPr>
                <w:rFonts w:hint="eastAsia" w:ascii="宋体" w:hAnsi="宋体" w:cs="宋体"/>
                <w:color w:val="auto"/>
                <w:sz w:val="21"/>
                <w:szCs w:val="21"/>
                <w:highlight w:val="none"/>
              </w:rPr>
            </w:pPr>
          </w:p>
        </w:tc>
      </w:tr>
      <w:tr w14:paraId="668898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1DED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2.4.9.1</w:t>
            </w:r>
          </w:p>
        </w:tc>
        <w:tc>
          <w:tcPr>
            <w:tcW w:w="6982" w:type="dxa"/>
            <w:tcBorders>
              <w:tl2br w:val="nil"/>
              <w:tr2bl w:val="nil"/>
            </w:tcBorders>
            <w:vAlign w:val="center"/>
          </w:tcPr>
          <w:p w14:paraId="188284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医技确费管理功能是对病人的医技检查进行核对及划价处理，并补填住院部错录或未录的相关费用。系统提供医技科室进行费用总项目，及费用明细项目的查询</w:t>
            </w:r>
          </w:p>
        </w:tc>
        <w:tc>
          <w:tcPr>
            <w:tcW w:w="870" w:type="dxa"/>
            <w:vMerge w:val="continue"/>
            <w:tcBorders>
              <w:tl2br w:val="nil"/>
              <w:tr2bl w:val="nil"/>
            </w:tcBorders>
            <w:noWrap/>
            <w:vAlign w:val="center"/>
          </w:tcPr>
          <w:p w14:paraId="26FE1F67">
            <w:pPr>
              <w:spacing w:line="360" w:lineRule="auto"/>
              <w:jc w:val="center"/>
              <w:rPr>
                <w:rFonts w:hint="eastAsia" w:ascii="宋体" w:hAnsi="宋体" w:cs="宋体"/>
                <w:color w:val="auto"/>
                <w:sz w:val="21"/>
                <w:szCs w:val="21"/>
                <w:highlight w:val="none"/>
              </w:rPr>
            </w:pPr>
          </w:p>
        </w:tc>
      </w:tr>
      <w:tr w14:paraId="2D2366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F349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2.4.10</w:t>
            </w:r>
          </w:p>
        </w:tc>
        <w:tc>
          <w:tcPr>
            <w:tcW w:w="6982" w:type="dxa"/>
            <w:tcBorders>
              <w:tl2br w:val="nil"/>
              <w:tr2bl w:val="nil"/>
            </w:tcBorders>
            <w:vAlign w:val="center"/>
          </w:tcPr>
          <w:p w14:paraId="26B4DA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优惠减免功能</w:t>
            </w:r>
          </w:p>
        </w:tc>
        <w:tc>
          <w:tcPr>
            <w:tcW w:w="870" w:type="dxa"/>
            <w:vMerge w:val="continue"/>
            <w:tcBorders>
              <w:tl2br w:val="nil"/>
              <w:tr2bl w:val="nil"/>
            </w:tcBorders>
            <w:noWrap/>
            <w:vAlign w:val="center"/>
          </w:tcPr>
          <w:p w14:paraId="4D2C7510">
            <w:pPr>
              <w:spacing w:line="360" w:lineRule="auto"/>
              <w:jc w:val="center"/>
              <w:rPr>
                <w:rFonts w:hint="eastAsia" w:ascii="宋体" w:hAnsi="宋体" w:cs="宋体"/>
                <w:color w:val="auto"/>
                <w:sz w:val="21"/>
                <w:szCs w:val="21"/>
                <w:highlight w:val="none"/>
              </w:rPr>
            </w:pPr>
          </w:p>
        </w:tc>
      </w:tr>
      <w:tr w14:paraId="7F405C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B9DF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2.4.10.1</w:t>
            </w:r>
          </w:p>
        </w:tc>
        <w:tc>
          <w:tcPr>
            <w:tcW w:w="6982" w:type="dxa"/>
            <w:tcBorders>
              <w:tl2br w:val="nil"/>
              <w:tr2bl w:val="nil"/>
            </w:tcBorders>
            <w:vAlign w:val="center"/>
          </w:tcPr>
          <w:p w14:paraId="0B4973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优惠、减免、福利报销、临床试验报销平台对接</w:t>
            </w:r>
          </w:p>
        </w:tc>
        <w:tc>
          <w:tcPr>
            <w:tcW w:w="870" w:type="dxa"/>
            <w:vMerge w:val="continue"/>
            <w:tcBorders>
              <w:tl2br w:val="nil"/>
              <w:tr2bl w:val="nil"/>
            </w:tcBorders>
            <w:noWrap/>
            <w:vAlign w:val="center"/>
          </w:tcPr>
          <w:p w14:paraId="1874120D">
            <w:pPr>
              <w:spacing w:line="360" w:lineRule="auto"/>
              <w:jc w:val="center"/>
              <w:rPr>
                <w:rFonts w:hint="eastAsia" w:ascii="宋体" w:hAnsi="宋体" w:cs="宋体"/>
                <w:color w:val="auto"/>
                <w:sz w:val="21"/>
                <w:szCs w:val="21"/>
                <w:highlight w:val="none"/>
              </w:rPr>
            </w:pPr>
          </w:p>
        </w:tc>
      </w:tr>
      <w:tr w14:paraId="77B311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2043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w:t>
            </w:r>
          </w:p>
        </w:tc>
        <w:tc>
          <w:tcPr>
            <w:tcW w:w="6982" w:type="dxa"/>
            <w:tcBorders>
              <w:tl2br w:val="nil"/>
              <w:tr2bl w:val="nil"/>
            </w:tcBorders>
            <w:vAlign w:val="center"/>
          </w:tcPr>
          <w:p w14:paraId="51CB5F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药事业务流程改造</w:t>
            </w:r>
          </w:p>
        </w:tc>
        <w:tc>
          <w:tcPr>
            <w:tcW w:w="870" w:type="dxa"/>
            <w:vMerge w:val="restart"/>
            <w:tcBorders>
              <w:tl2br w:val="nil"/>
              <w:tr2bl w:val="nil"/>
            </w:tcBorders>
            <w:noWrap/>
            <w:vAlign w:val="center"/>
          </w:tcPr>
          <w:p w14:paraId="01C0C0FA">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008EE7A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98AD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w:t>
            </w:r>
          </w:p>
        </w:tc>
        <w:tc>
          <w:tcPr>
            <w:tcW w:w="6982" w:type="dxa"/>
            <w:tcBorders>
              <w:tl2br w:val="nil"/>
              <w:tr2bl w:val="nil"/>
            </w:tcBorders>
            <w:vAlign w:val="center"/>
          </w:tcPr>
          <w:p w14:paraId="62EF13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药库管理功能</w:t>
            </w:r>
          </w:p>
        </w:tc>
        <w:tc>
          <w:tcPr>
            <w:tcW w:w="870" w:type="dxa"/>
            <w:vMerge w:val="continue"/>
            <w:tcBorders>
              <w:tl2br w:val="nil"/>
              <w:tr2bl w:val="nil"/>
            </w:tcBorders>
            <w:noWrap/>
            <w:vAlign w:val="center"/>
          </w:tcPr>
          <w:p w14:paraId="58E0B493">
            <w:pPr>
              <w:spacing w:line="360" w:lineRule="auto"/>
              <w:jc w:val="center"/>
              <w:rPr>
                <w:rFonts w:hint="eastAsia" w:ascii="宋体" w:hAnsi="宋体" w:cs="宋体"/>
                <w:color w:val="auto"/>
                <w:sz w:val="21"/>
                <w:szCs w:val="21"/>
                <w:highlight w:val="none"/>
              </w:rPr>
            </w:pPr>
          </w:p>
        </w:tc>
      </w:tr>
      <w:tr w14:paraId="2A7DCC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2066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2.5.1.1</w:t>
            </w:r>
          </w:p>
        </w:tc>
        <w:tc>
          <w:tcPr>
            <w:tcW w:w="6982" w:type="dxa"/>
            <w:tcBorders>
              <w:tl2br w:val="nil"/>
              <w:tr2bl w:val="nil"/>
            </w:tcBorders>
            <w:vAlign w:val="center"/>
          </w:tcPr>
          <w:p w14:paraId="19C31A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库管理功能通过完整的账务体系对药品的出、入、转、存进行集中统一管理，包括药库药品基础维护、采购计划、药品出入库、药品会计（财务验收、发票管理、药品调价）、库存管理、特药管理、统计查询等功能。功能需能继承原有功能的各类数据，如药品基础字典、药品库存等重要基础数据，确保功能正确转换</w:t>
            </w:r>
          </w:p>
        </w:tc>
        <w:tc>
          <w:tcPr>
            <w:tcW w:w="870" w:type="dxa"/>
            <w:vMerge w:val="continue"/>
            <w:tcBorders>
              <w:tl2br w:val="nil"/>
              <w:tr2bl w:val="nil"/>
            </w:tcBorders>
            <w:noWrap/>
            <w:vAlign w:val="center"/>
          </w:tcPr>
          <w:p w14:paraId="7A7E4846">
            <w:pPr>
              <w:spacing w:line="360" w:lineRule="auto"/>
              <w:jc w:val="center"/>
              <w:rPr>
                <w:rFonts w:hint="eastAsia" w:ascii="宋体" w:hAnsi="宋体" w:cs="宋体"/>
                <w:color w:val="auto"/>
                <w:sz w:val="21"/>
                <w:szCs w:val="21"/>
                <w:highlight w:val="none"/>
              </w:rPr>
            </w:pPr>
          </w:p>
        </w:tc>
      </w:tr>
      <w:tr w14:paraId="7A0076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3F89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2.5.1.2</w:t>
            </w:r>
          </w:p>
        </w:tc>
        <w:tc>
          <w:tcPr>
            <w:tcW w:w="6982" w:type="dxa"/>
            <w:tcBorders>
              <w:tl2br w:val="nil"/>
              <w:tr2bl w:val="nil"/>
            </w:tcBorders>
            <w:vAlign w:val="center"/>
          </w:tcPr>
          <w:p w14:paraId="5966FF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需满足医院原有与药库对接的接口或功能，如省平台采购，海虹，SPD，付款与预算接口功能等</w:t>
            </w:r>
          </w:p>
        </w:tc>
        <w:tc>
          <w:tcPr>
            <w:tcW w:w="870" w:type="dxa"/>
            <w:vMerge w:val="continue"/>
            <w:tcBorders>
              <w:tl2br w:val="nil"/>
              <w:tr2bl w:val="nil"/>
            </w:tcBorders>
            <w:noWrap/>
            <w:vAlign w:val="center"/>
          </w:tcPr>
          <w:p w14:paraId="3DA53357">
            <w:pPr>
              <w:spacing w:line="360" w:lineRule="auto"/>
              <w:jc w:val="center"/>
              <w:rPr>
                <w:rFonts w:hint="eastAsia" w:ascii="宋体" w:hAnsi="宋体" w:cs="宋体"/>
                <w:color w:val="auto"/>
                <w:sz w:val="21"/>
                <w:szCs w:val="21"/>
                <w:highlight w:val="none"/>
              </w:rPr>
            </w:pPr>
          </w:p>
        </w:tc>
      </w:tr>
      <w:tr w14:paraId="5FAB60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4E4F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2.5.1.3</w:t>
            </w:r>
          </w:p>
        </w:tc>
        <w:tc>
          <w:tcPr>
            <w:tcW w:w="6982" w:type="dxa"/>
            <w:tcBorders>
              <w:tl2br w:val="nil"/>
              <w:tr2bl w:val="nil"/>
            </w:tcBorders>
            <w:vAlign w:val="center"/>
          </w:tcPr>
          <w:p w14:paraId="49CB6E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需要满足所有国家医疗卫生政策上的管理要求，如 4+7 药品带量采购管理等</w:t>
            </w:r>
          </w:p>
        </w:tc>
        <w:tc>
          <w:tcPr>
            <w:tcW w:w="870" w:type="dxa"/>
            <w:vMerge w:val="continue"/>
            <w:tcBorders>
              <w:tl2br w:val="nil"/>
              <w:tr2bl w:val="nil"/>
            </w:tcBorders>
            <w:noWrap/>
            <w:vAlign w:val="center"/>
          </w:tcPr>
          <w:p w14:paraId="35E914F7">
            <w:pPr>
              <w:spacing w:line="360" w:lineRule="auto"/>
              <w:jc w:val="center"/>
              <w:rPr>
                <w:rFonts w:hint="eastAsia" w:ascii="宋体" w:hAnsi="宋体" w:cs="宋体"/>
                <w:color w:val="auto"/>
                <w:sz w:val="21"/>
                <w:szCs w:val="21"/>
                <w:highlight w:val="none"/>
              </w:rPr>
            </w:pPr>
          </w:p>
        </w:tc>
      </w:tr>
      <w:tr w14:paraId="7E15D1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5AF8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2.5.1.4</w:t>
            </w:r>
          </w:p>
        </w:tc>
        <w:tc>
          <w:tcPr>
            <w:tcW w:w="6982" w:type="dxa"/>
            <w:tcBorders>
              <w:tl2br w:val="nil"/>
              <w:tr2bl w:val="nil"/>
            </w:tcBorders>
            <w:vAlign w:val="center"/>
          </w:tcPr>
          <w:p w14:paraId="6DD710B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需要满足临床试验药房管理的相关需求</w:t>
            </w:r>
          </w:p>
        </w:tc>
        <w:tc>
          <w:tcPr>
            <w:tcW w:w="870" w:type="dxa"/>
            <w:vMerge w:val="continue"/>
            <w:tcBorders>
              <w:tl2br w:val="nil"/>
              <w:tr2bl w:val="nil"/>
            </w:tcBorders>
            <w:noWrap/>
            <w:vAlign w:val="center"/>
          </w:tcPr>
          <w:p w14:paraId="51679D02">
            <w:pPr>
              <w:spacing w:line="360" w:lineRule="auto"/>
              <w:jc w:val="center"/>
              <w:rPr>
                <w:rFonts w:hint="eastAsia" w:ascii="宋体" w:hAnsi="宋体" w:cs="宋体"/>
                <w:color w:val="auto"/>
                <w:sz w:val="21"/>
                <w:szCs w:val="21"/>
                <w:highlight w:val="none"/>
              </w:rPr>
            </w:pPr>
          </w:p>
        </w:tc>
      </w:tr>
      <w:tr w14:paraId="11930C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7E19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△2.5.1.5</w:t>
            </w:r>
          </w:p>
        </w:tc>
        <w:tc>
          <w:tcPr>
            <w:tcW w:w="6982" w:type="dxa"/>
            <w:tcBorders>
              <w:tl2br w:val="nil"/>
              <w:tr2bl w:val="nil"/>
            </w:tcBorders>
            <w:vAlign w:val="center"/>
          </w:tcPr>
          <w:p w14:paraId="6D2DA3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系统支持盘点动态管理，可按库房盈亏数据自动调整实际盘点量，盘点可跨天进行；同时支持分站式盘点，各小组可分别提交单据，系统统一汇总统计。</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16D1C422">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6369AE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FC0C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2.5.2</w:t>
            </w:r>
          </w:p>
        </w:tc>
        <w:tc>
          <w:tcPr>
            <w:tcW w:w="6982" w:type="dxa"/>
            <w:tcBorders>
              <w:tl2br w:val="nil"/>
              <w:tr2bl w:val="nil"/>
            </w:tcBorders>
            <w:vAlign w:val="center"/>
          </w:tcPr>
          <w:p w14:paraId="0900E3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制剂管理功能</w:t>
            </w:r>
          </w:p>
        </w:tc>
        <w:tc>
          <w:tcPr>
            <w:tcW w:w="870" w:type="dxa"/>
            <w:vMerge w:val="restart"/>
            <w:tcBorders>
              <w:tl2br w:val="nil"/>
              <w:tr2bl w:val="nil"/>
            </w:tcBorders>
            <w:noWrap/>
            <w:vAlign w:val="center"/>
          </w:tcPr>
          <w:p w14:paraId="0B55EB87">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19A44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7749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2.5.2.1</w:t>
            </w:r>
          </w:p>
        </w:tc>
        <w:tc>
          <w:tcPr>
            <w:tcW w:w="6982" w:type="dxa"/>
            <w:tcBorders>
              <w:tl2br w:val="nil"/>
              <w:tr2bl w:val="nil"/>
            </w:tcBorders>
            <w:vAlign w:val="center"/>
          </w:tcPr>
          <w:p w14:paraId="3E5061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制剂管理功能主要用来协助制剂室完成医院制剂工作。主要工作包含计划采购、原料申领、物资申领、制剂生产制备、检验管理、成品的出入库、制剂成本核算等功能</w:t>
            </w:r>
          </w:p>
        </w:tc>
        <w:tc>
          <w:tcPr>
            <w:tcW w:w="870" w:type="dxa"/>
            <w:vMerge w:val="continue"/>
            <w:tcBorders>
              <w:tl2br w:val="nil"/>
              <w:tr2bl w:val="nil"/>
            </w:tcBorders>
            <w:noWrap/>
            <w:vAlign w:val="center"/>
          </w:tcPr>
          <w:p w14:paraId="3C089DF2">
            <w:pPr>
              <w:spacing w:line="360" w:lineRule="auto"/>
              <w:jc w:val="center"/>
              <w:rPr>
                <w:rFonts w:hint="eastAsia" w:ascii="宋体" w:hAnsi="宋体" w:cs="宋体"/>
                <w:color w:val="auto"/>
                <w:sz w:val="21"/>
                <w:szCs w:val="21"/>
                <w:highlight w:val="none"/>
              </w:rPr>
            </w:pPr>
          </w:p>
        </w:tc>
      </w:tr>
      <w:tr w14:paraId="7E1853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4559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2.5.3</w:t>
            </w:r>
          </w:p>
        </w:tc>
        <w:tc>
          <w:tcPr>
            <w:tcW w:w="6982" w:type="dxa"/>
            <w:tcBorders>
              <w:tl2br w:val="nil"/>
              <w:tr2bl w:val="nil"/>
            </w:tcBorders>
            <w:vAlign w:val="center"/>
          </w:tcPr>
          <w:p w14:paraId="17DE57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门急诊药房管理功能</w:t>
            </w:r>
          </w:p>
        </w:tc>
        <w:tc>
          <w:tcPr>
            <w:tcW w:w="870" w:type="dxa"/>
            <w:vMerge w:val="continue"/>
            <w:tcBorders>
              <w:tl2br w:val="nil"/>
              <w:tr2bl w:val="nil"/>
            </w:tcBorders>
            <w:noWrap/>
            <w:vAlign w:val="center"/>
          </w:tcPr>
          <w:p w14:paraId="240CD1C8">
            <w:pPr>
              <w:spacing w:line="360" w:lineRule="auto"/>
              <w:jc w:val="center"/>
              <w:rPr>
                <w:rFonts w:hint="eastAsia" w:ascii="宋体" w:hAnsi="宋体" w:cs="宋体"/>
                <w:color w:val="auto"/>
                <w:sz w:val="21"/>
                <w:szCs w:val="21"/>
                <w:highlight w:val="none"/>
              </w:rPr>
            </w:pPr>
          </w:p>
        </w:tc>
      </w:tr>
      <w:tr w14:paraId="156C86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88CA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2.5.3.1</w:t>
            </w:r>
          </w:p>
        </w:tc>
        <w:tc>
          <w:tcPr>
            <w:tcW w:w="6982" w:type="dxa"/>
            <w:tcBorders>
              <w:tl2br w:val="nil"/>
              <w:tr2bl w:val="nil"/>
            </w:tcBorders>
            <w:vAlign w:val="center"/>
          </w:tcPr>
          <w:p w14:paraId="05AD0A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门急诊药房同时应支持门诊、住院业务处理，实现药房的数字化、信息化、智能化，对药品信息、仓储信息和电子处方等进行统一的数字化管理。药房需要做好包药机、配药机与各功能之间的数据交换</w:t>
            </w:r>
          </w:p>
        </w:tc>
        <w:tc>
          <w:tcPr>
            <w:tcW w:w="870" w:type="dxa"/>
            <w:vMerge w:val="continue"/>
            <w:tcBorders>
              <w:tl2br w:val="nil"/>
              <w:tr2bl w:val="nil"/>
            </w:tcBorders>
            <w:noWrap/>
            <w:vAlign w:val="center"/>
          </w:tcPr>
          <w:p w14:paraId="7CE1C663">
            <w:pPr>
              <w:spacing w:line="360" w:lineRule="auto"/>
              <w:jc w:val="center"/>
              <w:rPr>
                <w:rFonts w:hint="eastAsia" w:ascii="宋体" w:hAnsi="宋体" w:cs="宋体"/>
                <w:color w:val="auto"/>
                <w:sz w:val="21"/>
                <w:szCs w:val="21"/>
                <w:highlight w:val="none"/>
              </w:rPr>
            </w:pPr>
          </w:p>
        </w:tc>
      </w:tr>
      <w:tr w14:paraId="6701513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56C2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2.5.4</w:t>
            </w:r>
          </w:p>
        </w:tc>
        <w:tc>
          <w:tcPr>
            <w:tcW w:w="6982" w:type="dxa"/>
            <w:tcBorders>
              <w:tl2br w:val="nil"/>
              <w:tr2bl w:val="nil"/>
            </w:tcBorders>
            <w:vAlign w:val="center"/>
          </w:tcPr>
          <w:p w14:paraId="7779CB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住院药房管理功能</w:t>
            </w:r>
          </w:p>
        </w:tc>
        <w:tc>
          <w:tcPr>
            <w:tcW w:w="870" w:type="dxa"/>
            <w:vMerge w:val="continue"/>
            <w:tcBorders>
              <w:tl2br w:val="nil"/>
              <w:tr2bl w:val="nil"/>
            </w:tcBorders>
            <w:noWrap/>
            <w:vAlign w:val="center"/>
          </w:tcPr>
          <w:p w14:paraId="7D4701FF">
            <w:pPr>
              <w:spacing w:line="360" w:lineRule="auto"/>
              <w:jc w:val="center"/>
              <w:rPr>
                <w:rFonts w:hint="eastAsia" w:ascii="宋体" w:hAnsi="宋体" w:cs="宋体"/>
                <w:color w:val="auto"/>
                <w:sz w:val="21"/>
                <w:szCs w:val="21"/>
                <w:highlight w:val="none"/>
              </w:rPr>
            </w:pPr>
          </w:p>
        </w:tc>
      </w:tr>
      <w:tr w14:paraId="094060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37B3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2.5.4.1</w:t>
            </w:r>
          </w:p>
        </w:tc>
        <w:tc>
          <w:tcPr>
            <w:tcW w:w="6982" w:type="dxa"/>
            <w:tcBorders>
              <w:tl2br w:val="nil"/>
              <w:tr2bl w:val="nil"/>
            </w:tcBorders>
            <w:vAlign w:val="center"/>
          </w:tcPr>
          <w:p w14:paraId="5E2CB7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病人用药采用中心摆药的模式，即在中心摆药室由药师每天根据药疗医嘱摆出每个病人的服用药品。这种形式有利于药师对病人用药审查，有利于药品的集中控制。针对中心摆药的模式，药品管理功能提供摆药程序应用于中心摆药。功能描述：本模块提供住院常规发药、住院中草药发药、住院毒麻类发药、出院带药、住院积存发药、住院退药等功能</w:t>
            </w:r>
          </w:p>
        </w:tc>
        <w:tc>
          <w:tcPr>
            <w:tcW w:w="870" w:type="dxa"/>
            <w:vMerge w:val="continue"/>
            <w:tcBorders>
              <w:tl2br w:val="nil"/>
              <w:tr2bl w:val="nil"/>
            </w:tcBorders>
            <w:noWrap/>
            <w:vAlign w:val="center"/>
          </w:tcPr>
          <w:p w14:paraId="322AF3DD">
            <w:pPr>
              <w:spacing w:line="360" w:lineRule="auto"/>
              <w:jc w:val="center"/>
              <w:rPr>
                <w:rFonts w:hint="eastAsia" w:ascii="宋体" w:hAnsi="宋体" w:cs="宋体"/>
                <w:color w:val="auto"/>
                <w:sz w:val="21"/>
                <w:szCs w:val="21"/>
                <w:highlight w:val="none"/>
              </w:rPr>
            </w:pPr>
          </w:p>
        </w:tc>
      </w:tr>
      <w:tr w14:paraId="3031D1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DC37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△2.5.4.2</w:t>
            </w:r>
          </w:p>
        </w:tc>
        <w:tc>
          <w:tcPr>
            <w:tcW w:w="6982" w:type="dxa"/>
            <w:tcBorders>
              <w:tl2br w:val="nil"/>
              <w:tr2bl w:val="nil"/>
            </w:tcBorders>
            <w:vAlign w:val="center"/>
          </w:tcPr>
          <w:p w14:paraId="7CCEB6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药房可按病区维护退药抵扣药品目录，查看各病房抵扣库存及药品历次退药、发药明细，并可执行欠药清零操作。护士退药时系统自动提醒抵扣药品，提交申请后自动完成退药，病区可查看退药抵扣相关信息。</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2E7E5814">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239596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F8BB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2.5.5</w:t>
            </w:r>
          </w:p>
        </w:tc>
        <w:tc>
          <w:tcPr>
            <w:tcW w:w="6982" w:type="dxa"/>
            <w:tcBorders>
              <w:tl2br w:val="nil"/>
              <w:tr2bl w:val="nil"/>
            </w:tcBorders>
            <w:vAlign w:val="center"/>
          </w:tcPr>
          <w:p w14:paraId="026885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中草药房管理功能</w:t>
            </w:r>
          </w:p>
        </w:tc>
        <w:tc>
          <w:tcPr>
            <w:tcW w:w="870" w:type="dxa"/>
            <w:vMerge w:val="restart"/>
            <w:tcBorders>
              <w:tl2br w:val="nil"/>
              <w:tr2bl w:val="nil"/>
            </w:tcBorders>
            <w:noWrap/>
            <w:vAlign w:val="center"/>
          </w:tcPr>
          <w:p w14:paraId="790FB605">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2F0EC93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8DB3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2.5.5.1</w:t>
            </w:r>
          </w:p>
        </w:tc>
        <w:tc>
          <w:tcPr>
            <w:tcW w:w="6982" w:type="dxa"/>
            <w:tcBorders>
              <w:tl2br w:val="nil"/>
              <w:tr2bl w:val="nil"/>
            </w:tcBorders>
            <w:vAlign w:val="center"/>
          </w:tcPr>
          <w:p w14:paraId="5A2352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中草药房管理功能的目的是实现中草药房的数字化、信息化、智能化，对药品信息、仓储信息和电子处方等进行统一的数字化管理。改变传统药房的药品调配方式和药品的管理模式。功能包括药品信息管理、仓储信息管理、处方综合处理、发药控制、库存管理等子模块。功能药品信息和仓储信息提供两个界面，方便用户对信息的综合管理，支持用户对药品和仓储信息进行模糊查询、增加、删除等操作</w:t>
            </w:r>
          </w:p>
        </w:tc>
        <w:tc>
          <w:tcPr>
            <w:tcW w:w="870" w:type="dxa"/>
            <w:vMerge w:val="continue"/>
            <w:tcBorders>
              <w:tl2br w:val="nil"/>
              <w:tr2bl w:val="nil"/>
            </w:tcBorders>
            <w:noWrap/>
            <w:vAlign w:val="center"/>
          </w:tcPr>
          <w:p w14:paraId="6DA07D13">
            <w:pPr>
              <w:spacing w:line="360" w:lineRule="auto"/>
              <w:jc w:val="center"/>
              <w:rPr>
                <w:rFonts w:hint="eastAsia" w:ascii="宋体" w:hAnsi="宋体" w:cs="宋体"/>
                <w:color w:val="auto"/>
                <w:sz w:val="21"/>
                <w:szCs w:val="21"/>
                <w:highlight w:val="none"/>
              </w:rPr>
            </w:pPr>
          </w:p>
        </w:tc>
      </w:tr>
      <w:tr w14:paraId="188B67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6967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2.5.6</w:t>
            </w:r>
          </w:p>
        </w:tc>
        <w:tc>
          <w:tcPr>
            <w:tcW w:w="6982" w:type="dxa"/>
            <w:tcBorders>
              <w:tl2br w:val="nil"/>
              <w:tr2bl w:val="nil"/>
            </w:tcBorders>
            <w:vAlign w:val="center"/>
          </w:tcPr>
          <w:p w14:paraId="47063C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静脉药物配置中心功能</w:t>
            </w:r>
          </w:p>
        </w:tc>
        <w:tc>
          <w:tcPr>
            <w:tcW w:w="870" w:type="dxa"/>
            <w:vMerge w:val="continue"/>
            <w:tcBorders>
              <w:tl2br w:val="nil"/>
              <w:tr2bl w:val="nil"/>
            </w:tcBorders>
            <w:noWrap/>
            <w:vAlign w:val="center"/>
          </w:tcPr>
          <w:p w14:paraId="6BD38793">
            <w:pPr>
              <w:spacing w:line="360" w:lineRule="auto"/>
              <w:jc w:val="center"/>
              <w:rPr>
                <w:rFonts w:hint="eastAsia" w:ascii="宋体" w:hAnsi="宋体" w:cs="宋体"/>
                <w:color w:val="auto"/>
                <w:sz w:val="21"/>
                <w:szCs w:val="21"/>
                <w:highlight w:val="none"/>
              </w:rPr>
            </w:pPr>
          </w:p>
        </w:tc>
      </w:tr>
      <w:tr w14:paraId="08B7E8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D060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2.5.6.1</w:t>
            </w:r>
          </w:p>
        </w:tc>
        <w:tc>
          <w:tcPr>
            <w:tcW w:w="6982" w:type="dxa"/>
            <w:tcBorders>
              <w:tl2br w:val="nil"/>
              <w:tr2bl w:val="nil"/>
            </w:tcBorders>
            <w:vAlign w:val="center"/>
          </w:tcPr>
          <w:p w14:paraId="538E2B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静脉药物配置中心管理功能是医、药、护三方的输液药品数据交互平台，应支持由医嘱生成领药单自动传到静脉药物集中配置中心，要求实现配置用药医嘱闭环中医嘱审核、排药进仓、冲配出仓发药等环节，满足但不限于以下功能清单</w:t>
            </w:r>
          </w:p>
        </w:tc>
        <w:tc>
          <w:tcPr>
            <w:tcW w:w="870" w:type="dxa"/>
            <w:vMerge w:val="continue"/>
            <w:tcBorders>
              <w:tl2br w:val="nil"/>
              <w:tr2bl w:val="nil"/>
            </w:tcBorders>
            <w:noWrap/>
            <w:vAlign w:val="center"/>
          </w:tcPr>
          <w:p w14:paraId="0A11794D">
            <w:pPr>
              <w:spacing w:line="360" w:lineRule="auto"/>
              <w:jc w:val="center"/>
              <w:rPr>
                <w:rFonts w:hint="eastAsia" w:ascii="宋体" w:hAnsi="宋体" w:cs="宋体"/>
                <w:color w:val="auto"/>
                <w:sz w:val="21"/>
                <w:szCs w:val="21"/>
                <w:highlight w:val="none"/>
              </w:rPr>
            </w:pPr>
          </w:p>
        </w:tc>
      </w:tr>
      <w:tr w14:paraId="234398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1588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2.5.7</w:t>
            </w:r>
          </w:p>
        </w:tc>
        <w:tc>
          <w:tcPr>
            <w:tcW w:w="6982" w:type="dxa"/>
            <w:tcBorders>
              <w:tl2br w:val="nil"/>
              <w:tr2bl w:val="nil"/>
            </w:tcBorders>
            <w:vAlign w:val="center"/>
          </w:tcPr>
          <w:p w14:paraId="569FAF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院内药品移动配送功能</w:t>
            </w:r>
          </w:p>
        </w:tc>
        <w:tc>
          <w:tcPr>
            <w:tcW w:w="870" w:type="dxa"/>
            <w:vMerge w:val="continue"/>
            <w:tcBorders>
              <w:tl2br w:val="nil"/>
              <w:tr2bl w:val="nil"/>
            </w:tcBorders>
            <w:noWrap/>
            <w:vAlign w:val="center"/>
          </w:tcPr>
          <w:p w14:paraId="6FF8444D">
            <w:pPr>
              <w:spacing w:line="360" w:lineRule="auto"/>
              <w:jc w:val="center"/>
              <w:rPr>
                <w:rFonts w:hint="eastAsia" w:ascii="宋体" w:hAnsi="宋体" w:cs="宋体"/>
                <w:color w:val="auto"/>
                <w:sz w:val="21"/>
                <w:szCs w:val="21"/>
                <w:highlight w:val="none"/>
              </w:rPr>
            </w:pPr>
          </w:p>
        </w:tc>
      </w:tr>
      <w:tr w14:paraId="3F7CA6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92BE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2.5.7.1</w:t>
            </w:r>
          </w:p>
        </w:tc>
        <w:tc>
          <w:tcPr>
            <w:tcW w:w="6982" w:type="dxa"/>
            <w:tcBorders>
              <w:tl2br w:val="nil"/>
              <w:tr2bl w:val="nil"/>
            </w:tcBorders>
            <w:vAlign w:val="center"/>
          </w:tcPr>
          <w:p w14:paraId="13FEB3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从药库到医院的配送过程，主要接收到中心送到的药品后，利用 PDA 进行条码扫描、验收、清点、入库、财务入账操作</w:t>
            </w:r>
          </w:p>
        </w:tc>
        <w:tc>
          <w:tcPr>
            <w:tcW w:w="870" w:type="dxa"/>
            <w:vMerge w:val="continue"/>
            <w:tcBorders>
              <w:tl2br w:val="nil"/>
              <w:tr2bl w:val="nil"/>
            </w:tcBorders>
            <w:noWrap/>
            <w:vAlign w:val="center"/>
          </w:tcPr>
          <w:p w14:paraId="78CB62F3">
            <w:pPr>
              <w:spacing w:line="360" w:lineRule="auto"/>
              <w:jc w:val="center"/>
              <w:rPr>
                <w:rFonts w:hint="eastAsia" w:ascii="宋体" w:hAnsi="宋体" w:cs="宋体"/>
                <w:color w:val="auto"/>
                <w:sz w:val="21"/>
                <w:szCs w:val="21"/>
                <w:highlight w:val="none"/>
              </w:rPr>
            </w:pPr>
          </w:p>
        </w:tc>
      </w:tr>
      <w:tr w14:paraId="5A9B216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1117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2.5.7.2</w:t>
            </w:r>
          </w:p>
        </w:tc>
        <w:tc>
          <w:tcPr>
            <w:tcW w:w="6982" w:type="dxa"/>
            <w:tcBorders>
              <w:tl2br w:val="nil"/>
              <w:tr2bl w:val="nil"/>
            </w:tcBorders>
            <w:vAlign w:val="center"/>
          </w:tcPr>
          <w:p w14:paraId="077351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从到临床病区的物流配送过程，病区医嘱通过审核、打印拣药单、医嘱标签、拣药、分装、贴码、审核、打包、二次复核、交接后，由院内物流工进行移动推车配送至临床，再由护理人员进行包裹条码扫描、签收，支持 4G 移动扫码枪扫码并记录相关节点信息</w:t>
            </w:r>
          </w:p>
        </w:tc>
        <w:tc>
          <w:tcPr>
            <w:tcW w:w="870" w:type="dxa"/>
            <w:vMerge w:val="continue"/>
            <w:tcBorders>
              <w:tl2br w:val="nil"/>
              <w:tr2bl w:val="nil"/>
            </w:tcBorders>
            <w:noWrap/>
            <w:vAlign w:val="center"/>
          </w:tcPr>
          <w:p w14:paraId="1AA48F0E">
            <w:pPr>
              <w:spacing w:line="360" w:lineRule="auto"/>
              <w:jc w:val="center"/>
              <w:rPr>
                <w:rFonts w:hint="eastAsia" w:ascii="宋体" w:hAnsi="宋体" w:cs="宋体"/>
                <w:color w:val="auto"/>
                <w:sz w:val="21"/>
                <w:szCs w:val="21"/>
                <w:highlight w:val="none"/>
              </w:rPr>
            </w:pPr>
          </w:p>
        </w:tc>
      </w:tr>
      <w:tr w14:paraId="24B06C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56D5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2.5.7.3</w:t>
            </w:r>
          </w:p>
        </w:tc>
        <w:tc>
          <w:tcPr>
            <w:tcW w:w="6982" w:type="dxa"/>
            <w:tcBorders>
              <w:tl2br w:val="nil"/>
              <w:tr2bl w:val="nil"/>
            </w:tcBorders>
            <w:vAlign w:val="center"/>
          </w:tcPr>
          <w:p w14:paraId="6D4E6B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主要面向药品的物流配送过程的管理，根据药品的打包装箱的信息，生成配送路径清单，保存配送节点的相关信息，以便进行统计分析</w:t>
            </w:r>
          </w:p>
        </w:tc>
        <w:tc>
          <w:tcPr>
            <w:tcW w:w="870" w:type="dxa"/>
            <w:vMerge w:val="continue"/>
            <w:tcBorders>
              <w:tl2br w:val="nil"/>
              <w:tr2bl w:val="nil"/>
            </w:tcBorders>
            <w:noWrap/>
            <w:vAlign w:val="center"/>
          </w:tcPr>
          <w:p w14:paraId="37159B31">
            <w:pPr>
              <w:spacing w:line="360" w:lineRule="auto"/>
              <w:jc w:val="center"/>
              <w:rPr>
                <w:rFonts w:hint="eastAsia" w:ascii="宋体" w:hAnsi="宋体" w:cs="宋体"/>
                <w:color w:val="auto"/>
                <w:sz w:val="21"/>
                <w:szCs w:val="21"/>
                <w:highlight w:val="none"/>
              </w:rPr>
            </w:pPr>
          </w:p>
        </w:tc>
      </w:tr>
      <w:tr w14:paraId="1854F4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0735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2.5.8</w:t>
            </w:r>
          </w:p>
        </w:tc>
        <w:tc>
          <w:tcPr>
            <w:tcW w:w="6982" w:type="dxa"/>
            <w:tcBorders>
              <w:tl2br w:val="nil"/>
              <w:tr2bl w:val="nil"/>
            </w:tcBorders>
            <w:vAlign w:val="center"/>
          </w:tcPr>
          <w:p w14:paraId="008FEA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抗菌药物管理功能</w:t>
            </w:r>
          </w:p>
        </w:tc>
        <w:tc>
          <w:tcPr>
            <w:tcW w:w="870" w:type="dxa"/>
            <w:vMerge w:val="continue"/>
            <w:tcBorders>
              <w:tl2br w:val="nil"/>
              <w:tr2bl w:val="nil"/>
            </w:tcBorders>
            <w:noWrap/>
            <w:vAlign w:val="center"/>
          </w:tcPr>
          <w:p w14:paraId="38725458">
            <w:pPr>
              <w:spacing w:line="360" w:lineRule="auto"/>
              <w:jc w:val="center"/>
              <w:rPr>
                <w:rFonts w:hint="eastAsia" w:ascii="宋体" w:hAnsi="宋体" w:cs="宋体"/>
                <w:color w:val="auto"/>
                <w:sz w:val="21"/>
                <w:szCs w:val="21"/>
                <w:highlight w:val="none"/>
              </w:rPr>
            </w:pPr>
          </w:p>
        </w:tc>
      </w:tr>
      <w:tr w14:paraId="6E53A8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1787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2.5.8.1</w:t>
            </w:r>
          </w:p>
        </w:tc>
        <w:tc>
          <w:tcPr>
            <w:tcW w:w="6982" w:type="dxa"/>
            <w:tcBorders>
              <w:tl2br w:val="nil"/>
              <w:tr2bl w:val="nil"/>
            </w:tcBorders>
            <w:vAlign w:val="center"/>
          </w:tcPr>
          <w:p w14:paraId="25CF45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控制细菌耐药率和减少抗生素不当使用，对于抗菌药的使用制定《抗菌药物临床应用指导原则》。根据建立抗菌药物临床应用管理制度，对临床应用的抗菌药物实行分级管理，监控抗菌素使用。引入药品约定日剂量（DDD）概念，重点反映一定时间段内患者各类抗菌药品的情况和相对合理性；动态监测各类人群的抗菌素使用情况，建立预警机制，提醒医生剂量超出合理范围。并通过监测结果分析、综合指标分析、趋势分析、比较分析、构成分析发现抗菌素使用的异动，为建立抗菌素使用合理规范提供可靠的数据基础。该功能需要无缝对接嵌入 HIS 各个模块，并且需要提供抗生素统计、分析等管理功能</w:t>
            </w:r>
          </w:p>
        </w:tc>
        <w:tc>
          <w:tcPr>
            <w:tcW w:w="870" w:type="dxa"/>
            <w:vMerge w:val="continue"/>
            <w:tcBorders>
              <w:tl2br w:val="nil"/>
              <w:tr2bl w:val="nil"/>
            </w:tcBorders>
            <w:noWrap/>
            <w:vAlign w:val="center"/>
          </w:tcPr>
          <w:p w14:paraId="2DE4EA6F">
            <w:pPr>
              <w:spacing w:line="360" w:lineRule="auto"/>
              <w:jc w:val="center"/>
              <w:rPr>
                <w:rFonts w:hint="eastAsia" w:ascii="宋体" w:hAnsi="宋体" w:cs="宋体"/>
                <w:color w:val="auto"/>
                <w:sz w:val="21"/>
                <w:szCs w:val="21"/>
                <w:highlight w:val="none"/>
              </w:rPr>
            </w:pPr>
          </w:p>
        </w:tc>
      </w:tr>
      <w:tr w14:paraId="1BC726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0C44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2.5.9</w:t>
            </w:r>
          </w:p>
        </w:tc>
        <w:tc>
          <w:tcPr>
            <w:tcW w:w="6982" w:type="dxa"/>
            <w:tcBorders>
              <w:tl2br w:val="nil"/>
              <w:tr2bl w:val="nil"/>
            </w:tcBorders>
            <w:vAlign w:val="center"/>
          </w:tcPr>
          <w:p w14:paraId="2A6DDC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合理用药管理功能（接入改造或新建）</w:t>
            </w:r>
          </w:p>
        </w:tc>
        <w:tc>
          <w:tcPr>
            <w:tcW w:w="870" w:type="dxa"/>
            <w:vMerge w:val="continue"/>
            <w:tcBorders>
              <w:tl2br w:val="nil"/>
              <w:tr2bl w:val="nil"/>
            </w:tcBorders>
            <w:noWrap/>
            <w:vAlign w:val="center"/>
          </w:tcPr>
          <w:p w14:paraId="66D3908A">
            <w:pPr>
              <w:spacing w:line="360" w:lineRule="auto"/>
              <w:jc w:val="center"/>
              <w:rPr>
                <w:rFonts w:hint="eastAsia" w:ascii="宋体" w:hAnsi="宋体" w:cs="宋体"/>
                <w:color w:val="auto"/>
                <w:sz w:val="21"/>
                <w:szCs w:val="21"/>
                <w:highlight w:val="none"/>
              </w:rPr>
            </w:pPr>
          </w:p>
        </w:tc>
      </w:tr>
      <w:tr w14:paraId="5A8168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E727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2.5.9.1</w:t>
            </w:r>
          </w:p>
        </w:tc>
        <w:tc>
          <w:tcPr>
            <w:tcW w:w="6982" w:type="dxa"/>
            <w:tcBorders>
              <w:tl2br w:val="nil"/>
              <w:tr2bl w:val="nil"/>
            </w:tcBorders>
            <w:vAlign w:val="center"/>
          </w:tcPr>
          <w:p w14:paraId="2011CD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合理用药功能根据临床合理用药专业工作的基本特点和要求，运用信息技术对科学、权威和不断涌现的医药学及其相关学科知识进行标准结构化处理，可实现医嘱自动审查和医药信息在线查询，及时发现潜在的不合理用药问题，帮助并提醒医生、药师等临床专业人员在用药过程中及时有效地掌握和利用医药知识，预防药物不良事件的发生、促进临床合理用药工作的数据库应用功能</w:t>
            </w:r>
          </w:p>
        </w:tc>
        <w:tc>
          <w:tcPr>
            <w:tcW w:w="870" w:type="dxa"/>
            <w:vMerge w:val="continue"/>
            <w:tcBorders>
              <w:tl2br w:val="nil"/>
              <w:tr2bl w:val="nil"/>
            </w:tcBorders>
            <w:noWrap/>
            <w:vAlign w:val="center"/>
          </w:tcPr>
          <w:p w14:paraId="6FC7C259">
            <w:pPr>
              <w:spacing w:line="360" w:lineRule="auto"/>
              <w:jc w:val="center"/>
              <w:rPr>
                <w:rFonts w:hint="eastAsia" w:ascii="宋体" w:hAnsi="宋体" w:cs="宋体"/>
                <w:color w:val="auto"/>
                <w:sz w:val="21"/>
                <w:szCs w:val="21"/>
                <w:highlight w:val="none"/>
              </w:rPr>
            </w:pPr>
          </w:p>
        </w:tc>
      </w:tr>
      <w:tr w14:paraId="33DB8A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508C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2.5.9.2</w:t>
            </w:r>
          </w:p>
        </w:tc>
        <w:tc>
          <w:tcPr>
            <w:tcW w:w="6982" w:type="dxa"/>
            <w:tcBorders>
              <w:tl2br w:val="nil"/>
              <w:tr2bl w:val="nil"/>
            </w:tcBorders>
            <w:vAlign w:val="center"/>
          </w:tcPr>
          <w:p w14:paraId="60259D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HIS 功能中门诊医生功能、病区功能、电子病历、药房功能、药库功能等需要与嵌入合理用药管理功能，对有错误的处方，需将返回数据插入 HIS 功能的表结构进行存储，实现数据交互，实现相关信息的互通，返回信息友好展示等</w:t>
            </w:r>
          </w:p>
        </w:tc>
        <w:tc>
          <w:tcPr>
            <w:tcW w:w="870" w:type="dxa"/>
            <w:vMerge w:val="continue"/>
            <w:tcBorders>
              <w:tl2br w:val="nil"/>
              <w:tr2bl w:val="nil"/>
            </w:tcBorders>
            <w:noWrap/>
            <w:vAlign w:val="center"/>
          </w:tcPr>
          <w:p w14:paraId="75A85334">
            <w:pPr>
              <w:spacing w:line="360" w:lineRule="auto"/>
              <w:jc w:val="center"/>
              <w:rPr>
                <w:rFonts w:hint="eastAsia" w:ascii="宋体" w:hAnsi="宋体" w:cs="宋体"/>
                <w:color w:val="auto"/>
                <w:sz w:val="21"/>
                <w:szCs w:val="21"/>
                <w:highlight w:val="none"/>
              </w:rPr>
            </w:pPr>
          </w:p>
        </w:tc>
      </w:tr>
      <w:tr w14:paraId="26D7B7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D4D9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2.5.10</w:t>
            </w:r>
          </w:p>
        </w:tc>
        <w:tc>
          <w:tcPr>
            <w:tcW w:w="6982" w:type="dxa"/>
            <w:tcBorders>
              <w:tl2br w:val="nil"/>
              <w:tr2bl w:val="nil"/>
            </w:tcBorders>
            <w:vAlign w:val="center"/>
          </w:tcPr>
          <w:p w14:paraId="357F45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处方前置审核功能（接入改造或新建）</w:t>
            </w:r>
          </w:p>
        </w:tc>
        <w:tc>
          <w:tcPr>
            <w:tcW w:w="870" w:type="dxa"/>
            <w:vMerge w:val="continue"/>
            <w:tcBorders>
              <w:tl2br w:val="nil"/>
              <w:tr2bl w:val="nil"/>
            </w:tcBorders>
            <w:noWrap/>
            <w:vAlign w:val="center"/>
          </w:tcPr>
          <w:p w14:paraId="647E2A19">
            <w:pPr>
              <w:spacing w:line="360" w:lineRule="auto"/>
              <w:jc w:val="center"/>
              <w:rPr>
                <w:rFonts w:hint="eastAsia" w:ascii="宋体" w:hAnsi="宋体" w:cs="宋体"/>
                <w:color w:val="auto"/>
                <w:sz w:val="21"/>
                <w:szCs w:val="21"/>
                <w:highlight w:val="none"/>
              </w:rPr>
            </w:pPr>
          </w:p>
        </w:tc>
      </w:tr>
      <w:tr w14:paraId="2E591A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04BD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2.5.10.1</w:t>
            </w:r>
          </w:p>
        </w:tc>
        <w:tc>
          <w:tcPr>
            <w:tcW w:w="6982" w:type="dxa"/>
            <w:tcBorders>
              <w:tl2br w:val="nil"/>
              <w:tr2bl w:val="nil"/>
            </w:tcBorders>
            <w:vAlign w:val="center"/>
          </w:tcPr>
          <w:p w14:paraId="16A334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医嘱审核功能是建立在医院 HIS、EMR 等基础应用数据中心基础之上的整合型平台，功能以网络为依托，支持与电子病历、门诊医生、药房功能等对接，能获取患者信息、医生信息、处方信息、药房信息、药品信息、过敏史信息、诊断信息、检验检查结果 / 图像信息等，做到实时、准确，药房发药要根据审核结果处理，如果审核通过则可以发药，审核不通过，则要支持回退、误方通知等功能，并且药房不能发药</w:t>
            </w:r>
          </w:p>
        </w:tc>
        <w:tc>
          <w:tcPr>
            <w:tcW w:w="870" w:type="dxa"/>
            <w:vMerge w:val="continue"/>
            <w:tcBorders>
              <w:tl2br w:val="nil"/>
              <w:tr2bl w:val="nil"/>
            </w:tcBorders>
            <w:noWrap/>
            <w:vAlign w:val="center"/>
          </w:tcPr>
          <w:p w14:paraId="2469A764">
            <w:pPr>
              <w:spacing w:line="360" w:lineRule="auto"/>
              <w:jc w:val="center"/>
              <w:rPr>
                <w:rFonts w:hint="eastAsia" w:ascii="宋体" w:hAnsi="宋体" w:cs="宋体"/>
                <w:color w:val="auto"/>
                <w:sz w:val="21"/>
                <w:szCs w:val="21"/>
                <w:highlight w:val="none"/>
              </w:rPr>
            </w:pPr>
          </w:p>
        </w:tc>
      </w:tr>
      <w:tr w14:paraId="0AC53E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D3A4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2.5.11</w:t>
            </w:r>
          </w:p>
        </w:tc>
        <w:tc>
          <w:tcPr>
            <w:tcW w:w="6982" w:type="dxa"/>
            <w:tcBorders>
              <w:tl2br w:val="nil"/>
              <w:tr2bl w:val="nil"/>
            </w:tcBorders>
            <w:vAlign w:val="center"/>
          </w:tcPr>
          <w:p w14:paraId="4D560C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包药、发药机、统排机、智能药柜对接</w:t>
            </w:r>
          </w:p>
        </w:tc>
        <w:tc>
          <w:tcPr>
            <w:tcW w:w="870" w:type="dxa"/>
            <w:vMerge w:val="continue"/>
            <w:tcBorders>
              <w:tl2br w:val="nil"/>
              <w:tr2bl w:val="nil"/>
            </w:tcBorders>
            <w:noWrap/>
            <w:vAlign w:val="center"/>
          </w:tcPr>
          <w:p w14:paraId="4FB5C056">
            <w:pPr>
              <w:spacing w:line="360" w:lineRule="auto"/>
              <w:jc w:val="center"/>
              <w:rPr>
                <w:rFonts w:hint="eastAsia" w:ascii="宋体" w:hAnsi="宋体" w:cs="宋体"/>
                <w:color w:val="auto"/>
                <w:sz w:val="21"/>
                <w:szCs w:val="21"/>
                <w:highlight w:val="none"/>
              </w:rPr>
            </w:pPr>
          </w:p>
        </w:tc>
      </w:tr>
      <w:tr w14:paraId="2F6626B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386E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2.5.11.1</w:t>
            </w:r>
          </w:p>
        </w:tc>
        <w:tc>
          <w:tcPr>
            <w:tcW w:w="6982" w:type="dxa"/>
            <w:tcBorders>
              <w:tl2br w:val="nil"/>
              <w:tr2bl w:val="nil"/>
            </w:tcBorders>
            <w:vAlign w:val="center"/>
          </w:tcPr>
          <w:p w14:paraId="51217B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个院区药房、手术室对应的包药机包药、统排机、智能药柜需要分别对接。例如静配中心，病区出院带药以及小处方都插入视图，让包药机定时读取；门诊配药包药机是调用接口的方式以及定时读取视图。相关数据传输需要有统计查询功能。各个院区的包药机设备的所属公司不同，需要实现与医院所有相关包药机设备公司包药机功能软件的全面对接，实现药品发药功能的所有功能</w:t>
            </w:r>
          </w:p>
        </w:tc>
        <w:tc>
          <w:tcPr>
            <w:tcW w:w="870" w:type="dxa"/>
            <w:vMerge w:val="continue"/>
            <w:tcBorders>
              <w:tl2br w:val="nil"/>
              <w:tr2bl w:val="nil"/>
            </w:tcBorders>
            <w:noWrap/>
            <w:vAlign w:val="center"/>
          </w:tcPr>
          <w:p w14:paraId="71546241">
            <w:pPr>
              <w:spacing w:line="360" w:lineRule="auto"/>
              <w:jc w:val="center"/>
              <w:rPr>
                <w:rFonts w:hint="eastAsia" w:ascii="宋体" w:hAnsi="宋体" w:cs="宋体"/>
                <w:color w:val="auto"/>
                <w:sz w:val="21"/>
                <w:szCs w:val="21"/>
                <w:highlight w:val="none"/>
              </w:rPr>
            </w:pPr>
          </w:p>
        </w:tc>
      </w:tr>
      <w:tr w14:paraId="1132D2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2404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w:t>
            </w:r>
          </w:p>
        </w:tc>
        <w:tc>
          <w:tcPr>
            <w:tcW w:w="6982" w:type="dxa"/>
            <w:tcBorders>
              <w:tl2br w:val="nil"/>
              <w:tr2bl w:val="nil"/>
            </w:tcBorders>
            <w:vAlign w:val="center"/>
          </w:tcPr>
          <w:p w14:paraId="19C7ED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护理业务流程改造</w:t>
            </w:r>
          </w:p>
        </w:tc>
        <w:tc>
          <w:tcPr>
            <w:tcW w:w="870" w:type="dxa"/>
            <w:vMerge w:val="restart"/>
            <w:tcBorders>
              <w:tl2br w:val="nil"/>
              <w:tr2bl w:val="nil"/>
            </w:tcBorders>
            <w:noWrap/>
            <w:vAlign w:val="center"/>
          </w:tcPr>
          <w:p w14:paraId="2B89A5BF">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6E3C16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8B7F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2.6.1</w:t>
            </w:r>
          </w:p>
        </w:tc>
        <w:tc>
          <w:tcPr>
            <w:tcW w:w="6982" w:type="dxa"/>
            <w:tcBorders>
              <w:tl2br w:val="nil"/>
              <w:tr2bl w:val="nil"/>
            </w:tcBorders>
            <w:vAlign w:val="center"/>
          </w:tcPr>
          <w:p w14:paraId="6F41D4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门诊护士功能</w:t>
            </w:r>
          </w:p>
        </w:tc>
        <w:tc>
          <w:tcPr>
            <w:tcW w:w="870" w:type="dxa"/>
            <w:vMerge w:val="continue"/>
            <w:tcBorders>
              <w:tl2br w:val="nil"/>
              <w:tr2bl w:val="nil"/>
            </w:tcBorders>
            <w:noWrap/>
            <w:vAlign w:val="center"/>
          </w:tcPr>
          <w:p w14:paraId="51223239">
            <w:pPr>
              <w:spacing w:line="360" w:lineRule="auto"/>
              <w:jc w:val="center"/>
              <w:rPr>
                <w:rFonts w:hint="eastAsia" w:ascii="宋体" w:hAnsi="宋体" w:cs="宋体"/>
                <w:color w:val="auto"/>
                <w:sz w:val="21"/>
                <w:szCs w:val="21"/>
                <w:highlight w:val="none"/>
              </w:rPr>
            </w:pPr>
          </w:p>
        </w:tc>
      </w:tr>
      <w:tr w14:paraId="197087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5EDB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2.6.1.1</w:t>
            </w:r>
          </w:p>
        </w:tc>
        <w:tc>
          <w:tcPr>
            <w:tcW w:w="6982" w:type="dxa"/>
            <w:tcBorders>
              <w:tl2br w:val="nil"/>
              <w:tr2bl w:val="nil"/>
            </w:tcBorders>
            <w:vAlign w:val="center"/>
          </w:tcPr>
          <w:p w14:paraId="0547EA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护士功能主要用于护士对诊间医生、呼叫顺序的管理。患者在自助机或护士站报道之后进行排队叫号，可手动调整患者就诊的诊室和就诊顺序。复诊患者来刷卡时，护士可手动选择复诊或者初诊。对于发热患者可做简单的预检登记</w:t>
            </w:r>
          </w:p>
        </w:tc>
        <w:tc>
          <w:tcPr>
            <w:tcW w:w="870" w:type="dxa"/>
            <w:vMerge w:val="continue"/>
            <w:tcBorders>
              <w:tl2br w:val="nil"/>
              <w:tr2bl w:val="nil"/>
            </w:tcBorders>
            <w:noWrap/>
            <w:vAlign w:val="center"/>
          </w:tcPr>
          <w:p w14:paraId="67933F7D">
            <w:pPr>
              <w:spacing w:line="360" w:lineRule="auto"/>
              <w:jc w:val="center"/>
              <w:rPr>
                <w:rFonts w:hint="eastAsia" w:ascii="宋体" w:hAnsi="宋体" w:cs="宋体"/>
                <w:color w:val="auto"/>
                <w:sz w:val="21"/>
                <w:szCs w:val="21"/>
                <w:highlight w:val="none"/>
              </w:rPr>
            </w:pPr>
          </w:p>
        </w:tc>
      </w:tr>
      <w:tr w14:paraId="6E23E6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2B68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2.6.2</w:t>
            </w:r>
          </w:p>
        </w:tc>
        <w:tc>
          <w:tcPr>
            <w:tcW w:w="6982" w:type="dxa"/>
            <w:tcBorders>
              <w:tl2br w:val="nil"/>
              <w:tr2bl w:val="nil"/>
            </w:tcBorders>
            <w:vAlign w:val="center"/>
          </w:tcPr>
          <w:p w14:paraId="160427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急诊预检分诊功能</w:t>
            </w:r>
          </w:p>
        </w:tc>
        <w:tc>
          <w:tcPr>
            <w:tcW w:w="870" w:type="dxa"/>
            <w:vMerge w:val="continue"/>
            <w:tcBorders>
              <w:tl2br w:val="nil"/>
              <w:tr2bl w:val="nil"/>
            </w:tcBorders>
            <w:noWrap/>
            <w:vAlign w:val="center"/>
          </w:tcPr>
          <w:p w14:paraId="2D2D754D">
            <w:pPr>
              <w:spacing w:line="360" w:lineRule="auto"/>
              <w:jc w:val="center"/>
              <w:rPr>
                <w:rFonts w:hint="eastAsia" w:ascii="宋体" w:hAnsi="宋体" w:cs="宋体"/>
                <w:color w:val="auto"/>
                <w:sz w:val="21"/>
                <w:szCs w:val="21"/>
                <w:highlight w:val="none"/>
              </w:rPr>
            </w:pPr>
          </w:p>
        </w:tc>
      </w:tr>
      <w:tr w14:paraId="2994F6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928E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2.6.2.1</w:t>
            </w:r>
          </w:p>
        </w:tc>
        <w:tc>
          <w:tcPr>
            <w:tcW w:w="6982" w:type="dxa"/>
            <w:tcBorders>
              <w:tl2br w:val="nil"/>
              <w:tr2bl w:val="nil"/>
            </w:tcBorders>
            <w:vAlign w:val="center"/>
          </w:tcPr>
          <w:p w14:paraId="7605EA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急诊预检分诊功能对急诊抢救患者进行管理，实现与急诊医生功能对接。来院的急诊患者在分诊台先进行预检以及体征检测，并对急诊患者根据多种评分来进行分级功能</w:t>
            </w:r>
          </w:p>
        </w:tc>
        <w:tc>
          <w:tcPr>
            <w:tcW w:w="870" w:type="dxa"/>
            <w:vMerge w:val="continue"/>
            <w:tcBorders>
              <w:tl2br w:val="nil"/>
              <w:tr2bl w:val="nil"/>
            </w:tcBorders>
            <w:noWrap/>
            <w:vAlign w:val="center"/>
          </w:tcPr>
          <w:p w14:paraId="277A3F1C">
            <w:pPr>
              <w:spacing w:line="360" w:lineRule="auto"/>
              <w:jc w:val="center"/>
              <w:rPr>
                <w:rFonts w:hint="eastAsia" w:ascii="宋体" w:hAnsi="宋体" w:cs="宋体"/>
                <w:color w:val="auto"/>
                <w:sz w:val="21"/>
                <w:szCs w:val="21"/>
                <w:highlight w:val="none"/>
              </w:rPr>
            </w:pPr>
          </w:p>
        </w:tc>
      </w:tr>
      <w:tr w14:paraId="2935F3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50BF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2.6.3</w:t>
            </w:r>
          </w:p>
        </w:tc>
        <w:tc>
          <w:tcPr>
            <w:tcW w:w="6982" w:type="dxa"/>
            <w:tcBorders>
              <w:tl2br w:val="nil"/>
              <w:tr2bl w:val="nil"/>
            </w:tcBorders>
            <w:vAlign w:val="center"/>
          </w:tcPr>
          <w:p w14:paraId="50225D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急诊移动输液功能</w:t>
            </w:r>
          </w:p>
        </w:tc>
        <w:tc>
          <w:tcPr>
            <w:tcW w:w="870" w:type="dxa"/>
            <w:vMerge w:val="continue"/>
            <w:tcBorders>
              <w:tl2br w:val="nil"/>
              <w:tr2bl w:val="nil"/>
            </w:tcBorders>
            <w:noWrap/>
            <w:vAlign w:val="center"/>
          </w:tcPr>
          <w:p w14:paraId="21C4086B">
            <w:pPr>
              <w:spacing w:line="360" w:lineRule="auto"/>
              <w:jc w:val="center"/>
              <w:rPr>
                <w:rFonts w:hint="eastAsia" w:ascii="宋体" w:hAnsi="宋体" w:cs="宋体"/>
                <w:color w:val="auto"/>
                <w:sz w:val="21"/>
                <w:szCs w:val="21"/>
                <w:highlight w:val="none"/>
              </w:rPr>
            </w:pPr>
          </w:p>
        </w:tc>
      </w:tr>
      <w:tr w14:paraId="620A5A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4149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2.6.3.1</w:t>
            </w:r>
          </w:p>
        </w:tc>
        <w:tc>
          <w:tcPr>
            <w:tcW w:w="6982" w:type="dxa"/>
            <w:tcBorders>
              <w:tl2br w:val="nil"/>
              <w:tr2bl w:val="nil"/>
            </w:tcBorders>
            <w:vAlign w:val="center"/>
          </w:tcPr>
          <w:p w14:paraId="054C4E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移动输液功能应用于门急诊输液区域，主要进行输液病人和输液工作的管理。急诊患者在急诊输液护士站可以进行刷卡排队等候配药，排队屏显示等候患者信息并进行叫号。为了方便以及准确地进行输液药物的核对，可以用 PDA 扫码来确认是否正确对应</w:t>
            </w:r>
          </w:p>
        </w:tc>
        <w:tc>
          <w:tcPr>
            <w:tcW w:w="870" w:type="dxa"/>
            <w:vMerge w:val="continue"/>
            <w:tcBorders>
              <w:tl2br w:val="nil"/>
              <w:tr2bl w:val="nil"/>
            </w:tcBorders>
            <w:noWrap/>
            <w:vAlign w:val="center"/>
          </w:tcPr>
          <w:p w14:paraId="53DFB22A">
            <w:pPr>
              <w:spacing w:line="360" w:lineRule="auto"/>
              <w:jc w:val="center"/>
              <w:rPr>
                <w:rFonts w:hint="eastAsia" w:ascii="宋体" w:hAnsi="宋体" w:cs="宋体"/>
                <w:color w:val="auto"/>
                <w:sz w:val="21"/>
                <w:szCs w:val="21"/>
                <w:highlight w:val="none"/>
              </w:rPr>
            </w:pPr>
          </w:p>
        </w:tc>
      </w:tr>
      <w:tr w14:paraId="17D223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C6AE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2.6.4</w:t>
            </w:r>
          </w:p>
        </w:tc>
        <w:tc>
          <w:tcPr>
            <w:tcW w:w="6982" w:type="dxa"/>
            <w:tcBorders>
              <w:tl2br w:val="nil"/>
              <w:tr2bl w:val="nil"/>
            </w:tcBorders>
            <w:vAlign w:val="center"/>
          </w:tcPr>
          <w:p w14:paraId="22A2D5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急诊护理功能</w:t>
            </w:r>
          </w:p>
        </w:tc>
        <w:tc>
          <w:tcPr>
            <w:tcW w:w="870" w:type="dxa"/>
            <w:vMerge w:val="continue"/>
            <w:tcBorders>
              <w:tl2br w:val="nil"/>
              <w:tr2bl w:val="nil"/>
            </w:tcBorders>
            <w:noWrap/>
            <w:vAlign w:val="center"/>
          </w:tcPr>
          <w:p w14:paraId="77C0725F">
            <w:pPr>
              <w:spacing w:line="360" w:lineRule="auto"/>
              <w:jc w:val="center"/>
              <w:rPr>
                <w:rFonts w:hint="eastAsia" w:ascii="宋体" w:hAnsi="宋体" w:cs="宋体"/>
                <w:color w:val="auto"/>
                <w:sz w:val="21"/>
                <w:szCs w:val="21"/>
                <w:highlight w:val="none"/>
              </w:rPr>
            </w:pPr>
          </w:p>
        </w:tc>
      </w:tr>
      <w:tr w14:paraId="2C9D90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CEB2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2.6.4.1</w:t>
            </w:r>
          </w:p>
        </w:tc>
        <w:tc>
          <w:tcPr>
            <w:tcW w:w="6982" w:type="dxa"/>
            <w:tcBorders>
              <w:tl2br w:val="nil"/>
              <w:tr2bl w:val="nil"/>
            </w:tcBorders>
            <w:vAlign w:val="center"/>
          </w:tcPr>
          <w:p w14:paraId="3D814F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急诊护理功能是建立在医院信息集成平台功能基础数据之上的二次应用平台，功能以无线网络为数据传输链路，使用手持数据终端（PDA），将医院各种基础数据源通过无线网络与 PDA 连接，实现急诊护士在病床边实时输入、查询、修改病人的基本信息、医嘱信息和生命体征等；通过将二维条形码标识技术应用于病人腕带、药品卷标、生化卷标和标本卷标等，采用手持终端设备扫描腕带等卷标信息，快速准确的实现病人、药品和标本等识别。同时支持患者床头监护设备数据接入、采集、分析及预警机制</w:t>
            </w:r>
          </w:p>
        </w:tc>
        <w:tc>
          <w:tcPr>
            <w:tcW w:w="870" w:type="dxa"/>
            <w:vMerge w:val="continue"/>
            <w:tcBorders>
              <w:tl2br w:val="nil"/>
              <w:tr2bl w:val="nil"/>
            </w:tcBorders>
            <w:noWrap/>
            <w:vAlign w:val="center"/>
          </w:tcPr>
          <w:p w14:paraId="1CAF5357">
            <w:pPr>
              <w:spacing w:line="360" w:lineRule="auto"/>
              <w:jc w:val="center"/>
              <w:rPr>
                <w:rFonts w:hint="eastAsia" w:ascii="宋体" w:hAnsi="宋体" w:cs="宋体"/>
                <w:color w:val="auto"/>
                <w:sz w:val="21"/>
                <w:szCs w:val="21"/>
                <w:highlight w:val="none"/>
              </w:rPr>
            </w:pPr>
          </w:p>
        </w:tc>
      </w:tr>
      <w:tr w14:paraId="1FC2B7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ADC2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2.6.5</w:t>
            </w:r>
          </w:p>
        </w:tc>
        <w:tc>
          <w:tcPr>
            <w:tcW w:w="6982" w:type="dxa"/>
            <w:tcBorders>
              <w:tl2br w:val="nil"/>
              <w:tr2bl w:val="nil"/>
            </w:tcBorders>
            <w:vAlign w:val="center"/>
          </w:tcPr>
          <w:p w14:paraId="728B4B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一体化住院护士功能</w:t>
            </w:r>
          </w:p>
        </w:tc>
        <w:tc>
          <w:tcPr>
            <w:tcW w:w="870" w:type="dxa"/>
            <w:vMerge w:val="continue"/>
            <w:tcBorders>
              <w:tl2br w:val="nil"/>
              <w:tr2bl w:val="nil"/>
            </w:tcBorders>
            <w:noWrap/>
            <w:vAlign w:val="center"/>
          </w:tcPr>
          <w:p w14:paraId="137B8C8A">
            <w:pPr>
              <w:spacing w:line="360" w:lineRule="auto"/>
              <w:jc w:val="center"/>
              <w:rPr>
                <w:rFonts w:hint="eastAsia" w:ascii="宋体" w:hAnsi="宋体" w:cs="宋体"/>
                <w:color w:val="auto"/>
                <w:sz w:val="21"/>
                <w:szCs w:val="21"/>
                <w:highlight w:val="none"/>
              </w:rPr>
            </w:pPr>
          </w:p>
        </w:tc>
      </w:tr>
      <w:tr w14:paraId="3C9F18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8458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2.6.5.1</w:t>
            </w:r>
          </w:p>
        </w:tc>
        <w:tc>
          <w:tcPr>
            <w:tcW w:w="6982" w:type="dxa"/>
            <w:tcBorders>
              <w:tl2br w:val="nil"/>
              <w:tr2bl w:val="nil"/>
            </w:tcBorders>
            <w:vAlign w:val="center"/>
          </w:tcPr>
          <w:p w14:paraId="782E6E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体化住院护士功能是协助病房护士对住院患者完成日常的护理工作的功能。其主要任务是协助护士核对并处理医生下达的长期和临时医嘱，对医嘱执行情况进行管理。同时协助护士完成护理及病区床位管理等日常工作；护理医嘱下达与执行、护士排班；支持膳食医嘱的登记管理。应支持护士病房管理、医嘱处理管理、病人费用查询、护士执行等</w:t>
            </w:r>
          </w:p>
        </w:tc>
        <w:tc>
          <w:tcPr>
            <w:tcW w:w="870" w:type="dxa"/>
            <w:vMerge w:val="continue"/>
            <w:tcBorders>
              <w:tl2br w:val="nil"/>
              <w:tr2bl w:val="nil"/>
            </w:tcBorders>
            <w:noWrap/>
            <w:vAlign w:val="center"/>
          </w:tcPr>
          <w:p w14:paraId="1237C6D4">
            <w:pPr>
              <w:spacing w:line="360" w:lineRule="auto"/>
              <w:jc w:val="center"/>
              <w:rPr>
                <w:rFonts w:hint="eastAsia" w:ascii="宋体" w:hAnsi="宋体" w:cs="宋体"/>
                <w:color w:val="auto"/>
                <w:sz w:val="21"/>
                <w:szCs w:val="21"/>
                <w:highlight w:val="none"/>
              </w:rPr>
            </w:pPr>
          </w:p>
        </w:tc>
      </w:tr>
      <w:tr w14:paraId="6ED74E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B6C7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w:t>
            </w:r>
          </w:p>
        </w:tc>
        <w:tc>
          <w:tcPr>
            <w:tcW w:w="6982" w:type="dxa"/>
            <w:tcBorders>
              <w:tl2br w:val="nil"/>
              <w:tr2bl w:val="nil"/>
            </w:tcBorders>
            <w:vAlign w:val="center"/>
          </w:tcPr>
          <w:p w14:paraId="18A95A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新版药柜系统（升级）</w:t>
            </w:r>
          </w:p>
        </w:tc>
        <w:tc>
          <w:tcPr>
            <w:tcW w:w="870" w:type="dxa"/>
            <w:vMerge w:val="restart"/>
            <w:tcBorders>
              <w:tl2br w:val="nil"/>
              <w:tr2bl w:val="nil"/>
            </w:tcBorders>
            <w:noWrap/>
            <w:vAlign w:val="center"/>
          </w:tcPr>
          <w:p w14:paraId="34379D20">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29CB72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F95C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2.7.1</w:t>
            </w:r>
          </w:p>
        </w:tc>
        <w:tc>
          <w:tcPr>
            <w:tcW w:w="6982" w:type="dxa"/>
            <w:tcBorders>
              <w:tl2br w:val="nil"/>
              <w:tr2bl w:val="nil"/>
            </w:tcBorders>
            <w:vAlign w:val="center"/>
          </w:tcPr>
          <w:p w14:paraId="19A99C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手术用药</w:t>
            </w:r>
          </w:p>
        </w:tc>
        <w:tc>
          <w:tcPr>
            <w:tcW w:w="870" w:type="dxa"/>
            <w:vMerge w:val="continue"/>
            <w:tcBorders>
              <w:tl2br w:val="nil"/>
              <w:tr2bl w:val="nil"/>
            </w:tcBorders>
            <w:noWrap/>
            <w:vAlign w:val="center"/>
          </w:tcPr>
          <w:p w14:paraId="0D27F270">
            <w:pPr>
              <w:spacing w:line="360" w:lineRule="auto"/>
              <w:jc w:val="center"/>
              <w:rPr>
                <w:rFonts w:hint="eastAsia" w:ascii="宋体" w:hAnsi="宋体" w:cs="宋体"/>
                <w:color w:val="auto"/>
                <w:sz w:val="21"/>
                <w:szCs w:val="21"/>
                <w:highlight w:val="none"/>
              </w:rPr>
            </w:pPr>
          </w:p>
        </w:tc>
      </w:tr>
      <w:tr w14:paraId="51133F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4EEF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2.7.1.1</w:t>
            </w:r>
          </w:p>
        </w:tc>
        <w:tc>
          <w:tcPr>
            <w:tcW w:w="6982" w:type="dxa"/>
            <w:tcBorders>
              <w:tl2br w:val="nil"/>
              <w:tr2bl w:val="nil"/>
            </w:tcBorders>
            <w:vAlign w:val="center"/>
          </w:tcPr>
          <w:p w14:paraId="221C92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手术病人用药在流程上有先用后补的特点，同时需要考虑到病人紧急出院的情况，该功能流程支持病人先计费后补药的模式，病人用药时可以及时完成计费，扣减二级药柜的库存。按周期向药房申领补充</w:t>
            </w:r>
          </w:p>
        </w:tc>
        <w:tc>
          <w:tcPr>
            <w:tcW w:w="870" w:type="dxa"/>
            <w:vMerge w:val="continue"/>
            <w:tcBorders>
              <w:tl2br w:val="nil"/>
              <w:tr2bl w:val="nil"/>
            </w:tcBorders>
            <w:noWrap/>
            <w:vAlign w:val="center"/>
          </w:tcPr>
          <w:p w14:paraId="56A441D7">
            <w:pPr>
              <w:spacing w:line="360" w:lineRule="auto"/>
              <w:jc w:val="center"/>
              <w:rPr>
                <w:rFonts w:hint="eastAsia" w:ascii="宋体" w:hAnsi="宋体" w:cs="宋体"/>
                <w:color w:val="auto"/>
                <w:sz w:val="21"/>
                <w:szCs w:val="21"/>
                <w:highlight w:val="none"/>
              </w:rPr>
            </w:pPr>
          </w:p>
        </w:tc>
      </w:tr>
      <w:tr w14:paraId="2204FC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D5BA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2.7.2</w:t>
            </w:r>
          </w:p>
        </w:tc>
        <w:tc>
          <w:tcPr>
            <w:tcW w:w="6982" w:type="dxa"/>
            <w:tcBorders>
              <w:tl2br w:val="nil"/>
              <w:tr2bl w:val="nil"/>
            </w:tcBorders>
            <w:vAlign w:val="center"/>
          </w:tcPr>
          <w:p w14:paraId="0E6593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套餐开立</w:t>
            </w:r>
          </w:p>
        </w:tc>
        <w:tc>
          <w:tcPr>
            <w:tcW w:w="870" w:type="dxa"/>
            <w:vMerge w:val="continue"/>
            <w:tcBorders>
              <w:tl2br w:val="nil"/>
              <w:tr2bl w:val="nil"/>
            </w:tcBorders>
            <w:noWrap/>
            <w:vAlign w:val="center"/>
          </w:tcPr>
          <w:p w14:paraId="6FA93FF0">
            <w:pPr>
              <w:spacing w:line="360" w:lineRule="auto"/>
              <w:jc w:val="center"/>
              <w:rPr>
                <w:rFonts w:hint="eastAsia" w:ascii="宋体" w:hAnsi="宋体" w:cs="宋体"/>
                <w:color w:val="auto"/>
                <w:sz w:val="21"/>
                <w:szCs w:val="21"/>
                <w:highlight w:val="none"/>
              </w:rPr>
            </w:pPr>
          </w:p>
        </w:tc>
      </w:tr>
      <w:tr w14:paraId="1B204F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BFE4C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2.7.2.1</w:t>
            </w:r>
          </w:p>
        </w:tc>
        <w:tc>
          <w:tcPr>
            <w:tcW w:w="6982" w:type="dxa"/>
            <w:tcBorders>
              <w:tl2br w:val="nil"/>
              <w:tr2bl w:val="nil"/>
            </w:tcBorders>
            <w:vAlign w:val="center"/>
          </w:tcPr>
          <w:p w14:paraId="5A0DE0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支持套餐开立，在检查完成的同时确认发药。按周期向药房申领补充</w:t>
            </w:r>
          </w:p>
        </w:tc>
        <w:tc>
          <w:tcPr>
            <w:tcW w:w="870" w:type="dxa"/>
            <w:vMerge w:val="continue"/>
            <w:tcBorders>
              <w:tl2br w:val="nil"/>
              <w:tr2bl w:val="nil"/>
            </w:tcBorders>
            <w:noWrap/>
            <w:vAlign w:val="center"/>
          </w:tcPr>
          <w:p w14:paraId="652F7CC2">
            <w:pPr>
              <w:spacing w:line="360" w:lineRule="auto"/>
              <w:jc w:val="center"/>
              <w:rPr>
                <w:rFonts w:hint="eastAsia" w:ascii="宋体" w:hAnsi="宋体" w:cs="宋体"/>
                <w:color w:val="auto"/>
                <w:sz w:val="21"/>
                <w:szCs w:val="21"/>
                <w:highlight w:val="none"/>
              </w:rPr>
            </w:pPr>
          </w:p>
        </w:tc>
      </w:tr>
      <w:tr w14:paraId="6346C1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E7CF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2.7.3</w:t>
            </w:r>
          </w:p>
        </w:tc>
        <w:tc>
          <w:tcPr>
            <w:tcW w:w="6982" w:type="dxa"/>
            <w:tcBorders>
              <w:tl2br w:val="nil"/>
              <w:tr2bl w:val="nil"/>
            </w:tcBorders>
            <w:vAlign w:val="center"/>
          </w:tcPr>
          <w:p w14:paraId="2F55B0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 / 病区药柜目录管理、备药申请审批</w:t>
            </w:r>
          </w:p>
        </w:tc>
        <w:tc>
          <w:tcPr>
            <w:tcW w:w="870" w:type="dxa"/>
            <w:vMerge w:val="continue"/>
            <w:tcBorders>
              <w:tl2br w:val="nil"/>
              <w:tr2bl w:val="nil"/>
            </w:tcBorders>
            <w:noWrap/>
            <w:vAlign w:val="center"/>
          </w:tcPr>
          <w:p w14:paraId="03410FD6">
            <w:pPr>
              <w:spacing w:line="360" w:lineRule="auto"/>
              <w:jc w:val="center"/>
              <w:rPr>
                <w:rFonts w:hint="eastAsia" w:ascii="宋体" w:hAnsi="宋体" w:cs="宋体"/>
                <w:color w:val="auto"/>
                <w:sz w:val="21"/>
                <w:szCs w:val="21"/>
                <w:highlight w:val="none"/>
              </w:rPr>
            </w:pPr>
          </w:p>
        </w:tc>
      </w:tr>
      <w:tr w14:paraId="3F22E6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6963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2.7.3.1</w:t>
            </w:r>
          </w:p>
        </w:tc>
        <w:tc>
          <w:tcPr>
            <w:tcW w:w="6982" w:type="dxa"/>
            <w:tcBorders>
              <w:tl2br w:val="nil"/>
              <w:tr2bl w:val="nil"/>
            </w:tcBorders>
            <w:vAlign w:val="center"/>
          </w:tcPr>
          <w:p w14:paraId="3FB327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 / 病区药柜目录管理，应支持备药申请审批流程</w:t>
            </w:r>
          </w:p>
        </w:tc>
        <w:tc>
          <w:tcPr>
            <w:tcW w:w="870" w:type="dxa"/>
            <w:vMerge w:val="continue"/>
            <w:tcBorders>
              <w:tl2br w:val="nil"/>
              <w:tr2bl w:val="nil"/>
            </w:tcBorders>
            <w:noWrap/>
            <w:vAlign w:val="center"/>
          </w:tcPr>
          <w:p w14:paraId="0B782696">
            <w:pPr>
              <w:spacing w:line="360" w:lineRule="auto"/>
              <w:jc w:val="center"/>
              <w:rPr>
                <w:rFonts w:hint="eastAsia" w:ascii="宋体" w:hAnsi="宋体" w:cs="宋体"/>
                <w:color w:val="auto"/>
                <w:sz w:val="21"/>
                <w:szCs w:val="21"/>
                <w:highlight w:val="none"/>
              </w:rPr>
            </w:pPr>
          </w:p>
        </w:tc>
      </w:tr>
      <w:tr w14:paraId="5BB87D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5517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2.7.4</w:t>
            </w:r>
          </w:p>
        </w:tc>
        <w:tc>
          <w:tcPr>
            <w:tcW w:w="6982" w:type="dxa"/>
            <w:tcBorders>
              <w:tl2br w:val="nil"/>
              <w:tr2bl w:val="nil"/>
            </w:tcBorders>
            <w:vAlign w:val="center"/>
          </w:tcPr>
          <w:p w14:paraId="4A63EC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医技用药</w:t>
            </w:r>
          </w:p>
        </w:tc>
        <w:tc>
          <w:tcPr>
            <w:tcW w:w="870" w:type="dxa"/>
            <w:vMerge w:val="continue"/>
            <w:tcBorders>
              <w:tl2br w:val="nil"/>
              <w:tr2bl w:val="nil"/>
            </w:tcBorders>
            <w:noWrap/>
            <w:vAlign w:val="center"/>
          </w:tcPr>
          <w:p w14:paraId="03AA6333">
            <w:pPr>
              <w:spacing w:line="360" w:lineRule="auto"/>
              <w:jc w:val="center"/>
              <w:rPr>
                <w:rFonts w:hint="eastAsia" w:ascii="宋体" w:hAnsi="宋体" w:cs="宋体"/>
                <w:color w:val="auto"/>
                <w:sz w:val="21"/>
                <w:szCs w:val="21"/>
                <w:highlight w:val="none"/>
              </w:rPr>
            </w:pPr>
          </w:p>
        </w:tc>
      </w:tr>
      <w:tr w14:paraId="635F45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3C15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2.7.4.1</w:t>
            </w:r>
          </w:p>
        </w:tc>
        <w:tc>
          <w:tcPr>
            <w:tcW w:w="6982" w:type="dxa"/>
            <w:tcBorders>
              <w:tl2br w:val="nil"/>
              <w:tr2bl w:val="nil"/>
            </w:tcBorders>
            <w:vAlign w:val="center"/>
          </w:tcPr>
          <w:p w14:paraId="1D7FF8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医技用药采取先用后补的模式，解决用药及时性问题。平台科室补充时按实际消耗量提交请领单。药房发放端按请领单发药</w:t>
            </w:r>
          </w:p>
        </w:tc>
        <w:tc>
          <w:tcPr>
            <w:tcW w:w="870" w:type="dxa"/>
            <w:vMerge w:val="continue"/>
            <w:tcBorders>
              <w:tl2br w:val="nil"/>
              <w:tr2bl w:val="nil"/>
            </w:tcBorders>
            <w:noWrap/>
            <w:vAlign w:val="center"/>
          </w:tcPr>
          <w:p w14:paraId="3C466E19">
            <w:pPr>
              <w:spacing w:line="360" w:lineRule="auto"/>
              <w:jc w:val="center"/>
              <w:rPr>
                <w:rFonts w:hint="eastAsia" w:ascii="宋体" w:hAnsi="宋体" w:cs="宋体"/>
                <w:color w:val="auto"/>
                <w:sz w:val="21"/>
                <w:szCs w:val="21"/>
                <w:highlight w:val="none"/>
              </w:rPr>
            </w:pPr>
          </w:p>
        </w:tc>
      </w:tr>
      <w:tr w14:paraId="4C41B6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B00D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2.7.5</w:t>
            </w:r>
          </w:p>
        </w:tc>
        <w:tc>
          <w:tcPr>
            <w:tcW w:w="6982" w:type="dxa"/>
            <w:tcBorders>
              <w:tl2br w:val="nil"/>
              <w:tr2bl w:val="nil"/>
            </w:tcBorders>
            <w:vAlign w:val="center"/>
          </w:tcPr>
          <w:p w14:paraId="305128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流程追溯</w:t>
            </w:r>
          </w:p>
        </w:tc>
        <w:tc>
          <w:tcPr>
            <w:tcW w:w="870" w:type="dxa"/>
            <w:vMerge w:val="continue"/>
            <w:tcBorders>
              <w:tl2br w:val="nil"/>
              <w:tr2bl w:val="nil"/>
            </w:tcBorders>
            <w:noWrap/>
            <w:vAlign w:val="center"/>
          </w:tcPr>
          <w:p w14:paraId="744208D6">
            <w:pPr>
              <w:spacing w:line="360" w:lineRule="auto"/>
              <w:jc w:val="center"/>
              <w:rPr>
                <w:rFonts w:hint="eastAsia" w:ascii="宋体" w:hAnsi="宋体" w:cs="宋体"/>
                <w:color w:val="auto"/>
                <w:sz w:val="21"/>
                <w:szCs w:val="21"/>
                <w:highlight w:val="none"/>
              </w:rPr>
            </w:pPr>
          </w:p>
        </w:tc>
      </w:tr>
      <w:tr w14:paraId="24A5F9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717D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2.7.5.1</w:t>
            </w:r>
          </w:p>
        </w:tc>
        <w:tc>
          <w:tcPr>
            <w:tcW w:w="6982" w:type="dxa"/>
            <w:tcBorders>
              <w:tl2br w:val="nil"/>
              <w:tr2bl w:val="nil"/>
            </w:tcBorders>
            <w:vAlign w:val="center"/>
          </w:tcPr>
          <w:p w14:paraId="144D8D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要求流程上简便，记录上可查</w:t>
            </w:r>
          </w:p>
        </w:tc>
        <w:tc>
          <w:tcPr>
            <w:tcW w:w="870" w:type="dxa"/>
            <w:vMerge w:val="continue"/>
            <w:tcBorders>
              <w:tl2br w:val="nil"/>
              <w:tr2bl w:val="nil"/>
            </w:tcBorders>
            <w:noWrap/>
            <w:vAlign w:val="center"/>
          </w:tcPr>
          <w:p w14:paraId="1D2482AE">
            <w:pPr>
              <w:spacing w:line="360" w:lineRule="auto"/>
              <w:jc w:val="center"/>
              <w:rPr>
                <w:rFonts w:hint="eastAsia" w:ascii="宋体" w:hAnsi="宋体" w:cs="宋体"/>
                <w:color w:val="auto"/>
                <w:sz w:val="21"/>
                <w:szCs w:val="21"/>
                <w:highlight w:val="none"/>
              </w:rPr>
            </w:pPr>
          </w:p>
        </w:tc>
      </w:tr>
      <w:tr w14:paraId="6EB2E0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0A752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2.7.6</w:t>
            </w:r>
          </w:p>
        </w:tc>
        <w:tc>
          <w:tcPr>
            <w:tcW w:w="6982" w:type="dxa"/>
            <w:tcBorders>
              <w:tl2br w:val="nil"/>
              <w:tr2bl w:val="nil"/>
            </w:tcBorders>
            <w:vAlign w:val="center"/>
          </w:tcPr>
          <w:p w14:paraId="277DD0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配置申请药房</w:t>
            </w:r>
          </w:p>
        </w:tc>
        <w:tc>
          <w:tcPr>
            <w:tcW w:w="870" w:type="dxa"/>
            <w:vMerge w:val="continue"/>
            <w:tcBorders>
              <w:tl2br w:val="nil"/>
              <w:tr2bl w:val="nil"/>
            </w:tcBorders>
            <w:noWrap/>
            <w:vAlign w:val="center"/>
          </w:tcPr>
          <w:p w14:paraId="7912386E">
            <w:pPr>
              <w:spacing w:line="360" w:lineRule="auto"/>
              <w:jc w:val="center"/>
              <w:rPr>
                <w:rFonts w:hint="eastAsia" w:ascii="宋体" w:hAnsi="宋体" w:cs="宋体"/>
                <w:color w:val="auto"/>
                <w:sz w:val="21"/>
                <w:szCs w:val="21"/>
                <w:highlight w:val="none"/>
              </w:rPr>
            </w:pPr>
          </w:p>
        </w:tc>
      </w:tr>
      <w:tr w14:paraId="06F06E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F28E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2.7.6.1</w:t>
            </w:r>
          </w:p>
        </w:tc>
        <w:tc>
          <w:tcPr>
            <w:tcW w:w="6982" w:type="dxa"/>
            <w:tcBorders>
              <w:tl2br w:val="nil"/>
              <w:tr2bl w:val="nil"/>
            </w:tcBorders>
            <w:vAlign w:val="center"/>
          </w:tcPr>
          <w:p w14:paraId="1EE8DF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按院区配置对应的申请药房。药品类别（普通、麻醉、精一、精二、毒性、放射性、易制毒）配置对应的申请药房。按药品（商品层）配置对应的申请药房。按申请科室（检查、医技、手麻）配置对应的申请药房</w:t>
            </w:r>
          </w:p>
        </w:tc>
        <w:tc>
          <w:tcPr>
            <w:tcW w:w="870" w:type="dxa"/>
            <w:vMerge w:val="continue"/>
            <w:tcBorders>
              <w:tl2br w:val="nil"/>
              <w:tr2bl w:val="nil"/>
            </w:tcBorders>
            <w:noWrap/>
            <w:vAlign w:val="center"/>
          </w:tcPr>
          <w:p w14:paraId="2332D8A0">
            <w:pPr>
              <w:spacing w:line="360" w:lineRule="auto"/>
              <w:jc w:val="center"/>
              <w:rPr>
                <w:rFonts w:hint="eastAsia" w:ascii="宋体" w:hAnsi="宋体" w:cs="宋体"/>
                <w:color w:val="auto"/>
                <w:sz w:val="21"/>
                <w:szCs w:val="21"/>
                <w:highlight w:val="none"/>
              </w:rPr>
            </w:pPr>
          </w:p>
        </w:tc>
      </w:tr>
      <w:tr w14:paraId="7DC1C9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E41A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w:t>
            </w:r>
          </w:p>
        </w:tc>
        <w:tc>
          <w:tcPr>
            <w:tcW w:w="6982" w:type="dxa"/>
            <w:tcBorders>
              <w:tl2br w:val="nil"/>
              <w:tr2bl w:val="nil"/>
            </w:tcBorders>
            <w:vAlign w:val="center"/>
          </w:tcPr>
          <w:p w14:paraId="330DF7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麻醉药房业务流程（升级）</w:t>
            </w:r>
          </w:p>
        </w:tc>
        <w:tc>
          <w:tcPr>
            <w:tcW w:w="870" w:type="dxa"/>
            <w:vMerge w:val="restart"/>
            <w:tcBorders>
              <w:tl2br w:val="nil"/>
              <w:tr2bl w:val="nil"/>
            </w:tcBorders>
            <w:noWrap/>
            <w:vAlign w:val="center"/>
          </w:tcPr>
          <w:p w14:paraId="120CF8BF">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330D67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DCEE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2.8.1</w:t>
            </w:r>
          </w:p>
        </w:tc>
        <w:tc>
          <w:tcPr>
            <w:tcW w:w="6982" w:type="dxa"/>
            <w:tcBorders>
              <w:tl2br w:val="nil"/>
              <w:tr2bl w:val="nil"/>
            </w:tcBorders>
            <w:vAlign w:val="center"/>
          </w:tcPr>
          <w:p w14:paraId="5D943A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麻醉处方电子化审核</w:t>
            </w:r>
          </w:p>
        </w:tc>
        <w:tc>
          <w:tcPr>
            <w:tcW w:w="870" w:type="dxa"/>
            <w:vMerge w:val="continue"/>
            <w:tcBorders>
              <w:tl2br w:val="nil"/>
              <w:tr2bl w:val="nil"/>
            </w:tcBorders>
            <w:noWrap/>
            <w:vAlign w:val="center"/>
          </w:tcPr>
          <w:p w14:paraId="4665A44D">
            <w:pPr>
              <w:spacing w:line="360" w:lineRule="auto"/>
              <w:jc w:val="center"/>
              <w:rPr>
                <w:rFonts w:hint="eastAsia" w:ascii="宋体" w:hAnsi="宋体" w:cs="宋体"/>
                <w:color w:val="auto"/>
                <w:sz w:val="21"/>
                <w:szCs w:val="21"/>
                <w:highlight w:val="none"/>
              </w:rPr>
            </w:pPr>
          </w:p>
        </w:tc>
      </w:tr>
      <w:tr w14:paraId="7EE3BE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8C3A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2.8.1.1</w:t>
            </w:r>
          </w:p>
        </w:tc>
        <w:tc>
          <w:tcPr>
            <w:tcW w:w="6982" w:type="dxa"/>
            <w:tcBorders>
              <w:tl2br w:val="nil"/>
              <w:tr2bl w:val="nil"/>
            </w:tcBorders>
            <w:vAlign w:val="center"/>
          </w:tcPr>
          <w:p w14:paraId="3DAAB7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麻醉药品专用处方电子化与审核流程优化</w:t>
            </w:r>
          </w:p>
        </w:tc>
        <w:tc>
          <w:tcPr>
            <w:tcW w:w="870" w:type="dxa"/>
            <w:vMerge w:val="continue"/>
            <w:tcBorders>
              <w:tl2br w:val="nil"/>
              <w:tr2bl w:val="nil"/>
            </w:tcBorders>
            <w:noWrap/>
            <w:vAlign w:val="center"/>
          </w:tcPr>
          <w:p w14:paraId="29BEF1CD">
            <w:pPr>
              <w:spacing w:line="360" w:lineRule="auto"/>
              <w:jc w:val="center"/>
              <w:rPr>
                <w:rFonts w:hint="eastAsia" w:ascii="宋体" w:hAnsi="宋体" w:cs="宋体"/>
                <w:color w:val="auto"/>
                <w:sz w:val="21"/>
                <w:szCs w:val="21"/>
                <w:highlight w:val="none"/>
              </w:rPr>
            </w:pPr>
          </w:p>
        </w:tc>
      </w:tr>
      <w:tr w14:paraId="591056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C13B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2.8.2</w:t>
            </w:r>
          </w:p>
        </w:tc>
        <w:tc>
          <w:tcPr>
            <w:tcW w:w="6982" w:type="dxa"/>
            <w:tcBorders>
              <w:tl2br w:val="nil"/>
              <w:tr2bl w:val="nil"/>
            </w:tcBorders>
            <w:vAlign w:val="center"/>
          </w:tcPr>
          <w:p w14:paraId="5A64CE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特殊药品全环节扫码登记</w:t>
            </w:r>
          </w:p>
        </w:tc>
        <w:tc>
          <w:tcPr>
            <w:tcW w:w="870" w:type="dxa"/>
            <w:vMerge w:val="continue"/>
            <w:tcBorders>
              <w:tl2br w:val="nil"/>
              <w:tr2bl w:val="nil"/>
            </w:tcBorders>
            <w:noWrap/>
            <w:vAlign w:val="center"/>
          </w:tcPr>
          <w:p w14:paraId="4B4A7445">
            <w:pPr>
              <w:spacing w:line="360" w:lineRule="auto"/>
              <w:jc w:val="center"/>
              <w:rPr>
                <w:rFonts w:hint="eastAsia" w:ascii="宋体" w:hAnsi="宋体" w:cs="宋体"/>
                <w:color w:val="auto"/>
                <w:sz w:val="21"/>
                <w:szCs w:val="21"/>
                <w:highlight w:val="none"/>
              </w:rPr>
            </w:pPr>
          </w:p>
        </w:tc>
      </w:tr>
      <w:tr w14:paraId="2263DC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886D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2.8.2.1</w:t>
            </w:r>
          </w:p>
        </w:tc>
        <w:tc>
          <w:tcPr>
            <w:tcW w:w="6982" w:type="dxa"/>
            <w:tcBorders>
              <w:tl2br w:val="nil"/>
              <w:tr2bl w:val="nil"/>
            </w:tcBorders>
            <w:vAlign w:val="center"/>
          </w:tcPr>
          <w:p w14:paraId="116AF2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调配、发放、使用、回收环节的信息化登记与扫码验证</w:t>
            </w:r>
          </w:p>
        </w:tc>
        <w:tc>
          <w:tcPr>
            <w:tcW w:w="870" w:type="dxa"/>
            <w:vMerge w:val="continue"/>
            <w:tcBorders>
              <w:tl2br w:val="nil"/>
              <w:tr2bl w:val="nil"/>
            </w:tcBorders>
            <w:noWrap/>
            <w:vAlign w:val="center"/>
          </w:tcPr>
          <w:p w14:paraId="70FA1BF2">
            <w:pPr>
              <w:spacing w:line="360" w:lineRule="auto"/>
              <w:jc w:val="center"/>
              <w:rPr>
                <w:rFonts w:hint="eastAsia" w:ascii="宋体" w:hAnsi="宋体" w:cs="宋体"/>
                <w:color w:val="auto"/>
                <w:sz w:val="21"/>
                <w:szCs w:val="21"/>
                <w:highlight w:val="none"/>
              </w:rPr>
            </w:pPr>
          </w:p>
        </w:tc>
      </w:tr>
      <w:tr w14:paraId="3147F1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1211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2.8.3</w:t>
            </w:r>
          </w:p>
        </w:tc>
        <w:tc>
          <w:tcPr>
            <w:tcW w:w="6982" w:type="dxa"/>
            <w:tcBorders>
              <w:tl2br w:val="nil"/>
              <w:tr2bl w:val="nil"/>
            </w:tcBorders>
            <w:vAlign w:val="center"/>
          </w:tcPr>
          <w:p w14:paraId="0EF2B8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特殊药品报表自动生成</w:t>
            </w:r>
          </w:p>
        </w:tc>
        <w:tc>
          <w:tcPr>
            <w:tcW w:w="870" w:type="dxa"/>
            <w:vMerge w:val="continue"/>
            <w:tcBorders>
              <w:tl2br w:val="nil"/>
              <w:tr2bl w:val="nil"/>
            </w:tcBorders>
            <w:noWrap/>
            <w:vAlign w:val="center"/>
          </w:tcPr>
          <w:p w14:paraId="512FA331">
            <w:pPr>
              <w:spacing w:line="360" w:lineRule="auto"/>
              <w:jc w:val="center"/>
              <w:rPr>
                <w:rFonts w:hint="eastAsia" w:ascii="宋体" w:hAnsi="宋体" w:cs="宋体"/>
                <w:color w:val="auto"/>
                <w:sz w:val="21"/>
                <w:szCs w:val="21"/>
                <w:highlight w:val="none"/>
              </w:rPr>
            </w:pPr>
          </w:p>
        </w:tc>
      </w:tr>
      <w:tr w14:paraId="4D3808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CF6B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2.8.3.1</w:t>
            </w:r>
          </w:p>
        </w:tc>
        <w:tc>
          <w:tcPr>
            <w:tcW w:w="6982" w:type="dxa"/>
            <w:tcBorders>
              <w:tl2br w:val="nil"/>
              <w:tr2bl w:val="nil"/>
            </w:tcBorders>
            <w:vAlign w:val="center"/>
          </w:tcPr>
          <w:p w14:paraId="72A3F6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特殊药品库存、流向、结余报表自动化生成</w:t>
            </w:r>
          </w:p>
        </w:tc>
        <w:tc>
          <w:tcPr>
            <w:tcW w:w="870" w:type="dxa"/>
            <w:vMerge w:val="continue"/>
            <w:tcBorders>
              <w:tl2br w:val="nil"/>
              <w:tr2bl w:val="nil"/>
            </w:tcBorders>
            <w:noWrap/>
            <w:vAlign w:val="center"/>
          </w:tcPr>
          <w:p w14:paraId="22F17E5B">
            <w:pPr>
              <w:spacing w:line="360" w:lineRule="auto"/>
              <w:jc w:val="center"/>
              <w:rPr>
                <w:rFonts w:hint="eastAsia" w:ascii="宋体" w:hAnsi="宋体" w:cs="宋体"/>
                <w:color w:val="auto"/>
                <w:sz w:val="21"/>
                <w:szCs w:val="21"/>
                <w:highlight w:val="none"/>
              </w:rPr>
            </w:pPr>
          </w:p>
        </w:tc>
      </w:tr>
      <w:tr w14:paraId="2F6AA8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73DF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2.8.4</w:t>
            </w:r>
          </w:p>
        </w:tc>
        <w:tc>
          <w:tcPr>
            <w:tcW w:w="6982" w:type="dxa"/>
            <w:tcBorders>
              <w:tl2br w:val="nil"/>
              <w:tr2bl w:val="nil"/>
            </w:tcBorders>
            <w:vAlign w:val="center"/>
          </w:tcPr>
          <w:p w14:paraId="24300B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权限管控与审计强化</w:t>
            </w:r>
          </w:p>
        </w:tc>
        <w:tc>
          <w:tcPr>
            <w:tcW w:w="870" w:type="dxa"/>
            <w:vMerge w:val="continue"/>
            <w:tcBorders>
              <w:tl2br w:val="nil"/>
              <w:tr2bl w:val="nil"/>
            </w:tcBorders>
            <w:noWrap/>
            <w:vAlign w:val="center"/>
          </w:tcPr>
          <w:p w14:paraId="3FC6736A">
            <w:pPr>
              <w:spacing w:line="360" w:lineRule="auto"/>
              <w:jc w:val="center"/>
              <w:rPr>
                <w:rFonts w:hint="eastAsia" w:ascii="宋体" w:hAnsi="宋体" w:cs="宋体"/>
                <w:color w:val="auto"/>
                <w:sz w:val="21"/>
                <w:szCs w:val="21"/>
                <w:highlight w:val="none"/>
              </w:rPr>
            </w:pPr>
          </w:p>
        </w:tc>
      </w:tr>
      <w:tr w14:paraId="454AC2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8445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2.8.4.1</w:t>
            </w:r>
          </w:p>
        </w:tc>
        <w:tc>
          <w:tcPr>
            <w:tcW w:w="6982" w:type="dxa"/>
            <w:tcBorders>
              <w:tl2br w:val="nil"/>
              <w:tr2bl w:val="nil"/>
            </w:tcBorders>
            <w:vAlign w:val="center"/>
          </w:tcPr>
          <w:p w14:paraId="4FB4D3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权限管控与审计日志功能强化</w:t>
            </w:r>
          </w:p>
        </w:tc>
        <w:tc>
          <w:tcPr>
            <w:tcW w:w="870" w:type="dxa"/>
            <w:vMerge w:val="continue"/>
            <w:tcBorders>
              <w:tl2br w:val="nil"/>
              <w:tr2bl w:val="nil"/>
            </w:tcBorders>
            <w:noWrap/>
            <w:vAlign w:val="center"/>
          </w:tcPr>
          <w:p w14:paraId="115DB61F">
            <w:pPr>
              <w:spacing w:line="360" w:lineRule="auto"/>
              <w:jc w:val="center"/>
              <w:rPr>
                <w:rFonts w:hint="eastAsia" w:ascii="宋体" w:hAnsi="宋体" w:cs="宋体"/>
                <w:color w:val="auto"/>
                <w:sz w:val="21"/>
                <w:szCs w:val="21"/>
                <w:highlight w:val="none"/>
              </w:rPr>
            </w:pPr>
          </w:p>
        </w:tc>
      </w:tr>
      <w:tr w14:paraId="31FDCF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D935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2.8.5</w:t>
            </w:r>
          </w:p>
        </w:tc>
        <w:tc>
          <w:tcPr>
            <w:tcW w:w="6982" w:type="dxa"/>
            <w:tcBorders>
              <w:tl2br w:val="nil"/>
              <w:tr2bl w:val="nil"/>
            </w:tcBorders>
            <w:vAlign w:val="center"/>
          </w:tcPr>
          <w:p w14:paraId="285F10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多科室流程协同优化</w:t>
            </w:r>
          </w:p>
        </w:tc>
        <w:tc>
          <w:tcPr>
            <w:tcW w:w="870" w:type="dxa"/>
            <w:vMerge w:val="continue"/>
            <w:tcBorders>
              <w:tl2br w:val="nil"/>
              <w:tr2bl w:val="nil"/>
            </w:tcBorders>
            <w:noWrap/>
            <w:vAlign w:val="center"/>
          </w:tcPr>
          <w:p w14:paraId="0302B4CE">
            <w:pPr>
              <w:spacing w:line="360" w:lineRule="auto"/>
              <w:jc w:val="center"/>
              <w:rPr>
                <w:rFonts w:hint="eastAsia" w:ascii="宋体" w:hAnsi="宋体" w:cs="宋体"/>
                <w:color w:val="auto"/>
                <w:sz w:val="21"/>
                <w:szCs w:val="21"/>
                <w:highlight w:val="none"/>
              </w:rPr>
            </w:pPr>
          </w:p>
        </w:tc>
      </w:tr>
      <w:tr w14:paraId="559C4A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FA17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2.8.5.1</w:t>
            </w:r>
          </w:p>
        </w:tc>
        <w:tc>
          <w:tcPr>
            <w:tcW w:w="6982" w:type="dxa"/>
            <w:tcBorders>
              <w:tl2br w:val="nil"/>
              <w:tr2bl w:val="nil"/>
            </w:tcBorders>
            <w:vAlign w:val="center"/>
          </w:tcPr>
          <w:p w14:paraId="30A56E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与麻醉科、手术室、药房的流程协同优化</w:t>
            </w:r>
          </w:p>
        </w:tc>
        <w:tc>
          <w:tcPr>
            <w:tcW w:w="870" w:type="dxa"/>
            <w:vMerge w:val="continue"/>
            <w:tcBorders>
              <w:tl2br w:val="nil"/>
              <w:tr2bl w:val="nil"/>
            </w:tcBorders>
            <w:noWrap/>
            <w:vAlign w:val="center"/>
          </w:tcPr>
          <w:p w14:paraId="3F51441E">
            <w:pPr>
              <w:spacing w:line="360" w:lineRule="auto"/>
              <w:jc w:val="center"/>
              <w:rPr>
                <w:rFonts w:hint="eastAsia" w:ascii="宋体" w:hAnsi="宋体" w:cs="宋体"/>
                <w:color w:val="auto"/>
                <w:sz w:val="21"/>
                <w:szCs w:val="21"/>
                <w:highlight w:val="none"/>
              </w:rPr>
            </w:pPr>
          </w:p>
        </w:tc>
      </w:tr>
      <w:tr w14:paraId="04E62F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D9DA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2.8.6</w:t>
            </w:r>
          </w:p>
        </w:tc>
        <w:tc>
          <w:tcPr>
            <w:tcW w:w="6982" w:type="dxa"/>
            <w:tcBorders>
              <w:tl2br w:val="nil"/>
              <w:tr2bl w:val="nil"/>
            </w:tcBorders>
            <w:vAlign w:val="center"/>
          </w:tcPr>
          <w:p w14:paraId="3F815E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麻醉药房改二级库</w:t>
            </w:r>
          </w:p>
        </w:tc>
        <w:tc>
          <w:tcPr>
            <w:tcW w:w="870" w:type="dxa"/>
            <w:vMerge w:val="continue"/>
            <w:tcBorders>
              <w:tl2br w:val="nil"/>
              <w:tr2bl w:val="nil"/>
            </w:tcBorders>
            <w:noWrap/>
            <w:vAlign w:val="center"/>
          </w:tcPr>
          <w:p w14:paraId="77D7524F">
            <w:pPr>
              <w:spacing w:line="360" w:lineRule="auto"/>
              <w:jc w:val="center"/>
              <w:rPr>
                <w:rFonts w:hint="eastAsia" w:ascii="宋体" w:hAnsi="宋体" w:cs="宋体"/>
                <w:color w:val="auto"/>
                <w:sz w:val="21"/>
                <w:szCs w:val="21"/>
                <w:highlight w:val="none"/>
              </w:rPr>
            </w:pPr>
          </w:p>
        </w:tc>
      </w:tr>
      <w:tr w14:paraId="038E2B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6134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2.8.6.1</w:t>
            </w:r>
          </w:p>
        </w:tc>
        <w:tc>
          <w:tcPr>
            <w:tcW w:w="6982" w:type="dxa"/>
            <w:tcBorders>
              <w:tl2br w:val="nil"/>
              <w:tr2bl w:val="nil"/>
            </w:tcBorders>
            <w:vAlign w:val="center"/>
          </w:tcPr>
          <w:p w14:paraId="692CA8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麻醉药房改造成二级库</w:t>
            </w:r>
          </w:p>
        </w:tc>
        <w:tc>
          <w:tcPr>
            <w:tcW w:w="870" w:type="dxa"/>
            <w:vMerge w:val="continue"/>
            <w:tcBorders>
              <w:tl2br w:val="nil"/>
              <w:tr2bl w:val="nil"/>
            </w:tcBorders>
            <w:noWrap/>
            <w:vAlign w:val="center"/>
          </w:tcPr>
          <w:p w14:paraId="5FB0DAD4">
            <w:pPr>
              <w:spacing w:line="360" w:lineRule="auto"/>
              <w:jc w:val="center"/>
              <w:rPr>
                <w:rFonts w:hint="eastAsia" w:ascii="宋体" w:hAnsi="宋体" w:cs="宋体"/>
                <w:color w:val="auto"/>
                <w:sz w:val="21"/>
                <w:szCs w:val="21"/>
                <w:highlight w:val="none"/>
              </w:rPr>
            </w:pPr>
          </w:p>
        </w:tc>
      </w:tr>
      <w:tr w14:paraId="1E7FED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35CB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w:t>
            </w:r>
          </w:p>
        </w:tc>
        <w:tc>
          <w:tcPr>
            <w:tcW w:w="6982" w:type="dxa"/>
            <w:tcBorders>
              <w:tl2br w:val="nil"/>
              <w:tr2bl w:val="nil"/>
            </w:tcBorders>
            <w:vAlign w:val="center"/>
          </w:tcPr>
          <w:p w14:paraId="2D05F0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门诊药房业务改造（升级）</w:t>
            </w:r>
          </w:p>
        </w:tc>
        <w:tc>
          <w:tcPr>
            <w:tcW w:w="870" w:type="dxa"/>
            <w:vMerge w:val="restart"/>
            <w:tcBorders>
              <w:tl2br w:val="nil"/>
              <w:tr2bl w:val="nil"/>
            </w:tcBorders>
            <w:noWrap/>
            <w:vAlign w:val="center"/>
          </w:tcPr>
          <w:p w14:paraId="1336504D">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94FB8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6539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2.9.1</w:t>
            </w:r>
          </w:p>
        </w:tc>
        <w:tc>
          <w:tcPr>
            <w:tcW w:w="6982" w:type="dxa"/>
            <w:tcBorders>
              <w:tl2br w:val="nil"/>
              <w:tr2bl w:val="nil"/>
            </w:tcBorders>
            <w:vAlign w:val="center"/>
          </w:tcPr>
          <w:p w14:paraId="02487A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多节点药房统一管控</w:t>
            </w:r>
          </w:p>
        </w:tc>
        <w:tc>
          <w:tcPr>
            <w:tcW w:w="870" w:type="dxa"/>
            <w:vMerge w:val="continue"/>
            <w:tcBorders>
              <w:tl2br w:val="nil"/>
              <w:tr2bl w:val="nil"/>
            </w:tcBorders>
            <w:noWrap/>
            <w:vAlign w:val="center"/>
          </w:tcPr>
          <w:p w14:paraId="68CC0D59">
            <w:pPr>
              <w:spacing w:line="360" w:lineRule="auto"/>
              <w:jc w:val="center"/>
              <w:rPr>
                <w:rFonts w:hint="eastAsia" w:ascii="宋体" w:hAnsi="宋体" w:cs="宋体"/>
                <w:color w:val="auto"/>
                <w:sz w:val="21"/>
                <w:szCs w:val="21"/>
                <w:highlight w:val="none"/>
              </w:rPr>
            </w:pPr>
          </w:p>
        </w:tc>
      </w:tr>
      <w:tr w14:paraId="327AE5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3406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2.9.1.1</w:t>
            </w:r>
          </w:p>
        </w:tc>
        <w:tc>
          <w:tcPr>
            <w:tcW w:w="6982" w:type="dxa"/>
            <w:tcBorders>
              <w:tl2br w:val="nil"/>
              <w:tr2bl w:val="nil"/>
            </w:tcBorders>
            <w:vAlign w:val="center"/>
          </w:tcPr>
          <w:p w14:paraId="30304E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应支持楼层药房、专科药房、自助发药机等多节点统一管控</w:t>
            </w:r>
          </w:p>
        </w:tc>
        <w:tc>
          <w:tcPr>
            <w:tcW w:w="870" w:type="dxa"/>
            <w:vMerge w:val="continue"/>
            <w:tcBorders>
              <w:tl2br w:val="nil"/>
              <w:tr2bl w:val="nil"/>
            </w:tcBorders>
            <w:noWrap/>
            <w:vAlign w:val="center"/>
          </w:tcPr>
          <w:p w14:paraId="36D6D7D8">
            <w:pPr>
              <w:spacing w:line="360" w:lineRule="auto"/>
              <w:jc w:val="center"/>
              <w:rPr>
                <w:rFonts w:hint="eastAsia" w:ascii="宋体" w:hAnsi="宋体" w:cs="宋体"/>
                <w:color w:val="auto"/>
                <w:sz w:val="21"/>
                <w:szCs w:val="21"/>
                <w:highlight w:val="none"/>
              </w:rPr>
            </w:pPr>
          </w:p>
        </w:tc>
      </w:tr>
      <w:tr w14:paraId="2A321B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82CE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2.9.2</w:t>
            </w:r>
          </w:p>
        </w:tc>
        <w:tc>
          <w:tcPr>
            <w:tcW w:w="6982" w:type="dxa"/>
            <w:tcBorders>
              <w:tl2br w:val="nil"/>
              <w:tr2bl w:val="nil"/>
            </w:tcBorders>
            <w:vAlign w:val="center"/>
          </w:tcPr>
          <w:p w14:paraId="05E0C7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先签到后分配窗口发药</w:t>
            </w:r>
          </w:p>
        </w:tc>
        <w:tc>
          <w:tcPr>
            <w:tcW w:w="870" w:type="dxa"/>
            <w:vMerge w:val="continue"/>
            <w:tcBorders>
              <w:tl2br w:val="nil"/>
              <w:tr2bl w:val="nil"/>
            </w:tcBorders>
            <w:noWrap/>
            <w:vAlign w:val="center"/>
          </w:tcPr>
          <w:p w14:paraId="084ADB1C">
            <w:pPr>
              <w:spacing w:line="360" w:lineRule="auto"/>
              <w:jc w:val="center"/>
              <w:rPr>
                <w:rFonts w:hint="eastAsia" w:ascii="宋体" w:hAnsi="宋体" w:cs="宋体"/>
                <w:color w:val="auto"/>
                <w:sz w:val="21"/>
                <w:szCs w:val="21"/>
                <w:highlight w:val="none"/>
              </w:rPr>
            </w:pPr>
          </w:p>
        </w:tc>
      </w:tr>
      <w:tr w14:paraId="54C229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13C3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2.9.2.1</w:t>
            </w:r>
          </w:p>
        </w:tc>
        <w:tc>
          <w:tcPr>
            <w:tcW w:w="6982" w:type="dxa"/>
            <w:tcBorders>
              <w:tl2br w:val="nil"/>
              <w:tr2bl w:val="nil"/>
            </w:tcBorders>
            <w:vAlign w:val="center"/>
          </w:tcPr>
          <w:p w14:paraId="34DB5E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门诊药房发药采取先签到后分配窗口的模式</w:t>
            </w:r>
          </w:p>
        </w:tc>
        <w:tc>
          <w:tcPr>
            <w:tcW w:w="870" w:type="dxa"/>
            <w:vMerge w:val="continue"/>
            <w:tcBorders>
              <w:tl2br w:val="nil"/>
              <w:tr2bl w:val="nil"/>
            </w:tcBorders>
            <w:noWrap/>
            <w:vAlign w:val="center"/>
          </w:tcPr>
          <w:p w14:paraId="5599B11B">
            <w:pPr>
              <w:spacing w:line="360" w:lineRule="auto"/>
              <w:jc w:val="center"/>
              <w:rPr>
                <w:rFonts w:hint="eastAsia" w:ascii="宋体" w:hAnsi="宋体" w:cs="宋体"/>
                <w:color w:val="auto"/>
                <w:sz w:val="21"/>
                <w:szCs w:val="21"/>
                <w:highlight w:val="none"/>
              </w:rPr>
            </w:pPr>
          </w:p>
        </w:tc>
      </w:tr>
      <w:tr w14:paraId="21C9B9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88D5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2.9.3</w:t>
            </w:r>
          </w:p>
        </w:tc>
        <w:tc>
          <w:tcPr>
            <w:tcW w:w="6982" w:type="dxa"/>
            <w:tcBorders>
              <w:tl2br w:val="nil"/>
              <w:tr2bl w:val="nil"/>
            </w:tcBorders>
            <w:vAlign w:val="center"/>
          </w:tcPr>
          <w:p w14:paraId="4DE7A4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库存实时同步、自动补货调拨</w:t>
            </w:r>
          </w:p>
        </w:tc>
        <w:tc>
          <w:tcPr>
            <w:tcW w:w="870" w:type="dxa"/>
            <w:vMerge w:val="continue"/>
            <w:tcBorders>
              <w:tl2br w:val="nil"/>
              <w:tr2bl w:val="nil"/>
            </w:tcBorders>
            <w:noWrap/>
            <w:vAlign w:val="center"/>
          </w:tcPr>
          <w:p w14:paraId="2FB7E50F">
            <w:pPr>
              <w:spacing w:line="360" w:lineRule="auto"/>
              <w:jc w:val="center"/>
              <w:rPr>
                <w:rFonts w:hint="eastAsia" w:ascii="宋体" w:hAnsi="宋体" w:cs="宋体"/>
                <w:color w:val="auto"/>
                <w:sz w:val="21"/>
                <w:szCs w:val="21"/>
                <w:highlight w:val="none"/>
              </w:rPr>
            </w:pPr>
          </w:p>
        </w:tc>
      </w:tr>
      <w:tr w14:paraId="576741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FFF5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2.9.3.1</w:t>
            </w:r>
          </w:p>
        </w:tc>
        <w:tc>
          <w:tcPr>
            <w:tcW w:w="6982" w:type="dxa"/>
            <w:tcBorders>
              <w:tl2br w:val="nil"/>
              <w:tr2bl w:val="nil"/>
            </w:tcBorders>
            <w:vAlign w:val="center"/>
          </w:tcPr>
          <w:p w14:paraId="048FDD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中央药房与各取药点库存实时同步，若有库发一体，应支持自动补货与调拨，药品负库存时不允许保存医嘱</w:t>
            </w:r>
          </w:p>
        </w:tc>
        <w:tc>
          <w:tcPr>
            <w:tcW w:w="870" w:type="dxa"/>
            <w:vMerge w:val="continue"/>
            <w:tcBorders>
              <w:tl2br w:val="nil"/>
              <w:tr2bl w:val="nil"/>
            </w:tcBorders>
            <w:noWrap/>
            <w:vAlign w:val="center"/>
          </w:tcPr>
          <w:p w14:paraId="7909A790">
            <w:pPr>
              <w:spacing w:line="360" w:lineRule="auto"/>
              <w:jc w:val="center"/>
              <w:rPr>
                <w:rFonts w:hint="eastAsia" w:ascii="宋体" w:hAnsi="宋体" w:cs="宋体"/>
                <w:color w:val="auto"/>
                <w:sz w:val="21"/>
                <w:szCs w:val="21"/>
                <w:highlight w:val="none"/>
              </w:rPr>
            </w:pPr>
          </w:p>
        </w:tc>
      </w:tr>
      <w:tr w14:paraId="16F19A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4390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2.9.4</w:t>
            </w:r>
          </w:p>
        </w:tc>
        <w:tc>
          <w:tcPr>
            <w:tcW w:w="6982" w:type="dxa"/>
            <w:tcBorders>
              <w:tl2br w:val="nil"/>
              <w:tr2bl w:val="nil"/>
            </w:tcBorders>
            <w:vAlign w:val="center"/>
          </w:tcPr>
          <w:p w14:paraId="6E1DDD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联动取药叫号系统、多渠道取药通知推送</w:t>
            </w:r>
          </w:p>
        </w:tc>
        <w:tc>
          <w:tcPr>
            <w:tcW w:w="870" w:type="dxa"/>
            <w:vMerge w:val="continue"/>
            <w:tcBorders>
              <w:tl2br w:val="nil"/>
              <w:tr2bl w:val="nil"/>
            </w:tcBorders>
            <w:noWrap/>
            <w:vAlign w:val="center"/>
          </w:tcPr>
          <w:p w14:paraId="309150DD">
            <w:pPr>
              <w:spacing w:line="360" w:lineRule="auto"/>
              <w:jc w:val="center"/>
              <w:rPr>
                <w:rFonts w:hint="eastAsia" w:ascii="宋体" w:hAnsi="宋体" w:cs="宋体"/>
                <w:color w:val="auto"/>
                <w:sz w:val="21"/>
                <w:szCs w:val="21"/>
                <w:highlight w:val="none"/>
              </w:rPr>
            </w:pPr>
          </w:p>
        </w:tc>
      </w:tr>
      <w:tr w14:paraId="35EAEB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AA86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2.9.4.1</w:t>
            </w:r>
          </w:p>
        </w:tc>
        <w:tc>
          <w:tcPr>
            <w:tcW w:w="6982" w:type="dxa"/>
            <w:tcBorders>
              <w:tl2br w:val="nil"/>
              <w:tr2bl w:val="nil"/>
            </w:tcBorders>
            <w:vAlign w:val="center"/>
          </w:tcPr>
          <w:p w14:paraId="6ED07A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取药叫号功能联动，应支持短信 / 院内屏 / 公众号推送取药通知</w:t>
            </w:r>
          </w:p>
        </w:tc>
        <w:tc>
          <w:tcPr>
            <w:tcW w:w="870" w:type="dxa"/>
            <w:vMerge w:val="continue"/>
            <w:tcBorders>
              <w:tl2br w:val="nil"/>
              <w:tr2bl w:val="nil"/>
            </w:tcBorders>
            <w:noWrap/>
            <w:vAlign w:val="center"/>
          </w:tcPr>
          <w:p w14:paraId="107DD663">
            <w:pPr>
              <w:spacing w:line="360" w:lineRule="auto"/>
              <w:jc w:val="center"/>
              <w:rPr>
                <w:rFonts w:hint="eastAsia" w:ascii="宋体" w:hAnsi="宋体" w:cs="宋体"/>
                <w:color w:val="auto"/>
                <w:sz w:val="21"/>
                <w:szCs w:val="21"/>
                <w:highlight w:val="none"/>
              </w:rPr>
            </w:pPr>
          </w:p>
        </w:tc>
      </w:tr>
      <w:tr w14:paraId="61C61A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5DF9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w:t>
            </w:r>
          </w:p>
        </w:tc>
        <w:tc>
          <w:tcPr>
            <w:tcW w:w="6982" w:type="dxa"/>
            <w:tcBorders>
              <w:tl2br w:val="nil"/>
              <w:tr2bl w:val="nil"/>
            </w:tcBorders>
            <w:vAlign w:val="center"/>
          </w:tcPr>
          <w:p w14:paraId="4A247C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医生端 APP（互联网医院）多院区改造</w:t>
            </w:r>
          </w:p>
        </w:tc>
        <w:tc>
          <w:tcPr>
            <w:tcW w:w="870" w:type="dxa"/>
            <w:vMerge w:val="restart"/>
            <w:tcBorders>
              <w:tl2br w:val="nil"/>
              <w:tr2bl w:val="nil"/>
            </w:tcBorders>
            <w:noWrap/>
            <w:vAlign w:val="center"/>
          </w:tcPr>
          <w:p w14:paraId="2F267CF9">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24ACDC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1681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2.10.1</w:t>
            </w:r>
          </w:p>
        </w:tc>
        <w:tc>
          <w:tcPr>
            <w:tcW w:w="6982" w:type="dxa"/>
            <w:tcBorders>
              <w:tl2br w:val="nil"/>
              <w:tr2bl w:val="nil"/>
            </w:tcBorders>
            <w:vAlign w:val="center"/>
          </w:tcPr>
          <w:p w14:paraId="643B7CB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基础数据适配及改造</w:t>
            </w:r>
          </w:p>
        </w:tc>
        <w:tc>
          <w:tcPr>
            <w:tcW w:w="870" w:type="dxa"/>
            <w:vMerge w:val="continue"/>
            <w:tcBorders>
              <w:tl2br w:val="nil"/>
              <w:tr2bl w:val="nil"/>
            </w:tcBorders>
            <w:noWrap/>
            <w:vAlign w:val="center"/>
          </w:tcPr>
          <w:p w14:paraId="6B9FD628">
            <w:pPr>
              <w:spacing w:line="360" w:lineRule="auto"/>
              <w:jc w:val="center"/>
              <w:rPr>
                <w:rFonts w:hint="eastAsia" w:ascii="宋体" w:hAnsi="宋体" w:cs="宋体"/>
                <w:color w:val="auto"/>
                <w:sz w:val="21"/>
                <w:szCs w:val="21"/>
                <w:highlight w:val="none"/>
              </w:rPr>
            </w:pPr>
          </w:p>
        </w:tc>
      </w:tr>
      <w:tr w14:paraId="02D636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00FF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2.10.1.1</w:t>
            </w:r>
          </w:p>
        </w:tc>
        <w:tc>
          <w:tcPr>
            <w:tcW w:w="6982" w:type="dxa"/>
            <w:tcBorders>
              <w:tl2br w:val="nil"/>
              <w:tr2bl w:val="nil"/>
            </w:tcBorders>
            <w:vAlign w:val="center"/>
          </w:tcPr>
          <w:p w14:paraId="6FD6DA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科室、医生、号源等基础数据增加多院区属性</w:t>
            </w:r>
          </w:p>
        </w:tc>
        <w:tc>
          <w:tcPr>
            <w:tcW w:w="870" w:type="dxa"/>
            <w:vMerge w:val="continue"/>
            <w:tcBorders>
              <w:tl2br w:val="nil"/>
              <w:tr2bl w:val="nil"/>
            </w:tcBorders>
            <w:noWrap/>
            <w:vAlign w:val="center"/>
          </w:tcPr>
          <w:p w14:paraId="58DD2908">
            <w:pPr>
              <w:spacing w:line="360" w:lineRule="auto"/>
              <w:jc w:val="center"/>
              <w:rPr>
                <w:rFonts w:hint="eastAsia" w:ascii="宋体" w:hAnsi="宋体" w:cs="宋体"/>
                <w:color w:val="auto"/>
                <w:sz w:val="21"/>
                <w:szCs w:val="21"/>
                <w:highlight w:val="none"/>
              </w:rPr>
            </w:pPr>
          </w:p>
        </w:tc>
      </w:tr>
      <w:tr w14:paraId="6CDCBF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C1B0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2.10.1.2</w:t>
            </w:r>
          </w:p>
        </w:tc>
        <w:tc>
          <w:tcPr>
            <w:tcW w:w="6982" w:type="dxa"/>
            <w:tcBorders>
              <w:tl2br w:val="nil"/>
              <w:tr2bl w:val="nil"/>
            </w:tcBorders>
            <w:vAlign w:val="center"/>
          </w:tcPr>
          <w:p w14:paraId="3A953C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药品，检查检验项目多院区改造</w:t>
            </w:r>
          </w:p>
        </w:tc>
        <w:tc>
          <w:tcPr>
            <w:tcW w:w="870" w:type="dxa"/>
            <w:vMerge w:val="continue"/>
            <w:tcBorders>
              <w:tl2br w:val="nil"/>
              <w:tr2bl w:val="nil"/>
            </w:tcBorders>
            <w:noWrap/>
            <w:vAlign w:val="center"/>
          </w:tcPr>
          <w:p w14:paraId="3398E82F">
            <w:pPr>
              <w:spacing w:line="360" w:lineRule="auto"/>
              <w:jc w:val="center"/>
              <w:rPr>
                <w:rFonts w:hint="eastAsia" w:ascii="宋体" w:hAnsi="宋体" w:cs="宋体"/>
                <w:color w:val="auto"/>
                <w:sz w:val="21"/>
                <w:szCs w:val="21"/>
                <w:highlight w:val="none"/>
              </w:rPr>
            </w:pPr>
          </w:p>
        </w:tc>
      </w:tr>
      <w:tr w14:paraId="1FE9CC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EE27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2.10.1.3</w:t>
            </w:r>
          </w:p>
        </w:tc>
        <w:tc>
          <w:tcPr>
            <w:tcW w:w="6982" w:type="dxa"/>
            <w:tcBorders>
              <w:tl2br w:val="nil"/>
              <w:tr2bl w:val="nil"/>
            </w:tcBorders>
            <w:vAlign w:val="center"/>
          </w:tcPr>
          <w:p w14:paraId="27DF359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药房取药配送多院区改造</w:t>
            </w:r>
          </w:p>
        </w:tc>
        <w:tc>
          <w:tcPr>
            <w:tcW w:w="870" w:type="dxa"/>
            <w:vMerge w:val="continue"/>
            <w:tcBorders>
              <w:tl2br w:val="nil"/>
              <w:tr2bl w:val="nil"/>
            </w:tcBorders>
            <w:noWrap/>
            <w:vAlign w:val="center"/>
          </w:tcPr>
          <w:p w14:paraId="415305DD">
            <w:pPr>
              <w:spacing w:line="360" w:lineRule="auto"/>
              <w:jc w:val="center"/>
              <w:rPr>
                <w:rFonts w:hint="eastAsia" w:ascii="宋体" w:hAnsi="宋体" w:cs="宋体"/>
                <w:color w:val="auto"/>
                <w:sz w:val="21"/>
                <w:szCs w:val="21"/>
                <w:highlight w:val="none"/>
              </w:rPr>
            </w:pPr>
          </w:p>
        </w:tc>
      </w:tr>
      <w:tr w14:paraId="6868BA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D595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2.10.2</w:t>
            </w:r>
          </w:p>
        </w:tc>
        <w:tc>
          <w:tcPr>
            <w:tcW w:w="6982" w:type="dxa"/>
            <w:tcBorders>
              <w:tl2br w:val="nil"/>
              <w:tr2bl w:val="nil"/>
            </w:tcBorders>
            <w:vAlign w:val="center"/>
          </w:tcPr>
          <w:p w14:paraId="79C664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C 端前端交互与视觉</w:t>
            </w:r>
          </w:p>
        </w:tc>
        <w:tc>
          <w:tcPr>
            <w:tcW w:w="870" w:type="dxa"/>
            <w:vMerge w:val="continue"/>
            <w:tcBorders>
              <w:tl2br w:val="nil"/>
              <w:tr2bl w:val="nil"/>
            </w:tcBorders>
            <w:noWrap/>
            <w:vAlign w:val="center"/>
          </w:tcPr>
          <w:p w14:paraId="0031736C">
            <w:pPr>
              <w:spacing w:line="360" w:lineRule="auto"/>
              <w:jc w:val="center"/>
              <w:rPr>
                <w:rFonts w:hint="eastAsia" w:ascii="宋体" w:hAnsi="宋体" w:cs="宋体"/>
                <w:color w:val="auto"/>
                <w:sz w:val="21"/>
                <w:szCs w:val="21"/>
                <w:highlight w:val="none"/>
              </w:rPr>
            </w:pPr>
          </w:p>
        </w:tc>
      </w:tr>
      <w:tr w14:paraId="24295C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2DC63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2.10.2.1</w:t>
            </w:r>
          </w:p>
        </w:tc>
        <w:tc>
          <w:tcPr>
            <w:tcW w:w="6982" w:type="dxa"/>
            <w:tcBorders>
              <w:tl2br w:val="nil"/>
              <w:tr2bl w:val="nil"/>
            </w:tcBorders>
            <w:vAlign w:val="center"/>
          </w:tcPr>
          <w:p w14:paraId="7A68D5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UI 改造及流量分发，从入口处引导患者进入正确的院区服务流，减少误入</w:t>
            </w:r>
          </w:p>
        </w:tc>
        <w:tc>
          <w:tcPr>
            <w:tcW w:w="870" w:type="dxa"/>
            <w:vMerge w:val="continue"/>
            <w:tcBorders>
              <w:tl2br w:val="nil"/>
              <w:tr2bl w:val="nil"/>
            </w:tcBorders>
            <w:noWrap/>
            <w:vAlign w:val="center"/>
          </w:tcPr>
          <w:p w14:paraId="16D3187C">
            <w:pPr>
              <w:spacing w:line="360" w:lineRule="auto"/>
              <w:jc w:val="center"/>
              <w:rPr>
                <w:rFonts w:hint="eastAsia" w:ascii="宋体" w:hAnsi="宋体" w:cs="宋体"/>
                <w:color w:val="auto"/>
                <w:sz w:val="21"/>
                <w:szCs w:val="21"/>
                <w:highlight w:val="none"/>
              </w:rPr>
            </w:pPr>
          </w:p>
        </w:tc>
      </w:tr>
      <w:tr w14:paraId="32DD22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7160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w:t>
            </w:r>
          </w:p>
        </w:tc>
        <w:tc>
          <w:tcPr>
            <w:tcW w:w="6982" w:type="dxa"/>
            <w:tcBorders>
              <w:tl2br w:val="nil"/>
              <w:tr2bl w:val="nil"/>
            </w:tcBorders>
            <w:vAlign w:val="center"/>
          </w:tcPr>
          <w:p w14:paraId="56047C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医生端 APP 改造</w:t>
            </w:r>
          </w:p>
        </w:tc>
        <w:tc>
          <w:tcPr>
            <w:tcW w:w="870" w:type="dxa"/>
            <w:vMerge w:val="continue"/>
            <w:tcBorders>
              <w:tl2br w:val="nil"/>
              <w:tr2bl w:val="nil"/>
            </w:tcBorders>
            <w:noWrap/>
            <w:vAlign w:val="center"/>
          </w:tcPr>
          <w:p w14:paraId="369F0DE1">
            <w:pPr>
              <w:spacing w:line="360" w:lineRule="auto"/>
              <w:jc w:val="center"/>
              <w:rPr>
                <w:rFonts w:hint="eastAsia" w:ascii="宋体" w:hAnsi="宋体" w:cs="宋体"/>
                <w:color w:val="auto"/>
                <w:sz w:val="21"/>
                <w:szCs w:val="21"/>
                <w:highlight w:val="none"/>
              </w:rPr>
            </w:pPr>
          </w:p>
        </w:tc>
      </w:tr>
      <w:tr w14:paraId="1F9524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45FE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2.10.3.1</w:t>
            </w:r>
          </w:p>
        </w:tc>
        <w:tc>
          <w:tcPr>
            <w:tcW w:w="6982" w:type="dxa"/>
            <w:tcBorders>
              <w:tl2br w:val="nil"/>
              <w:tr2bl w:val="nil"/>
            </w:tcBorders>
            <w:vAlign w:val="center"/>
          </w:tcPr>
          <w:p w14:paraId="592FD5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首页顶部增加 “院区切换” 组件</w:t>
            </w:r>
          </w:p>
        </w:tc>
        <w:tc>
          <w:tcPr>
            <w:tcW w:w="870" w:type="dxa"/>
            <w:vMerge w:val="continue"/>
            <w:tcBorders>
              <w:tl2br w:val="nil"/>
              <w:tr2bl w:val="nil"/>
            </w:tcBorders>
            <w:noWrap/>
            <w:vAlign w:val="center"/>
          </w:tcPr>
          <w:p w14:paraId="247F05EF">
            <w:pPr>
              <w:spacing w:line="360" w:lineRule="auto"/>
              <w:jc w:val="center"/>
              <w:rPr>
                <w:rFonts w:hint="eastAsia" w:ascii="宋体" w:hAnsi="宋体" w:cs="宋体"/>
                <w:color w:val="auto"/>
                <w:sz w:val="21"/>
                <w:szCs w:val="21"/>
                <w:highlight w:val="none"/>
              </w:rPr>
            </w:pPr>
          </w:p>
        </w:tc>
      </w:tr>
      <w:tr w14:paraId="3A9CA2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0785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2.10.3.2</w:t>
            </w:r>
          </w:p>
        </w:tc>
        <w:tc>
          <w:tcPr>
            <w:tcW w:w="6982" w:type="dxa"/>
            <w:tcBorders>
              <w:tl2br w:val="nil"/>
              <w:tr2bl w:val="nil"/>
            </w:tcBorders>
            <w:vAlign w:val="center"/>
          </w:tcPr>
          <w:p w14:paraId="3ACBDC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医生登录应支持新老院区工作站切换</w:t>
            </w:r>
          </w:p>
        </w:tc>
        <w:tc>
          <w:tcPr>
            <w:tcW w:w="870" w:type="dxa"/>
            <w:vMerge w:val="continue"/>
            <w:tcBorders>
              <w:tl2br w:val="nil"/>
              <w:tr2bl w:val="nil"/>
            </w:tcBorders>
            <w:noWrap/>
            <w:vAlign w:val="center"/>
          </w:tcPr>
          <w:p w14:paraId="51F47992">
            <w:pPr>
              <w:spacing w:line="360" w:lineRule="auto"/>
              <w:jc w:val="center"/>
              <w:rPr>
                <w:rFonts w:hint="eastAsia" w:ascii="宋体" w:hAnsi="宋体" w:cs="宋体"/>
                <w:color w:val="auto"/>
                <w:sz w:val="21"/>
                <w:szCs w:val="21"/>
                <w:highlight w:val="none"/>
              </w:rPr>
            </w:pPr>
          </w:p>
        </w:tc>
      </w:tr>
      <w:tr w14:paraId="334E7A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DC0B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2.10.3.3</w:t>
            </w:r>
          </w:p>
        </w:tc>
        <w:tc>
          <w:tcPr>
            <w:tcW w:w="6982" w:type="dxa"/>
            <w:tcBorders>
              <w:tl2br w:val="nil"/>
              <w:tr2bl w:val="nil"/>
            </w:tcBorders>
            <w:vAlign w:val="center"/>
          </w:tcPr>
          <w:p w14:paraId="5A3CA4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多院区切换后数据范围及权限处理</w:t>
            </w:r>
          </w:p>
        </w:tc>
        <w:tc>
          <w:tcPr>
            <w:tcW w:w="870" w:type="dxa"/>
            <w:vMerge w:val="continue"/>
            <w:tcBorders>
              <w:tl2br w:val="nil"/>
              <w:tr2bl w:val="nil"/>
            </w:tcBorders>
            <w:noWrap/>
            <w:vAlign w:val="center"/>
          </w:tcPr>
          <w:p w14:paraId="0FD5C30E">
            <w:pPr>
              <w:spacing w:line="360" w:lineRule="auto"/>
              <w:jc w:val="center"/>
              <w:rPr>
                <w:rFonts w:hint="eastAsia" w:ascii="宋体" w:hAnsi="宋体" w:cs="宋体"/>
                <w:color w:val="auto"/>
                <w:sz w:val="21"/>
                <w:szCs w:val="21"/>
                <w:highlight w:val="none"/>
              </w:rPr>
            </w:pPr>
          </w:p>
        </w:tc>
      </w:tr>
      <w:tr w14:paraId="3D30AD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5456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2.10.3.4</w:t>
            </w:r>
          </w:p>
        </w:tc>
        <w:tc>
          <w:tcPr>
            <w:tcW w:w="6982" w:type="dxa"/>
            <w:tcBorders>
              <w:tl2br w:val="nil"/>
              <w:tr2bl w:val="nil"/>
            </w:tcBorders>
            <w:vAlign w:val="center"/>
          </w:tcPr>
          <w:p w14:paraId="0C2446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开单逻辑多院区改造，开药、检查检验项目适配当前院区工作站可以选择的项目</w:t>
            </w:r>
          </w:p>
        </w:tc>
        <w:tc>
          <w:tcPr>
            <w:tcW w:w="870" w:type="dxa"/>
            <w:vMerge w:val="continue"/>
            <w:tcBorders>
              <w:tl2br w:val="nil"/>
              <w:tr2bl w:val="nil"/>
            </w:tcBorders>
            <w:noWrap/>
            <w:vAlign w:val="center"/>
          </w:tcPr>
          <w:p w14:paraId="73B4D374">
            <w:pPr>
              <w:spacing w:line="360" w:lineRule="auto"/>
              <w:jc w:val="center"/>
              <w:rPr>
                <w:rFonts w:hint="eastAsia" w:ascii="宋体" w:hAnsi="宋体" w:cs="宋体"/>
                <w:color w:val="auto"/>
                <w:sz w:val="21"/>
                <w:szCs w:val="21"/>
                <w:highlight w:val="none"/>
              </w:rPr>
            </w:pPr>
          </w:p>
        </w:tc>
      </w:tr>
      <w:tr w14:paraId="196EA9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A05D9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2.10.3.5</w:t>
            </w:r>
          </w:p>
        </w:tc>
        <w:tc>
          <w:tcPr>
            <w:tcW w:w="6982" w:type="dxa"/>
            <w:tcBorders>
              <w:tl2br w:val="nil"/>
              <w:tr2bl w:val="nil"/>
            </w:tcBorders>
            <w:vAlign w:val="center"/>
          </w:tcPr>
          <w:p w14:paraId="09442A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新院区护理文书相关体征数据对接改造，兼容 BS 版本</w:t>
            </w:r>
          </w:p>
        </w:tc>
        <w:tc>
          <w:tcPr>
            <w:tcW w:w="870" w:type="dxa"/>
            <w:vMerge w:val="continue"/>
            <w:tcBorders>
              <w:tl2br w:val="nil"/>
              <w:tr2bl w:val="nil"/>
            </w:tcBorders>
            <w:noWrap/>
            <w:vAlign w:val="center"/>
          </w:tcPr>
          <w:p w14:paraId="42EDE601">
            <w:pPr>
              <w:spacing w:line="360" w:lineRule="auto"/>
              <w:jc w:val="center"/>
              <w:rPr>
                <w:rFonts w:hint="eastAsia" w:ascii="宋体" w:hAnsi="宋体" w:cs="宋体"/>
                <w:color w:val="auto"/>
                <w:sz w:val="21"/>
                <w:szCs w:val="21"/>
                <w:highlight w:val="none"/>
              </w:rPr>
            </w:pPr>
          </w:p>
        </w:tc>
      </w:tr>
      <w:tr w14:paraId="1E43DC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EA0F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△2.10.3.6</w:t>
            </w:r>
          </w:p>
        </w:tc>
        <w:tc>
          <w:tcPr>
            <w:tcW w:w="6982" w:type="dxa"/>
            <w:tcBorders>
              <w:tl2br w:val="nil"/>
              <w:tr2bl w:val="nil"/>
            </w:tcBorders>
            <w:vAlign w:val="center"/>
          </w:tcPr>
          <w:p w14:paraId="357885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移动端可实现紧急情况下大量用血审批单的审核，方便授权医生及时处理；同时医生可快速查看并处置门诊及住院患者危急值，关联患者完整诊疗信息，结合集成视图全面掌握病情，及时做出合理处置。</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57BD91A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0C23B2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161C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2.10.4</w:t>
            </w:r>
          </w:p>
        </w:tc>
        <w:tc>
          <w:tcPr>
            <w:tcW w:w="6982" w:type="dxa"/>
            <w:tcBorders>
              <w:tl2br w:val="nil"/>
              <w:tr2bl w:val="nil"/>
            </w:tcBorders>
            <w:vAlign w:val="center"/>
          </w:tcPr>
          <w:p w14:paraId="4279A5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移动消息推送分级</w:t>
            </w:r>
          </w:p>
        </w:tc>
        <w:tc>
          <w:tcPr>
            <w:tcW w:w="870" w:type="dxa"/>
            <w:vMerge w:val="restart"/>
            <w:tcBorders>
              <w:tl2br w:val="nil"/>
              <w:tr2bl w:val="nil"/>
            </w:tcBorders>
            <w:noWrap/>
            <w:vAlign w:val="center"/>
          </w:tcPr>
          <w:p w14:paraId="541BB456">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6C7A0D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DC67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2.10.4.1</w:t>
            </w:r>
          </w:p>
        </w:tc>
        <w:tc>
          <w:tcPr>
            <w:tcW w:w="6982" w:type="dxa"/>
            <w:tcBorders>
              <w:tl2br w:val="nil"/>
              <w:tr2bl w:val="nil"/>
            </w:tcBorders>
            <w:vAlign w:val="center"/>
          </w:tcPr>
          <w:p w14:paraId="46CC15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推送逻辑改造适配多院区不同业务消息通知</w:t>
            </w:r>
          </w:p>
        </w:tc>
        <w:tc>
          <w:tcPr>
            <w:tcW w:w="870" w:type="dxa"/>
            <w:vMerge w:val="continue"/>
            <w:tcBorders>
              <w:tl2br w:val="nil"/>
              <w:tr2bl w:val="nil"/>
            </w:tcBorders>
            <w:noWrap/>
            <w:vAlign w:val="center"/>
          </w:tcPr>
          <w:p w14:paraId="428EB241">
            <w:pPr>
              <w:spacing w:line="360" w:lineRule="auto"/>
              <w:jc w:val="center"/>
              <w:rPr>
                <w:rFonts w:hint="eastAsia" w:ascii="宋体" w:hAnsi="宋体" w:cs="宋体"/>
                <w:color w:val="auto"/>
                <w:sz w:val="21"/>
                <w:szCs w:val="21"/>
                <w:highlight w:val="none"/>
              </w:rPr>
            </w:pPr>
          </w:p>
        </w:tc>
      </w:tr>
      <w:tr w14:paraId="309276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67E2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2.10.5</w:t>
            </w:r>
          </w:p>
        </w:tc>
        <w:tc>
          <w:tcPr>
            <w:tcW w:w="6982" w:type="dxa"/>
            <w:tcBorders>
              <w:tl2br w:val="nil"/>
              <w:tr2bl w:val="nil"/>
            </w:tcBorders>
            <w:vAlign w:val="center"/>
          </w:tcPr>
          <w:p w14:paraId="32F9C4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发药与配送改造</w:t>
            </w:r>
          </w:p>
        </w:tc>
        <w:tc>
          <w:tcPr>
            <w:tcW w:w="870" w:type="dxa"/>
            <w:vMerge w:val="continue"/>
            <w:tcBorders>
              <w:tl2br w:val="nil"/>
              <w:tr2bl w:val="nil"/>
            </w:tcBorders>
            <w:noWrap/>
            <w:vAlign w:val="center"/>
          </w:tcPr>
          <w:p w14:paraId="6283945D">
            <w:pPr>
              <w:spacing w:line="360" w:lineRule="auto"/>
              <w:jc w:val="center"/>
              <w:rPr>
                <w:rFonts w:hint="eastAsia" w:ascii="宋体" w:hAnsi="宋体" w:cs="宋体"/>
                <w:color w:val="auto"/>
                <w:sz w:val="21"/>
                <w:szCs w:val="21"/>
                <w:highlight w:val="none"/>
              </w:rPr>
            </w:pPr>
          </w:p>
        </w:tc>
      </w:tr>
      <w:tr w14:paraId="2FE474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A911F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2.10.5.1</w:t>
            </w:r>
          </w:p>
        </w:tc>
        <w:tc>
          <w:tcPr>
            <w:tcW w:w="6982" w:type="dxa"/>
            <w:tcBorders>
              <w:tl2br w:val="nil"/>
              <w:tr2bl w:val="nil"/>
            </w:tcBorders>
            <w:vAlign w:val="center"/>
          </w:tcPr>
          <w:p w14:paraId="4C6900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自提地点逻辑分流</w:t>
            </w:r>
          </w:p>
        </w:tc>
        <w:tc>
          <w:tcPr>
            <w:tcW w:w="870" w:type="dxa"/>
            <w:vMerge w:val="continue"/>
            <w:tcBorders>
              <w:tl2br w:val="nil"/>
              <w:tr2bl w:val="nil"/>
            </w:tcBorders>
            <w:noWrap/>
            <w:vAlign w:val="center"/>
          </w:tcPr>
          <w:p w14:paraId="7556732B">
            <w:pPr>
              <w:spacing w:line="360" w:lineRule="auto"/>
              <w:jc w:val="center"/>
              <w:rPr>
                <w:rFonts w:hint="eastAsia" w:ascii="宋体" w:hAnsi="宋体" w:cs="宋体"/>
                <w:color w:val="auto"/>
                <w:sz w:val="21"/>
                <w:szCs w:val="21"/>
                <w:highlight w:val="none"/>
              </w:rPr>
            </w:pPr>
          </w:p>
        </w:tc>
      </w:tr>
      <w:tr w14:paraId="6EE395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0B05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2.10.5.2</w:t>
            </w:r>
          </w:p>
        </w:tc>
        <w:tc>
          <w:tcPr>
            <w:tcW w:w="6982" w:type="dxa"/>
            <w:tcBorders>
              <w:tl2br w:val="nil"/>
              <w:tr2bl w:val="nil"/>
            </w:tcBorders>
            <w:vAlign w:val="center"/>
          </w:tcPr>
          <w:p w14:paraId="55524C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物流下单接口改造</w:t>
            </w:r>
          </w:p>
        </w:tc>
        <w:tc>
          <w:tcPr>
            <w:tcW w:w="870" w:type="dxa"/>
            <w:vMerge w:val="continue"/>
            <w:tcBorders>
              <w:tl2br w:val="nil"/>
              <w:tr2bl w:val="nil"/>
            </w:tcBorders>
            <w:noWrap/>
            <w:vAlign w:val="center"/>
          </w:tcPr>
          <w:p w14:paraId="287E643C">
            <w:pPr>
              <w:spacing w:line="360" w:lineRule="auto"/>
              <w:jc w:val="center"/>
              <w:rPr>
                <w:rFonts w:hint="eastAsia" w:ascii="宋体" w:hAnsi="宋体" w:cs="宋体"/>
                <w:color w:val="auto"/>
                <w:sz w:val="21"/>
                <w:szCs w:val="21"/>
                <w:highlight w:val="none"/>
              </w:rPr>
            </w:pPr>
          </w:p>
        </w:tc>
      </w:tr>
      <w:tr w14:paraId="468CAF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BFE9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2.10.6</w:t>
            </w:r>
          </w:p>
        </w:tc>
        <w:tc>
          <w:tcPr>
            <w:tcW w:w="6982" w:type="dxa"/>
            <w:tcBorders>
              <w:tl2br w:val="nil"/>
              <w:tr2bl w:val="nil"/>
            </w:tcBorders>
            <w:vAlign w:val="center"/>
          </w:tcPr>
          <w:p w14:paraId="717EF9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院内集成与网络改造</w:t>
            </w:r>
          </w:p>
        </w:tc>
        <w:tc>
          <w:tcPr>
            <w:tcW w:w="870" w:type="dxa"/>
            <w:vMerge w:val="continue"/>
            <w:tcBorders>
              <w:tl2br w:val="nil"/>
              <w:tr2bl w:val="nil"/>
            </w:tcBorders>
            <w:noWrap/>
            <w:vAlign w:val="center"/>
          </w:tcPr>
          <w:p w14:paraId="741625E8">
            <w:pPr>
              <w:spacing w:line="360" w:lineRule="auto"/>
              <w:jc w:val="center"/>
              <w:rPr>
                <w:rFonts w:hint="eastAsia" w:ascii="宋体" w:hAnsi="宋体" w:cs="宋体"/>
                <w:color w:val="auto"/>
                <w:sz w:val="21"/>
                <w:szCs w:val="21"/>
                <w:highlight w:val="none"/>
              </w:rPr>
            </w:pPr>
          </w:p>
        </w:tc>
      </w:tr>
      <w:tr w14:paraId="18D313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03F3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2.10.6.1</w:t>
            </w:r>
          </w:p>
        </w:tc>
        <w:tc>
          <w:tcPr>
            <w:tcW w:w="6982" w:type="dxa"/>
            <w:tcBorders>
              <w:tl2br w:val="nil"/>
              <w:tr2bl w:val="nil"/>
            </w:tcBorders>
            <w:vAlign w:val="center"/>
          </w:tcPr>
          <w:p w14:paraId="1CD695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新院区集成节点部署：在新院区机房部署新的集成服务（Java Jar），配置与公有云的映射</w:t>
            </w:r>
          </w:p>
        </w:tc>
        <w:tc>
          <w:tcPr>
            <w:tcW w:w="870" w:type="dxa"/>
            <w:vMerge w:val="continue"/>
            <w:tcBorders>
              <w:tl2br w:val="nil"/>
              <w:tr2bl w:val="nil"/>
            </w:tcBorders>
            <w:noWrap/>
            <w:vAlign w:val="center"/>
          </w:tcPr>
          <w:p w14:paraId="384EC092">
            <w:pPr>
              <w:spacing w:line="360" w:lineRule="auto"/>
              <w:jc w:val="center"/>
              <w:rPr>
                <w:rFonts w:hint="eastAsia" w:ascii="宋体" w:hAnsi="宋体" w:cs="宋体"/>
                <w:color w:val="auto"/>
                <w:sz w:val="21"/>
                <w:szCs w:val="21"/>
                <w:highlight w:val="none"/>
              </w:rPr>
            </w:pPr>
          </w:p>
        </w:tc>
      </w:tr>
      <w:tr w14:paraId="03BEED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95BB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2.10.6.2</w:t>
            </w:r>
          </w:p>
        </w:tc>
        <w:tc>
          <w:tcPr>
            <w:tcW w:w="6982" w:type="dxa"/>
            <w:tcBorders>
              <w:tl2br w:val="nil"/>
              <w:tr2bl w:val="nil"/>
            </w:tcBorders>
            <w:vAlign w:val="center"/>
          </w:tcPr>
          <w:p w14:paraId="18303C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老院区节点降级：老院区集成服务保留，作为从节点或通过内网专线连接至新院区</w:t>
            </w:r>
          </w:p>
        </w:tc>
        <w:tc>
          <w:tcPr>
            <w:tcW w:w="870" w:type="dxa"/>
            <w:vMerge w:val="continue"/>
            <w:tcBorders>
              <w:tl2br w:val="nil"/>
              <w:tr2bl w:val="nil"/>
            </w:tcBorders>
            <w:noWrap/>
            <w:vAlign w:val="center"/>
          </w:tcPr>
          <w:p w14:paraId="27026E27">
            <w:pPr>
              <w:spacing w:line="360" w:lineRule="auto"/>
              <w:jc w:val="center"/>
              <w:rPr>
                <w:rFonts w:hint="eastAsia" w:ascii="宋体" w:hAnsi="宋体" w:cs="宋体"/>
                <w:color w:val="auto"/>
                <w:sz w:val="21"/>
                <w:szCs w:val="21"/>
                <w:highlight w:val="none"/>
              </w:rPr>
            </w:pPr>
          </w:p>
        </w:tc>
      </w:tr>
      <w:tr w14:paraId="1CB25E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C08F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2.10.6.3</w:t>
            </w:r>
          </w:p>
        </w:tc>
        <w:tc>
          <w:tcPr>
            <w:tcW w:w="6982" w:type="dxa"/>
            <w:tcBorders>
              <w:tl2br w:val="nil"/>
              <w:tr2bl w:val="nil"/>
            </w:tcBorders>
            <w:vAlign w:val="center"/>
          </w:tcPr>
          <w:p w14:paraId="45D803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新老院区接口地址路由分发</w:t>
            </w:r>
          </w:p>
        </w:tc>
        <w:tc>
          <w:tcPr>
            <w:tcW w:w="870" w:type="dxa"/>
            <w:vMerge w:val="continue"/>
            <w:tcBorders>
              <w:tl2br w:val="nil"/>
              <w:tr2bl w:val="nil"/>
            </w:tcBorders>
            <w:noWrap/>
            <w:vAlign w:val="center"/>
          </w:tcPr>
          <w:p w14:paraId="1FD42E49">
            <w:pPr>
              <w:spacing w:line="360" w:lineRule="auto"/>
              <w:jc w:val="center"/>
              <w:rPr>
                <w:rFonts w:hint="eastAsia" w:ascii="宋体" w:hAnsi="宋体" w:cs="宋体"/>
                <w:color w:val="auto"/>
                <w:sz w:val="21"/>
                <w:szCs w:val="21"/>
                <w:highlight w:val="none"/>
              </w:rPr>
            </w:pPr>
          </w:p>
        </w:tc>
      </w:tr>
      <w:tr w14:paraId="35F4B6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6DEF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2.10.6.4</w:t>
            </w:r>
          </w:p>
        </w:tc>
        <w:tc>
          <w:tcPr>
            <w:tcW w:w="6982" w:type="dxa"/>
            <w:tcBorders>
              <w:tl2br w:val="nil"/>
              <w:tr2bl w:val="nil"/>
            </w:tcBorders>
            <w:vAlign w:val="center"/>
          </w:tcPr>
          <w:p w14:paraId="27938F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新院区防火墙分别添加服务器白名单</w:t>
            </w:r>
          </w:p>
        </w:tc>
        <w:tc>
          <w:tcPr>
            <w:tcW w:w="870" w:type="dxa"/>
            <w:vMerge w:val="continue"/>
            <w:tcBorders>
              <w:tl2br w:val="nil"/>
              <w:tr2bl w:val="nil"/>
            </w:tcBorders>
            <w:noWrap/>
            <w:vAlign w:val="center"/>
          </w:tcPr>
          <w:p w14:paraId="10E84B21">
            <w:pPr>
              <w:spacing w:line="360" w:lineRule="auto"/>
              <w:jc w:val="center"/>
              <w:rPr>
                <w:rFonts w:hint="eastAsia" w:ascii="宋体" w:hAnsi="宋体" w:cs="宋体"/>
                <w:color w:val="auto"/>
                <w:sz w:val="21"/>
                <w:szCs w:val="21"/>
                <w:highlight w:val="none"/>
              </w:rPr>
            </w:pPr>
          </w:p>
        </w:tc>
      </w:tr>
      <w:tr w14:paraId="2A3106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58DA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2.10.7</w:t>
            </w:r>
          </w:p>
        </w:tc>
        <w:tc>
          <w:tcPr>
            <w:tcW w:w="6982" w:type="dxa"/>
            <w:tcBorders>
              <w:tl2br w:val="nil"/>
              <w:tr2bl w:val="nil"/>
            </w:tcBorders>
            <w:vAlign w:val="center"/>
          </w:tcPr>
          <w:p w14:paraId="49A3FE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访问 his 数据库国产化适配</w:t>
            </w:r>
          </w:p>
        </w:tc>
        <w:tc>
          <w:tcPr>
            <w:tcW w:w="870" w:type="dxa"/>
            <w:vMerge w:val="continue"/>
            <w:tcBorders>
              <w:tl2br w:val="nil"/>
              <w:tr2bl w:val="nil"/>
            </w:tcBorders>
            <w:noWrap/>
            <w:vAlign w:val="center"/>
          </w:tcPr>
          <w:p w14:paraId="771E82A9">
            <w:pPr>
              <w:spacing w:line="360" w:lineRule="auto"/>
              <w:jc w:val="center"/>
              <w:rPr>
                <w:rFonts w:hint="eastAsia" w:ascii="宋体" w:hAnsi="宋体" w:cs="宋体"/>
                <w:color w:val="auto"/>
                <w:sz w:val="21"/>
                <w:szCs w:val="21"/>
                <w:highlight w:val="none"/>
              </w:rPr>
            </w:pPr>
          </w:p>
        </w:tc>
      </w:tr>
      <w:tr w14:paraId="4804B1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BCD5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2.10.7.1</w:t>
            </w:r>
          </w:p>
        </w:tc>
        <w:tc>
          <w:tcPr>
            <w:tcW w:w="6982" w:type="dxa"/>
            <w:tcBorders>
              <w:tl2br w:val="nil"/>
              <w:tr2bl w:val="nil"/>
            </w:tcBorders>
            <w:vAlign w:val="center"/>
          </w:tcPr>
          <w:p w14:paraId="69F6DB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SQL 语法转换、存储过程重写</w:t>
            </w:r>
          </w:p>
        </w:tc>
        <w:tc>
          <w:tcPr>
            <w:tcW w:w="870" w:type="dxa"/>
            <w:vMerge w:val="continue"/>
            <w:tcBorders>
              <w:tl2br w:val="nil"/>
              <w:tr2bl w:val="nil"/>
            </w:tcBorders>
            <w:noWrap/>
            <w:vAlign w:val="center"/>
          </w:tcPr>
          <w:p w14:paraId="1F7593A1">
            <w:pPr>
              <w:spacing w:line="360" w:lineRule="auto"/>
              <w:jc w:val="center"/>
              <w:rPr>
                <w:rFonts w:hint="eastAsia" w:ascii="宋体" w:hAnsi="宋体" w:cs="宋体"/>
                <w:color w:val="auto"/>
                <w:sz w:val="21"/>
                <w:szCs w:val="21"/>
                <w:highlight w:val="none"/>
              </w:rPr>
            </w:pPr>
          </w:p>
        </w:tc>
      </w:tr>
      <w:tr w14:paraId="28BDF2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5A43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w:t>
            </w:r>
          </w:p>
        </w:tc>
        <w:tc>
          <w:tcPr>
            <w:tcW w:w="6982" w:type="dxa"/>
            <w:tcBorders>
              <w:tl2br w:val="nil"/>
              <w:tr2bl w:val="nil"/>
            </w:tcBorders>
            <w:vAlign w:val="center"/>
          </w:tcPr>
          <w:p w14:paraId="0758D7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移动护理多院区改造</w:t>
            </w:r>
          </w:p>
        </w:tc>
        <w:tc>
          <w:tcPr>
            <w:tcW w:w="870" w:type="dxa"/>
            <w:vMerge w:val="restart"/>
            <w:tcBorders>
              <w:tl2br w:val="nil"/>
              <w:tr2bl w:val="nil"/>
            </w:tcBorders>
            <w:noWrap/>
            <w:vAlign w:val="center"/>
          </w:tcPr>
          <w:p w14:paraId="352949B4">
            <w:pPr>
              <w:widowControl/>
              <w:spacing w:line="360" w:lineRule="auto"/>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w:t>
            </w:r>
          </w:p>
        </w:tc>
      </w:tr>
      <w:tr w14:paraId="70D610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4F26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2.11.1</w:t>
            </w:r>
          </w:p>
        </w:tc>
        <w:tc>
          <w:tcPr>
            <w:tcW w:w="6982" w:type="dxa"/>
            <w:tcBorders>
              <w:tl2br w:val="nil"/>
              <w:tr2bl w:val="nil"/>
            </w:tcBorders>
            <w:vAlign w:val="center"/>
          </w:tcPr>
          <w:p w14:paraId="63D7EA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WLAN 漫游与 IP 适配</w:t>
            </w:r>
          </w:p>
        </w:tc>
        <w:tc>
          <w:tcPr>
            <w:tcW w:w="870" w:type="dxa"/>
            <w:vMerge w:val="continue"/>
            <w:tcBorders>
              <w:tl2br w:val="nil"/>
              <w:tr2bl w:val="nil"/>
            </w:tcBorders>
            <w:noWrap/>
            <w:vAlign w:val="center"/>
          </w:tcPr>
          <w:p w14:paraId="0D4EE85D">
            <w:pPr>
              <w:widowControl/>
              <w:spacing w:line="360" w:lineRule="auto"/>
              <w:jc w:val="center"/>
              <w:textAlignment w:val="center"/>
              <w:rPr>
                <w:rFonts w:hint="eastAsia" w:ascii="宋体" w:hAnsi="宋体" w:cs="宋体"/>
                <w:color w:val="auto"/>
                <w:kern w:val="0"/>
                <w:sz w:val="21"/>
                <w:szCs w:val="21"/>
                <w:highlight w:val="none"/>
                <w:lang w:bidi="ar"/>
              </w:rPr>
            </w:pPr>
          </w:p>
        </w:tc>
      </w:tr>
      <w:tr w14:paraId="207ADF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DEDE1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2.11.1.1</w:t>
            </w:r>
          </w:p>
        </w:tc>
        <w:tc>
          <w:tcPr>
            <w:tcW w:w="6982" w:type="dxa"/>
            <w:tcBorders>
              <w:tl2br w:val="nil"/>
              <w:tr2bl w:val="nil"/>
            </w:tcBorders>
            <w:vAlign w:val="center"/>
          </w:tcPr>
          <w:p w14:paraId="44381D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适配新院区 AP 调整 PDA 漫游阈值</w:t>
            </w:r>
          </w:p>
        </w:tc>
        <w:tc>
          <w:tcPr>
            <w:tcW w:w="870" w:type="dxa"/>
            <w:vMerge w:val="continue"/>
            <w:tcBorders>
              <w:tl2br w:val="nil"/>
              <w:tr2bl w:val="nil"/>
            </w:tcBorders>
            <w:noWrap/>
            <w:vAlign w:val="center"/>
          </w:tcPr>
          <w:p w14:paraId="3B82A173">
            <w:pPr>
              <w:widowControl/>
              <w:spacing w:line="360" w:lineRule="auto"/>
              <w:jc w:val="center"/>
              <w:textAlignment w:val="center"/>
              <w:rPr>
                <w:rFonts w:hint="eastAsia" w:ascii="宋体" w:hAnsi="宋体" w:cs="宋体"/>
                <w:color w:val="auto"/>
                <w:kern w:val="0"/>
                <w:sz w:val="21"/>
                <w:szCs w:val="21"/>
                <w:highlight w:val="none"/>
                <w:lang w:bidi="ar"/>
              </w:rPr>
            </w:pPr>
          </w:p>
        </w:tc>
      </w:tr>
      <w:tr w14:paraId="0C48DC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4CE5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2.11.2</w:t>
            </w:r>
          </w:p>
        </w:tc>
        <w:tc>
          <w:tcPr>
            <w:tcW w:w="6982" w:type="dxa"/>
            <w:tcBorders>
              <w:tl2br w:val="nil"/>
              <w:tr2bl w:val="nil"/>
            </w:tcBorders>
            <w:vAlign w:val="center"/>
          </w:tcPr>
          <w:p w14:paraId="73BC28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版本批量下发改造</w:t>
            </w:r>
          </w:p>
        </w:tc>
        <w:tc>
          <w:tcPr>
            <w:tcW w:w="870" w:type="dxa"/>
            <w:vMerge w:val="continue"/>
            <w:tcBorders>
              <w:tl2br w:val="nil"/>
              <w:tr2bl w:val="nil"/>
            </w:tcBorders>
            <w:noWrap/>
            <w:vAlign w:val="center"/>
          </w:tcPr>
          <w:p w14:paraId="06E7646F">
            <w:pPr>
              <w:widowControl/>
              <w:spacing w:line="360" w:lineRule="auto"/>
              <w:jc w:val="center"/>
              <w:textAlignment w:val="center"/>
              <w:rPr>
                <w:rFonts w:hint="eastAsia" w:ascii="宋体" w:hAnsi="宋体" w:cs="宋体"/>
                <w:color w:val="auto"/>
                <w:kern w:val="0"/>
                <w:sz w:val="21"/>
                <w:szCs w:val="21"/>
                <w:highlight w:val="none"/>
                <w:lang w:bidi="ar"/>
              </w:rPr>
            </w:pPr>
          </w:p>
        </w:tc>
      </w:tr>
      <w:tr w14:paraId="2B7083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D83A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2.11.2.1</w:t>
            </w:r>
          </w:p>
        </w:tc>
        <w:tc>
          <w:tcPr>
            <w:tcW w:w="6982" w:type="dxa"/>
            <w:tcBorders>
              <w:tl2br w:val="nil"/>
              <w:tr2bl w:val="nil"/>
            </w:tcBorders>
            <w:vAlign w:val="center"/>
          </w:tcPr>
          <w:p w14:paraId="6375F0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 MDM 批量更新 PDA 内网服务器 IP 地址（指向新院区前置机）</w:t>
            </w:r>
          </w:p>
        </w:tc>
        <w:tc>
          <w:tcPr>
            <w:tcW w:w="870" w:type="dxa"/>
            <w:vMerge w:val="continue"/>
            <w:tcBorders>
              <w:tl2br w:val="nil"/>
              <w:tr2bl w:val="nil"/>
            </w:tcBorders>
            <w:noWrap/>
            <w:vAlign w:val="center"/>
          </w:tcPr>
          <w:p w14:paraId="7414D499">
            <w:pPr>
              <w:widowControl/>
              <w:spacing w:line="360" w:lineRule="auto"/>
              <w:jc w:val="center"/>
              <w:textAlignment w:val="center"/>
              <w:rPr>
                <w:rFonts w:hint="eastAsia" w:ascii="宋体" w:hAnsi="宋体" w:cs="宋体"/>
                <w:color w:val="auto"/>
                <w:kern w:val="0"/>
                <w:sz w:val="21"/>
                <w:szCs w:val="21"/>
                <w:highlight w:val="none"/>
                <w:lang w:bidi="ar"/>
              </w:rPr>
            </w:pPr>
          </w:p>
        </w:tc>
      </w:tr>
      <w:tr w14:paraId="4923F8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4F3B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2.11.3</w:t>
            </w:r>
          </w:p>
        </w:tc>
        <w:tc>
          <w:tcPr>
            <w:tcW w:w="6982" w:type="dxa"/>
            <w:tcBorders>
              <w:tl2br w:val="nil"/>
              <w:tr2bl w:val="nil"/>
            </w:tcBorders>
            <w:vAlign w:val="center"/>
          </w:tcPr>
          <w:p w14:paraId="13E905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多院区数据隔离</w:t>
            </w:r>
          </w:p>
        </w:tc>
        <w:tc>
          <w:tcPr>
            <w:tcW w:w="870" w:type="dxa"/>
            <w:vMerge w:val="continue"/>
            <w:tcBorders>
              <w:tl2br w:val="nil"/>
              <w:tr2bl w:val="nil"/>
            </w:tcBorders>
            <w:noWrap/>
            <w:vAlign w:val="center"/>
          </w:tcPr>
          <w:p w14:paraId="6226337C">
            <w:pPr>
              <w:widowControl/>
              <w:spacing w:line="360" w:lineRule="auto"/>
              <w:jc w:val="center"/>
              <w:textAlignment w:val="center"/>
              <w:rPr>
                <w:rFonts w:hint="eastAsia" w:ascii="宋体" w:hAnsi="宋体" w:cs="宋体"/>
                <w:color w:val="auto"/>
                <w:kern w:val="0"/>
                <w:sz w:val="21"/>
                <w:szCs w:val="21"/>
                <w:highlight w:val="none"/>
                <w:lang w:bidi="ar"/>
              </w:rPr>
            </w:pPr>
          </w:p>
        </w:tc>
      </w:tr>
      <w:tr w14:paraId="42048B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7ACC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2.11.3.1</w:t>
            </w:r>
          </w:p>
        </w:tc>
        <w:tc>
          <w:tcPr>
            <w:tcW w:w="6982" w:type="dxa"/>
            <w:tcBorders>
              <w:tl2br w:val="nil"/>
              <w:tr2bl w:val="nil"/>
            </w:tcBorders>
            <w:vAlign w:val="center"/>
          </w:tcPr>
          <w:p w14:paraId="178A5E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护士登录应支持新老院区工作站切换</w:t>
            </w:r>
          </w:p>
        </w:tc>
        <w:tc>
          <w:tcPr>
            <w:tcW w:w="870" w:type="dxa"/>
            <w:vMerge w:val="continue"/>
            <w:tcBorders>
              <w:tl2br w:val="nil"/>
              <w:tr2bl w:val="nil"/>
            </w:tcBorders>
            <w:noWrap/>
            <w:vAlign w:val="center"/>
          </w:tcPr>
          <w:p w14:paraId="3E62BB52">
            <w:pPr>
              <w:widowControl/>
              <w:spacing w:line="360" w:lineRule="auto"/>
              <w:jc w:val="center"/>
              <w:textAlignment w:val="center"/>
              <w:rPr>
                <w:rFonts w:hint="eastAsia" w:ascii="宋体" w:hAnsi="宋体" w:cs="宋体"/>
                <w:color w:val="auto"/>
                <w:kern w:val="0"/>
                <w:sz w:val="21"/>
                <w:szCs w:val="21"/>
                <w:highlight w:val="none"/>
                <w:lang w:bidi="ar"/>
              </w:rPr>
            </w:pPr>
          </w:p>
        </w:tc>
      </w:tr>
      <w:tr w14:paraId="164773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5441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2.11.3.2</w:t>
            </w:r>
          </w:p>
        </w:tc>
        <w:tc>
          <w:tcPr>
            <w:tcW w:w="6982" w:type="dxa"/>
            <w:tcBorders>
              <w:tl2br w:val="nil"/>
              <w:tr2bl w:val="nil"/>
            </w:tcBorders>
            <w:vAlign w:val="center"/>
          </w:tcPr>
          <w:p w14:paraId="253F26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多院区切换后数据范围及权限处理</w:t>
            </w:r>
          </w:p>
        </w:tc>
        <w:tc>
          <w:tcPr>
            <w:tcW w:w="870" w:type="dxa"/>
            <w:vMerge w:val="continue"/>
            <w:tcBorders>
              <w:tl2br w:val="nil"/>
              <w:tr2bl w:val="nil"/>
            </w:tcBorders>
            <w:noWrap/>
            <w:vAlign w:val="center"/>
          </w:tcPr>
          <w:p w14:paraId="0B1305A7">
            <w:pPr>
              <w:widowControl/>
              <w:spacing w:line="360" w:lineRule="auto"/>
              <w:jc w:val="center"/>
              <w:textAlignment w:val="center"/>
              <w:rPr>
                <w:rFonts w:hint="eastAsia" w:ascii="宋体" w:hAnsi="宋体" w:cs="宋体"/>
                <w:color w:val="auto"/>
                <w:kern w:val="0"/>
                <w:sz w:val="21"/>
                <w:szCs w:val="21"/>
                <w:highlight w:val="none"/>
                <w:lang w:bidi="ar"/>
              </w:rPr>
            </w:pPr>
          </w:p>
        </w:tc>
      </w:tr>
      <w:tr w14:paraId="216601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64E8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△2.11.3.3</w:t>
            </w:r>
          </w:p>
        </w:tc>
        <w:tc>
          <w:tcPr>
            <w:tcW w:w="6982" w:type="dxa"/>
            <w:tcBorders>
              <w:tl2br w:val="nil"/>
              <w:tr2bl w:val="nil"/>
            </w:tcBorders>
            <w:vAlign w:val="center"/>
          </w:tcPr>
          <w:p w14:paraId="2432EE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移动护士站支持通过扫描患者腕带加载院感隔离措施，默认标记为全部落实，护士可下拉选择落实状态并保存，具备单患者院感措施历史查询功能。</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0522F317">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6E00C7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9BDE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w:t>
            </w:r>
          </w:p>
        </w:tc>
        <w:tc>
          <w:tcPr>
            <w:tcW w:w="6982" w:type="dxa"/>
            <w:tcBorders>
              <w:tl2br w:val="nil"/>
              <w:tr2bl w:val="nil"/>
            </w:tcBorders>
            <w:vAlign w:val="center"/>
          </w:tcPr>
          <w:p w14:paraId="46E87A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多院区业务协同改造</w:t>
            </w:r>
          </w:p>
        </w:tc>
        <w:tc>
          <w:tcPr>
            <w:tcW w:w="870" w:type="dxa"/>
            <w:vMerge w:val="restart"/>
            <w:tcBorders>
              <w:tl2br w:val="nil"/>
              <w:tr2bl w:val="nil"/>
            </w:tcBorders>
            <w:noWrap/>
            <w:vAlign w:val="center"/>
          </w:tcPr>
          <w:p w14:paraId="45DF29A6">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3D366E4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9DED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2.11.4.1</w:t>
            </w:r>
          </w:p>
        </w:tc>
        <w:tc>
          <w:tcPr>
            <w:tcW w:w="6982" w:type="dxa"/>
            <w:tcBorders>
              <w:tl2br w:val="nil"/>
              <w:tr2bl w:val="nil"/>
            </w:tcBorders>
            <w:vAlign w:val="center"/>
          </w:tcPr>
          <w:p w14:paraId="3D2C05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新院区护理文书相关功能数据对接改造，兼容 BS 版本</w:t>
            </w:r>
          </w:p>
        </w:tc>
        <w:tc>
          <w:tcPr>
            <w:tcW w:w="870" w:type="dxa"/>
            <w:vMerge w:val="continue"/>
            <w:tcBorders>
              <w:tl2br w:val="nil"/>
              <w:tr2bl w:val="nil"/>
            </w:tcBorders>
            <w:noWrap/>
            <w:vAlign w:val="center"/>
          </w:tcPr>
          <w:p w14:paraId="48AE5A80">
            <w:pPr>
              <w:spacing w:line="360" w:lineRule="auto"/>
              <w:jc w:val="center"/>
              <w:rPr>
                <w:rFonts w:hint="eastAsia" w:ascii="宋体" w:hAnsi="宋体" w:cs="宋体"/>
                <w:color w:val="auto"/>
                <w:sz w:val="21"/>
                <w:szCs w:val="21"/>
                <w:highlight w:val="none"/>
              </w:rPr>
            </w:pPr>
          </w:p>
        </w:tc>
      </w:tr>
      <w:tr w14:paraId="007AF9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E21F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2.11.4.2</w:t>
            </w:r>
          </w:p>
        </w:tc>
        <w:tc>
          <w:tcPr>
            <w:tcW w:w="6982" w:type="dxa"/>
            <w:tcBorders>
              <w:tl2br w:val="nil"/>
              <w:tr2bl w:val="nil"/>
            </w:tcBorders>
            <w:vAlign w:val="center"/>
          </w:tcPr>
          <w:p w14:paraId="4DD41A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新院区设备适配联调</w:t>
            </w:r>
          </w:p>
        </w:tc>
        <w:tc>
          <w:tcPr>
            <w:tcW w:w="870" w:type="dxa"/>
            <w:vMerge w:val="continue"/>
            <w:tcBorders>
              <w:tl2br w:val="nil"/>
              <w:tr2bl w:val="nil"/>
            </w:tcBorders>
            <w:noWrap/>
            <w:vAlign w:val="center"/>
          </w:tcPr>
          <w:p w14:paraId="252D424E">
            <w:pPr>
              <w:spacing w:line="360" w:lineRule="auto"/>
              <w:jc w:val="center"/>
              <w:rPr>
                <w:rFonts w:hint="eastAsia" w:ascii="宋体" w:hAnsi="宋体" w:cs="宋体"/>
                <w:color w:val="auto"/>
                <w:sz w:val="21"/>
                <w:szCs w:val="21"/>
                <w:highlight w:val="none"/>
              </w:rPr>
            </w:pPr>
          </w:p>
        </w:tc>
      </w:tr>
      <w:tr w14:paraId="2597AF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519C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2.11.4.3</w:t>
            </w:r>
          </w:p>
        </w:tc>
        <w:tc>
          <w:tcPr>
            <w:tcW w:w="6982" w:type="dxa"/>
            <w:tcBorders>
              <w:tl2br w:val="nil"/>
              <w:tr2bl w:val="nil"/>
            </w:tcBorders>
            <w:vAlign w:val="center"/>
          </w:tcPr>
          <w:p w14:paraId="6809C8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适配国产化数据库</w:t>
            </w:r>
          </w:p>
        </w:tc>
        <w:tc>
          <w:tcPr>
            <w:tcW w:w="870" w:type="dxa"/>
            <w:vMerge w:val="continue"/>
            <w:tcBorders>
              <w:tl2br w:val="nil"/>
              <w:tr2bl w:val="nil"/>
            </w:tcBorders>
            <w:noWrap/>
            <w:vAlign w:val="center"/>
          </w:tcPr>
          <w:p w14:paraId="22F07148">
            <w:pPr>
              <w:spacing w:line="360" w:lineRule="auto"/>
              <w:jc w:val="center"/>
              <w:rPr>
                <w:rFonts w:hint="eastAsia" w:ascii="宋体" w:hAnsi="宋体" w:cs="宋体"/>
                <w:color w:val="auto"/>
                <w:sz w:val="21"/>
                <w:szCs w:val="21"/>
                <w:highlight w:val="none"/>
              </w:rPr>
            </w:pPr>
          </w:p>
        </w:tc>
      </w:tr>
      <w:tr w14:paraId="762CFD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F5C8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2.11.4.4</w:t>
            </w:r>
          </w:p>
        </w:tc>
        <w:tc>
          <w:tcPr>
            <w:tcW w:w="6982" w:type="dxa"/>
            <w:tcBorders>
              <w:tl2br w:val="nil"/>
              <w:tr2bl w:val="nil"/>
            </w:tcBorders>
            <w:vAlign w:val="center"/>
          </w:tcPr>
          <w:p w14:paraId="582B27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新院区服务部署联调</w:t>
            </w:r>
          </w:p>
        </w:tc>
        <w:tc>
          <w:tcPr>
            <w:tcW w:w="870" w:type="dxa"/>
            <w:vMerge w:val="continue"/>
            <w:tcBorders>
              <w:tl2br w:val="nil"/>
              <w:tr2bl w:val="nil"/>
            </w:tcBorders>
            <w:noWrap/>
            <w:vAlign w:val="center"/>
          </w:tcPr>
          <w:p w14:paraId="00D69089">
            <w:pPr>
              <w:spacing w:line="360" w:lineRule="auto"/>
              <w:jc w:val="center"/>
              <w:rPr>
                <w:rFonts w:hint="eastAsia" w:ascii="宋体" w:hAnsi="宋体" w:cs="宋体"/>
                <w:color w:val="auto"/>
                <w:sz w:val="21"/>
                <w:szCs w:val="21"/>
                <w:highlight w:val="none"/>
              </w:rPr>
            </w:pPr>
          </w:p>
        </w:tc>
      </w:tr>
      <w:tr w14:paraId="6790E7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F540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2.11.4.5</w:t>
            </w:r>
          </w:p>
        </w:tc>
        <w:tc>
          <w:tcPr>
            <w:tcW w:w="6982" w:type="dxa"/>
            <w:tcBorders>
              <w:tl2br w:val="nil"/>
              <w:tr2bl w:val="nil"/>
            </w:tcBorders>
            <w:vAlign w:val="center"/>
          </w:tcPr>
          <w:p w14:paraId="78EB15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新院区工作站类型、基础字典等配置</w:t>
            </w:r>
          </w:p>
        </w:tc>
        <w:tc>
          <w:tcPr>
            <w:tcW w:w="870" w:type="dxa"/>
            <w:vMerge w:val="continue"/>
            <w:tcBorders>
              <w:tl2br w:val="nil"/>
              <w:tr2bl w:val="nil"/>
            </w:tcBorders>
            <w:noWrap/>
            <w:vAlign w:val="center"/>
          </w:tcPr>
          <w:p w14:paraId="6A4A3872">
            <w:pPr>
              <w:spacing w:line="360" w:lineRule="auto"/>
              <w:jc w:val="center"/>
              <w:rPr>
                <w:rFonts w:hint="eastAsia" w:ascii="宋体" w:hAnsi="宋体" w:cs="宋体"/>
                <w:color w:val="auto"/>
                <w:sz w:val="21"/>
                <w:szCs w:val="21"/>
                <w:highlight w:val="none"/>
              </w:rPr>
            </w:pPr>
          </w:p>
        </w:tc>
      </w:tr>
      <w:tr w14:paraId="33B051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13AD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△2.11.4.6</w:t>
            </w:r>
          </w:p>
        </w:tc>
        <w:tc>
          <w:tcPr>
            <w:tcW w:w="6982" w:type="dxa"/>
            <w:tcBorders>
              <w:tl2br w:val="nil"/>
              <w:tr2bl w:val="nil"/>
            </w:tcBorders>
            <w:vAlign w:val="center"/>
          </w:tcPr>
          <w:p w14:paraId="4CC795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胃镜室等科室完成消毒后，可上传消毒图片、试纸结果及相关文字信息至消毒液检测平台，感染科可通过 PC 后台查看并导出数据。</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54E4156A">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1D9D43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0366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w:t>
            </w:r>
          </w:p>
        </w:tc>
        <w:tc>
          <w:tcPr>
            <w:tcW w:w="6982" w:type="dxa"/>
            <w:tcBorders>
              <w:tl2br w:val="nil"/>
              <w:tr2bl w:val="nil"/>
            </w:tcBorders>
            <w:vAlign w:val="center"/>
          </w:tcPr>
          <w:p w14:paraId="7FE123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药品追溯多院区改造</w:t>
            </w:r>
          </w:p>
        </w:tc>
        <w:tc>
          <w:tcPr>
            <w:tcW w:w="870" w:type="dxa"/>
            <w:vMerge w:val="restart"/>
            <w:tcBorders>
              <w:tl2br w:val="nil"/>
              <w:tr2bl w:val="nil"/>
            </w:tcBorders>
            <w:noWrap/>
            <w:vAlign w:val="center"/>
          </w:tcPr>
          <w:p w14:paraId="4A9A0EAE">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5399B4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14D5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w:t>
            </w:r>
          </w:p>
        </w:tc>
        <w:tc>
          <w:tcPr>
            <w:tcW w:w="6982" w:type="dxa"/>
            <w:tcBorders>
              <w:tl2br w:val="nil"/>
              <w:tr2bl w:val="nil"/>
            </w:tcBorders>
            <w:vAlign w:val="center"/>
          </w:tcPr>
          <w:p w14:paraId="778AA9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多院区业务协同改造</w:t>
            </w:r>
          </w:p>
        </w:tc>
        <w:tc>
          <w:tcPr>
            <w:tcW w:w="870" w:type="dxa"/>
            <w:vMerge w:val="continue"/>
            <w:tcBorders>
              <w:tl2br w:val="nil"/>
              <w:tr2bl w:val="nil"/>
            </w:tcBorders>
            <w:noWrap/>
            <w:vAlign w:val="center"/>
          </w:tcPr>
          <w:p w14:paraId="75610951">
            <w:pPr>
              <w:spacing w:line="360" w:lineRule="auto"/>
              <w:jc w:val="center"/>
              <w:rPr>
                <w:rFonts w:hint="eastAsia" w:ascii="宋体" w:hAnsi="宋体" w:cs="宋体"/>
                <w:color w:val="auto"/>
                <w:sz w:val="21"/>
                <w:szCs w:val="21"/>
                <w:highlight w:val="none"/>
              </w:rPr>
            </w:pPr>
          </w:p>
        </w:tc>
      </w:tr>
      <w:tr w14:paraId="5FD246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B902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2.12.1.1</w:t>
            </w:r>
          </w:p>
        </w:tc>
        <w:tc>
          <w:tcPr>
            <w:tcW w:w="6982" w:type="dxa"/>
            <w:tcBorders>
              <w:tl2br w:val="nil"/>
              <w:tr2bl w:val="nil"/>
            </w:tcBorders>
            <w:vAlign w:val="center"/>
          </w:tcPr>
          <w:p w14:paraId="068C88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新院区设备适配联调</w:t>
            </w:r>
          </w:p>
        </w:tc>
        <w:tc>
          <w:tcPr>
            <w:tcW w:w="870" w:type="dxa"/>
            <w:vMerge w:val="continue"/>
            <w:tcBorders>
              <w:tl2br w:val="nil"/>
              <w:tr2bl w:val="nil"/>
            </w:tcBorders>
            <w:noWrap/>
            <w:vAlign w:val="center"/>
          </w:tcPr>
          <w:p w14:paraId="7C139120">
            <w:pPr>
              <w:spacing w:line="360" w:lineRule="auto"/>
              <w:jc w:val="center"/>
              <w:rPr>
                <w:rFonts w:hint="eastAsia" w:ascii="宋体" w:hAnsi="宋体" w:cs="宋体"/>
                <w:color w:val="auto"/>
                <w:sz w:val="21"/>
                <w:szCs w:val="21"/>
                <w:highlight w:val="none"/>
              </w:rPr>
            </w:pPr>
          </w:p>
        </w:tc>
      </w:tr>
      <w:tr w14:paraId="0D972F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7E1E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2.12.1.2</w:t>
            </w:r>
          </w:p>
        </w:tc>
        <w:tc>
          <w:tcPr>
            <w:tcW w:w="6982" w:type="dxa"/>
            <w:tcBorders>
              <w:tl2br w:val="nil"/>
              <w:tr2bl w:val="nil"/>
            </w:tcBorders>
            <w:vAlign w:val="center"/>
          </w:tcPr>
          <w:p w14:paraId="2C6414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适配国产化数据库</w:t>
            </w:r>
          </w:p>
        </w:tc>
        <w:tc>
          <w:tcPr>
            <w:tcW w:w="870" w:type="dxa"/>
            <w:vMerge w:val="continue"/>
            <w:tcBorders>
              <w:tl2br w:val="nil"/>
              <w:tr2bl w:val="nil"/>
            </w:tcBorders>
            <w:noWrap/>
            <w:vAlign w:val="center"/>
          </w:tcPr>
          <w:p w14:paraId="1FB868D5">
            <w:pPr>
              <w:spacing w:line="360" w:lineRule="auto"/>
              <w:jc w:val="center"/>
              <w:rPr>
                <w:rFonts w:hint="eastAsia" w:ascii="宋体" w:hAnsi="宋体" w:cs="宋体"/>
                <w:color w:val="auto"/>
                <w:sz w:val="21"/>
                <w:szCs w:val="21"/>
                <w:highlight w:val="none"/>
              </w:rPr>
            </w:pPr>
          </w:p>
        </w:tc>
      </w:tr>
      <w:tr w14:paraId="0A8782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07F7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2.12.1.3</w:t>
            </w:r>
          </w:p>
        </w:tc>
        <w:tc>
          <w:tcPr>
            <w:tcW w:w="6982" w:type="dxa"/>
            <w:tcBorders>
              <w:tl2br w:val="nil"/>
              <w:tr2bl w:val="nil"/>
            </w:tcBorders>
            <w:vAlign w:val="center"/>
          </w:tcPr>
          <w:p w14:paraId="6A34A7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新院区服务部署联调</w:t>
            </w:r>
          </w:p>
        </w:tc>
        <w:tc>
          <w:tcPr>
            <w:tcW w:w="870" w:type="dxa"/>
            <w:vMerge w:val="continue"/>
            <w:tcBorders>
              <w:tl2br w:val="nil"/>
              <w:tr2bl w:val="nil"/>
            </w:tcBorders>
            <w:noWrap/>
            <w:vAlign w:val="center"/>
          </w:tcPr>
          <w:p w14:paraId="152B8F93">
            <w:pPr>
              <w:spacing w:line="360" w:lineRule="auto"/>
              <w:jc w:val="center"/>
              <w:rPr>
                <w:rFonts w:hint="eastAsia" w:ascii="宋体" w:hAnsi="宋体" w:cs="宋体"/>
                <w:color w:val="auto"/>
                <w:sz w:val="21"/>
                <w:szCs w:val="21"/>
                <w:highlight w:val="none"/>
              </w:rPr>
            </w:pPr>
          </w:p>
        </w:tc>
      </w:tr>
      <w:tr w14:paraId="338453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FCB8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2.12.1.4</w:t>
            </w:r>
          </w:p>
        </w:tc>
        <w:tc>
          <w:tcPr>
            <w:tcW w:w="6982" w:type="dxa"/>
            <w:tcBorders>
              <w:tl2br w:val="nil"/>
              <w:tr2bl w:val="nil"/>
            </w:tcBorders>
            <w:vAlign w:val="center"/>
          </w:tcPr>
          <w:p w14:paraId="5260F6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新院区工作站类型、基础字典等配置</w:t>
            </w:r>
          </w:p>
        </w:tc>
        <w:tc>
          <w:tcPr>
            <w:tcW w:w="870" w:type="dxa"/>
            <w:vMerge w:val="continue"/>
            <w:tcBorders>
              <w:tl2br w:val="nil"/>
              <w:tr2bl w:val="nil"/>
            </w:tcBorders>
            <w:noWrap/>
            <w:vAlign w:val="center"/>
          </w:tcPr>
          <w:p w14:paraId="4038B845">
            <w:pPr>
              <w:spacing w:line="360" w:lineRule="auto"/>
              <w:jc w:val="center"/>
              <w:rPr>
                <w:rFonts w:hint="eastAsia" w:ascii="宋体" w:hAnsi="宋体" w:cs="宋体"/>
                <w:color w:val="auto"/>
                <w:sz w:val="21"/>
                <w:szCs w:val="21"/>
                <w:highlight w:val="none"/>
              </w:rPr>
            </w:pPr>
          </w:p>
        </w:tc>
      </w:tr>
      <w:tr w14:paraId="5F2E81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D92B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w:t>
            </w:r>
          </w:p>
        </w:tc>
        <w:tc>
          <w:tcPr>
            <w:tcW w:w="6982" w:type="dxa"/>
            <w:tcBorders>
              <w:tl2br w:val="nil"/>
              <w:tr2bl w:val="nil"/>
            </w:tcBorders>
            <w:vAlign w:val="center"/>
          </w:tcPr>
          <w:p w14:paraId="7C86B1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支付对账平台多院区改造</w:t>
            </w:r>
          </w:p>
        </w:tc>
        <w:tc>
          <w:tcPr>
            <w:tcW w:w="870" w:type="dxa"/>
            <w:vMerge w:val="continue"/>
            <w:tcBorders>
              <w:tl2br w:val="nil"/>
              <w:tr2bl w:val="nil"/>
            </w:tcBorders>
            <w:noWrap/>
            <w:vAlign w:val="center"/>
          </w:tcPr>
          <w:p w14:paraId="4D21A750">
            <w:pPr>
              <w:spacing w:line="360" w:lineRule="auto"/>
              <w:jc w:val="center"/>
              <w:rPr>
                <w:rFonts w:hint="eastAsia" w:ascii="宋体" w:hAnsi="宋体" w:cs="宋体"/>
                <w:color w:val="auto"/>
                <w:sz w:val="21"/>
                <w:szCs w:val="21"/>
                <w:highlight w:val="none"/>
              </w:rPr>
            </w:pPr>
          </w:p>
        </w:tc>
      </w:tr>
      <w:tr w14:paraId="3AD5E9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2AA8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2.13.1</w:t>
            </w:r>
          </w:p>
        </w:tc>
        <w:tc>
          <w:tcPr>
            <w:tcW w:w="6982" w:type="dxa"/>
            <w:tcBorders>
              <w:tl2br w:val="nil"/>
              <w:tr2bl w:val="nil"/>
            </w:tcBorders>
            <w:vAlign w:val="center"/>
          </w:tcPr>
          <w:p w14:paraId="0B855C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收单账户多院区适配</w:t>
            </w:r>
          </w:p>
        </w:tc>
        <w:tc>
          <w:tcPr>
            <w:tcW w:w="870" w:type="dxa"/>
            <w:vMerge w:val="continue"/>
            <w:tcBorders>
              <w:tl2br w:val="nil"/>
              <w:tr2bl w:val="nil"/>
            </w:tcBorders>
            <w:noWrap/>
            <w:vAlign w:val="center"/>
          </w:tcPr>
          <w:p w14:paraId="1F8CBA61">
            <w:pPr>
              <w:spacing w:line="360" w:lineRule="auto"/>
              <w:jc w:val="center"/>
              <w:rPr>
                <w:rFonts w:hint="eastAsia" w:ascii="宋体" w:hAnsi="宋体" w:cs="宋体"/>
                <w:color w:val="auto"/>
                <w:sz w:val="21"/>
                <w:szCs w:val="21"/>
                <w:highlight w:val="none"/>
              </w:rPr>
            </w:pPr>
          </w:p>
        </w:tc>
      </w:tr>
      <w:tr w14:paraId="4234A6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BF78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2.13.1.1</w:t>
            </w:r>
          </w:p>
        </w:tc>
        <w:tc>
          <w:tcPr>
            <w:tcW w:w="6982" w:type="dxa"/>
            <w:tcBorders>
              <w:tl2br w:val="nil"/>
              <w:tr2bl w:val="nil"/>
            </w:tcBorders>
            <w:vAlign w:val="center"/>
          </w:tcPr>
          <w:p w14:paraId="125E6C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多院区多账户收单渠道适配</w:t>
            </w:r>
          </w:p>
        </w:tc>
        <w:tc>
          <w:tcPr>
            <w:tcW w:w="870" w:type="dxa"/>
            <w:vMerge w:val="continue"/>
            <w:tcBorders>
              <w:tl2br w:val="nil"/>
              <w:tr2bl w:val="nil"/>
            </w:tcBorders>
            <w:noWrap/>
            <w:vAlign w:val="center"/>
          </w:tcPr>
          <w:p w14:paraId="612AF6F5">
            <w:pPr>
              <w:spacing w:line="360" w:lineRule="auto"/>
              <w:jc w:val="center"/>
              <w:rPr>
                <w:rFonts w:hint="eastAsia" w:ascii="宋体" w:hAnsi="宋体" w:cs="宋体"/>
                <w:color w:val="auto"/>
                <w:sz w:val="21"/>
                <w:szCs w:val="21"/>
                <w:highlight w:val="none"/>
              </w:rPr>
            </w:pPr>
          </w:p>
        </w:tc>
      </w:tr>
      <w:tr w14:paraId="165FA9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C348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2.13.2</w:t>
            </w:r>
          </w:p>
        </w:tc>
        <w:tc>
          <w:tcPr>
            <w:tcW w:w="6982" w:type="dxa"/>
            <w:tcBorders>
              <w:tl2br w:val="nil"/>
              <w:tr2bl w:val="nil"/>
            </w:tcBorders>
            <w:vAlign w:val="center"/>
          </w:tcPr>
          <w:p w14:paraId="3C62C5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对账平台多院区适配</w:t>
            </w:r>
          </w:p>
        </w:tc>
        <w:tc>
          <w:tcPr>
            <w:tcW w:w="870" w:type="dxa"/>
            <w:vMerge w:val="continue"/>
            <w:tcBorders>
              <w:tl2br w:val="nil"/>
              <w:tr2bl w:val="nil"/>
            </w:tcBorders>
            <w:noWrap/>
            <w:vAlign w:val="center"/>
          </w:tcPr>
          <w:p w14:paraId="62BF9193">
            <w:pPr>
              <w:spacing w:line="360" w:lineRule="auto"/>
              <w:jc w:val="center"/>
              <w:rPr>
                <w:rFonts w:hint="eastAsia" w:ascii="宋体" w:hAnsi="宋体" w:cs="宋体"/>
                <w:color w:val="auto"/>
                <w:sz w:val="21"/>
                <w:szCs w:val="21"/>
                <w:highlight w:val="none"/>
              </w:rPr>
            </w:pPr>
          </w:p>
        </w:tc>
      </w:tr>
      <w:tr w14:paraId="121C8D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4AA2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2.13.2.1</w:t>
            </w:r>
          </w:p>
        </w:tc>
        <w:tc>
          <w:tcPr>
            <w:tcW w:w="6982" w:type="dxa"/>
            <w:tcBorders>
              <w:tl2br w:val="nil"/>
              <w:tr2bl w:val="nil"/>
            </w:tcBorders>
            <w:vAlign w:val="center"/>
          </w:tcPr>
          <w:p w14:paraId="6FFAA6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多院区不同渠道对账适配</w:t>
            </w:r>
          </w:p>
        </w:tc>
        <w:tc>
          <w:tcPr>
            <w:tcW w:w="870" w:type="dxa"/>
            <w:vMerge w:val="continue"/>
            <w:tcBorders>
              <w:tl2br w:val="nil"/>
              <w:tr2bl w:val="nil"/>
            </w:tcBorders>
            <w:noWrap/>
            <w:vAlign w:val="center"/>
          </w:tcPr>
          <w:p w14:paraId="5F7AC0DD">
            <w:pPr>
              <w:spacing w:line="360" w:lineRule="auto"/>
              <w:jc w:val="center"/>
              <w:rPr>
                <w:rFonts w:hint="eastAsia" w:ascii="宋体" w:hAnsi="宋体" w:cs="宋体"/>
                <w:color w:val="auto"/>
                <w:sz w:val="21"/>
                <w:szCs w:val="21"/>
                <w:highlight w:val="none"/>
              </w:rPr>
            </w:pPr>
          </w:p>
        </w:tc>
      </w:tr>
      <w:tr w14:paraId="65CCE3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9402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2.13.3</w:t>
            </w:r>
          </w:p>
        </w:tc>
        <w:tc>
          <w:tcPr>
            <w:tcW w:w="6982" w:type="dxa"/>
            <w:tcBorders>
              <w:tl2br w:val="nil"/>
              <w:tr2bl w:val="nil"/>
            </w:tcBorders>
            <w:vAlign w:val="center"/>
          </w:tcPr>
          <w:p w14:paraId="1CAC44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mispos 部署</w:t>
            </w:r>
          </w:p>
        </w:tc>
        <w:tc>
          <w:tcPr>
            <w:tcW w:w="870" w:type="dxa"/>
            <w:vMerge w:val="continue"/>
            <w:tcBorders>
              <w:tl2br w:val="nil"/>
              <w:tr2bl w:val="nil"/>
            </w:tcBorders>
            <w:noWrap/>
            <w:vAlign w:val="center"/>
          </w:tcPr>
          <w:p w14:paraId="22AEC3B4">
            <w:pPr>
              <w:spacing w:line="360" w:lineRule="auto"/>
              <w:jc w:val="center"/>
              <w:rPr>
                <w:rFonts w:hint="eastAsia" w:ascii="宋体" w:hAnsi="宋体" w:cs="宋体"/>
                <w:color w:val="auto"/>
                <w:sz w:val="21"/>
                <w:szCs w:val="21"/>
                <w:highlight w:val="none"/>
              </w:rPr>
            </w:pPr>
          </w:p>
        </w:tc>
      </w:tr>
      <w:tr w14:paraId="15E51A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D223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2.13.3.1</w:t>
            </w:r>
          </w:p>
        </w:tc>
        <w:tc>
          <w:tcPr>
            <w:tcW w:w="6982" w:type="dxa"/>
            <w:tcBorders>
              <w:tl2br w:val="nil"/>
              <w:tr2bl w:val="nil"/>
            </w:tcBorders>
            <w:vAlign w:val="center"/>
          </w:tcPr>
          <w:p w14:paraId="2CFEE8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每台电脑、自助机独立部署、调试</w:t>
            </w:r>
          </w:p>
        </w:tc>
        <w:tc>
          <w:tcPr>
            <w:tcW w:w="870" w:type="dxa"/>
            <w:vMerge w:val="continue"/>
            <w:tcBorders>
              <w:tl2br w:val="nil"/>
              <w:tr2bl w:val="nil"/>
            </w:tcBorders>
            <w:noWrap/>
            <w:vAlign w:val="center"/>
          </w:tcPr>
          <w:p w14:paraId="241E0991">
            <w:pPr>
              <w:spacing w:line="360" w:lineRule="auto"/>
              <w:jc w:val="center"/>
              <w:rPr>
                <w:rFonts w:hint="eastAsia" w:ascii="宋体" w:hAnsi="宋体" w:cs="宋体"/>
                <w:color w:val="auto"/>
                <w:sz w:val="21"/>
                <w:szCs w:val="21"/>
                <w:highlight w:val="none"/>
              </w:rPr>
            </w:pPr>
          </w:p>
        </w:tc>
      </w:tr>
      <w:tr w14:paraId="325EEA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9794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2.13.3.2</w:t>
            </w:r>
          </w:p>
        </w:tc>
        <w:tc>
          <w:tcPr>
            <w:tcW w:w="6982" w:type="dxa"/>
            <w:tcBorders>
              <w:tl2br w:val="nil"/>
              <w:tr2bl w:val="nil"/>
            </w:tcBorders>
            <w:vAlign w:val="center"/>
          </w:tcPr>
          <w:p w14:paraId="519254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支付平台相关参数配置、校验</w:t>
            </w:r>
          </w:p>
        </w:tc>
        <w:tc>
          <w:tcPr>
            <w:tcW w:w="870" w:type="dxa"/>
            <w:vMerge w:val="continue"/>
            <w:tcBorders>
              <w:tl2br w:val="nil"/>
              <w:tr2bl w:val="nil"/>
            </w:tcBorders>
            <w:noWrap/>
            <w:vAlign w:val="center"/>
          </w:tcPr>
          <w:p w14:paraId="708E1BC3">
            <w:pPr>
              <w:spacing w:line="360" w:lineRule="auto"/>
              <w:jc w:val="center"/>
              <w:rPr>
                <w:rFonts w:hint="eastAsia" w:ascii="宋体" w:hAnsi="宋体" w:cs="宋体"/>
                <w:color w:val="auto"/>
                <w:sz w:val="21"/>
                <w:szCs w:val="21"/>
                <w:highlight w:val="none"/>
              </w:rPr>
            </w:pPr>
          </w:p>
        </w:tc>
      </w:tr>
      <w:tr w14:paraId="012AB4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86B4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2.13.3.3</w:t>
            </w:r>
          </w:p>
        </w:tc>
        <w:tc>
          <w:tcPr>
            <w:tcW w:w="6982" w:type="dxa"/>
            <w:tcBorders>
              <w:tl2br w:val="nil"/>
              <w:tr2bl w:val="nil"/>
            </w:tcBorders>
            <w:vAlign w:val="center"/>
          </w:tcPr>
          <w:p w14:paraId="791CCA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院内支付前置服务部署</w:t>
            </w:r>
          </w:p>
        </w:tc>
        <w:tc>
          <w:tcPr>
            <w:tcW w:w="870" w:type="dxa"/>
            <w:vMerge w:val="continue"/>
            <w:tcBorders>
              <w:tl2br w:val="nil"/>
              <w:tr2bl w:val="nil"/>
            </w:tcBorders>
            <w:noWrap/>
            <w:vAlign w:val="center"/>
          </w:tcPr>
          <w:p w14:paraId="6EB5B33F">
            <w:pPr>
              <w:spacing w:line="360" w:lineRule="auto"/>
              <w:jc w:val="center"/>
              <w:rPr>
                <w:rFonts w:hint="eastAsia" w:ascii="宋体" w:hAnsi="宋体" w:cs="宋体"/>
                <w:color w:val="auto"/>
                <w:sz w:val="21"/>
                <w:szCs w:val="21"/>
                <w:highlight w:val="none"/>
              </w:rPr>
            </w:pPr>
          </w:p>
        </w:tc>
      </w:tr>
      <w:tr w14:paraId="3B932E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shd w:val="clear" w:color="auto" w:fill="auto"/>
            <w:vAlign w:val="center"/>
          </w:tcPr>
          <w:p w14:paraId="2F521B32">
            <w:pPr>
              <w:widowControl/>
              <w:spacing w:line="360" w:lineRule="auto"/>
              <w:jc w:val="left"/>
              <w:textAlignment w:val="center"/>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lang w:val="en-US" w:eastAsia="zh-CN"/>
              </w:rPr>
              <w:t>2.14</w:t>
            </w:r>
          </w:p>
        </w:tc>
        <w:tc>
          <w:tcPr>
            <w:tcW w:w="6982" w:type="dxa"/>
            <w:tcBorders>
              <w:tl2br w:val="nil"/>
              <w:tr2bl w:val="nil"/>
            </w:tcBorders>
            <w:shd w:val="clear" w:color="auto" w:fill="auto"/>
            <w:vAlign w:val="center"/>
          </w:tcPr>
          <w:p w14:paraId="27E417BA">
            <w:pPr>
              <w:widowControl/>
              <w:spacing w:line="360" w:lineRule="auto"/>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主业务系统迁移部署与配置</w:t>
            </w:r>
          </w:p>
        </w:tc>
        <w:tc>
          <w:tcPr>
            <w:tcW w:w="870" w:type="dxa"/>
            <w:vMerge w:val="continue"/>
            <w:tcBorders>
              <w:tl2br w:val="nil"/>
              <w:tr2bl w:val="nil"/>
            </w:tcBorders>
            <w:noWrap/>
            <w:vAlign w:val="center"/>
          </w:tcPr>
          <w:p w14:paraId="229255E1">
            <w:pPr>
              <w:spacing w:line="360" w:lineRule="auto"/>
              <w:jc w:val="center"/>
              <w:rPr>
                <w:rFonts w:hint="eastAsia" w:ascii="宋体" w:hAnsi="宋体" w:cs="宋体"/>
                <w:color w:val="auto"/>
                <w:sz w:val="21"/>
                <w:szCs w:val="21"/>
                <w:highlight w:val="none"/>
              </w:rPr>
            </w:pPr>
          </w:p>
        </w:tc>
      </w:tr>
      <w:tr w14:paraId="2C3B71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82F5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三</w:t>
            </w:r>
          </w:p>
        </w:tc>
        <w:tc>
          <w:tcPr>
            <w:tcW w:w="6982" w:type="dxa"/>
            <w:tcBorders>
              <w:tl2br w:val="nil"/>
              <w:tr2bl w:val="nil"/>
            </w:tcBorders>
            <w:vAlign w:val="center"/>
          </w:tcPr>
          <w:p w14:paraId="0D451E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新院区平台数据中心升级及多院区支持</w:t>
            </w:r>
          </w:p>
        </w:tc>
        <w:tc>
          <w:tcPr>
            <w:tcW w:w="870" w:type="dxa"/>
            <w:tcBorders>
              <w:tl2br w:val="nil"/>
              <w:tr2bl w:val="nil"/>
            </w:tcBorders>
            <w:noWrap/>
            <w:vAlign w:val="center"/>
          </w:tcPr>
          <w:p w14:paraId="2F6A7D1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13D75C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2446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w:t>
            </w:r>
          </w:p>
        </w:tc>
        <w:tc>
          <w:tcPr>
            <w:tcW w:w="6982" w:type="dxa"/>
            <w:tcBorders>
              <w:tl2br w:val="nil"/>
              <w:tr2bl w:val="nil"/>
            </w:tcBorders>
            <w:vAlign w:val="center"/>
          </w:tcPr>
          <w:p w14:paraId="473F25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多院区统一用户权限</w:t>
            </w:r>
          </w:p>
        </w:tc>
        <w:tc>
          <w:tcPr>
            <w:tcW w:w="870" w:type="dxa"/>
            <w:vMerge w:val="restart"/>
            <w:tcBorders>
              <w:tl2br w:val="nil"/>
              <w:tr2bl w:val="nil"/>
            </w:tcBorders>
            <w:noWrap/>
            <w:vAlign w:val="center"/>
          </w:tcPr>
          <w:p w14:paraId="34A5A8F1">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8A091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ED71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3.1.1</w:t>
            </w:r>
          </w:p>
        </w:tc>
        <w:tc>
          <w:tcPr>
            <w:tcW w:w="6982" w:type="dxa"/>
            <w:tcBorders>
              <w:tl2br w:val="nil"/>
              <w:tr2bl w:val="nil"/>
            </w:tcBorders>
            <w:vAlign w:val="center"/>
          </w:tcPr>
          <w:p w14:paraId="6A9A72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多院区统一用户管理功能</w:t>
            </w:r>
          </w:p>
        </w:tc>
        <w:tc>
          <w:tcPr>
            <w:tcW w:w="870" w:type="dxa"/>
            <w:vMerge w:val="continue"/>
            <w:tcBorders>
              <w:tl2br w:val="nil"/>
              <w:tr2bl w:val="nil"/>
            </w:tcBorders>
            <w:noWrap/>
            <w:vAlign w:val="center"/>
          </w:tcPr>
          <w:p w14:paraId="57054D92">
            <w:pPr>
              <w:spacing w:line="360" w:lineRule="auto"/>
              <w:jc w:val="center"/>
              <w:rPr>
                <w:rFonts w:hint="eastAsia" w:ascii="宋体" w:hAnsi="宋体" w:cs="宋体"/>
                <w:color w:val="auto"/>
                <w:sz w:val="21"/>
                <w:szCs w:val="21"/>
                <w:highlight w:val="none"/>
              </w:rPr>
            </w:pPr>
          </w:p>
        </w:tc>
      </w:tr>
      <w:tr w14:paraId="25B2FB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F82E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3.1.1.1</w:t>
            </w:r>
          </w:p>
        </w:tc>
        <w:tc>
          <w:tcPr>
            <w:tcW w:w="6982" w:type="dxa"/>
            <w:tcBorders>
              <w:tl2br w:val="nil"/>
              <w:tr2bl w:val="nil"/>
            </w:tcBorders>
            <w:vAlign w:val="center"/>
          </w:tcPr>
          <w:p w14:paraId="2DC0F1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集中管理多院区用户账号</w:t>
            </w:r>
          </w:p>
        </w:tc>
        <w:tc>
          <w:tcPr>
            <w:tcW w:w="870" w:type="dxa"/>
            <w:vMerge w:val="continue"/>
            <w:tcBorders>
              <w:tl2br w:val="nil"/>
              <w:tr2bl w:val="nil"/>
            </w:tcBorders>
            <w:noWrap/>
            <w:vAlign w:val="center"/>
          </w:tcPr>
          <w:p w14:paraId="73BBE2C0">
            <w:pPr>
              <w:spacing w:line="360" w:lineRule="auto"/>
              <w:jc w:val="center"/>
              <w:rPr>
                <w:rFonts w:hint="eastAsia" w:ascii="宋体" w:hAnsi="宋体" w:cs="宋体"/>
                <w:color w:val="auto"/>
                <w:sz w:val="21"/>
                <w:szCs w:val="21"/>
                <w:highlight w:val="none"/>
              </w:rPr>
            </w:pPr>
          </w:p>
        </w:tc>
      </w:tr>
      <w:tr w14:paraId="20D340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9DB8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3.1.1.2</w:t>
            </w:r>
          </w:p>
        </w:tc>
        <w:tc>
          <w:tcPr>
            <w:tcW w:w="6982" w:type="dxa"/>
            <w:tcBorders>
              <w:tl2br w:val="nil"/>
              <w:tr2bl w:val="nil"/>
            </w:tcBorders>
            <w:vAlign w:val="center"/>
          </w:tcPr>
          <w:p w14:paraId="0AE6CC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统一角色权限配置</w:t>
            </w:r>
          </w:p>
        </w:tc>
        <w:tc>
          <w:tcPr>
            <w:tcW w:w="870" w:type="dxa"/>
            <w:vMerge w:val="continue"/>
            <w:tcBorders>
              <w:tl2br w:val="nil"/>
              <w:tr2bl w:val="nil"/>
            </w:tcBorders>
            <w:noWrap/>
            <w:vAlign w:val="center"/>
          </w:tcPr>
          <w:p w14:paraId="373CC863">
            <w:pPr>
              <w:spacing w:line="360" w:lineRule="auto"/>
              <w:jc w:val="center"/>
              <w:rPr>
                <w:rFonts w:hint="eastAsia" w:ascii="宋体" w:hAnsi="宋体" w:cs="宋体"/>
                <w:color w:val="auto"/>
                <w:sz w:val="21"/>
                <w:szCs w:val="21"/>
                <w:highlight w:val="none"/>
              </w:rPr>
            </w:pPr>
          </w:p>
        </w:tc>
      </w:tr>
      <w:tr w14:paraId="43126F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C641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3.1.1.3</w:t>
            </w:r>
          </w:p>
        </w:tc>
        <w:tc>
          <w:tcPr>
            <w:tcW w:w="6982" w:type="dxa"/>
            <w:tcBorders>
              <w:tl2br w:val="nil"/>
              <w:tr2bl w:val="nil"/>
            </w:tcBorders>
            <w:vAlign w:val="center"/>
          </w:tcPr>
          <w:p w14:paraId="0C088D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应支持统一认证与分级授权</w:t>
            </w:r>
          </w:p>
        </w:tc>
        <w:tc>
          <w:tcPr>
            <w:tcW w:w="870" w:type="dxa"/>
            <w:vMerge w:val="continue"/>
            <w:tcBorders>
              <w:tl2br w:val="nil"/>
              <w:tr2bl w:val="nil"/>
            </w:tcBorders>
            <w:noWrap/>
            <w:vAlign w:val="center"/>
          </w:tcPr>
          <w:p w14:paraId="5CBAA12D">
            <w:pPr>
              <w:spacing w:line="360" w:lineRule="auto"/>
              <w:jc w:val="center"/>
              <w:rPr>
                <w:rFonts w:hint="eastAsia" w:ascii="宋体" w:hAnsi="宋体" w:cs="宋体"/>
                <w:color w:val="auto"/>
                <w:sz w:val="21"/>
                <w:szCs w:val="21"/>
                <w:highlight w:val="none"/>
              </w:rPr>
            </w:pPr>
          </w:p>
        </w:tc>
      </w:tr>
      <w:tr w14:paraId="1D0170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08DD0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3.1.2</w:t>
            </w:r>
          </w:p>
        </w:tc>
        <w:tc>
          <w:tcPr>
            <w:tcW w:w="6982" w:type="dxa"/>
            <w:tcBorders>
              <w:tl2br w:val="nil"/>
              <w:tr2bl w:val="nil"/>
            </w:tcBorders>
            <w:vAlign w:val="center"/>
          </w:tcPr>
          <w:p w14:paraId="6DFDAB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多院区统一单点登录（SSO）</w:t>
            </w:r>
          </w:p>
        </w:tc>
        <w:tc>
          <w:tcPr>
            <w:tcW w:w="870" w:type="dxa"/>
            <w:vMerge w:val="continue"/>
            <w:tcBorders>
              <w:tl2br w:val="nil"/>
              <w:tr2bl w:val="nil"/>
            </w:tcBorders>
            <w:noWrap/>
            <w:vAlign w:val="center"/>
          </w:tcPr>
          <w:p w14:paraId="654FEAE8">
            <w:pPr>
              <w:spacing w:line="360" w:lineRule="auto"/>
              <w:jc w:val="center"/>
              <w:rPr>
                <w:rFonts w:hint="eastAsia" w:ascii="宋体" w:hAnsi="宋体" w:cs="宋体"/>
                <w:color w:val="auto"/>
                <w:sz w:val="21"/>
                <w:szCs w:val="21"/>
                <w:highlight w:val="none"/>
              </w:rPr>
            </w:pPr>
          </w:p>
        </w:tc>
      </w:tr>
      <w:tr w14:paraId="12528D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366C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3.1.2.1</w:t>
            </w:r>
          </w:p>
        </w:tc>
        <w:tc>
          <w:tcPr>
            <w:tcW w:w="6982" w:type="dxa"/>
            <w:tcBorders>
              <w:tl2br w:val="nil"/>
              <w:tr2bl w:val="nil"/>
            </w:tcBorders>
            <w:vAlign w:val="center"/>
          </w:tcPr>
          <w:p w14:paraId="0B637E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实现一次登录访问多院区各系统</w:t>
            </w:r>
          </w:p>
        </w:tc>
        <w:tc>
          <w:tcPr>
            <w:tcW w:w="870" w:type="dxa"/>
            <w:vMerge w:val="continue"/>
            <w:tcBorders>
              <w:tl2br w:val="nil"/>
              <w:tr2bl w:val="nil"/>
            </w:tcBorders>
            <w:noWrap/>
            <w:vAlign w:val="center"/>
          </w:tcPr>
          <w:p w14:paraId="021A8EF2">
            <w:pPr>
              <w:spacing w:line="360" w:lineRule="auto"/>
              <w:jc w:val="center"/>
              <w:rPr>
                <w:rFonts w:hint="eastAsia" w:ascii="宋体" w:hAnsi="宋体" w:cs="宋体"/>
                <w:color w:val="auto"/>
                <w:sz w:val="21"/>
                <w:szCs w:val="21"/>
                <w:highlight w:val="none"/>
              </w:rPr>
            </w:pPr>
          </w:p>
        </w:tc>
      </w:tr>
      <w:tr w14:paraId="5470E4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5C8F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3.1.2.2</w:t>
            </w:r>
          </w:p>
        </w:tc>
        <w:tc>
          <w:tcPr>
            <w:tcW w:w="6982" w:type="dxa"/>
            <w:tcBorders>
              <w:tl2br w:val="nil"/>
              <w:tr2bl w:val="nil"/>
            </w:tcBorders>
            <w:vAlign w:val="center"/>
          </w:tcPr>
          <w:p w14:paraId="0D5A1B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 C/S 程序统一入口</w:t>
            </w:r>
          </w:p>
        </w:tc>
        <w:tc>
          <w:tcPr>
            <w:tcW w:w="870" w:type="dxa"/>
            <w:vMerge w:val="continue"/>
            <w:tcBorders>
              <w:tl2br w:val="nil"/>
              <w:tr2bl w:val="nil"/>
            </w:tcBorders>
            <w:noWrap/>
            <w:vAlign w:val="center"/>
          </w:tcPr>
          <w:p w14:paraId="088D154F">
            <w:pPr>
              <w:spacing w:line="360" w:lineRule="auto"/>
              <w:jc w:val="center"/>
              <w:rPr>
                <w:rFonts w:hint="eastAsia" w:ascii="宋体" w:hAnsi="宋体" w:cs="宋体"/>
                <w:color w:val="auto"/>
                <w:sz w:val="21"/>
                <w:szCs w:val="21"/>
                <w:highlight w:val="none"/>
              </w:rPr>
            </w:pPr>
          </w:p>
        </w:tc>
      </w:tr>
      <w:tr w14:paraId="32996A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0D73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3.1.2.3</w:t>
            </w:r>
          </w:p>
        </w:tc>
        <w:tc>
          <w:tcPr>
            <w:tcW w:w="6982" w:type="dxa"/>
            <w:tcBorders>
              <w:tl2br w:val="nil"/>
              <w:tr2bl w:val="nil"/>
            </w:tcBorders>
            <w:vAlign w:val="center"/>
          </w:tcPr>
          <w:p w14:paraId="1AD641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 B/S 系统统一入口</w:t>
            </w:r>
          </w:p>
        </w:tc>
        <w:tc>
          <w:tcPr>
            <w:tcW w:w="870" w:type="dxa"/>
            <w:vMerge w:val="continue"/>
            <w:tcBorders>
              <w:tl2br w:val="nil"/>
              <w:tr2bl w:val="nil"/>
            </w:tcBorders>
            <w:noWrap/>
            <w:vAlign w:val="center"/>
          </w:tcPr>
          <w:p w14:paraId="515F4BB5">
            <w:pPr>
              <w:spacing w:line="360" w:lineRule="auto"/>
              <w:jc w:val="center"/>
              <w:rPr>
                <w:rFonts w:hint="eastAsia" w:ascii="宋体" w:hAnsi="宋体" w:cs="宋体"/>
                <w:color w:val="auto"/>
                <w:sz w:val="21"/>
                <w:szCs w:val="21"/>
                <w:highlight w:val="none"/>
              </w:rPr>
            </w:pPr>
          </w:p>
        </w:tc>
      </w:tr>
      <w:tr w14:paraId="707653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C909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3.1.2.4</w:t>
            </w:r>
          </w:p>
        </w:tc>
        <w:tc>
          <w:tcPr>
            <w:tcW w:w="6982" w:type="dxa"/>
            <w:tcBorders>
              <w:tl2br w:val="nil"/>
              <w:tr2bl w:val="nil"/>
            </w:tcBorders>
            <w:vAlign w:val="center"/>
          </w:tcPr>
          <w:p w14:paraId="25BE7E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应支持移动端统一入口</w:t>
            </w:r>
          </w:p>
        </w:tc>
        <w:tc>
          <w:tcPr>
            <w:tcW w:w="870" w:type="dxa"/>
            <w:vMerge w:val="continue"/>
            <w:tcBorders>
              <w:tl2br w:val="nil"/>
              <w:tr2bl w:val="nil"/>
            </w:tcBorders>
            <w:noWrap/>
            <w:vAlign w:val="center"/>
          </w:tcPr>
          <w:p w14:paraId="74E077F1">
            <w:pPr>
              <w:spacing w:line="360" w:lineRule="auto"/>
              <w:jc w:val="center"/>
              <w:rPr>
                <w:rFonts w:hint="eastAsia" w:ascii="宋体" w:hAnsi="宋体" w:cs="宋体"/>
                <w:color w:val="auto"/>
                <w:sz w:val="21"/>
                <w:szCs w:val="21"/>
                <w:highlight w:val="none"/>
              </w:rPr>
            </w:pPr>
          </w:p>
        </w:tc>
      </w:tr>
      <w:tr w14:paraId="090E76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DF5B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w:t>
            </w:r>
          </w:p>
        </w:tc>
        <w:tc>
          <w:tcPr>
            <w:tcW w:w="6982" w:type="dxa"/>
            <w:tcBorders>
              <w:tl2br w:val="nil"/>
              <w:tr2bl w:val="nil"/>
            </w:tcBorders>
            <w:vAlign w:val="center"/>
          </w:tcPr>
          <w:p w14:paraId="2FBBCE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多院区患者主索引</w:t>
            </w:r>
          </w:p>
        </w:tc>
        <w:tc>
          <w:tcPr>
            <w:tcW w:w="870" w:type="dxa"/>
            <w:vMerge w:val="continue"/>
            <w:tcBorders>
              <w:tl2br w:val="nil"/>
              <w:tr2bl w:val="nil"/>
            </w:tcBorders>
            <w:noWrap/>
            <w:vAlign w:val="center"/>
          </w:tcPr>
          <w:p w14:paraId="7C42B903">
            <w:pPr>
              <w:spacing w:line="360" w:lineRule="auto"/>
              <w:jc w:val="center"/>
              <w:rPr>
                <w:rFonts w:hint="eastAsia" w:ascii="宋体" w:hAnsi="宋体" w:cs="宋体"/>
                <w:color w:val="auto"/>
                <w:sz w:val="21"/>
                <w:szCs w:val="21"/>
                <w:highlight w:val="none"/>
              </w:rPr>
            </w:pPr>
          </w:p>
        </w:tc>
      </w:tr>
      <w:tr w14:paraId="6010F4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26C4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3.2.1</w:t>
            </w:r>
          </w:p>
        </w:tc>
        <w:tc>
          <w:tcPr>
            <w:tcW w:w="6982" w:type="dxa"/>
            <w:tcBorders>
              <w:tl2br w:val="nil"/>
              <w:tr2bl w:val="nil"/>
            </w:tcBorders>
            <w:vAlign w:val="center"/>
          </w:tcPr>
          <w:p w14:paraId="232CD6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多院区统一患者主索引（EMPI）</w:t>
            </w:r>
          </w:p>
        </w:tc>
        <w:tc>
          <w:tcPr>
            <w:tcW w:w="870" w:type="dxa"/>
            <w:vMerge w:val="continue"/>
            <w:tcBorders>
              <w:tl2br w:val="nil"/>
              <w:tr2bl w:val="nil"/>
            </w:tcBorders>
            <w:noWrap/>
            <w:vAlign w:val="center"/>
          </w:tcPr>
          <w:p w14:paraId="0B7907DC">
            <w:pPr>
              <w:spacing w:line="360" w:lineRule="auto"/>
              <w:jc w:val="center"/>
              <w:rPr>
                <w:rFonts w:hint="eastAsia" w:ascii="宋体" w:hAnsi="宋体" w:cs="宋体"/>
                <w:color w:val="auto"/>
                <w:sz w:val="21"/>
                <w:szCs w:val="21"/>
                <w:highlight w:val="none"/>
              </w:rPr>
            </w:pPr>
          </w:p>
        </w:tc>
      </w:tr>
      <w:tr w14:paraId="550F2A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2011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3.2.1.1</w:t>
            </w:r>
          </w:p>
        </w:tc>
        <w:tc>
          <w:tcPr>
            <w:tcW w:w="6982" w:type="dxa"/>
            <w:tcBorders>
              <w:tl2br w:val="nil"/>
              <w:tr2bl w:val="nil"/>
            </w:tcBorders>
            <w:vAlign w:val="center"/>
          </w:tcPr>
          <w:p w14:paraId="51090C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构建多院区患者主索引</w:t>
            </w:r>
          </w:p>
        </w:tc>
        <w:tc>
          <w:tcPr>
            <w:tcW w:w="870" w:type="dxa"/>
            <w:vMerge w:val="continue"/>
            <w:tcBorders>
              <w:tl2br w:val="nil"/>
              <w:tr2bl w:val="nil"/>
            </w:tcBorders>
            <w:noWrap/>
            <w:vAlign w:val="center"/>
          </w:tcPr>
          <w:p w14:paraId="19A198DA">
            <w:pPr>
              <w:spacing w:line="360" w:lineRule="auto"/>
              <w:jc w:val="center"/>
              <w:rPr>
                <w:rFonts w:hint="eastAsia" w:ascii="宋体" w:hAnsi="宋体" w:cs="宋体"/>
                <w:color w:val="auto"/>
                <w:sz w:val="21"/>
                <w:szCs w:val="21"/>
                <w:highlight w:val="none"/>
              </w:rPr>
            </w:pPr>
          </w:p>
        </w:tc>
      </w:tr>
      <w:tr w14:paraId="171BADA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765D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3.2.1.2</w:t>
            </w:r>
          </w:p>
        </w:tc>
        <w:tc>
          <w:tcPr>
            <w:tcW w:w="6982" w:type="dxa"/>
            <w:tcBorders>
              <w:tl2br w:val="nil"/>
              <w:tr2bl w:val="nil"/>
            </w:tcBorders>
            <w:vAlign w:val="center"/>
          </w:tcPr>
          <w:p w14:paraId="1468AE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实现跨院区患者唯一标识</w:t>
            </w:r>
          </w:p>
        </w:tc>
        <w:tc>
          <w:tcPr>
            <w:tcW w:w="870" w:type="dxa"/>
            <w:vMerge w:val="continue"/>
            <w:tcBorders>
              <w:tl2br w:val="nil"/>
              <w:tr2bl w:val="nil"/>
            </w:tcBorders>
            <w:noWrap/>
            <w:vAlign w:val="center"/>
          </w:tcPr>
          <w:p w14:paraId="1B031CDB">
            <w:pPr>
              <w:spacing w:line="360" w:lineRule="auto"/>
              <w:jc w:val="center"/>
              <w:rPr>
                <w:rFonts w:hint="eastAsia" w:ascii="宋体" w:hAnsi="宋体" w:cs="宋体"/>
                <w:color w:val="auto"/>
                <w:sz w:val="21"/>
                <w:szCs w:val="21"/>
                <w:highlight w:val="none"/>
              </w:rPr>
            </w:pPr>
          </w:p>
        </w:tc>
      </w:tr>
      <w:tr w14:paraId="18CAFA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FF9B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3.2.1.3</w:t>
            </w:r>
          </w:p>
        </w:tc>
        <w:tc>
          <w:tcPr>
            <w:tcW w:w="6982" w:type="dxa"/>
            <w:tcBorders>
              <w:tl2br w:val="nil"/>
              <w:tr2bl w:val="nil"/>
            </w:tcBorders>
            <w:vAlign w:val="center"/>
          </w:tcPr>
          <w:p w14:paraId="2E8181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应支持自动匹配与合并功能</w:t>
            </w:r>
          </w:p>
        </w:tc>
        <w:tc>
          <w:tcPr>
            <w:tcW w:w="870" w:type="dxa"/>
            <w:vMerge w:val="continue"/>
            <w:tcBorders>
              <w:tl2br w:val="nil"/>
              <w:tr2bl w:val="nil"/>
            </w:tcBorders>
            <w:noWrap/>
            <w:vAlign w:val="center"/>
          </w:tcPr>
          <w:p w14:paraId="69EEA053">
            <w:pPr>
              <w:spacing w:line="360" w:lineRule="auto"/>
              <w:jc w:val="center"/>
              <w:rPr>
                <w:rFonts w:hint="eastAsia" w:ascii="宋体" w:hAnsi="宋体" w:cs="宋体"/>
                <w:color w:val="auto"/>
                <w:sz w:val="21"/>
                <w:szCs w:val="21"/>
                <w:highlight w:val="none"/>
              </w:rPr>
            </w:pPr>
          </w:p>
        </w:tc>
      </w:tr>
      <w:tr w14:paraId="007924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AF70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3.2.2</w:t>
            </w:r>
          </w:p>
        </w:tc>
        <w:tc>
          <w:tcPr>
            <w:tcW w:w="6982" w:type="dxa"/>
            <w:tcBorders>
              <w:tl2br w:val="nil"/>
              <w:tr2bl w:val="nil"/>
            </w:tcBorders>
            <w:vAlign w:val="center"/>
          </w:tcPr>
          <w:p w14:paraId="676240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多院区主索引异常处理与日志</w:t>
            </w:r>
          </w:p>
        </w:tc>
        <w:tc>
          <w:tcPr>
            <w:tcW w:w="870" w:type="dxa"/>
            <w:vMerge w:val="continue"/>
            <w:tcBorders>
              <w:tl2br w:val="nil"/>
              <w:tr2bl w:val="nil"/>
            </w:tcBorders>
            <w:noWrap/>
            <w:vAlign w:val="center"/>
          </w:tcPr>
          <w:p w14:paraId="1AFF6043">
            <w:pPr>
              <w:spacing w:line="360" w:lineRule="auto"/>
              <w:jc w:val="center"/>
              <w:rPr>
                <w:rFonts w:hint="eastAsia" w:ascii="宋体" w:hAnsi="宋体" w:cs="宋体"/>
                <w:color w:val="auto"/>
                <w:sz w:val="21"/>
                <w:szCs w:val="21"/>
                <w:highlight w:val="none"/>
              </w:rPr>
            </w:pPr>
          </w:p>
        </w:tc>
      </w:tr>
      <w:tr w14:paraId="0A1EC6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FA4E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3.2.2.1</w:t>
            </w:r>
          </w:p>
        </w:tc>
        <w:tc>
          <w:tcPr>
            <w:tcW w:w="6982" w:type="dxa"/>
            <w:tcBorders>
              <w:tl2br w:val="nil"/>
              <w:tr2bl w:val="nil"/>
            </w:tcBorders>
            <w:vAlign w:val="center"/>
          </w:tcPr>
          <w:p w14:paraId="4EC84B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应支持疑似患者人工干预</w:t>
            </w:r>
          </w:p>
        </w:tc>
        <w:tc>
          <w:tcPr>
            <w:tcW w:w="870" w:type="dxa"/>
            <w:vMerge w:val="continue"/>
            <w:tcBorders>
              <w:tl2br w:val="nil"/>
              <w:tr2bl w:val="nil"/>
            </w:tcBorders>
            <w:noWrap/>
            <w:vAlign w:val="center"/>
          </w:tcPr>
          <w:p w14:paraId="08E5A6E3">
            <w:pPr>
              <w:spacing w:line="360" w:lineRule="auto"/>
              <w:jc w:val="center"/>
              <w:rPr>
                <w:rFonts w:hint="eastAsia" w:ascii="宋体" w:hAnsi="宋体" w:cs="宋体"/>
                <w:color w:val="auto"/>
                <w:sz w:val="21"/>
                <w:szCs w:val="21"/>
                <w:highlight w:val="none"/>
              </w:rPr>
            </w:pPr>
          </w:p>
        </w:tc>
      </w:tr>
      <w:tr w14:paraId="421148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9996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3.2.2.2</w:t>
            </w:r>
          </w:p>
        </w:tc>
        <w:tc>
          <w:tcPr>
            <w:tcW w:w="6982" w:type="dxa"/>
            <w:tcBorders>
              <w:tl2br w:val="nil"/>
              <w:tr2bl w:val="nil"/>
            </w:tcBorders>
            <w:vAlign w:val="center"/>
          </w:tcPr>
          <w:p w14:paraId="442F97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应支持主索引合并 / 拆分操作</w:t>
            </w:r>
          </w:p>
        </w:tc>
        <w:tc>
          <w:tcPr>
            <w:tcW w:w="870" w:type="dxa"/>
            <w:vMerge w:val="continue"/>
            <w:tcBorders>
              <w:tl2br w:val="nil"/>
              <w:tr2bl w:val="nil"/>
            </w:tcBorders>
            <w:noWrap/>
            <w:vAlign w:val="center"/>
          </w:tcPr>
          <w:p w14:paraId="09245EEA">
            <w:pPr>
              <w:spacing w:line="360" w:lineRule="auto"/>
              <w:jc w:val="center"/>
              <w:rPr>
                <w:rFonts w:hint="eastAsia" w:ascii="宋体" w:hAnsi="宋体" w:cs="宋体"/>
                <w:color w:val="auto"/>
                <w:sz w:val="21"/>
                <w:szCs w:val="21"/>
                <w:highlight w:val="none"/>
              </w:rPr>
            </w:pPr>
          </w:p>
        </w:tc>
      </w:tr>
      <w:tr w14:paraId="44EA06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72FD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3.2.2.3</w:t>
            </w:r>
          </w:p>
        </w:tc>
        <w:tc>
          <w:tcPr>
            <w:tcW w:w="6982" w:type="dxa"/>
            <w:tcBorders>
              <w:tl2br w:val="nil"/>
              <w:tr2bl w:val="nil"/>
            </w:tcBorders>
            <w:vAlign w:val="center"/>
          </w:tcPr>
          <w:p w14:paraId="05F5C6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记录操作日志并支持追溯</w:t>
            </w:r>
          </w:p>
        </w:tc>
        <w:tc>
          <w:tcPr>
            <w:tcW w:w="870" w:type="dxa"/>
            <w:vMerge w:val="continue"/>
            <w:tcBorders>
              <w:tl2br w:val="nil"/>
              <w:tr2bl w:val="nil"/>
            </w:tcBorders>
            <w:noWrap/>
            <w:vAlign w:val="center"/>
          </w:tcPr>
          <w:p w14:paraId="04814FFE">
            <w:pPr>
              <w:spacing w:line="360" w:lineRule="auto"/>
              <w:jc w:val="center"/>
              <w:rPr>
                <w:rFonts w:hint="eastAsia" w:ascii="宋体" w:hAnsi="宋体" w:cs="宋体"/>
                <w:color w:val="auto"/>
                <w:sz w:val="21"/>
                <w:szCs w:val="21"/>
                <w:highlight w:val="none"/>
              </w:rPr>
            </w:pPr>
          </w:p>
        </w:tc>
      </w:tr>
      <w:tr w14:paraId="655B3E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12B6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w:t>
            </w:r>
          </w:p>
        </w:tc>
        <w:tc>
          <w:tcPr>
            <w:tcW w:w="6982" w:type="dxa"/>
            <w:tcBorders>
              <w:tl2br w:val="nil"/>
              <w:tr2bl w:val="nil"/>
            </w:tcBorders>
            <w:vAlign w:val="center"/>
          </w:tcPr>
          <w:p w14:paraId="6AE02E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多院区数据中心</w:t>
            </w:r>
          </w:p>
        </w:tc>
        <w:tc>
          <w:tcPr>
            <w:tcW w:w="870" w:type="dxa"/>
            <w:vMerge w:val="continue"/>
            <w:tcBorders>
              <w:tl2br w:val="nil"/>
              <w:tr2bl w:val="nil"/>
            </w:tcBorders>
            <w:noWrap/>
            <w:vAlign w:val="center"/>
          </w:tcPr>
          <w:p w14:paraId="6AC8A5BC">
            <w:pPr>
              <w:spacing w:line="360" w:lineRule="auto"/>
              <w:jc w:val="center"/>
              <w:rPr>
                <w:rFonts w:hint="eastAsia" w:ascii="宋体" w:hAnsi="宋体" w:cs="宋体"/>
                <w:color w:val="auto"/>
                <w:sz w:val="21"/>
                <w:szCs w:val="21"/>
                <w:highlight w:val="none"/>
              </w:rPr>
            </w:pPr>
          </w:p>
        </w:tc>
      </w:tr>
      <w:tr w14:paraId="14B5E7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4EB0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w:t>
            </w:r>
          </w:p>
        </w:tc>
        <w:tc>
          <w:tcPr>
            <w:tcW w:w="6982" w:type="dxa"/>
            <w:tcBorders>
              <w:tl2br w:val="nil"/>
              <w:tr2bl w:val="nil"/>
            </w:tcBorders>
            <w:vAlign w:val="center"/>
          </w:tcPr>
          <w:p w14:paraId="2F8107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多院区临床数据融合</w:t>
            </w:r>
          </w:p>
        </w:tc>
        <w:tc>
          <w:tcPr>
            <w:tcW w:w="870" w:type="dxa"/>
            <w:vMerge w:val="continue"/>
            <w:tcBorders>
              <w:tl2br w:val="nil"/>
              <w:tr2bl w:val="nil"/>
            </w:tcBorders>
            <w:noWrap/>
            <w:vAlign w:val="center"/>
          </w:tcPr>
          <w:p w14:paraId="28855CAA">
            <w:pPr>
              <w:spacing w:line="360" w:lineRule="auto"/>
              <w:jc w:val="center"/>
              <w:rPr>
                <w:rFonts w:hint="eastAsia" w:ascii="宋体" w:hAnsi="宋体" w:cs="宋体"/>
                <w:color w:val="auto"/>
                <w:sz w:val="21"/>
                <w:szCs w:val="21"/>
                <w:highlight w:val="none"/>
              </w:rPr>
            </w:pPr>
          </w:p>
        </w:tc>
      </w:tr>
      <w:tr w14:paraId="54B943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A169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3.3.1.1</w:t>
            </w:r>
          </w:p>
        </w:tc>
        <w:tc>
          <w:tcPr>
            <w:tcW w:w="6982" w:type="dxa"/>
            <w:tcBorders>
              <w:tl2br w:val="nil"/>
              <w:tr2bl w:val="nil"/>
            </w:tcBorders>
            <w:vAlign w:val="center"/>
          </w:tcPr>
          <w:p w14:paraId="63D195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接入各院区 CDR 数据</w:t>
            </w:r>
          </w:p>
        </w:tc>
        <w:tc>
          <w:tcPr>
            <w:tcW w:w="870" w:type="dxa"/>
            <w:vMerge w:val="continue"/>
            <w:tcBorders>
              <w:tl2br w:val="nil"/>
              <w:tr2bl w:val="nil"/>
            </w:tcBorders>
            <w:noWrap/>
            <w:vAlign w:val="center"/>
          </w:tcPr>
          <w:p w14:paraId="78115CD0">
            <w:pPr>
              <w:spacing w:line="360" w:lineRule="auto"/>
              <w:jc w:val="center"/>
              <w:rPr>
                <w:rFonts w:hint="eastAsia" w:ascii="宋体" w:hAnsi="宋体" w:cs="宋体"/>
                <w:color w:val="auto"/>
                <w:sz w:val="21"/>
                <w:szCs w:val="21"/>
                <w:highlight w:val="none"/>
              </w:rPr>
            </w:pPr>
          </w:p>
        </w:tc>
      </w:tr>
      <w:tr w14:paraId="54D2AA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68AD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3.3.1.2</w:t>
            </w:r>
          </w:p>
        </w:tc>
        <w:tc>
          <w:tcPr>
            <w:tcW w:w="6982" w:type="dxa"/>
            <w:tcBorders>
              <w:tl2br w:val="nil"/>
              <w:tr2bl w:val="nil"/>
            </w:tcBorders>
            <w:vAlign w:val="center"/>
          </w:tcPr>
          <w:p w14:paraId="03052FF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构建多院区患者 360 视图</w:t>
            </w:r>
          </w:p>
        </w:tc>
        <w:tc>
          <w:tcPr>
            <w:tcW w:w="870" w:type="dxa"/>
            <w:vMerge w:val="continue"/>
            <w:tcBorders>
              <w:tl2br w:val="nil"/>
              <w:tr2bl w:val="nil"/>
            </w:tcBorders>
            <w:noWrap/>
            <w:vAlign w:val="center"/>
          </w:tcPr>
          <w:p w14:paraId="4468E1F2">
            <w:pPr>
              <w:spacing w:line="360" w:lineRule="auto"/>
              <w:jc w:val="center"/>
              <w:rPr>
                <w:rFonts w:hint="eastAsia" w:ascii="宋体" w:hAnsi="宋体" w:cs="宋体"/>
                <w:color w:val="auto"/>
                <w:sz w:val="21"/>
                <w:szCs w:val="21"/>
                <w:highlight w:val="none"/>
              </w:rPr>
            </w:pPr>
          </w:p>
        </w:tc>
      </w:tr>
      <w:tr w14:paraId="24B6EB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018F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3.3.1.3</w:t>
            </w:r>
          </w:p>
        </w:tc>
        <w:tc>
          <w:tcPr>
            <w:tcW w:w="6982" w:type="dxa"/>
            <w:tcBorders>
              <w:tl2br w:val="nil"/>
              <w:tr2bl w:val="nil"/>
            </w:tcBorders>
            <w:vAlign w:val="center"/>
          </w:tcPr>
          <w:p w14:paraId="062CEC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应支持就诊日历浏览</w:t>
            </w:r>
          </w:p>
        </w:tc>
        <w:tc>
          <w:tcPr>
            <w:tcW w:w="870" w:type="dxa"/>
            <w:vMerge w:val="continue"/>
            <w:tcBorders>
              <w:tl2br w:val="nil"/>
              <w:tr2bl w:val="nil"/>
            </w:tcBorders>
            <w:noWrap/>
            <w:vAlign w:val="center"/>
          </w:tcPr>
          <w:p w14:paraId="74F990CD">
            <w:pPr>
              <w:spacing w:line="360" w:lineRule="auto"/>
              <w:jc w:val="center"/>
              <w:rPr>
                <w:rFonts w:hint="eastAsia" w:ascii="宋体" w:hAnsi="宋体" w:cs="宋体"/>
                <w:color w:val="auto"/>
                <w:sz w:val="21"/>
                <w:szCs w:val="21"/>
                <w:highlight w:val="none"/>
              </w:rPr>
            </w:pPr>
          </w:p>
        </w:tc>
      </w:tr>
      <w:tr w14:paraId="05BFEA6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6DC0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3.3.1.4</w:t>
            </w:r>
          </w:p>
        </w:tc>
        <w:tc>
          <w:tcPr>
            <w:tcW w:w="6982" w:type="dxa"/>
            <w:tcBorders>
              <w:tl2br w:val="nil"/>
              <w:tr2bl w:val="nil"/>
            </w:tcBorders>
            <w:vAlign w:val="center"/>
          </w:tcPr>
          <w:p w14:paraId="3C84A8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应支持医嘱信息浏览</w:t>
            </w:r>
          </w:p>
        </w:tc>
        <w:tc>
          <w:tcPr>
            <w:tcW w:w="870" w:type="dxa"/>
            <w:vMerge w:val="continue"/>
            <w:tcBorders>
              <w:tl2br w:val="nil"/>
              <w:tr2bl w:val="nil"/>
            </w:tcBorders>
            <w:noWrap/>
            <w:vAlign w:val="center"/>
          </w:tcPr>
          <w:p w14:paraId="6669D328">
            <w:pPr>
              <w:spacing w:line="360" w:lineRule="auto"/>
              <w:jc w:val="center"/>
              <w:rPr>
                <w:rFonts w:hint="eastAsia" w:ascii="宋体" w:hAnsi="宋体" w:cs="宋体"/>
                <w:color w:val="auto"/>
                <w:sz w:val="21"/>
                <w:szCs w:val="21"/>
                <w:highlight w:val="none"/>
              </w:rPr>
            </w:pPr>
          </w:p>
        </w:tc>
      </w:tr>
      <w:tr w14:paraId="6C5062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BBEC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3.3.1.5</w:t>
            </w:r>
          </w:p>
        </w:tc>
        <w:tc>
          <w:tcPr>
            <w:tcW w:w="6982" w:type="dxa"/>
            <w:tcBorders>
              <w:tl2br w:val="nil"/>
              <w:tr2bl w:val="nil"/>
            </w:tcBorders>
            <w:vAlign w:val="center"/>
          </w:tcPr>
          <w:p w14:paraId="29950A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应支持检查检验报告浏览</w:t>
            </w:r>
          </w:p>
        </w:tc>
        <w:tc>
          <w:tcPr>
            <w:tcW w:w="870" w:type="dxa"/>
            <w:vMerge w:val="continue"/>
            <w:tcBorders>
              <w:tl2br w:val="nil"/>
              <w:tr2bl w:val="nil"/>
            </w:tcBorders>
            <w:noWrap/>
            <w:vAlign w:val="center"/>
          </w:tcPr>
          <w:p w14:paraId="3D4B8DEC">
            <w:pPr>
              <w:spacing w:line="360" w:lineRule="auto"/>
              <w:jc w:val="center"/>
              <w:rPr>
                <w:rFonts w:hint="eastAsia" w:ascii="宋体" w:hAnsi="宋体" w:cs="宋体"/>
                <w:color w:val="auto"/>
                <w:sz w:val="21"/>
                <w:szCs w:val="21"/>
                <w:highlight w:val="none"/>
              </w:rPr>
            </w:pPr>
          </w:p>
        </w:tc>
      </w:tr>
      <w:tr w14:paraId="404CE5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2B96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3.3.2</w:t>
            </w:r>
          </w:p>
        </w:tc>
        <w:tc>
          <w:tcPr>
            <w:tcW w:w="6982" w:type="dxa"/>
            <w:tcBorders>
              <w:tl2br w:val="nil"/>
              <w:tr2bl w:val="nil"/>
            </w:tcBorders>
            <w:vAlign w:val="center"/>
          </w:tcPr>
          <w:p w14:paraId="796C34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多院区运营数据整合</w:t>
            </w:r>
          </w:p>
        </w:tc>
        <w:tc>
          <w:tcPr>
            <w:tcW w:w="870" w:type="dxa"/>
            <w:vMerge w:val="continue"/>
            <w:tcBorders>
              <w:tl2br w:val="nil"/>
              <w:tr2bl w:val="nil"/>
            </w:tcBorders>
            <w:noWrap/>
            <w:vAlign w:val="center"/>
          </w:tcPr>
          <w:p w14:paraId="507A8A6F">
            <w:pPr>
              <w:spacing w:line="360" w:lineRule="auto"/>
              <w:jc w:val="center"/>
              <w:rPr>
                <w:rFonts w:hint="eastAsia" w:ascii="宋体" w:hAnsi="宋体" w:cs="宋体"/>
                <w:color w:val="auto"/>
                <w:sz w:val="21"/>
                <w:szCs w:val="21"/>
                <w:highlight w:val="none"/>
              </w:rPr>
            </w:pPr>
          </w:p>
        </w:tc>
      </w:tr>
      <w:tr w14:paraId="05064C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3FC1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3.3.2.1</w:t>
            </w:r>
          </w:p>
        </w:tc>
        <w:tc>
          <w:tcPr>
            <w:tcW w:w="6982" w:type="dxa"/>
            <w:tcBorders>
              <w:tl2br w:val="nil"/>
              <w:tr2bl w:val="nil"/>
            </w:tcBorders>
            <w:vAlign w:val="center"/>
          </w:tcPr>
          <w:p w14:paraId="2F9A1F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整合各院区运营指标</w:t>
            </w:r>
          </w:p>
        </w:tc>
        <w:tc>
          <w:tcPr>
            <w:tcW w:w="870" w:type="dxa"/>
            <w:vMerge w:val="continue"/>
            <w:tcBorders>
              <w:tl2br w:val="nil"/>
              <w:tr2bl w:val="nil"/>
            </w:tcBorders>
            <w:noWrap/>
            <w:vAlign w:val="center"/>
          </w:tcPr>
          <w:p w14:paraId="49BFD837">
            <w:pPr>
              <w:spacing w:line="360" w:lineRule="auto"/>
              <w:jc w:val="center"/>
              <w:rPr>
                <w:rFonts w:hint="eastAsia" w:ascii="宋体" w:hAnsi="宋体" w:cs="宋体"/>
                <w:color w:val="auto"/>
                <w:sz w:val="21"/>
                <w:szCs w:val="21"/>
                <w:highlight w:val="none"/>
              </w:rPr>
            </w:pPr>
          </w:p>
        </w:tc>
      </w:tr>
      <w:tr w14:paraId="7061FD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0BE8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3.3.2.2</w:t>
            </w:r>
          </w:p>
        </w:tc>
        <w:tc>
          <w:tcPr>
            <w:tcW w:w="6982" w:type="dxa"/>
            <w:tcBorders>
              <w:tl2br w:val="nil"/>
              <w:tr2bl w:val="nil"/>
            </w:tcBorders>
            <w:vAlign w:val="center"/>
          </w:tcPr>
          <w:p w14:paraId="1DA726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构建多院区运营数据仓库</w:t>
            </w:r>
          </w:p>
        </w:tc>
        <w:tc>
          <w:tcPr>
            <w:tcW w:w="870" w:type="dxa"/>
            <w:vMerge w:val="continue"/>
            <w:tcBorders>
              <w:tl2br w:val="nil"/>
              <w:tr2bl w:val="nil"/>
            </w:tcBorders>
            <w:noWrap/>
            <w:vAlign w:val="center"/>
          </w:tcPr>
          <w:p w14:paraId="40D2DF19">
            <w:pPr>
              <w:spacing w:line="360" w:lineRule="auto"/>
              <w:jc w:val="center"/>
              <w:rPr>
                <w:rFonts w:hint="eastAsia" w:ascii="宋体" w:hAnsi="宋体" w:cs="宋体"/>
                <w:color w:val="auto"/>
                <w:sz w:val="21"/>
                <w:szCs w:val="21"/>
                <w:highlight w:val="none"/>
              </w:rPr>
            </w:pPr>
          </w:p>
        </w:tc>
      </w:tr>
      <w:tr w14:paraId="481BF46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53E8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3.3.2.3</w:t>
            </w:r>
          </w:p>
        </w:tc>
        <w:tc>
          <w:tcPr>
            <w:tcW w:w="6982" w:type="dxa"/>
            <w:tcBorders>
              <w:tl2br w:val="nil"/>
              <w:tr2bl w:val="nil"/>
            </w:tcBorders>
            <w:vAlign w:val="center"/>
          </w:tcPr>
          <w:p w14:paraId="510BAB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应支持多主题数据分析</w:t>
            </w:r>
          </w:p>
        </w:tc>
        <w:tc>
          <w:tcPr>
            <w:tcW w:w="870" w:type="dxa"/>
            <w:vMerge w:val="continue"/>
            <w:tcBorders>
              <w:tl2br w:val="nil"/>
              <w:tr2bl w:val="nil"/>
            </w:tcBorders>
            <w:noWrap/>
            <w:vAlign w:val="center"/>
          </w:tcPr>
          <w:p w14:paraId="096FDFAD">
            <w:pPr>
              <w:spacing w:line="360" w:lineRule="auto"/>
              <w:jc w:val="center"/>
              <w:rPr>
                <w:rFonts w:hint="eastAsia" w:ascii="宋体" w:hAnsi="宋体" w:cs="宋体"/>
                <w:color w:val="auto"/>
                <w:sz w:val="21"/>
                <w:szCs w:val="21"/>
                <w:highlight w:val="none"/>
              </w:rPr>
            </w:pPr>
          </w:p>
        </w:tc>
      </w:tr>
      <w:tr w14:paraId="6C1861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33F6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w:t>
            </w:r>
          </w:p>
        </w:tc>
        <w:tc>
          <w:tcPr>
            <w:tcW w:w="6982" w:type="dxa"/>
            <w:tcBorders>
              <w:tl2br w:val="nil"/>
              <w:tr2bl w:val="nil"/>
            </w:tcBorders>
            <w:vAlign w:val="center"/>
          </w:tcPr>
          <w:p w14:paraId="4FE859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多院区数据接入与同步平台</w:t>
            </w:r>
          </w:p>
        </w:tc>
        <w:tc>
          <w:tcPr>
            <w:tcW w:w="870" w:type="dxa"/>
            <w:vMerge w:val="continue"/>
            <w:tcBorders>
              <w:tl2br w:val="nil"/>
              <w:tr2bl w:val="nil"/>
            </w:tcBorders>
            <w:noWrap/>
            <w:vAlign w:val="center"/>
          </w:tcPr>
          <w:p w14:paraId="34DEF66D">
            <w:pPr>
              <w:spacing w:line="360" w:lineRule="auto"/>
              <w:jc w:val="center"/>
              <w:rPr>
                <w:rFonts w:hint="eastAsia" w:ascii="宋体" w:hAnsi="宋体" w:cs="宋体"/>
                <w:color w:val="auto"/>
                <w:sz w:val="21"/>
                <w:szCs w:val="21"/>
                <w:highlight w:val="none"/>
              </w:rPr>
            </w:pPr>
          </w:p>
        </w:tc>
      </w:tr>
      <w:tr w14:paraId="45B0EB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3F6E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3.3.3.1</w:t>
            </w:r>
          </w:p>
        </w:tc>
        <w:tc>
          <w:tcPr>
            <w:tcW w:w="6982" w:type="dxa"/>
            <w:tcBorders>
              <w:tl2br w:val="nil"/>
              <w:tr2bl w:val="nil"/>
            </w:tcBorders>
            <w:vAlign w:val="center"/>
          </w:tcPr>
          <w:p w14:paraId="17A571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应支持多数据源实时同步</w:t>
            </w:r>
          </w:p>
        </w:tc>
        <w:tc>
          <w:tcPr>
            <w:tcW w:w="870" w:type="dxa"/>
            <w:vMerge w:val="continue"/>
            <w:tcBorders>
              <w:tl2br w:val="nil"/>
              <w:tr2bl w:val="nil"/>
            </w:tcBorders>
            <w:noWrap/>
            <w:vAlign w:val="center"/>
          </w:tcPr>
          <w:p w14:paraId="31E7DC58">
            <w:pPr>
              <w:spacing w:line="360" w:lineRule="auto"/>
              <w:jc w:val="center"/>
              <w:rPr>
                <w:rFonts w:hint="eastAsia" w:ascii="宋体" w:hAnsi="宋体" w:cs="宋体"/>
                <w:color w:val="auto"/>
                <w:sz w:val="21"/>
                <w:szCs w:val="21"/>
                <w:highlight w:val="none"/>
              </w:rPr>
            </w:pPr>
          </w:p>
        </w:tc>
      </w:tr>
      <w:tr w14:paraId="0445B4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2AAB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3.3.3.2</w:t>
            </w:r>
          </w:p>
        </w:tc>
        <w:tc>
          <w:tcPr>
            <w:tcW w:w="6982" w:type="dxa"/>
            <w:tcBorders>
              <w:tl2br w:val="nil"/>
              <w:tr2bl w:val="nil"/>
            </w:tcBorders>
            <w:vAlign w:val="center"/>
          </w:tcPr>
          <w:p w14:paraId="501BE8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应支持多数据源增量同步</w:t>
            </w:r>
          </w:p>
        </w:tc>
        <w:tc>
          <w:tcPr>
            <w:tcW w:w="870" w:type="dxa"/>
            <w:vMerge w:val="continue"/>
            <w:tcBorders>
              <w:tl2br w:val="nil"/>
              <w:tr2bl w:val="nil"/>
            </w:tcBorders>
            <w:noWrap/>
            <w:vAlign w:val="center"/>
          </w:tcPr>
          <w:p w14:paraId="7837AB13">
            <w:pPr>
              <w:spacing w:line="360" w:lineRule="auto"/>
              <w:jc w:val="center"/>
              <w:rPr>
                <w:rFonts w:hint="eastAsia" w:ascii="宋体" w:hAnsi="宋体" w:cs="宋体"/>
                <w:color w:val="auto"/>
                <w:sz w:val="21"/>
                <w:szCs w:val="21"/>
                <w:highlight w:val="none"/>
              </w:rPr>
            </w:pPr>
          </w:p>
        </w:tc>
      </w:tr>
      <w:tr w14:paraId="403A8C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ABBE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3.3.3.3</w:t>
            </w:r>
          </w:p>
        </w:tc>
        <w:tc>
          <w:tcPr>
            <w:tcW w:w="6982" w:type="dxa"/>
            <w:tcBorders>
              <w:tl2br w:val="nil"/>
              <w:tr2bl w:val="nil"/>
            </w:tcBorders>
            <w:vAlign w:val="center"/>
          </w:tcPr>
          <w:p w14:paraId="56F5C5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 OGG 同步监控</w:t>
            </w:r>
          </w:p>
        </w:tc>
        <w:tc>
          <w:tcPr>
            <w:tcW w:w="870" w:type="dxa"/>
            <w:vMerge w:val="continue"/>
            <w:tcBorders>
              <w:tl2br w:val="nil"/>
              <w:tr2bl w:val="nil"/>
            </w:tcBorders>
            <w:noWrap/>
            <w:vAlign w:val="center"/>
          </w:tcPr>
          <w:p w14:paraId="036FE0A9">
            <w:pPr>
              <w:spacing w:line="360" w:lineRule="auto"/>
              <w:jc w:val="center"/>
              <w:rPr>
                <w:rFonts w:hint="eastAsia" w:ascii="宋体" w:hAnsi="宋体" w:cs="宋体"/>
                <w:color w:val="auto"/>
                <w:sz w:val="21"/>
                <w:szCs w:val="21"/>
                <w:highlight w:val="none"/>
              </w:rPr>
            </w:pPr>
          </w:p>
        </w:tc>
      </w:tr>
      <w:tr w14:paraId="0EF85E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06C7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3.3.3.4</w:t>
            </w:r>
          </w:p>
        </w:tc>
        <w:tc>
          <w:tcPr>
            <w:tcW w:w="6982" w:type="dxa"/>
            <w:tcBorders>
              <w:tl2br w:val="nil"/>
              <w:tr2bl w:val="nil"/>
            </w:tcBorders>
            <w:vAlign w:val="center"/>
          </w:tcPr>
          <w:p w14:paraId="2C56B1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 Kettle 任务监控</w:t>
            </w:r>
          </w:p>
        </w:tc>
        <w:tc>
          <w:tcPr>
            <w:tcW w:w="870" w:type="dxa"/>
            <w:vMerge w:val="continue"/>
            <w:tcBorders>
              <w:tl2br w:val="nil"/>
              <w:tr2bl w:val="nil"/>
            </w:tcBorders>
            <w:noWrap/>
            <w:vAlign w:val="center"/>
          </w:tcPr>
          <w:p w14:paraId="45192BAC">
            <w:pPr>
              <w:spacing w:line="360" w:lineRule="auto"/>
              <w:jc w:val="center"/>
              <w:rPr>
                <w:rFonts w:hint="eastAsia" w:ascii="宋体" w:hAnsi="宋体" w:cs="宋体"/>
                <w:color w:val="auto"/>
                <w:sz w:val="21"/>
                <w:szCs w:val="21"/>
                <w:highlight w:val="none"/>
              </w:rPr>
            </w:pPr>
          </w:p>
        </w:tc>
      </w:tr>
      <w:tr w14:paraId="2D98641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88A6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3.3.3.5</w:t>
            </w:r>
          </w:p>
        </w:tc>
        <w:tc>
          <w:tcPr>
            <w:tcW w:w="6982" w:type="dxa"/>
            <w:tcBorders>
              <w:tl2br w:val="nil"/>
              <w:tr2bl w:val="nil"/>
            </w:tcBorders>
            <w:vAlign w:val="center"/>
          </w:tcPr>
          <w:p w14:paraId="24E409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 Kafka 消息监控</w:t>
            </w:r>
          </w:p>
        </w:tc>
        <w:tc>
          <w:tcPr>
            <w:tcW w:w="870" w:type="dxa"/>
            <w:vMerge w:val="continue"/>
            <w:tcBorders>
              <w:tl2br w:val="nil"/>
              <w:tr2bl w:val="nil"/>
            </w:tcBorders>
            <w:noWrap/>
            <w:vAlign w:val="center"/>
          </w:tcPr>
          <w:p w14:paraId="76AE3E22">
            <w:pPr>
              <w:spacing w:line="360" w:lineRule="auto"/>
              <w:jc w:val="center"/>
              <w:rPr>
                <w:rFonts w:hint="eastAsia" w:ascii="宋体" w:hAnsi="宋体" w:cs="宋体"/>
                <w:color w:val="auto"/>
                <w:sz w:val="21"/>
                <w:szCs w:val="21"/>
                <w:highlight w:val="none"/>
              </w:rPr>
            </w:pPr>
          </w:p>
        </w:tc>
      </w:tr>
      <w:tr w14:paraId="01667A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C733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w:t>
            </w:r>
          </w:p>
        </w:tc>
        <w:tc>
          <w:tcPr>
            <w:tcW w:w="6982" w:type="dxa"/>
            <w:tcBorders>
              <w:tl2br w:val="nil"/>
              <w:tr2bl w:val="nil"/>
            </w:tcBorders>
            <w:vAlign w:val="center"/>
          </w:tcPr>
          <w:p w14:paraId="53CD05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信息集成多院区改造支持</w:t>
            </w:r>
          </w:p>
        </w:tc>
        <w:tc>
          <w:tcPr>
            <w:tcW w:w="870" w:type="dxa"/>
            <w:vMerge w:val="restart"/>
            <w:tcBorders>
              <w:tl2br w:val="nil"/>
              <w:tr2bl w:val="nil"/>
            </w:tcBorders>
            <w:noWrap/>
            <w:vAlign w:val="center"/>
          </w:tcPr>
          <w:p w14:paraId="2DC15F02">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5FEE09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7495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3.4.1</w:t>
            </w:r>
          </w:p>
        </w:tc>
        <w:tc>
          <w:tcPr>
            <w:tcW w:w="6982" w:type="dxa"/>
            <w:tcBorders>
              <w:tl2br w:val="nil"/>
              <w:tr2bl w:val="nil"/>
            </w:tcBorders>
            <w:vAlign w:val="center"/>
          </w:tcPr>
          <w:p w14:paraId="292620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检查系统多院区支持</w:t>
            </w:r>
          </w:p>
        </w:tc>
        <w:tc>
          <w:tcPr>
            <w:tcW w:w="870" w:type="dxa"/>
            <w:vMerge w:val="continue"/>
            <w:tcBorders>
              <w:tl2br w:val="nil"/>
              <w:tr2bl w:val="nil"/>
            </w:tcBorders>
            <w:noWrap/>
            <w:vAlign w:val="center"/>
          </w:tcPr>
          <w:p w14:paraId="37CC8007">
            <w:pPr>
              <w:spacing w:line="360" w:lineRule="auto"/>
              <w:jc w:val="center"/>
              <w:rPr>
                <w:rFonts w:hint="eastAsia" w:ascii="宋体" w:hAnsi="宋体" w:cs="宋体"/>
                <w:color w:val="auto"/>
                <w:sz w:val="21"/>
                <w:szCs w:val="21"/>
                <w:highlight w:val="none"/>
              </w:rPr>
            </w:pPr>
          </w:p>
        </w:tc>
      </w:tr>
      <w:tr w14:paraId="31BE756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E2A6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3.4.1.1</w:t>
            </w:r>
          </w:p>
        </w:tc>
        <w:tc>
          <w:tcPr>
            <w:tcW w:w="6982" w:type="dxa"/>
            <w:tcBorders>
              <w:tl2br w:val="nil"/>
              <w:tr2bl w:val="nil"/>
            </w:tcBorders>
            <w:vAlign w:val="center"/>
          </w:tcPr>
          <w:p w14:paraId="36FC37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该系统为老院区原有建设，本次需迁移至新院区后，重点进行多院区模式适配改造。优化系统架构，支持多院区检查业务统一管理，实现各院区检查预约、登记、检查执行、报告生成、结果查询等业务流程的协同联动；打通各院区检查数据接口，确保检查数据实时同步、共享复用，支持医师跨院区调阅患者检查记录，保障检查流程规范、高效，适配多院区检查业务开展需求</w:t>
            </w:r>
          </w:p>
        </w:tc>
        <w:tc>
          <w:tcPr>
            <w:tcW w:w="870" w:type="dxa"/>
            <w:vMerge w:val="continue"/>
            <w:tcBorders>
              <w:tl2br w:val="nil"/>
              <w:tr2bl w:val="nil"/>
            </w:tcBorders>
            <w:noWrap/>
            <w:vAlign w:val="center"/>
          </w:tcPr>
          <w:p w14:paraId="5B5F2268">
            <w:pPr>
              <w:spacing w:line="360" w:lineRule="auto"/>
              <w:jc w:val="center"/>
              <w:rPr>
                <w:rFonts w:hint="eastAsia" w:ascii="宋体" w:hAnsi="宋体" w:cs="宋体"/>
                <w:color w:val="auto"/>
                <w:sz w:val="21"/>
                <w:szCs w:val="21"/>
                <w:highlight w:val="none"/>
              </w:rPr>
            </w:pPr>
          </w:p>
        </w:tc>
      </w:tr>
      <w:tr w14:paraId="7DD0CF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21EA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3.4.2</w:t>
            </w:r>
          </w:p>
        </w:tc>
        <w:tc>
          <w:tcPr>
            <w:tcW w:w="6982" w:type="dxa"/>
            <w:tcBorders>
              <w:tl2br w:val="nil"/>
              <w:tr2bl w:val="nil"/>
            </w:tcBorders>
            <w:vAlign w:val="center"/>
          </w:tcPr>
          <w:p w14:paraId="22B831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检验系统多院区支持</w:t>
            </w:r>
          </w:p>
        </w:tc>
        <w:tc>
          <w:tcPr>
            <w:tcW w:w="870" w:type="dxa"/>
            <w:vMerge w:val="continue"/>
            <w:tcBorders>
              <w:tl2br w:val="nil"/>
              <w:tr2bl w:val="nil"/>
            </w:tcBorders>
            <w:noWrap/>
            <w:vAlign w:val="center"/>
          </w:tcPr>
          <w:p w14:paraId="757B6284">
            <w:pPr>
              <w:spacing w:line="360" w:lineRule="auto"/>
              <w:jc w:val="center"/>
              <w:rPr>
                <w:rFonts w:hint="eastAsia" w:ascii="宋体" w:hAnsi="宋体" w:cs="宋体"/>
                <w:color w:val="auto"/>
                <w:sz w:val="21"/>
                <w:szCs w:val="21"/>
                <w:highlight w:val="none"/>
              </w:rPr>
            </w:pPr>
          </w:p>
        </w:tc>
      </w:tr>
      <w:tr w14:paraId="246A96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6731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3.4.2.1</w:t>
            </w:r>
          </w:p>
        </w:tc>
        <w:tc>
          <w:tcPr>
            <w:tcW w:w="6982" w:type="dxa"/>
            <w:tcBorders>
              <w:tl2br w:val="nil"/>
              <w:tr2bl w:val="nil"/>
            </w:tcBorders>
            <w:vAlign w:val="center"/>
          </w:tcPr>
          <w:p w14:paraId="7CFD9E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作为老院区原有核心系统，本次需迁移至新院区后，同步完成多院区模式适配改造。整合多院区检验业务流程，优化检验申请、样本接收、检测操作、结果审核、报告发布等全环节，适配新院区检验设备，完善接口对接，确保多院区检验数据实时互通，实现多院区检验质量同质化管控、检验资源统筹调配，满足多院区临床检验业务协同开展需求</w:t>
            </w:r>
          </w:p>
        </w:tc>
        <w:tc>
          <w:tcPr>
            <w:tcW w:w="870" w:type="dxa"/>
            <w:vMerge w:val="continue"/>
            <w:tcBorders>
              <w:tl2br w:val="nil"/>
              <w:tr2bl w:val="nil"/>
            </w:tcBorders>
            <w:noWrap/>
            <w:vAlign w:val="center"/>
          </w:tcPr>
          <w:p w14:paraId="7113EC49">
            <w:pPr>
              <w:spacing w:line="360" w:lineRule="auto"/>
              <w:jc w:val="center"/>
              <w:rPr>
                <w:rFonts w:hint="eastAsia" w:ascii="宋体" w:hAnsi="宋体" w:cs="宋体"/>
                <w:color w:val="auto"/>
                <w:sz w:val="21"/>
                <w:szCs w:val="21"/>
                <w:highlight w:val="none"/>
              </w:rPr>
            </w:pPr>
          </w:p>
        </w:tc>
      </w:tr>
      <w:tr w14:paraId="79F160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78E1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3.4.3</w:t>
            </w:r>
          </w:p>
        </w:tc>
        <w:tc>
          <w:tcPr>
            <w:tcW w:w="6982" w:type="dxa"/>
            <w:tcBorders>
              <w:tl2br w:val="nil"/>
              <w:tr2bl w:val="nil"/>
            </w:tcBorders>
            <w:vAlign w:val="center"/>
          </w:tcPr>
          <w:p w14:paraId="5FB327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血库系统多院区支持</w:t>
            </w:r>
          </w:p>
        </w:tc>
        <w:tc>
          <w:tcPr>
            <w:tcW w:w="870" w:type="dxa"/>
            <w:vMerge w:val="continue"/>
            <w:tcBorders>
              <w:tl2br w:val="nil"/>
              <w:tr2bl w:val="nil"/>
            </w:tcBorders>
            <w:noWrap/>
            <w:vAlign w:val="center"/>
          </w:tcPr>
          <w:p w14:paraId="12201070">
            <w:pPr>
              <w:spacing w:line="360" w:lineRule="auto"/>
              <w:jc w:val="center"/>
              <w:rPr>
                <w:rFonts w:hint="eastAsia" w:ascii="宋体" w:hAnsi="宋体" w:cs="宋体"/>
                <w:color w:val="auto"/>
                <w:sz w:val="21"/>
                <w:szCs w:val="21"/>
                <w:highlight w:val="none"/>
              </w:rPr>
            </w:pPr>
          </w:p>
        </w:tc>
      </w:tr>
      <w:tr w14:paraId="17004B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B3F1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3.4.3.1</w:t>
            </w:r>
          </w:p>
        </w:tc>
        <w:tc>
          <w:tcPr>
            <w:tcW w:w="6982" w:type="dxa"/>
            <w:tcBorders>
              <w:tl2br w:val="nil"/>
              <w:tr2bl w:val="nil"/>
            </w:tcBorders>
            <w:vAlign w:val="center"/>
          </w:tcPr>
          <w:p w14:paraId="38837C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该系统为老院区原有建设，本次需迁移至新院区后，重点升级适配多院区模式。构建多院区统一血库管理体系，支持各院区血液采购、入库、储存、发放等业务的集中管控与协同联动；打通多院区血库数据接口，实现血液库存、用血申请、交叉配血、输血记录等数据实时同步，支持跨院区用血调配与数据追溯，保障多院区临床用血安全、规范</w:t>
            </w:r>
          </w:p>
        </w:tc>
        <w:tc>
          <w:tcPr>
            <w:tcW w:w="870" w:type="dxa"/>
            <w:vMerge w:val="continue"/>
            <w:tcBorders>
              <w:tl2br w:val="nil"/>
              <w:tr2bl w:val="nil"/>
            </w:tcBorders>
            <w:noWrap/>
            <w:vAlign w:val="center"/>
          </w:tcPr>
          <w:p w14:paraId="59A933B7">
            <w:pPr>
              <w:spacing w:line="360" w:lineRule="auto"/>
              <w:jc w:val="center"/>
              <w:rPr>
                <w:rFonts w:hint="eastAsia" w:ascii="宋体" w:hAnsi="宋体" w:cs="宋体"/>
                <w:color w:val="auto"/>
                <w:sz w:val="21"/>
                <w:szCs w:val="21"/>
                <w:highlight w:val="none"/>
              </w:rPr>
            </w:pPr>
          </w:p>
        </w:tc>
      </w:tr>
      <w:tr w14:paraId="7A07DC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262D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3.4.4</w:t>
            </w:r>
          </w:p>
        </w:tc>
        <w:tc>
          <w:tcPr>
            <w:tcW w:w="6982" w:type="dxa"/>
            <w:tcBorders>
              <w:tl2br w:val="nil"/>
              <w:tr2bl w:val="nil"/>
            </w:tcBorders>
            <w:vAlign w:val="center"/>
          </w:tcPr>
          <w:p w14:paraId="74E781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心电系统多院区支持</w:t>
            </w:r>
          </w:p>
        </w:tc>
        <w:tc>
          <w:tcPr>
            <w:tcW w:w="870" w:type="dxa"/>
            <w:vMerge w:val="continue"/>
            <w:tcBorders>
              <w:tl2br w:val="nil"/>
              <w:tr2bl w:val="nil"/>
            </w:tcBorders>
            <w:noWrap/>
            <w:vAlign w:val="center"/>
          </w:tcPr>
          <w:p w14:paraId="569BD0C2">
            <w:pPr>
              <w:spacing w:line="360" w:lineRule="auto"/>
              <w:jc w:val="center"/>
              <w:rPr>
                <w:rFonts w:hint="eastAsia" w:ascii="宋体" w:hAnsi="宋体" w:cs="宋体"/>
                <w:color w:val="auto"/>
                <w:sz w:val="21"/>
                <w:szCs w:val="21"/>
                <w:highlight w:val="none"/>
              </w:rPr>
            </w:pPr>
          </w:p>
        </w:tc>
      </w:tr>
      <w:tr w14:paraId="760D1A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840A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3.4.4.1</w:t>
            </w:r>
          </w:p>
        </w:tc>
        <w:tc>
          <w:tcPr>
            <w:tcW w:w="6982" w:type="dxa"/>
            <w:tcBorders>
              <w:tl2br w:val="nil"/>
              <w:tr2bl w:val="nil"/>
            </w:tcBorders>
            <w:vAlign w:val="center"/>
          </w:tcPr>
          <w:p w14:paraId="726E40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老院区原有心电系统，本次需迁移至新院区后，进行多院区模式适配优化。支持多院区心电检查业务统一管理，实现各院区心电检查预约、数据采集、分析诊断、报告审核、归档存储等流程协同，打通多院区心电数据接口，实现心电图纸、诊断报告等数据跨院区共享，支持医师跨院区调阅，提升多院区心电诊疗效率与诊断一致性</w:t>
            </w:r>
          </w:p>
        </w:tc>
        <w:tc>
          <w:tcPr>
            <w:tcW w:w="870" w:type="dxa"/>
            <w:vMerge w:val="continue"/>
            <w:tcBorders>
              <w:tl2br w:val="nil"/>
              <w:tr2bl w:val="nil"/>
            </w:tcBorders>
            <w:noWrap/>
            <w:vAlign w:val="center"/>
          </w:tcPr>
          <w:p w14:paraId="55541663">
            <w:pPr>
              <w:spacing w:line="360" w:lineRule="auto"/>
              <w:jc w:val="center"/>
              <w:rPr>
                <w:rFonts w:hint="eastAsia" w:ascii="宋体" w:hAnsi="宋体" w:cs="宋体"/>
                <w:color w:val="auto"/>
                <w:sz w:val="21"/>
                <w:szCs w:val="21"/>
                <w:highlight w:val="none"/>
              </w:rPr>
            </w:pPr>
          </w:p>
        </w:tc>
      </w:tr>
      <w:tr w14:paraId="52A259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C1EF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3.4.5</w:t>
            </w:r>
          </w:p>
        </w:tc>
        <w:tc>
          <w:tcPr>
            <w:tcW w:w="6982" w:type="dxa"/>
            <w:tcBorders>
              <w:tl2br w:val="nil"/>
              <w:tr2bl w:val="nil"/>
            </w:tcBorders>
            <w:vAlign w:val="center"/>
          </w:tcPr>
          <w:p w14:paraId="09A26D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病理系统多院区支持</w:t>
            </w:r>
          </w:p>
        </w:tc>
        <w:tc>
          <w:tcPr>
            <w:tcW w:w="870" w:type="dxa"/>
            <w:vMerge w:val="continue"/>
            <w:tcBorders>
              <w:tl2br w:val="nil"/>
              <w:tr2bl w:val="nil"/>
            </w:tcBorders>
            <w:noWrap/>
            <w:vAlign w:val="center"/>
          </w:tcPr>
          <w:p w14:paraId="3EBADF36">
            <w:pPr>
              <w:spacing w:line="360" w:lineRule="auto"/>
              <w:jc w:val="center"/>
              <w:rPr>
                <w:rFonts w:hint="eastAsia" w:ascii="宋体" w:hAnsi="宋体" w:cs="宋体"/>
                <w:color w:val="auto"/>
                <w:sz w:val="21"/>
                <w:szCs w:val="21"/>
                <w:highlight w:val="none"/>
              </w:rPr>
            </w:pPr>
          </w:p>
        </w:tc>
      </w:tr>
      <w:tr w14:paraId="37B2AF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EA85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3.4.5.1</w:t>
            </w:r>
          </w:p>
        </w:tc>
        <w:tc>
          <w:tcPr>
            <w:tcW w:w="6982" w:type="dxa"/>
            <w:tcBorders>
              <w:tl2br w:val="nil"/>
              <w:tr2bl w:val="nil"/>
            </w:tcBorders>
            <w:vAlign w:val="center"/>
          </w:tcPr>
          <w:p w14:paraId="5C5E89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老院区原有病理系统迁移至新院区后，需完成多院区模式适配改造。优化病理业务流程，支持多院区病理标本接收、制片、诊断、报告生成等全环节协同，实现各院区病理数据（标本信息、诊断结果、病理切片等）实时同步与共享，支持跨院区病理会诊，规范多院区病理管理流程，提升病理诊断质量与效率</w:t>
            </w:r>
          </w:p>
        </w:tc>
        <w:tc>
          <w:tcPr>
            <w:tcW w:w="870" w:type="dxa"/>
            <w:vMerge w:val="continue"/>
            <w:tcBorders>
              <w:tl2br w:val="nil"/>
              <w:tr2bl w:val="nil"/>
            </w:tcBorders>
            <w:noWrap/>
            <w:vAlign w:val="center"/>
          </w:tcPr>
          <w:p w14:paraId="26854792">
            <w:pPr>
              <w:spacing w:line="360" w:lineRule="auto"/>
              <w:jc w:val="center"/>
              <w:rPr>
                <w:rFonts w:hint="eastAsia" w:ascii="宋体" w:hAnsi="宋体" w:cs="宋体"/>
                <w:color w:val="auto"/>
                <w:sz w:val="21"/>
                <w:szCs w:val="21"/>
                <w:highlight w:val="none"/>
              </w:rPr>
            </w:pPr>
          </w:p>
        </w:tc>
      </w:tr>
      <w:tr w14:paraId="12598C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F33C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3.4.6</w:t>
            </w:r>
          </w:p>
        </w:tc>
        <w:tc>
          <w:tcPr>
            <w:tcW w:w="6982" w:type="dxa"/>
            <w:tcBorders>
              <w:tl2br w:val="nil"/>
              <w:tr2bl w:val="nil"/>
            </w:tcBorders>
            <w:vAlign w:val="center"/>
          </w:tcPr>
          <w:p w14:paraId="067BFF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院感系统多院区支持</w:t>
            </w:r>
          </w:p>
        </w:tc>
        <w:tc>
          <w:tcPr>
            <w:tcW w:w="870" w:type="dxa"/>
            <w:vMerge w:val="continue"/>
            <w:tcBorders>
              <w:tl2br w:val="nil"/>
              <w:tr2bl w:val="nil"/>
            </w:tcBorders>
            <w:noWrap/>
            <w:vAlign w:val="center"/>
          </w:tcPr>
          <w:p w14:paraId="6ACCCE9B">
            <w:pPr>
              <w:spacing w:line="360" w:lineRule="auto"/>
              <w:jc w:val="center"/>
              <w:rPr>
                <w:rFonts w:hint="eastAsia" w:ascii="宋体" w:hAnsi="宋体" w:cs="宋体"/>
                <w:color w:val="auto"/>
                <w:sz w:val="21"/>
                <w:szCs w:val="21"/>
                <w:highlight w:val="none"/>
              </w:rPr>
            </w:pPr>
          </w:p>
        </w:tc>
      </w:tr>
      <w:tr w14:paraId="1D5DD1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D4B9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3.4.6.1</w:t>
            </w:r>
          </w:p>
        </w:tc>
        <w:tc>
          <w:tcPr>
            <w:tcW w:w="6982" w:type="dxa"/>
            <w:tcBorders>
              <w:tl2br w:val="nil"/>
              <w:tr2bl w:val="nil"/>
            </w:tcBorders>
            <w:vAlign w:val="center"/>
          </w:tcPr>
          <w:p w14:paraId="4B15D8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将老院区原有院感系统迁移至新院区后，需重点进行多院区模式适配改造。构建多院区统一院感监控体系，实现各院区院感数据（感染病例、消毒灭菌、环境卫生等）统一采集、实时监控与多维度分析，打通多院区院感数据接口，支持院感管理者对各院区院感风险统一研判、精准管控，保障多院区医疗安全</w:t>
            </w:r>
          </w:p>
        </w:tc>
        <w:tc>
          <w:tcPr>
            <w:tcW w:w="870" w:type="dxa"/>
            <w:vMerge w:val="continue"/>
            <w:tcBorders>
              <w:tl2br w:val="nil"/>
              <w:tr2bl w:val="nil"/>
            </w:tcBorders>
            <w:noWrap/>
            <w:vAlign w:val="center"/>
          </w:tcPr>
          <w:p w14:paraId="56CDA105">
            <w:pPr>
              <w:spacing w:line="360" w:lineRule="auto"/>
              <w:jc w:val="center"/>
              <w:rPr>
                <w:rFonts w:hint="eastAsia" w:ascii="宋体" w:hAnsi="宋体" w:cs="宋体"/>
                <w:color w:val="auto"/>
                <w:sz w:val="21"/>
                <w:szCs w:val="21"/>
                <w:highlight w:val="none"/>
              </w:rPr>
            </w:pPr>
          </w:p>
        </w:tc>
      </w:tr>
      <w:tr w14:paraId="7B47E7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C1F2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w:t>
            </w:r>
          </w:p>
        </w:tc>
        <w:tc>
          <w:tcPr>
            <w:tcW w:w="6982" w:type="dxa"/>
            <w:tcBorders>
              <w:tl2br w:val="nil"/>
              <w:tr2bl w:val="nil"/>
            </w:tcBorders>
            <w:vAlign w:val="center"/>
          </w:tcPr>
          <w:p w14:paraId="463C8C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新建三方系统对接及多院区支持</w:t>
            </w:r>
          </w:p>
        </w:tc>
        <w:tc>
          <w:tcPr>
            <w:tcW w:w="870" w:type="dxa"/>
            <w:vMerge w:val="restart"/>
            <w:tcBorders>
              <w:tl2br w:val="nil"/>
              <w:tr2bl w:val="nil"/>
            </w:tcBorders>
            <w:noWrap/>
            <w:vAlign w:val="center"/>
          </w:tcPr>
          <w:p w14:paraId="24B43CF1">
            <w:pPr>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r>
      <w:tr w14:paraId="1D36DF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03EF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3.5.1</w:t>
            </w:r>
          </w:p>
        </w:tc>
        <w:tc>
          <w:tcPr>
            <w:tcW w:w="6982" w:type="dxa"/>
            <w:tcBorders>
              <w:tl2br w:val="nil"/>
              <w:tr2bl w:val="nil"/>
            </w:tcBorders>
            <w:vAlign w:val="center"/>
          </w:tcPr>
          <w:p w14:paraId="24AAE2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体检系统对接及多院区支持</w:t>
            </w:r>
          </w:p>
        </w:tc>
        <w:tc>
          <w:tcPr>
            <w:tcW w:w="870" w:type="dxa"/>
            <w:vMerge w:val="continue"/>
            <w:tcBorders>
              <w:tl2br w:val="nil"/>
              <w:tr2bl w:val="nil"/>
            </w:tcBorders>
            <w:noWrap/>
            <w:vAlign w:val="center"/>
          </w:tcPr>
          <w:p w14:paraId="0BA682F8">
            <w:pPr>
              <w:spacing w:line="360" w:lineRule="auto"/>
              <w:jc w:val="center"/>
              <w:rPr>
                <w:rFonts w:hint="eastAsia" w:ascii="宋体" w:hAnsi="宋体" w:cs="宋体"/>
                <w:color w:val="auto"/>
                <w:sz w:val="21"/>
                <w:szCs w:val="21"/>
                <w:highlight w:val="none"/>
              </w:rPr>
            </w:pPr>
          </w:p>
        </w:tc>
      </w:tr>
      <w:tr w14:paraId="6FD51E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0D46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3.5.1.1</w:t>
            </w:r>
          </w:p>
        </w:tc>
        <w:tc>
          <w:tcPr>
            <w:tcW w:w="6982" w:type="dxa"/>
            <w:tcBorders>
              <w:tl2br w:val="nil"/>
              <w:tr2bl w:val="nil"/>
            </w:tcBorders>
            <w:vAlign w:val="center"/>
          </w:tcPr>
          <w:p w14:paraId="4CE7EE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体检信息系统的对接，需完成与医院核心业务系统（HIS、LIS、PACS、电子病历等）的标准化接口对接，需实现患者信息、体检项目、检验检查结果、报告生成、费用结算等全流程数据共享与业务联动；系统需支持多院区统一部署、独立运营与集中管理，满足新院区体检业务规范化、一体化运行需求</w:t>
            </w:r>
          </w:p>
        </w:tc>
        <w:tc>
          <w:tcPr>
            <w:tcW w:w="870" w:type="dxa"/>
            <w:vMerge w:val="continue"/>
            <w:tcBorders>
              <w:tl2br w:val="nil"/>
              <w:tr2bl w:val="nil"/>
            </w:tcBorders>
            <w:noWrap/>
            <w:vAlign w:val="center"/>
          </w:tcPr>
          <w:p w14:paraId="229E90B3">
            <w:pPr>
              <w:spacing w:line="360" w:lineRule="auto"/>
              <w:jc w:val="center"/>
              <w:rPr>
                <w:rFonts w:hint="eastAsia" w:ascii="宋体" w:hAnsi="宋体" w:cs="宋体"/>
                <w:color w:val="auto"/>
                <w:sz w:val="21"/>
                <w:szCs w:val="21"/>
                <w:highlight w:val="none"/>
              </w:rPr>
            </w:pPr>
          </w:p>
        </w:tc>
      </w:tr>
      <w:tr w14:paraId="560569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520C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3.5.2</w:t>
            </w:r>
          </w:p>
        </w:tc>
        <w:tc>
          <w:tcPr>
            <w:tcW w:w="6982" w:type="dxa"/>
            <w:tcBorders>
              <w:tl2br w:val="nil"/>
              <w:tr2bl w:val="nil"/>
            </w:tcBorders>
            <w:vAlign w:val="center"/>
          </w:tcPr>
          <w:p w14:paraId="375DE1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血透及腹透管理系统对接及多院区支持</w:t>
            </w:r>
          </w:p>
        </w:tc>
        <w:tc>
          <w:tcPr>
            <w:tcW w:w="870" w:type="dxa"/>
            <w:vMerge w:val="continue"/>
            <w:tcBorders>
              <w:tl2br w:val="nil"/>
              <w:tr2bl w:val="nil"/>
            </w:tcBorders>
            <w:noWrap/>
            <w:vAlign w:val="center"/>
          </w:tcPr>
          <w:p w14:paraId="1F6A1994">
            <w:pPr>
              <w:spacing w:line="360" w:lineRule="auto"/>
              <w:jc w:val="center"/>
              <w:rPr>
                <w:rFonts w:hint="eastAsia" w:ascii="宋体" w:hAnsi="宋体" w:cs="宋体"/>
                <w:color w:val="auto"/>
                <w:sz w:val="21"/>
                <w:szCs w:val="21"/>
                <w:highlight w:val="none"/>
              </w:rPr>
            </w:pPr>
          </w:p>
        </w:tc>
      </w:tr>
      <w:tr w14:paraId="4AFDAE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0822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3.5.2.1</w:t>
            </w:r>
          </w:p>
        </w:tc>
        <w:tc>
          <w:tcPr>
            <w:tcW w:w="6982" w:type="dxa"/>
            <w:tcBorders>
              <w:tl2br w:val="nil"/>
              <w:tr2bl w:val="nil"/>
            </w:tcBorders>
            <w:vAlign w:val="center"/>
          </w:tcPr>
          <w:p w14:paraId="088064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新建血透及腹透专科管理系统的对接，需与医院 HIS、电子病历、护理、药房、设备等系统完成接口对接，实现患者透析治疗、医嘱执行、耗材使用、生命体征监测、随访管理等数据互联互通；支持多院区统一运维、专科业务标准化管理，保障新院区透析诊疗安全、高效、可追溯</w:t>
            </w:r>
          </w:p>
        </w:tc>
        <w:tc>
          <w:tcPr>
            <w:tcW w:w="870" w:type="dxa"/>
            <w:vMerge w:val="continue"/>
            <w:tcBorders>
              <w:tl2br w:val="nil"/>
              <w:tr2bl w:val="nil"/>
            </w:tcBorders>
            <w:noWrap/>
            <w:vAlign w:val="center"/>
          </w:tcPr>
          <w:p w14:paraId="16AFBB3F">
            <w:pPr>
              <w:spacing w:line="360" w:lineRule="auto"/>
              <w:jc w:val="center"/>
              <w:rPr>
                <w:rFonts w:hint="eastAsia" w:ascii="宋体" w:hAnsi="宋体" w:cs="宋体"/>
                <w:color w:val="auto"/>
                <w:sz w:val="21"/>
                <w:szCs w:val="21"/>
                <w:highlight w:val="none"/>
              </w:rPr>
            </w:pPr>
          </w:p>
        </w:tc>
      </w:tr>
      <w:tr w14:paraId="6A03C2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157A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3.5.3</w:t>
            </w:r>
          </w:p>
        </w:tc>
        <w:tc>
          <w:tcPr>
            <w:tcW w:w="6982" w:type="dxa"/>
            <w:tcBorders>
              <w:tl2br w:val="nil"/>
              <w:tr2bl w:val="nil"/>
            </w:tcBorders>
            <w:vAlign w:val="center"/>
          </w:tcPr>
          <w:p w14:paraId="480C04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营养膳食系统对接及多院区支持</w:t>
            </w:r>
          </w:p>
        </w:tc>
        <w:tc>
          <w:tcPr>
            <w:tcW w:w="870" w:type="dxa"/>
            <w:vMerge w:val="continue"/>
            <w:tcBorders>
              <w:tl2br w:val="nil"/>
              <w:tr2bl w:val="nil"/>
            </w:tcBorders>
            <w:noWrap/>
            <w:vAlign w:val="center"/>
          </w:tcPr>
          <w:p w14:paraId="3AF3CC51">
            <w:pPr>
              <w:spacing w:line="360" w:lineRule="auto"/>
              <w:jc w:val="center"/>
              <w:rPr>
                <w:rFonts w:hint="eastAsia" w:ascii="宋体" w:hAnsi="宋体" w:cs="宋体"/>
                <w:color w:val="auto"/>
                <w:sz w:val="21"/>
                <w:szCs w:val="21"/>
                <w:highlight w:val="none"/>
              </w:rPr>
            </w:pPr>
          </w:p>
        </w:tc>
      </w:tr>
      <w:tr w14:paraId="014CEF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622C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3.5.3.1</w:t>
            </w:r>
          </w:p>
        </w:tc>
        <w:tc>
          <w:tcPr>
            <w:tcW w:w="6982" w:type="dxa"/>
            <w:tcBorders>
              <w:tl2br w:val="nil"/>
              <w:tr2bl w:val="nil"/>
            </w:tcBorders>
            <w:vAlign w:val="center"/>
          </w:tcPr>
          <w:p w14:paraId="3FD8D9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住院患者营养膳食管理系统的对接，需完成与住院医生工作站、护士工作站、住院收费、病区管理等系统接口对接，实现膳食申请、营养评估、食谱定制、配餐发放、费用核算等业务闭环；支持多院区统一食谱管理、分区配送、独立结算，适配新院区住院患者膳食服务与临床营养支持需求</w:t>
            </w:r>
          </w:p>
        </w:tc>
        <w:tc>
          <w:tcPr>
            <w:tcW w:w="870" w:type="dxa"/>
            <w:vMerge w:val="continue"/>
            <w:tcBorders>
              <w:tl2br w:val="nil"/>
              <w:tr2bl w:val="nil"/>
            </w:tcBorders>
            <w:noWrap/>
            <w:vAlign w:val="center"/>
          </w:tcPr>
          <w:p w14:paraId="113DDE0F">
            <w:pPr>
              <w:spacing w:line="360" w:lineRule="auto"/>
              <w:jc w:val="center"/>
              <w:rPr>
                <w:rFonts w:hint="eastAsia" w:ascii="宋体" w:hAnsi="宋体" w:cs="宋体"/>
                <w:color w:val="auto"/>
                <w:sz w:val="21"/>
                <w:szCs w:val="21"/>
                <w:highlight w:val="none"/>
              </w:rPr>
            </w:pPr>
          </w:p>
        </w:tc>
      </w:tr>
      <w:tr w14:paraId="789192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3EB6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3.5.4</w:t>
            </w:r>
          </w:p>
        </w:tc>
        <w:tc>
          <w:tcPr>
            <w:tcW w:w="6982" w:type="dxa"/>
            <w:tcBorders>
              <w:tl2br w:val="nil"/>
              <w:tr2bl w:val="nil"/>
            </w:tcBorders>
            <w:vAlign w:val="center"/>
          </w:tcPr>
          <w:p w14:paraId="7984D2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重症系统对接及多院区支持</w:t>
            </w:r>
          </w:p>
        </w:tc>
        <w:tc>
          <w:tcPr>
            <w:tcW w:w="870" w:type="dxa"/>
            <w:vMerge w:val="continue"/>
            <w:tcBorders>
              <w:tl2br w:val="nil"/>
              <w:tr2bl w:val="nil"/>
            </w:tcBorders>
            <w:noWrap/>
            <w:vAlign w:val="center"/>
          </w:tcPr>
          <w:p w14:paraId="327B04CA">
            <w:pPr>
              <w:spacing w:line="360" w:lineRule="auto"/>
              <w:jc w:val="center"/>
              <w:rPr>
                <w:rFonts w:hint="eastAsia" w:ascii="宋体" w:hAnsi="宋体" w:cs="宋体"/>
                <w:color w:val="auto"/>
                <w:sz w:val="21"/>
                <w:szCs w:val="21"/>
                <w:highlight w:val="none"/>
              </w:rPr>
            </w:pPr>
          </w:p>
        </w:tc>
      </w:tr>
      <w:tr w14:paraId="1914AD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CD19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3.5.4.1</w:t>
            </w:r>
          </w:p>
        </w:tc>
        <w:tc>
          <w:tcPr>
            <w:tcW w:w="6982" w:type="dxa"/>
            <w:tcBorders>
              <w:tl2br w:val="nil"/>
              <w:tr2bl w:val="nil"/>
            </w:tcBorders>
            <w:vAlign w:val="center"/>
          </w:tcPr>
          <w:p w14:paraId="5D4A1F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新建重症监护（ICU）信息系统的对接，需与医院 HIS、手麻系统、护理系统、检验检查系统、监护设备等完成深度接口对接，实现重症患者生命体征自动采集、医嘱闭环、诊疗记录、危急值预警、多学科会诊等功能一体化；支持多院区重症业务统一质控与数据管理，满足新院区重症科室规范化诊疗要求</w:t>
            </w:r>
          </w:p>
        </w:tc>
        <w:tc>
          <w:tcPr>
            <w:tcW w:w="870" w:type="dxa"/>
            <w:vMerge w:val="continue"/>
            <w:tcBorders>
              <w:tl2br w:val="nil"/>
              <w:tr2bl w:val="nil"/>
            </w:tcBorders>
            <w:noWrap/>
            <w:vAlign w:val="center"/>
          </w:tcPr>
          <w:p w14:paraId="410F8E20">
            <w:pPr>
              <w:spacing w:line="360" w:lineRule="auto"/>
              <w:jc w:val="center"/>
              <w:rPr>
                <w:rFonts w:hint="eastAsia" w:ascii="宋体" w:hAnsi="宋体" w:cs="宋体"/>
                <w:color w:val="auto"/>
                <w:sz w:val="21"/>
                <w:szCs w:val="21"/>
                <w:highlight w:val="none"/>
              </w:rPr>
            </w:pPr>
          </w:p>
        </w:tc>
      </w:tr>
      <w:tr w14:paraId="19F42C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7151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3.5.5</w:t>
            </w:r>
          </w:p>
        </w:tc>
        <w:tc>
          <w:tcPr>
            <w:tcW w:w="6982" w:type="dxa"/>
            <w:tcBorders>
              <w:tl2br w:val="nil"/>
              <w:tr2bl w:val="nil"/>
            </w:tcBorders>
            <w:vAlign w:val="center"/>
          </w:tcPr>
          <w:p w14:paraId="489F37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手麻系统对接及多院区支持</w:t>
            </w:r>
          </w:p>
        </w:tc>
        <w:tc>
          <w:tcPr>
            <w:tcW w:w="870" w:type="dxa"/>
            <w:vMerge w:val="continue"/>
            <w:tcBorders>
              <w:tl2br w:val="nil"/>
              <w:tr2bl w:val="nil"/>
            </w:tcBorders>
            <w:noWrap/>
            <w:vAlign w:val="center"/>
          </w:tcPr>
          <w:p w14:paraId="5DB9EF6A">
            <w:pPr>
              <w:spacing w:line="360" w:lineRule="auto"/>
              <w:jc w:val="center"/>
              <w:rPr>
                <w:rFonts w:hint="eastAsia" w:ascii="宋体" w:hAnsi="宋体" w:cs="宋体"/>
                <w:color w:val="auto"/>
                <w:sz w:val="21"/>
                <w:szCs w:val="21"/>
                <w:highlight w:val="none"/>
              </w:rPr>
            </w:pPr>
          </w:p>
        </w:tc>
      </w:tr>
      <w:tr w14:paraId="2A23651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1F92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3.5.5.1</w:t>
            </w:r>
          </w:p>
        </w:tc>
        <w:tc>
          <w:tcPr>
            <w:tcW w:w="6982" w:type="dxa"/>
            <w:tcBorders>
              <w:tl2br w:val="nil"/>
              <w:tr2bl w:val="nil"/>
            </w:tcBorders>
            <w:vAlign w:val="center"/>
          </w:tcPr>
          <w:p w14:paraId="58A680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新建手术麻醉信息系统的对接，需完成与 HIS、电子病历、重症系统、用血系统、器械追溯等系统接口对接，覆盖术前评估、术中麻醉管理、术后复苏、手术排班、麻醉记录、费用核算等全流程；支持多院区手术室统一调度、业务协同与质量监管，保障新院区手术麻醉业务安全、高效运行</w:t>
            </w:r>
          </w:p>
        </w:tc>
        <w:tc>
          <w:tcPr>
            <w:tcW w:w="870" w:type="dxa"/>
            <w:vMerge w:val="continue"/>
            <w:tcBorders>
              <w:tl2br w:val="nil"/>
              <w:tr2bl w:val="nil"/>
            </w:tcBorders>
            <w:noWrap/>
            <w:vAlign w:val="center"/>
          </w:tcPr>
          <w:p w14:paraId="4FAC8149">
            <w:pPr>
              <w:spacing w:line="360" w:lineRule="auto"/>
              <w:jc w:val="center"/>
              <w:rPr>
                <w:rFonts w:hint="eastAsia" w:ascii="宋体" w:hAnsi="宋体" w:cs="宋体"/>
                <w:color w:val="auto"/>
                <w:sz w:val="21"/>
                <w:szCs w:val="21"/>
                <w:highlight w:val="none"/>
              </w:rPr>
            </w:pPr>
          </w:p>
        </w:tc>
      </w:tr>
      <w:tr w14:paraId="24C52A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350E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3.5.6</w:t>
            </w:r>
          </w:p>
        </w:tc>
        <w:tc>
          <w:tcPr>
            <w:tcW w:w="6982" w:type="dxa"/>
            <w:tcBorders>
              <w:tl2br w:val="nil"/>
              <w:tr2bl w:val="nil"/>
            </w:tcBorders>
            <w:vAlign w:val="center"/>
          </w:tcPr>
          <w:p w14:paraId="171215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排队叫号系统对接及多院区支持</w:t>
            </w:r>
          </w:p>
        </w:tc>
        <w:tc>
          <w:tcPr>
            <w:tcW w:w="870" w:type="dxa"/>
            <w:vMerge w:val="continue"/>
            <w:tcBorders>
              <w:tl2br w:val="nil"/>
              <w:tr2bl w:val="nil"/>
            </w:tcBorders>
            <w:noWrap/>
            <w:vAlign w:val="center"/>
          </w:tcPr>
          <w:p w14:paraId="500E03E0">
            <w:pPr>
              <w:spacing w:line="360" w:lineRule="auto"/>
              <w:jc w:val="center"/>
              <w:rPr>
                <w:rFonts w:hint="eastAsia" w:ascii="宋体" w:hAnsi="宋体" w:cs="宋体"/>
                <w:color w:val="auto"/>
                <w:sz w:val="21"/>
                <w:szCs w:val="21"/>
                <w:highlight w:val="none"/>
              </w:rPr>
            </w:pPr>
          </w:p>
        </w:tc>
      </w:tr>
      <w:tr w14:paraId="2C68E6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399A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3.5.6.1</w:t>
            </w:r>
          </w:p>
        </w:tc>
        <w:tc>
          <w:tcPr>
            <w:tcW w:w="6982" w:type="dxa"/>
            <w:tcBorders>
              <w:tl2br w:val="nil"/>
              <w:tr2bl w:val="nil"/>
            </w:tcBorders>
            <w:vAlign w:val="center"/>
          </w:tcPr>
          <w:p w14:paraId="20761C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全院统一排队叫号系统的对接，需完成与门诊医生工作站、医技科室（检验、检查、药房、超声、内镜等）、分诊系统、大屏显示、自助机等软硬件接口对接，实现分时段预约、智能叫号、候诊提醒、状态同步等功能；支持多院区统一配置、分区管理，提升新院区就诊秩序与患者体验</w:t>
            </w:r>
          </w:p>
        </w:tc>
        <w:tc>
          <w:tcPr>
            <w:tcW w:w="870" w:type="dxa"/>
            <w:vMerge w:val="continue"/>
            <w:tcBorders>
              <w:tl2br w:val="nil"/>
              <w:tr2bl w:val="nil"/>
            </w:tcBorders>
            <w:noWrap/>
            <w:vAlign w:val="center"/>
          </w:tcPr>
          <w:p w14:paraId="41E862F5">
            <w:pPr>
              <w:spacing w:line="360" w:lineRule="auto"/>
              <w:jc w:val="center"/>
              <w:rPr>
                <w:rFonts w:hint="eastAsia" w:ascii="宋体" w:hAnsi="宋体" w:cs="宋体"/>
                <w:color w:val="auto"/>
                <w:sz w:val="21"/>
                <w:szCs w:val="21"/>
                <w:highlight w:val="none"/>
              </w:rPr>
            </w:pPr>
          </w:p>
        </w:tc>
      </w:tr>
      <w:tr w14:paraId="68316B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EA13C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3.5.7</w:t>
            </w:r>
          </w:p>
        </w:tc>
        <w:tc>
          <w:tcPr>
            <w:tcW w:w="6982" w:type="dxa"/>
            <w:tcBorders>
              <w:tl2br w:val="nil"/>
              <w:tr2bl w:val="nil"/>
            </w:tcBorders>
            <w:vAlign w:val="center"/>
          </w:tcPr>
          <w:p w14:paraId="6FE71C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智慧病房系统对接及多院区支持</w:t>
            </w:r>
          </w:p>
        </w:tc>
        <w:tc>
          <w:tcPr>
            <w:tcW w:w="870" w:type="dxa"/>
            <w:vMerge w:val="continue"/>
            <w:tcBorders>
              <w:tl2br w:val="nil"/>
              <w:tr2bl w:val="nil"/>
            </w:tcBorders>
            <w:noWrap/>
            <w:vAlign w:val="center"/>
          </w:tcPr>
          <w:p w14:paraId="1DB335B7">
            <w:pPr>
              <w:spacing w:line="360" w:lineRule="auto"/>
              <w:jc w:val="center"/>
              <w:rPr>
                <w:rFonts w:hint="eastAsia" w:ascii="宋体" w:hAnsi="宋体" w:cs="宋体"/>
                <w:color w:val="auto"/>
                <w:sz w:val="21"/>
                <w:szCs w:val="21"/>
                <w:highlight w:val="none"/>
              </w:rPr>
            </w:pPr>
          </w:p>
        </w:tc>
      </w:tr>
      <w:tr w14:paraId="4B214D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AB3C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3.5.7.1</w:t>
            </w:r>
          </w:p>
        </w:tc>
        <w:tc>
          <w:tcPr>
            <w:tcW w:w="6982" w:type="dxa"/>
            <w:tcBorders>
              <w:tl2br w:val="nil"/>
              <w:tr2bl w:val="nil"/>
            </w:tcBorders>
            <w:vAlign w:val="center"/>
          </w:tcPr>
          <w:p w14:paraId="439383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新建智慧病房整体系统的对接，需完成与 HIS、护理文书、移动护理、护士站、床头交互设备、生命体征监测、呼叫系统等全面接口对接，实现病房智能化护理、床旁信息交互、体征自动采集、医嘱直达床头、护理闭环管理等功能；支持多院区统一运维、统一标准，为新院区提供智慧化、一体化病房服务支撑</w:t>
            </w:r>
          </w:p>
        </w:tc>
        <w:tc>
          <w:tcPr>
            <w:tcW w:w="870" w:type="dxa"/>
            <w:vMerge w:val="continue"/>
            <w:tcBorders>
              <w:tl2br w:val="nil"/>
              <w:tr2bl w:val="nil"/>
            </w:tcBorders>
            <w:noWrap/>
            <w:vAlign w:val="center"/>
          </w:tcPr>
          <w:p w14:paraId="5114DF33">
            <w:pPr>
              <w:spacing w:line="360" w:lineRule="auto"/>
              <w:jc w:val="center"/>
              <w:rPr>
                <w:rFonts w:hint="eastAsia" w:ascii="宋体" w:hAnsi="宋体" w:cs="宋体"/>
                <w:color w:val="auto"/>
                <w:sz w:val="21"/>
                <w:szCs w:val="21"/>
                <w:highlight w:val="none"/>
              </w:rPr>
            </w:pPr>
          </w:p>
        </w:tc>
      </w:tr>
      <w:tr w14:paraId="1F810E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90228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w:t>
            </w:r>
          </w:p>
        </w:tc>
        <w:tc>
          <w:tcPr>
            <w:tcW w:w="6982" w:type="dxa"/>
            <w:tcBorders>
              <w:tl2br w:val="nil"/>
              <w:tr2bl w:val="nil"/>
            </w:tcBorders>
            <w:vAlign w:val="center"/>
          </w:tcPr>
          <w:p w14:paraId="50EF74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原有 BI 各类报表多院区改造</w:t>
            </w:r>
          </w:p>
        </w:tc>
        <w:tc>
          <w:tcPr>
            <w:tcW w:w="870" w:type="dxa"/>
            <w:vMerge w:val="restart"/>
            <w:tcBorders>
              <w:tl2br w:val="nil"/>
              <w:tr2bl w:val="nil"/>
            </w:tcBorders>
            <w:noWrap/>
            <w:vAlign w:val="center"/>
          </w:tcPr>
          <w:p w14:paraId="6ED45F0B">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ADD6D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D4CD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w:t>
            </w:r>
          </w:p>
        </w:tc>
        <w:tc>
          <w:tcPr>
            <w:tcW w:w="6982" w:type="dxa"/>
            <w:tcBorders>
              <w:tl2br w:val="nil"/>
              <w:tr2bl w:val="nil"/>
            </w:tcBorders>
            <w:vAlign w:val="center"/>
          </w:tcPr>
          <w:p w14:paraId="1ECEFC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本次对原有 BI 各类报表进行多院区适配改造，核心围绕医院多院区运营需求，对原有 BI 报表进行全面优化升级，确保报表数据与各迁建业务系统精准对接，同时明确本次改造包含对医疗质量安全、运营管理等相关数据的同步整合，既适配多院区业务开展需求，又通过统一改造避免重复开发，提升报表的实用性和适配性，保障多院区业务高效有序推进，满足医院信息化管理及多院区运营的相关需求</w:t>
            </w:r>
          </w:p>
        </w:tc>
        <w:tc>
          <w:tcPr>
            <w:tcW w:w="870" w:type="dxa"/>
            <w:vMerge w:val="continue"/>
            <w:tcBorders>
              <w:tl2br w:val="nil"/>
              <w:tr2bl w:val="nil"/>
            </w:tcBorders>
            <w:noWrap/>
            <w:vAlign w:val="center"/>
          </w:tcPr>
          <w:p w14:paraId="2DD1F79B">
            <w:pPr>
              <w:spacing w:line="360" w:lineRule="auto"/>
              <w:jc w:val="center"/>
              <w:rPr>
                <w:rFonts w:hint="eastAsia" w:ascii="宋体" w:hAnsi="宋体" w:cs="宋体"/>
                <w:color w:val="auto"/>
                <w:sz w:val="21"/>
                <w:szCs w:val="21"/>
                <w:highlight w:val="none"/>
              </w:rPr>
            </w:pPr>
          </w:p>
        </w:tc>
      </w:tr>
      <w:tr w14:paraId="4E58AF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B6C5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w:t>
            </w:r>
          </w:p>
        </w:tc>
        <w:tc>
          <w:tcPr>
            <w:tcW w:w="6982" w:type="dxa"/>
            <w:tcBorders>
              <w:tl2br w:val="nil"/>
              <w:tr2bl w:val="nil"/>
            </w:tcBorders>
            <w:vAlign w:val="center"/>
          </w:tcPr>
          <w:p w14:paraId="60428A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医疗质量安全 BI 主题改造</w:t>
            </w:r>
          </w:p>
        </w:tc>
        <w:tc>
          <w:tcPr>
            <w:tcW w:w="870" w:type="dxa"/>
            <w:vMerge w:val="continue"/>
            <w:tcBorders>
              <w:tl2br w:val="nil"/>
              <w:tr2bl w:val="nil"/>
            </w:tcBorders>
            <w:noWrap/>
            <w:vAlign w:val="center"/>
          </w:tcPr>
          <w:p w14:paraId="7AA50C97">
            <w:pPr>
              <w:spacing w:line="360" w:lineRule="auto"/>
              <w:jc w:val="center"/>
              <w:rPr>
                <w:rFonts w:hint="eastAsia" w:ascii="宋体" w:hAnsi="宋体" w:cs="宋体"/>
                <w:color w:val="auto"/>
                <w:sz w:val="21"/>
                <w:szCs w:val="21"/>
                <w:highlight w:val="none"/>
              </w:rPr>
            </w:pPr>
          </w:p>
        </w:tc>
      </w:tr>
      <w:tr w14:paraId="0A25AB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7DEB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3.6.2.1</w:t>
            </w:r>
          </w:p>
        </w:tc>
        <w:tc>
          <w:tcPr>
            <w:tcW w:w="6982" w:type="dxa"/>
            <w:tcBorders>
              <w:tl2br w:val="nil"/>
              <w:tr2bl w:val="nil"/>
            </w:tcBorders>
            <w:vAlign w:val="center"/>
          </w:tcPr>
          <w:p w14:paraId="5C77A0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31 天内再入院患者数、15 天内再入院患者数、当天再入院患者数、总入院人次、31 天内再入院患者比例、15 天内再入院患者比例、当天再入院患者比例、31 天内再入院患者病种分布、各科室 31 天内再入院患者数、31 天内再入院患者趋势等</w:t>
            </w:r>
          </w:p>
        </w:tc>
        <w:tc>
          <w:tcPr>
            <w:tcW w:w="870" w:type="dxa"/>
            <w:vMerge w:val="continue"/>
            <w:tcBorders>
              <w:tl2br w:val="nil"/>
              <w:tr2bl w:val="nil"/>
            </w:tcBorders>
            <w:noWrap/>
            <w:vAlign w:val="center"/>
          </w:tcPr>
          <w:p w14:paraId="74A212E1">
            <w:pPr>
              <w:spacing w:line="360" w:lineRule="auto"/>
              <w:jc w:val="center"/>
              <w:rPr>
                <w:rFonts w:hint="eastAsia" w:ascii="宋体" w:hAnsi="宋体" w:cs="宋体"/>
                <w:color w:val="auto"/>
                <w:sz w:val="21"/>
                <w:szCs w:val="21"/>
                <w:highlight w:val="none"/>
              </w:rPr>
            </w:pPr>
          </w:p>
        </w:tc>
      </w:tr>
      <w:tr w14:paraId="6C7179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32B5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3.6.2.2</w:t>
            </w:r>
          </w:p>
        </w:tc>
        <w:tc>
          <w:tcPr>
            <w:tcW w:w="6982" w:type="dxa"/>
            <w:tcBorders>
              <w:tl2br w:val="nil"/>
              <w:tr2bl w:val="nil"/>
            </w:tcBorders>
            <w:vAlign w:val="center"/>
          </w:tcPr>
          <w:p w14:paraId="2A1BAE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超长住院患者出院人次、出院总人次、超长住院患者平均住院费、超长住院患者发生率、超长住院死亡患者、超长住院患者出院方式占比、超长住院患者诊断分布、各科室超长住院患者分布、超长住院患者趋势等</w:t>
            </w:r>
          </w:p>
        </w:tc>
        <w:tc>
          <w:tcPr>
            <w:tcW w:w="870" w:type="dxa"/>
            <w:vMerge w:val="continue"/>
            <w:tcBorders>
              <w:tl2br w:val="nil"/>
              <w:tr2bl w:val="nil"/>
            </w:tcBorders>
            <w:noWrap/>
            <w:vAlign w:val="center"/>
          </w:tcPr>
          <w:p w14:paraId="6C319E9D">
            <w:pPr>
              <w:spacing w:line="360" w:lineRule="auto"/>
              <w:jc w:val="center"/>
              <w:rPr>
                <w:rFonts w:hint="eastAsia" w:ascii="宋体" w:hAnsi="宋体" w:cs="宋体"/>
                <w:color w:val="auto"/>
                <w:sz w:val="21"/>
                <w:szCs w:val="21"/>
                <w:highlight w:val="none"/>
              </w:rPr>
            </w:pPr>
          </w:p>
        </w:tc>
      </w:tr>
      <w:tr w14:paraId="13456E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ED3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3.6.2.3</w:t>
            </w:r>
          </w:p>
        </w:tc>
        <w:tc>
          <w:tcPr>
            <w:tcW w:w="6982" w:type="dxa"/>
            <w:tcBorders>
              <w:tl2br w:val="nil"/>
              <w:tr2bl w:val="nil"/>
            </w:tcBorders>
            <w:vAlign w:val="center"/>
          </w:tcPr>
          <w:p w14:paraId="41E63F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支持死亡患者人数、出院总人次、死亡率、死亡患者平均住院日、死亡患者手术人数、死亡患者平均费用、死亡患者疾病分布、各科室死亡患者分布、死亡患者趋势、死亡患者住院日分布等</w:t>
            </w:r>
          </w:p>
        </w:tc>
        <w:tc>
          <w:tcPr>
            <w:tcW w:w="870" w:type="dxa"/>
            <w:vMerge w:val="continue"/>
            <w:tcBorders>
              <w:tl2br w:val="nil"/>
              <w:tr2bl w:val="nil"/>
            </w:tcBorders>
            <w:noWrap/>
            <w:vAlign w:val="center"/>
          </w:tcPr>
          <w:p w14:paraId="269C7225">
            <w:pPr>
              <w:spacing w:line="360" w:lineRule="auto"/>
              <w:jc w:val="center"/>
              <w:rPr>
                <w:rFonts w:hint="eastAsia" w:ascii="宋体" w:hAnsi="宋体" w:cs="宋体"/>
                <w:color w:val="auto"/>
                <w:sz w:val="21"/>
                <w:szCs w:val="21"/>
                <w:highlight w:val="none"/>
              </w:rPr>
            </w:pPr>
          </w:p>
        </w:tc>
      </w:tr>
      <w:tr w14:paraId="1761C6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9E61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3.6.2.4</w:t>
            </w:r>
          </w:p>
        </w:tc>
        <w:tc>
          <w:tcPr>
            <w:tcW w:w="6982" w:type="dxa"/>
            <w:tcBorders>
              <w:tl2br w:val="nil"/>
              <w:tr2bl w:val="nil"/>
            </w:tcBorders>
            <w:vAlign w:val="center"/>
          </w:tcPr>
          <w:p w14:paraId="55BD6F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支持危急值人次、通知类型分布、已通报危急值项目数、同期需要通知危急值项目数、危急值通报率、危急值及时确认项目数、危急值确认及时率、各科室危急值分布、各科室危急值及时确认率、危急值趋势等</w:t>
            </w:r>
          </w:p>
        </w:tc>
        <w:tc>
          <w:tcPr>
            <w:tcW w:w="870" w:type="dxa"/>
            <w:vMerge w:val="continue"/>
            <w:tcBorders>
              <w:tl2br w:val="nil"/>
              <w:tr2bl w:val="nil"/>
            </w:tcBorders>
            <w:noWrap/>
            <w:vAlign w:val="center"/>
          </w:tcPr>
          <w:p w14:paraId="2C061157">
            <w:pPr>
              <w:spacing w:line="360" w:lineRule="auto"/>
              <w:jc w:val="center"/>
              <w:rPr>
                <w:rFonts w:hint="eastAsia" w:ascii="宋体" w:hAnsi="宋体" w:cs="宋体"/>
                <w:color w:val="auto"/>
                <w:sz w:val="21"/>
                <w:szCs w:val="21"/>
                <w:highlight w:val="none"/>
              </w:rPr>
            </w:pPr>
          </w:p>
        </w:tc>
      </w:tr>
      <w:tr w14:paraId="510F3F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5893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3.6.2.5</w:t>
            </w:r>
          </w:p>
        </w:tc>
        <w:tc>
          <w:tcPr>
            <w:tcW w:w="6982" w:type="dxa"/>
            <w:tcBorders>
              <w:tl2br w:val="nil"/>
              <w:tr2bl w:val="nil"/>
            </w:tcBorders>
            <w:vAlign w:val="center"/>
          </w:tcPr>
          <w:p w14:paraId="6A3FA8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支持献血受血血型不一致 - RH（D）人次，献血受血血型不一致 - ABO 人次、区间用血量、区间用血人次、紧急用血量、手术用血量、区间献血者用血成分血型分布、区间献血者血型分布、区间受血者用血成分血型分布、区间受血者血型分布、用血趋势等</w:t>
            </w:r>
          </w:p>
        </w:tc>
        <w:tc>
          <w:tcPr>
            <w:tcW w:w="870" w:type="dxa"/>
            <w:vMerge w:val="continue"/>
            <w:tcBorders>
              <w:tl2br w:val="nil"/>
              <w:tr2bl w:val="nil"/>
            </w:tcBorders>
            <w:noWrap/>
            <w:vAlign w:val="center"/>
          </w:tcPr>
          <w:p w14:paraId="0F31F514">
            <w:pPr>
              <w:spacing w:line="360" w:lineRule="auto"/>
              <w:jc w:val="center"/>
              <w:rPr>
                <w:rFonts w:hint="eastAsia" w:ascii="宋体" w:hAnsi="宋体" w:cs="宋体"/>
                <w:color w:val="auto"/>
                <w:sz w:val="21"/>
                <w:szCs w:val="21"/>
                <w:highlight w:val="none"/>
              </w:rPr>
            </w:pPr>
          </w:p>
        </w:tc>
      </w:tr>
      <w:tr w14:paraId="3EDC88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67FD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3.6.2.6</w:t>
            </w:r>
          </w:p>
        </w:tc>
        <w:tc>
          <w:tcPr>
            <w:tcW w:w="6982" w:type="dxa"/>
            <w:tcBorders>
              <w:tl2br w:val="nil"/>
              <w:tr2bl w:val="nil"/>
            </w:tcBorders>
            <w:vAlign w:val="center"/>
          </w:tcPr>
          <w:p w14:paraId="14A071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支持非预期的 24 小时重返重症医学科率、非预期的 48 小时重返重症医学科率、人工气道脱出例数、重症患者死亡人数、重症患者死亡率、重症患者压疮人次数、重症患者压疮发生率等</w:t>
            </w:r>
          </w:p>
        </w:tc>
        <w:tc>
          <w:tcPr>
            <w:tcW w:w="870" w:type="dxa"/>
            <w:vMerge w:val="continue"/>
            <w:tcBorders>
              <w:tl2br w:val="nil"/>
              <w:tr2bl w:val="nil"/>
            </w:tcBorders>
            <w:noWrap/>
            <w:vAlign w:val="center"/>
          </w:tcPr>
          <w:p w14:paraId="1F08F36E">
            <w:pPr>
              <w:spacing w:line="360" w:lineRule="auto"/>
              <w:jc w:val="center"/>
              <w:rPr>
                <w:rFonts w:hint="eastAsia" w:ascii="宋体" w:hAnsi="宋体" w:cs="宋体"/>
                <w:color w:val="auto"/>
                <w:sz w:val="21"/>
                <w:szCs w:val="21"/>
                <w:highlight w:val="none"/>
              </w:rPr>
            </w:pPr>
          </w:p>
        </w:tc>
      </w:tr>
      <w:tr w14:paraId="60712F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9E10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w:t>
            </w:r>
          </w:p>
        </w:tc>
        <w:tc>
          <w:tcPr>
            <w:tcW w:w="6982" w:type="dxa"/>
            <w:tcBorders>
              <w:tl2br w:val="nil"/>
              <w:tr2bl w:val="nil"/>
            </w:tcBorders>
            <w:vAlign w:val="center"/>
          </w:tcPr>
          <w:p w14:paraId="520EE1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护理管理 BI 主题改造</w:t>
            </w:r>
          </w:p>
        </w:tc>
        <w:tc>
          <w:tcPr>
            <w:tcW w:w="870" w:type="dxa"/>
            <w:vMerge w:val="continue"/>
            <w:tcBorders>
              <w:tl2br w:val="nil"/>
              <w:tr2bl w:val="nil"/>
            </w:tcBorders>
            <w:noWrap/>
            <w:vAlign w:val="center"/>
          </w:tcPr>
          <w:p w14:paraId="56A9A1A8">
            <w:pPr>
              <w:spacing w:line="360" w:lineRule="auto"/>
              <w:jc w:val="center"/>
              <w:rPr>
                <w:rFonts w:hint="eastAsia" w:ascii="宋体" w:hAnsi="宋体" w:cs="宋体"/>
                <w:color w:val="auto"/>
                <w:sz w:val="21"/>
                <w:szCs w:val="21"/>
                <w:highlight w:val="none"/>
              </w:rPr>
            </w:pPr>
          </w:p>
        </w:tc>
      </w:tr>
      <w:tr w14:paraId="2A4C4E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3FBD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3.6.3.1</w:t>
            </w:r>
          </w:p>
        </w:tc>
        <w:tc>
          <w:tcPr>
            <w:tcW w:w="6982" w:type="dxa"/>
            <w:tcBorders>
              <w:tl2br w:val="nil"/>
              <w:tr2bl w:val="nil"/>
            </w:tcBorders>
            <w:vAlign w:val="center"/>
          </w:tcPr>
          <w:p w14:paraId="39329C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不良事件数、当月不良事件数、不良事件名称分布情况、不良事件等级分布占比、患者伤害程度分布情况、不良事件发生科室分布情况、发生不良事件月分布趋势、不良事件名称等级分布、不良事件名称伤害程度分布等</w:t>
            </w:r>
          </w:p>
        </w:tc>
        <w:tc>
          <w:tcPr>
            <w:tcW w:w="870" w:type="dxa"/>
            <w:vMerge w:val="continue"/>
            <w:tcBorders>
              <w:tl2br w:val="nil"/>
              <w:tr2bl w:val="nil"/>
            </w:tcBorders>
            <w:noWrap/>
            <w:vAlign w:val="center"/>
          </w:tcPr>
          <w:p w14:paraId="00063B80">
            <w:pPr>
              <w:spacing w:line="360" w:lineRule="auto"/>
              <w:jc w:val="center"/>
              <w:rPr>
                <w:rFonts w:hint="eastAsia" w:ascii="宋体" w:hAnsi="宋体" w:cs="宋体"/>
                <w:color w:val="auto"/>
                <w:sz w:val="21"/>
                <w:szCs w:val="21"/>
                <w:highlight w:val="none"/>
              </w:rPr>
            </w:pPr>
          </w:p>
        </w:tc>
      </w:tr>
      <w:tr w14:paraId="2AC7C8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108F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3.6.3.2</w:t>
            </w:r>
          </w:p>
        </w:tc>
        <w:tc>
          <w:tcPr>
            <w:tcW w:w="6982" w:type="dxa"/>
            <w:tcBorders>
              <w:tl2br w:val="nil"/>
              <w:tr2bl w:val="nil"/>
            </w:tcBorders>
            <w:vAlign w:val="center"/>
          </w:tcPr>
          <w:p w14:paraId="262FE4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支持本季度实际开放床位数、本季度患者实际占用床日、季初在院患者数、本季度新入院患者数、本季度白 / 夜班责任护士数、季初 / 季末住院病区执业护士总人数、季初 / 季末全院执业护士总人数、本季度住院 / 全院执业护士实际人数等</w:t>
            </w:r>
          </w:p>
        </w:tc>
        <w:tc>
          <w:tcPr>
            <w:tcW w:w="870" w:type="dxa"/>
            <w:vMerge w:val="continue"/>
            <w:tcBorders>
              <w:tl2br w:val="nil"/>
              <w:tr2bl w:val="nil"/>
            </w:tcBorders>
            <w:noWrap/>
            <w:vAlign w:val="center"/>
          </w:tcPr>
          <w:p w14:paraId="2F79D404">
            <w:pPr>
              <w:spacing w:line="360" w:lineRule="auto"/>
              <w:jc w:val="center"/>
              <w:rPr>
                <w:rFonts w:hint="eastAsia" w:ascii="宋体" w:hAnsi="宋体" w:cs="宋体"/>
                <w:color w:val="auto"/>
                <w:sz w:val="21"/>
                <w:szCs w:val="21"/>
                <w:highlight w:val="none"/>
              </w:rPr>
            </w:pPr>
          </w:p>
        </w:tc>
      </w:tr>
      <w:tr w14:paraId="05C760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B53B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3.6.3.3</w:t>
            </w:r>
          </w:p>
        </w:tc>
        <w:tc>
          <w:tcPr>
            <w:tcW w:w="6982" w:type="dxa"/>
            <w:tcBorders>
              <w:tl2br w:val="nil"/>
              <w:tr2bl w:val="nil"/>
            </w:tcBorders>
            <w:vAlign w:val="center"/>
          </w:tcPr>
          <w:p w14:paraId="09EA22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支持护士总人数、护士（初级）人数、卫生技术人员人数、护师 / 主管护师 / 副主任护师 / 主任护师人数、中专 / 大专 / 本科 / 硕士 / 博士 / 学历为空护士人数、小于一年资 / 一到两年资 / 两到五年资 / 五到十年资 / 十到二十年资 / 二十年以上资护士人数等</w:t>
            </w:r>
          </w:p>
        </w:tc>
        <w:tc>
          <w:tcPr>
            <w:tcW w:w="870" w:type="dxa"/>
            <w:vMerge w:val="continue"/>
            <w:tcBorders>
              <w:tl2br w:val="nil"/>
              <w:tr2bl w:val="nil"/>
            </w:tcBorders>
            <w:noWrap/>
            <w:vAlign w:val="center"/>
          </w:tcPr>
          <w:p w14:paraId="3B3DF037">
            <w:pPr>
              <w:spacing w:line="360" w:lineRule="auto"/>
              <w:jc w:val="center"/>
              <w:rPr>
                <w:rFonts w:hint="eastAsia" w:ascii="宋体" w:hAnsi="宋体" w:cs="宋体"/>
                <w:color w:val="auto"/>
                <w:sz w:val="21"/>
                <w:szCs w:val="21"/>
                <w:highlight w:val="none"/>
              </w:rPr>
            </w:pPr>
          </w:p>
        </w:tc>
      </w:tr>
      <w:tr w14:paraId="67B801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3C83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3.6.3.4</w:t>
            </w:r>
          </w:p>
        </w:tc>
        <w:tc>
          <w:tcPr>
            <w:tcW w:w="6982" w:type="dxa"/>
            <w:tcBorders>
              <w:tl2br w:val="nil"/>
              <w:tr2bl w:val="nil"/>
            </w:tcBorders>
            <w:vAlign w:val="center"/>
          </w:tcPr>
          <w:p w14:paraId="64BD73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支持执业护士总离职人数、护士（初级）离职人数、护师 / 主管护师 / 副主任护师 / 主任护师离职人数、中专 / 大专 / 本科 / 硕士 / 博士 / 无学历护士离职人数、小于一年资 / 一到两年资 / 两到五年资 / 五到十年资 / 十到二十年资 / 二十年以上资护士离职人数等</w:t>
            </w:r>
          </w:p>
        </w:tc>
        <w:tc>
          <w:tcPr>
            <w:tcW w:w="870" w:type="dxa"/>
            <w:vMerge w:val="continue"/>
            <w:tcBorders>
              <w:tl2br w:val="nil"/>
              <w:tr2bl w:val="nil"/>
            </w:tcBorders>
            <w:noWrap/>
            <w:vAlign w:val="center"/>
          </w:tcPr>
          <w:p w14:paraId="44C13217">
            <w:pPr>
              <w:spacing w:line="360" w:lineRule="auto"/>
              <w:jc w:val="center"/>
              <w:rPr>
                <w:rFonts w:hint="eastAsia" w:ascii="宋体" w:hAnsi="宋体" w:cs="宋体"/>
                <w:color w:val="auto"/>
                <w:sz w:val="21"/>
                <w:szCs w:val="21"/>
                <w:highlight w:val="none"/>
              </w:rPr>
            </w:pPr>
          </w:p>
        </w:tc>
      </w:tr>
      <w:tr w14:paraId="44071D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925E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3.6.3.5</w:t>
            </w:r>
          </w:p>
        </w:tc>
        <w:tc>
          <w:tcPr>
            <w:tcW w:w="6982" w:type="dxa"/>
            <w:tcBorders>
              <w:tl2br w:val="nil"/>
              <w:tr2bl w:val="nil"/>
            </w:tcBorders>
            <w:vAlign w:val="center"/>
          </w:tcPr>
          <w:p w14:paraId="441FB4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支持非计划拔管总例次数、CVC 非计划拔管例次数、PICC 非计划拔管例次数、胃，尿管非计划拔管例次数、跌倒伤害 / 无伤害总例次数、跌倒轻度伤害 / 中度伤害 / 重度伤害 / 死亡例次数、各类安全事件等级分布情况、药物事件等级分布情况、医疗处置事件等级分布情况、安全事件月份分布情况、深静脉血栓上报情况等</w:t>
            </w:r>
          </w:p>
        </w:tc>
        <w:tc>
          <w:tcPr>
            <w:tcW w:w="870" w:type="dxa"/>
            <w:vMerge w:val="continue"/>
            <w:tcBorders>
              <w:tl2br w:val="nil"/>
              <w:tr2bl w:val="nil"/>
            </w:tcBorders>
            <w:noWrap/>
            <w:vAlign w:val="center"/>
          </w:tcPr>
          <w:p w14:paraId="0230CD2A">
            <w:pPr>
              <w:spacing w:line="360" w:lineRule="auto"/>
              <w:jc w:val="center"/>
              <w:rPr>
                <w:rFonts w:hint="eastAsia" w:ascii="宋体" w:hAnsi="宋体" w:cs="宋体"/>
                <w:color w:val="auto"/>
                <w:sz w:val="21"/>
                <w:szCs w:val="21"/>
                <w:highlight w:val="none"/>
              </w:rPr>
            </w:pPr>
          </w:p>
        </w:tc>
      </w:tr>
      <w:tr w14:paraId="13DEF1E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6A6A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3.6.3.6</w:t>
            </w:r>
          </w:p>
        </w:tc>
        <w:tc>
          <w:tcPr>
            <w:tcW w:w="6982" w:type="dxa"/>
            <w:tcBorders>
              <w:tl2br w:val="nil"/>
              <w:tr2bl w:val="nil"/>
            </w:tcBorders>
            <w:vAlign w:val="center"/>
          </w:tcPr>
          <w:p w14:paraId="0CDC2D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支持压力性损伤 2 期及以上新发例次、压力性损伤极高危新发例次、压力性损伤总例次、压力性损伤高危等级占比、压力性损伤类型占比、压力性损伤各分期新发病例次占比、压力性损伤转归占比、压力性损伤分期情况、发生压力性损伤近 12 月分布数情况等</w:t>
            </w:r>
          </w:p>
        </w:tc>
        <w:tc>
          <w:tcPr>
            <w:tcW w:w="870" w:type="dxa"/>
            <w:vMerge w:val="continue"/>
            <w:tcBorders>
              <w:tl2br w:val="nil"/>
              <w:tr2bl w:val="nil"/>
            </w:tcBorders>
            <w:noWrap/>
            <w:vAlign w:val="center"/>
          </w:tcPr>
          <w:p w14:paraId="3ABCE7F0">
            <w:pPr>
              <w:spacing w:line="360" w:lineRule="auto"/>
              <w:jc w:val="center"/>
              <w:rPr>
                <w:rFonts w:hint="eastAsia" w:ascii="宋体" w:hAnsi="宋体" w:cs="宋体"/>
                <w:color w:val="auto"/>
                <w:sz w:val="21"/>
                <w:szCs w:val="21"/>
                <w:highlight w:val="none"/>
              </w:rPr>
            </w:pPr>
          </w:p>
        </w:tc>
      </w:tr>
      <w:tr w14:paraId="6A9110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808E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3.6.4</w:t>
            </w:r>
          </w:p>
        </w:tc>
        <w:tc>
          <w:tcPr>
            <w:tcW w:w="6982" w:type="dxa"/>
            <w:tcBorders>
              <w:tl2br w:val="nil"/>
              <w:tr2bl w:val="nil"/>
            </w:tcBorders>
            <w:vAlign w:val="center"/>
          </w:tcPr>
          <w:p w14:paraId="07A5DF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用药管理 BI 主题改造</w:t>
            </w:r>
          </w:p>
        </w:tc>
        <w:tc>
          <w:tcPr>
            <w:tcW w:w="870" w:type="dxa"/>
            <w:vMerge w:val="continue"/>
            <w:tcBorders>
              <w:tl2br w:val="nil"/>
              <w:tr2bl w:val="nil"/>
            </w:tcBorders>
            <w:noWrap/>
            <w:vAlign w:val="center"/>
          </w:tcPr>
          <w:p w14:paraId="5ED8F7C3">
            <w:pPr>
              <w:spacing w:line="360" w:lineRule="auto"/>
              <w:jc w:val="center"/>
              <w:rPr>
                <w:rFonts w:hint="eastAsia" w:ascii="宋体" w:hAnsi="宋体" w:cs="宋体"/>
                <w:color w:val="auto"/>
                <w:sz w:val="21"/>
                <w:szCs w:val="21"/>
                <w:highlight w:val="none"/>
              </w:rPr>
            </w:pPr>
          </w:p>
        </w:tc>
      </w:tr>
      <w:tr w14:paraId="2463E8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FEA0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3.6.4.1</w:t>
            </w:r>
          </w:p>
        </w:tc>
        <w:tc>
          <w:tcPr>
            <w:tcW w:w="6982" w:type="dxa"/>
            <w:tcBorders>
              <w:tl2br w:val="nil"/>
              <w:tr2bl w:val="nil"/>
            </w:tcBorders>
            <w:vAlign w:val="center"/>
          </w:tcPr>
          <w:p w14:paraId="5CB88C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支持基本药品使用人次、抗菌药物使用人次、筋脉用药人次、静脉输液人次、科室基药使用人次分布、科室抗菌药物使用人次分布、科室静脉用药使用人次分布、科室静脉输液使用人次分布、基药 / 抗菌药物使用趋势、静脉用药 / 静脉输液使用趋势等</w:t>
            </w:r>
          </w:p>
        </w:tc>
        <w:tc>
          <w:tcPr>
            <w:tcW w:w="870" w:type="dxa"/>
            <w:vMerge w:val="continue"/>
            <w:tcBorders>
              <w:tl2br w:val="nil"/>
              <w:tr2bl w:val="nil"/>
            </w:tcBorders>
            <w:noWrap/>
            <w:vAlign w:val="center"/>
          </w:tcPr>
          <w:p w14:paraId="31140A2B">
            <w:pPr>
              <w:spacing w:line="360" w:lineRule="auto"/>
              <w:jc w:val="center"/>
              <w:rPr>
                <w:rFonts w:hint="eastAsia" w:ascii="宋体" w:hAnsi="宋体" w:cs="宋体"/>
                <w:color w:val="auto"/>
                <w:sz w:val="21"/>
                <w:szCs w:val="21"/>
                <w:highlight w:val="none"/>
              </w:rPr>
            </w:pPr>
          </w:p>
        </w:tc>
      </w:tr>
      <w:tr w14:paraId="4E4901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8D1A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3.6.4.2</w:t>
            </w:r>
          </w:p>
        </w:tc>
        <w:tc>
          <w:tcPr>
            <w:tcW w:w="6982" w:type="dxa"/>
            <w:tcBorders>
              <w:tl2br w:val="nil"/>
              <w:tr2bl w:val="nil"/>
            </w:tcBorders>
            <w:vAlign w:val="center"/>
          </w:tcPr>
          <w:p w14:paraId="5C45B7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抗菌药物消耗量、抗菌药物使用强度、限制级抗菌药物消耗量、限制级抗菌药物使用强度、特殊级抗菌药物消耗量、特殊级抗菌药物使用强度、出院患者占用床日、科室抗菌药物使用强度分布、抗菌药物使用强度趋势、抗菌药物使用强度环比等</w:t>
            </w:r>
          </w:p>
        </w:tc>
        <w:tc>
          <w:tcPr>
            <w:tcW w:w="870" w:type="dxa"/>
            <w:vMerge w:val="continue"/>
            <w:tcBorders>
              <w:tl2br w:val="nil"/>
              <w:tr2bl w:val="nil"/>
            </w:tcBorders>
            <w:noWrap/>
            <w:vAlign w:val="center"/>
          </w:tcPr>
          <w:p w14:paraId="31008A81">
            <w:pPr>
              <w:spacing w:line="360" w:lineRule="auto"/>
              <w:jc w:val="center"/>
              <w:rPr>
                <w:rFonts w:hint="eastAsia" w:ascii="宋体" w:hAnsi="宋体" w:cs="宋体"/>
                <w:color w:val="auto"/>
                <w:sz w:val="21"/>
                <w:szCs w:val="21"/>
                <w:highlight w:val="none"/>
              </w:rPr>
            </w:pPr>
          </w:p>
        </w:tc>
      </w:tr>
      <w:tr w14:paraId="2270F9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1EC5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w:t>
            </w:r>
          </w:p>
        </w:tc>
        <w:tc>
          <w:tcPr>
            <w:tcW w:w="6982" w:type="dxa"/>
            <w:tcBorders>
              <w:tl2br w:val="nil"/>
              <w:tr2bl w:val="nil"/>
            </w:tcBorders>
            <w:vAlign w:val="center"/>
          </w:tcPr>
          <w:p w14:paraId="2D5197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运营管理 BI 主题改造</w:t>
            </w:r>
          </w:p>
        </w:tc>
        <w:tc>
          <w:tcPr>
            <w:tcW w:w="870" w:type="dxa"/>
            <w:vMerge w:val="continue"/>
            <w:tcBorders>
              <w:tl2br w:val="nil"/>
              <w:tr2bl w:val="nil"/>
            </w:tcBorders>
            <w:noWrap/>
            <w:vAlign w:val="center"/>
          </w:tcPr>
          <w:p w14:paraId="784607CF">
            <w:pPr>
              <w:spacing w:line="360" w:lineRule="auto"/>
              <w:jc w:val="center"/>
              <w:rPr>
                <w:rFonts w:hint="eastAsia" w:ascii="宋体" w:hAnsi="宋体" w:cs="宋体"/>
                <w:color w:val="auto"/>
                <w:sz w:val="21"/>
                <w:szCs w:val="21"/>
                <w:highlight w:val="none"/>
              </w:rPr>
            </w:pPr>
          </w:p>
        </w:tc>
      </w:tr>
      <w:tr w14:paraId="251A63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87CA9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3.6.5.1</w:t>
            </w:r>
          </w:p>
        </w:tc>
        <w:tc>
          <w:tcPr>
            <w:tcW w:w="6982" w:type="dxa"/>
            <w:tcBorders>
              <w:tl2br w:val="nil"/>
              <w:tr2bl w:val="nil"/>
            </w:tcBorders>
            <w:vAlign w:val="center"/>
          </w:tcPr>
          <w:p w14:paraId="34A02F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支持在院患者人次、住院超 30 天人次、病重人次、病危人次、平均住院天数、各科室患者人次分布、在院患者年龄分布、住院天数分布等</w:t>
            </w:r>
          </w:p>
        </w:tc>
        <w:tc>
          <w:tcPr>
            <w:tcW w:w="870" w:type="dxa"/>
            <w:vMerge w:val="continue"/>
            <w:tcBorders>
              <w:tl2br w:val="nil"/>
              <w:tr2bl w:val="nil"/>
            </w:tcBorders>
            <w:noWrap/>
            <w:vAlign w:val="center"/>
          </w:tcPr>
          <w:p w14:paraId="6F930851">
            <w:pPr>
              <w:spacing w:line="360" w:lineRule="auto"/>
              <w:jc w:val="center"/>
              <w:rPr>
                <w:rFonts w:hint="eastAsia" w:ascii="宋体" w:hAnsi="宋体" w:cs="宋体"/>
                <w:color w:val="auto"/>
                <w:sz w:val="21"/>
                <w:szCs w:val="21"/>
                <w:highlight w:val="none"/>
              </w:rPr>
            </w:pPr>
          </w:p>
        </w:tc>
      </w:tr>
      <w:tr w14:paraId="33158D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60E7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3.6.5.2</w:t>
            </w:r>
          </w:p>
        </w:tc>
        <w:tc>
          <w:tcPr>
            <w:tcW w:w="6982" w:type="dxa"/>
            <w:tcBorders>
              <w:tl2br w:val="nil"/>
              <w:tr2bl w:val="nil"/>
            </w:tcBorders>
            <w:vAlign w:val="center"/>
          </w:tcPr>
          <w:p w14:paraId="0C0B78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支持门急诊就诊人次、门诊就诊人次、急诊就诊人次、体检人次、专家门诊人次、各科室就诊人次分布、挂号方式分布、患者费别分布等</w:t>
            </w:r>
          </w:p>
        </w:tc>
        <w:tc>
          <w:tcPr>
            <w:tcW w:w="870" w:type="dxa"/>
            <w:vMerge w:val="continue"/>
            <w:tcBorders>
              <w:tl2br w:val="nil"/>
              <w:tr2bl w:val="nil"/>
            </w:tcBorders>
            <w:noWrap/>
            <w:vAlign w:val="center"/>
          </w:tcPr>
          <w:p w14:paraId="36081C45">
            <w:pPr>
              <w:spacing w:line="360" w:lineRule="auto"/>
              <w:jc w:val="center"/>
              <w:rPr>
                <w:rFonts w:hint="eastAsia" w:ascii="宋体" w:hAnsi="宋体" w:cs="宋体"/>
                <w:color w:val="auto"/>
                <w:sz w:val="21"/>
                <w:szCs w:val="21"/>
                <w:highlight w:val="none"/>
              </w:rPr>
            </w:pPr>
          </w:p>
        </w:tc>
      </w:tr>
      <w:tr w14:paraId="22A314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BC78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3.6.5.3</w:t>
            </w:r>
          </w:p>
        </w:tc>
        <w:tc>
          <w:tcPr>
            <w:tcW w:w="6982" w:type="dxa"/>
            <w:tcBorders>
              <w:tl2br w:val="nil"/>
              <w:tr2bl w:val="nil"/>
            </w:tcBorders>
            <w:vAlign w:val="center"/>
          </w:tcPr>
          <w:p w14:paraId="46487A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支持入院人次、出院人次、入院病重人次、入院病危人次、出院患者死亡人次、出院患者平均住院日、各科室入院患者分布、各科室出院患者分布、入院人次趋势图、出院人次趋势图等</w:t>
            </w:r>
          </w:p>
        </w:tc>
        <w:tc>
          <w:tcPr>
            <w:tcW w:w="870" w:type="dxa"/>
            <w:vMerge w:val="continue"/>
            <w:tcBorders>
              <w:tl2br w:val="nil"/>
              <w:tr2bl w:val="nil"/>
            </w:tcBorders>
            <w:noWrap/>
            <w:vAlign w:val="center"/>
          </w:tcPr>
          <w:p w14:paraId="27AF90AF">
            <w:pPr>
              <w:spacing w:line="360" w:lineRule="auto"/>
              <w:jc w:val="center"/>
              <w:rPr>
                <w:rFonts w:hint="eastAsia" w:ascii="宋体" w:hAnsi="宋体" w:cs="宋体"/>
                <w:color w:val="auto"/>
                <w:sz w:val="21"/>
                <w:szCs w:val="21"/>
                <w:highlight w:val="none"/>
              </w:rPr>
            </w:pPr>
          </w:p>
        </w:tc>
      </w:tr>
      <w:tr w14:paraId="45CC90D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1BE7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3.6.5.4</w:t>
            </w:r>
          </w:p>
        </w:tc>
        <w:tc>
          <w:tcPr>
            <w:tcW w:w="6982" w:type="dxa"/>
            <w:tcBorders>
              <w:tl2br w:val="nil"/>
              <w:tr2bl w:val="nil"/>
            </w:tcBorders>
            <w:vAlign w:val="center"/>
          </w:tcPr>
          <w:p w14:paraId="522DA6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支持建档总人次、门诊建档人次、住院建档人次、身份证为空人次、建档患者性别分布、建档患者年龄段分布、建档患者费别分布、每日建档患者人次趋势等</w:t>
            </w:r>
          </w:p>
        </w:tc>
        <w:tc>
          <w:tcPr>
            <w:tcW w:w="870" w:type="dxa"/>
            <w:vMerge w:val="continue"/>
            <w:tcBorders>
              <w:tl2br w:val="nil"/>
              <w:tr2bl w:val="nil"/>
            </w:tcBorders>
            <w:noWrap/>
            <w:vAlign w:val="center"/>
          </w:tcPr>
          <w:p w14:paraId="19259119">
            <w:pPr>
              <w:spacing w:line="360" w:lineRule="auto"/>
              <w:jc w:val="center"/>
              <w:rPr>
                <w:rFonts w:hint="eastAsia" w:ascii="宋体" w:hAnsi="宋体" w:cs="宋体"/>
                <w:color w:val="auto"/>
                <w:sz w:val="21"/>
                <w:szCs w:val="21"/>
                <w:highlight w:val="none"/>
              </w:rPr>
            </w:pPr>
          </w:p>
        </w:tc>
      </w:tr>
      <w:tr w14:paraId="71D411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6F81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3.6.5.5</w:t>
            </w:r>
          </w:p>
        </w:tc>
        <w:tc>
          <w:tcPr>
            <w:tcW w:w="6982" w:type="dxa"/>
            <w:tcBorders>
              <w:tl2br w:val="nil"/>
              <w:tr2bl w:val="nil"/>
            </w:tcBorders>
            <w:vAlign w:val="center"/>
          </w:tcPr>
          <w:p w14:paraId="3FE08E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支持在编床位数、已占用在编床位数、空余在编床位数、床位使用率、非在编床位数、总床位数、各护理单元床位状态分布、床位等级分布、床位类别分布、各护理单元床位使用率等</w:t>
            </w:r>
          </w:p>
        </w:tc>
        <w:tc>
          <w:tcPr>
            <w:tcW w:w="870" w:type="dxa"/>
            <w:vMerge w:val="continue"/>
            <w:tcBorders>
              <w:tl2br w:val="nil"/>
              <w:tr2bl w:val="nil"/>
            </w:tcBorders>
            <w:noWrap/>
            <w:vAlign w:val="center"/>
          </w:tcPr>
          <w:p w14:paraId="53A8906B">
            <w:pPr>
              <w:spacing w:line="360" w:lineRule="auto"/>
              <w:jc w:val="center"/>
              <w:rPr>
                <w:rFonts w:hint="eastAsia" w:ascii="宋体" w:hAnsi="宋体" w:cs="宋体"/>
                <w:color w:val="auto"/>
                <w:sz w:val="21"/>
                <w:szCs w:val="21"/>
                <w:highlight w:val="none"/>
              </w:rPr>
            </w:pPr>
          </w:p>
        </w:tc>
      </w:tr>
      <w:tr w14:paraId="4EBE04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0982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w:t>
            </w:r>
          </w:p>
        </w:tc>
        <w:tc>
          <w:tcPr>
            <w:tcW w:w="6982" w:type="dxa"/>
            <w:tcBorders>
              <w:tl2br w:val="nil"/>
              <w:tr2bl w:val="nil"/>
            </w:tcBorders>
            <w:vAlign w:val="center"/>
          </w:tcPr>
          <w:p w14:paraId="119E89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财务管理 BI 主题改造</w:t>
            </w:r>
          </w:p>
        </w:tc>
        <w:tc>
          <w:tcPr>
            <w:tcW w:w="870" w:type="dxa"/>
            <w:vMerge w:val="continue"/>
            <w:tcBorders>
              <w:tl2br w:val="nil"/>
              <w:tr2bl w:val="nil"/>
            </w:tcBorders>
            <w:noWrap/>
            <w:vAlign w:val="center"/>
          </w:tcPr>
          <w:p w14:paraId="3403D8F7">
            <w:pPr>
              <w:spacing w:line="360" w:lineRule="auto"/>
              <w:jc w:val="center"/>
              <w:rPr>
                <w:rFonts w:hint="eastAsia" w:ascii="宋体" w:hAnsi="宋体" w:cs="宋体"/>
                <w:color w:val="auto"/>
                <w:sz w:val="21"/>
                <w:szCs w:val="21"/>
                <w:highlight w:val="none"/>
              </w:rPr>
            </w:pPr>
          </w:p>
        </w:tc>
      </w:tr>
      <w:tr w14:paraId="55E526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38F2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3.6.6.1</w:t>
            </w:r>
          </w:p>
        </w:tc>
        <w:tc>
          <w:tcPr>
            <w:tcW w:w="6982" w:type="dxa"/>
            <w:tcBorders>
              <w:tl2br w:val="nil"/>
              <w:tr2bl w:val="nil"/>
            </w:tcBorders>
            <w:vAlign w:val="center"/>
          </w:tcPr>
          <w:p w14:paraId="3246C1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支持总收入金额、门诊收入金额、住院收入金额、非药非耗收入、药占比、耗占比、检查占比、检验占比、医疗服务收入占比、各费用类别收入比例、科室收入 TOP10、收入趋势、收入同比、收入环比等</w:t>
            </w:r>
          </w:p>
        </w:tc>
        <w:tc>
          <w:tcPr>
            <w:tcW w:w="870" w:type="dxa"/>
            <w:vMerge w:val="continue"/>
            <w:tcBorders>
              <w:tl2br w:val="nil"/>
              <w:tr2bl w:val="nil"/>
            </w:tcBorders>
            <w:noWrap/>
            <w:vAlign w:val="center"/>
          </w:tcPr>
          <w:p w14:paraId="5D0195B0">
            <w:pPr>
              <w:spacing w:line="360" w:lineRule="auto"/>
              <w:jc w:val="center"/>
              <w:rPr>
                <w:rFonts w:hint="eastAsia" w:ascii="宋体" w:hAnsi="宋体" w:cs="宋体"/>
                <w:color w:val="auto"/>
                <w:sz w:val="21"/>
                <w:szCs w:val="21"/>
                <w:highlight w:val="none"/>
              </w:rPr>
            </w:pPr>
          </w:p>
        </w:tc>
      </w:tr>
      <w:tr w14:paraId="7B7F40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CF5E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3.6.6.2</w:t>
            </w:r>
          </w:p>
        </w:tc>
        <w:tc>
          <w:tcPr>
            <w:tcW w:w="6982" w:type="dxa"/>
            <w:tcBorders>
              <w:tl2br w:val="nil"/>
              <w:tr2bl w:val="nil"/>
            </w:tcBorders>
            <w:vAlign w:val="center"/>
          </w:tcPr>
          <w:p w14:paraId="6BCB6A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支持门诊收入金额、非药非耗收入、药占比、耗占比、检查占比、检验占比、医疗服务收入占比、各费用类别收入比例、科室收入、收入趋势、收入同比、收入环比等</w:t>
            </w:r>
          </w:p>
        </w:tc>
        <w:tc>
          <w:tcPr>
            <w:tcW w:w="870" w:type="dxa"/>
            <w:vMerge w:val="continue"/>
            <w:tcBorders>
              <w:tl2br w:val="nil"/>
              <w:tr2bl w:val="nil"/>
            </w:tcBorders>
            <w:noWrap/>
            <w:vAlign w:val="center"/>
          </w:tcPr>
          <w:p w14:paraId="68486B26">
            <w:pPr>
              <w:spacing w:line="360" w:lineRule="auto"/>
              <w:jc w:val="center"/>
              <w:rPr>
                <w:rFonts w:hint="eastAsia" w:ascii="宋体" w:hAnsi="宋体" w:cs="宋体"/>
                <w:color w:val="auto"/>
                <w:sz w:val="21"/>
                <w:szCs w:val="21"/>
                <w:highlight w:val="none"/>
              </w:rPr>
            </w:pPr>
          </w:p>
        </w:tc>
      </w:tr>
      <w:tr w14:paraId="4B53CF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CBFB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3.6.6.3</w:t>
            </w:r>
          </w:p>
        </w:tc>
        <w:tc>
          <w:tcPr>
            <w:tcW w:w="6982" w:type="dxa"/>
            <w:tcBorders>
              <w:tl2br w:val="nil"/>
              <w:tr2bl w:val="nil"/>
            </w:tcBorders>
            <w:vAlign w:val="center"/>
          </w:tcPr>
          <w:p w14:paraId="30A4BD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支持住院收入金额、非药非耗收入、药占比、耗占比、检查占比、检验占比、医疗服务收入占比、各费用类别收入比例、科室收入、收入趋势、收入同比、收入环比等</w:t>
            </w:r>
          </w:p>
        </w:tc>
        <w:tc>
          <w:tcPr>
            <w:tcW w:w="870" w:type="dxa"/>
            <w:vMerge w:val="continue"/>
            <w:tcBorders>
              <w:tl2br w:val="nil"/>
              <w:tr2bl w:val="nil"/>
            </w:tcBorders>
            <w:noWrap/>
            <w:vAlign w:val="center"/>
          </w:tcPr>
          <w:p w14:paraId="195D839C">
            <w:pPr>
              <w:spacing w:line="360" w:lineRule="auto"/>
              <w:jc w:val="center"/>
              <w:rPr>
                <w:rFonts w:hint="eastAsia" w:ascii="宋体" w:hAnsi="宋体" w:cs="宋体"/>
                <w:color w:val="auto"/>
                <w:sz w:val="21"/>
                <w:szCs w:val="21"/>
                <w:highlight w:val="none"/>
              </w:rPr>
            </w:pPr>
          </w:p>
        </w:tc>
      </w:tr>
      <w:tr w14:paraId="4FF981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2454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3.6.6.4</w:t>
            </w:r>
          </w:p>
        </w:tc>
        <w:tc>
          <w:tcPr>
            <w:tcW w:w="6982" w:type="dxa"/>
            <w:tcBorders>
              <w:tl2br w:val="nil"/>
              <w:tr2bl w:val="nil"/>
            </w:tcBorders>
            <w:vAlign w:val="center"/>
          </w:tcPr>
          <w:p w14:paraId="144A22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支持药品总收入、门诊药品收入、住院药品收入、基本药品收入、抗菌药品收入、基本抗菌药品收入、各科室药品收入情况、基药收入比例、抗菌药物收入比例、药品收入趋势、药品收入同比、药品收入环比等</w:t>
            </w:r>
          </w:p>
        </w:tc>
        <w:tc>
          <w:tcPr>
            <w:tcW w:w="870" w:type="dxa"/>
            <w:vMerge w:val="continue"/>
            <w:tcBorders>
              <w:tl2br w:val="nil"/>
              <w:tr2bl w:val="nil"/>
            </w:tcBorders>
            <w:noWrap/>
            <w:vAlign w:val="center"/>
          </w:tcPr>
          <w:p w14:paraId="6FCA754C">
            <w:pPr>
              <w:spacing w:line="360" w:lineRule="auto"/>
              <w:jc w:val="center"/>
              <w:rPr>
                <w:rFonts w:hint="eastAsia" w:ascii="宋体" w:hAnsi="宋体" w:cs="宋体"/>
                <w:color w:val="auto"/>
                <w:sz w:val="21"/>
                <w:szCs w:val="21"/>
                <w:highlight w:val="none"/>
              </w:rPr>
            </w:pPr>
          </w:p>
        </w:tc>
      </w:tr>
      <w:tr w14:paraId="5EA320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6615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3.6.6.5</w:t>
            </w:r>
          </w:p>
        </w:tc>
        <w:tc>
          <w:tcPr>
            <w:tcW w:w="6982" w:type="dxa"/>
            <w:tcBorders>
              <w:tl2br w:val="nil"/>
              <w:tr2bl w:val="nil"/>
            </w:tcBorders>
            <w:vAlign w:val="center"/>
          </w:tcPr>
          <w:p w14:paraId="59631E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支持门诊药品收入、基本药品收入、抗菌药品收入、基本抗菌药品收入、各科室药品收入情况、基药收入比例、抗菌药物收入比例、药品收入趋势、药品收入同比、药品收入环比等</w:t>
            </w:r>
          </w:p>
        </w:tc>
        <w:tc>
          <w:tcPr>
            <w:tcW w:w="870" w:type="dxa"/>
            <w:vMerge w:val="continue"/>
            <w:tcBorders>
              <w:tl2br w:val="nil"/>
              <w:tr2bl w:val="nil"/>
            </w:tcBorders>
            <w:noWrap/>
            <w:vAlign w:val="center"/>
          </w:tcPr>
          <w:p w14:paraId="1384238E">
            <w:pPr>
              <w:spacing w:line="360" w:lineRule="auto"/>
              <w:jc w:val="center"/>
              <w:rPr>
                <w:rFonts w:hint="eastAsia" w:ascii="宋体" w:hAnsi="宋体" w:cs="宋体"/>
                <w:color w:val="auto"/>
                <w:sz w:val="21"/>
                <w:szCs w:val="21"/>
                <w:highlight w:val="none"/>
              </w:rPr>
            </w:pPr>
          </w:p>
        </w:tc>
      </w:tr>
      <w:tr w14:paraId="13F012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673A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3.6.6.6</w:t>
            </w:r>
          </w:p>
        </w:tc>
        <w:tc>
          <w:tcPr>
            <w:tcW w:w="6982" w:type="dxa"/>
            <w:tcBorders>
              <w:tl2br w:val="nil"/>
              <w:tr2bl w:val="nil"/>
            </w:tcBorders>
            <w:vAlign w:val="center"/>
          </w:tcPr>
          <w:p w14:paraId="058F0C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支持住院药品收入、基本药品收入、抗菌药品收入、基本抗菌药品收入、各科室药品收入情况、基药收入比例、抗菌药物收入比例、药品收入趋势、药品收入同比、药品收入环比等</w:t>
            </w:r>
          </w:p>
        </w:tc>
        <w:tc>
          <w:tcPr>
            <w:tcW w:w="870" w:type="dxa"/>
            <w:vMerge w:val="continue"/>
            <w:tcBorders>
              <w:tl2br w:val="nil"/>
              <w:tr2bl w:val="nil"/>
            </w:tcBorders>
            <w:noWrap/>
            <w:vAlign w:val="center"/>
          </w:tcPr>
          <w:p w14:paraId="1AF4A915">
            <w:pPr>
              <w:spacing w:line="360" w:lineRule="auto"/>
              <w:jc w:val="center"/>
              <w:rPr>
                <w:rFonts w:hint="eastAsia" w:ascii="宋体" w:hAnsi="宋体" w:cs="宋体"/>
                <w:color w:val="auto"/>
                <w:sz w:val="21"/>
                <w:szCs w:val="21"/>
                <w:highlight w:val="none"/>
              </w:rPr>
            </w:pPr>
          </w:p>
        </w:tc>
      </w:tr>
      <w:tr w14:paraId="38E5006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E213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w:t>
            </w:r>
          </w:p>
        </w:tc>
        <w:tc>
          <w:tcPr>
            <w:tcW w:w="6982" w:type="dxa"/>
            <w:tcBorders>
              <w:tl2br w:val="nil"/>
              <w:tr2bl w:val="nil"/>
            </w:tcBorders>
            <w:vAlign w:val="center"/>
          </w:tcPr>
          <w:p w14:paraId="08138A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门急诊部管理 BI 主题改造</w:t>
            </w:r>
          </w:p>
        </w:tc>
        <w:tc>
          <w:tcPr>
            <w:tcW w:w="870" w:type="dxa"/>
            <w:vMerge w:val="continue"/>
            <w:tcBorders>
              <w:tl2br w:val="nil"/>
              <w:tr2bl w:val="nil"/>
            </w:tcBorders>
            <w:noWrap/>
            <w:vAlign w:val="center"/>
          </w:tcPr>
          <w:p w14:paraId="69624FA4">
            <w:pPr>
              <w:spacing w:line="360" w:lineRule="auto"/>
              <w:jc w:val="center"/>
              <w:rPr>
                <w:rFonts w:hint="eastAsia" w:ascii="宋体" w:hAnsi="宋体" w:cs="宋体"/>
                <w:color w:val="auto"/>
                <w:sz w:val="21"/>
                <w:szCs w:val="21"/>
                <w:highlight w:val="none"/>
              </w:rPr>
            </w:pPr>
          </w:p>
        </w:tc>
      </w:tr>
      <w:tr w14:paraId="6FFCAC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B2F4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3.6.7.1</w:t>
            </w:r>
          </w:p>
        </w:tc>
        <w:tc>
          <w:tcPr>
            <w:tcW w:w="6982" w:type="dxa"/>
            <w:tcBorders>
              <w:tl2br w:val="nil"/>
              <w:tr2bl w:val="nil"/>
            </w:tcBorders>
            <w:vAlign w:val="center"/>
          </w:tcPr>
          <w:p w14:paraId="7CBC82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支持出院人次、占用总床日数、总使用床数、总开放床位数、日均开放床位数、床位使用率、床位周转次数、平均床日数、各科室床位周转次数、各科室平均床日数、各病床床位周转次数等</w:t>
            </w:r>
          </w:p>
        </w:tc>
        <w:tc>
          <w:tcPr>
            <w:tcW w:w="870" w:type="dxa"/>
            <w:vMerge w:val="continue"/>
            <w:tcBorders>
              <w:tl2br w:val="nil"/>
              <w:tr2bl w:val="nil"/>
            </w:tcBorders>
            <w:noWrap/>
            <w:vAlign w:val="center"/>
          </w:tcPr>
          <w:p w14:paraId="07590011">
            <w:pPr>
              <w:spacing w:line="360" w:lineRule="auto"/>
              <w:jc w:val="center"/>
              <w:rPr>
                <w:rFonts w:hint="eastAsia" w:ascii="宋体" w:hAnsi="宋体" w:cs="宋体"/>
                <w:color w:val="auto"/>
                <w:sz w:val="21"/>
                <w:szCs w:val="21"/>
                <w:highlight w:val="none"/>
              </w:rPr>
            </w:pPr>
          </w:p>
        </w:tc>
      </w:tr>
      <w:tr w14:paraId="31D9EA3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A0A4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3.6.7.2</w:t>
            </w:r>
          </w:p>
        </w:tc>
        <w:tc>
          <w:tcPr>
            <w:tcW w:w="6982" w:type="dxa"/>
            <w:tcBorders>
              <w:tl2br w:val="nil"/>
              <w:tr2bl w:val="nil"/>
            </w:tcBorders>
            <w:vAlign w:val="center"/>
          </w:tcPr>
          <w:p w14:paraId="057CEA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支持门诊人次、预约人次、预约率、预约方式分布、各号类预约率排名、各科室预约率排名、预约率趋势等</w:t>
            </w:r>
          </w:p>
        </w:tc>
        <w:tc>
          <w:tcPr>
            <w:tcW w:w="870" w:type="dxa"/>
            <w:vMerge w:val="continue"/>
            <w:tcBorders>
              <w:tl2br w:val="nil"/>
              <w:tr2bl w:val="nil"/>
            </w:tcBorders>
            <w:noWrap/>
            <w:vAlign w:val="center"/>
          </w:tcPr>
          <w:p w14:paraId="1EDF5EBA">
            <w:pPr>
              <w:spacing w:line="360" w:lineRule="auto"/>
              <w:jc w:val="center"/>
              <w:rPr>
                <w:rFonts w:hint="eastAsia" w:ascii="宋体" w:hAnsi="宋体" w:cs="宋体"/>
                <w:color w:val="auto"/>
                <w:sz w:val="21"/>
                <w:szCs w:val="21"/>
                <w:highlight w:val="none"/>
              </w:rPr>
            </w:pPr>
          </w:p>
        </w:tc>
      </w:tr>
      <w:tr w14:paraId="073377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2C95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3.6.7.3</w:t>
            </w:r>
          </w:p>
        </w:tc>
        <w:tc>
          <w:tcPr>
            <w:tcW w:w="6982" w:type="dxa"/>
            <w:tcBorders>
              <w:tl2br w:val="nil"/>
              <w:tr2bl w:val="nil"/>
            </w:tcBorders>
            <w:vAlign w:val="center"/>
          </w:tcPr>
          <w:p w14:paraId="52953A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支持出院人次、总住院日数、平均住院日、最长住院日、超（30 天）长住院人次、超长住院人次占比、各科室平均住院日排名、各科室超长住院患者人次排名、患者住院日分布、平均住院日趋势等</w:t>
            </w:r>
          </w:p>
        </w:tc>
        <w:tc>
          <w:tcPr>
            <w:tcW w:w="870" w:type="dxa"/>
            <w:vMerge w:val="continue"/>
            <w:tcBorders>
              <w:tl2br w:val="nil"/>
              <w:tr2bl w:val="nil"/>
            </w:tcBorders>
            <w:noWrap/>
            <w:vAlign w:val="center"/>
          </w:tcPr>
          <w:p w14:paraId="06772B53">
            <w:pPr>
              <w:spacing w:line="360" w:lineRule="auto"/>
              <w:jc w:val="center"/>
              <w:rPr>
                <w:rFonts w:hint="eastAsia" w:ascii="宋体" w:hAnsi="宋体" w:cs="宋体"/>
                <w:color w:val="auto"/>
                <w:sz w:val="21"/>
                <w:szCs w:val="21"/>
                <w:highlight w:val="none"/>
              </w:rPr>
            </w:pPr>
          </w:p>
        </w:tc>
      </w:tr>
      <w:tr w14:paraId="3AF6686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B4F3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3.6.7.4</w:t>
            </w:r>
          </w:p>
        </w:tc>
        <w:tc>
          <w:tcPr>
            <w:tcW w:w="6982" w:type="dxa"/>
            <w:tcBorders>
              <w:tl2br w:val="nil"/>
              <w:tr2bl w:val="nil"/>
            </w:tcBorders>
            <w:vAlign w:val="center"/>
          </w:tcPr>
          <w:p w14:paraId="630CA9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支持门急诊就诊人次、就诊时间非空人次、就诊时间非空人次占比、总就诊时长、平均就诊时长、就诊时长超 30 分钟人次、各科室平均就诊时间排名、就诊时间超 30 分钟人次分布、就诊时长区间分布、平均就诊时间趋势等</w:t>
            </w:r>
          </w:p>
        </w:tc>
        <w:tc>
          <w:tcPr>
            <w:tcW w:w="870" w:type="dxa"/>
            <w:vMerge w:val="continue"/>
            <w:tcBorders>
              <w:tl2br w:val="nil"/>
              <w:tr2bl w:val="nil"/>
            </w:tcBorders>
            <w:noWrap/>
            <w:vAlign w:val="center"/>
          </w:tcPr>
          <w:p w14:paraId="24930551">
            <w:pPr>
              <w:spacing w:line="360" w:lineRule="auto"/>
              <w:jc w:val="center"/>
              <w:rPr>
                <w:rFonts w:hint="eastAsia" w:ascii="宋体" w:hAnsi="宋体" w:cs="宋体"/>
                <w:color w:val="auto"/>
                <w:sz w:val="21"/>
                <w:szCs w:val="21"/>
                <w:highlight w:val="none"/>
              </w:rPr>
            </w:pPr>
          </w:p>
        </w:tc>
      </w:tr>
      <w:tr w14:paraId="0429FC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5BFC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3.6.7.5</w:t>
            </w:r>
          </w:p>
        </w:tc>
        <w:tc>
          <w:tcPr>
            <w:tcW w:w="6982" w:type="dxa"/>
            <w:tcBorders>
              <w:tl2br w:val="nil"/>
              <w:tr2bl w:val="nil"/>
            </w:tcBorders>
            <w:vAlign w:val="center"/>
          </w:tcPr>
          <w:p w14:paraId="554ABC6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支持门急诊就诊人次、候诊时间非空人次、候诊时间非空人次占比、总候诊时长、平均候诊时长、候诊时长超 30 分钟人次、各科室平均候诊时间排名、候诊时间超 30 分钟人次分布、候诊时长区间分布、平均候诊时间趋势等</w:t>
            </w:r>
          </w:p>
        </w:tc>
        <w:tc>
          <w:tcPr>
            <w:tcW w:w="870" w:type="dxa"/>
            <w:vMerge w:val="continue"/>
            <w:tcBorders>
              <w:tl2br w:val="nil"/>
              <w:tr2bl w:val="nil"/>
            </w:tcBorders>
            <w:noWrap/>
            <w:vAlign w:val="center"/>
          </w:tcPr>
          <w:p w14:paraId="243A59A8">
            <w:pPr>
              <w:spacing w:line="360" w:lineRule="auto"/>
              <w:jc w:val="center"/>
              <w:rPr>
                <w:rFonts w:hint="eastAsia" w:ascii="宋体" w:hAnsi="宋体" w:cs="宋体"/>
                <w:color w:val="auto"/>
                <w:sz w:val="21"/>
                <w:szCs w:val="21"/>
                <w:highlight w:val="none"/>
              </w:rPr>
            </w:pPr>
          </w:p>
        </w:tc>
      </w:tr>
      <w:tr w14:paraId="1101240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1F8A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3.6.8</w:t>
            </w:r>
          </w:p>
        </w:tc>
        <w:tc>
          <w:tcPr>
            <w:tcW w:w="6982" w:type="dxa"/>
            <w:tcBorders>
              <w:tl2br w:val="nil"/>
              <w:tr2bl w:val="nil"/>
            </w:tcBorders>
            <w:vAlign w:val="center"/>
          </w:tcPr>
          <w:p w14:paraId="052E7C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临床科室管理 BI 主题改造</w:t>
            </w:r>
          </w:p>
        </w:tc>
        <w:tc>
          <w:tcPr>
            <w:tcW w:w="870" w:type="dxa"/>
            <w:vMerge w:val="continue"/>
            <w:tcBorders>
              <w:tl2br w:val="nil"/>
              <w:tr2bl w:val="nil"/>
            </w:tcBorders>
            <w:noWrap/>
            <w:vAlign w:val="center"/>
          </w:tcPr>
          <w:p w14:paraId="409A1F10">
            <w:pPr>
              <w:spacing w:line="360" w:lineRule="auto"/>
              <w:jc w:val="center"/>
              <w:rPr>
                <w:rFonts w:hint="eastAsia" w:ascii="宋体" w:hAnsi="宋体" w:cs="宋体"/>
                <w:color w:val="auto"/>
                <w:sz w:val="21"/>
                <w:szCs w:val="21"/>
                <w:highlight w:val="none"/>
              </w:rPr>
            </w:pPr>
          </w:p>
        </w:tc>
      </w:tr>
      <w:tr w14:paraId="3FFF08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744E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3.6.8.1</w:t>
            </w:r>
          </w:p>
        </w:tc>
        <w:tc>
          <w:tcPr>
            <w:tcW w:w="6982" w:type="dxa"/>
            <w:tcBorders>
              <w:tl2br w:val="nil"/>
              <w:tr2bl w:val="nil"/>
            </w:tcBorders>
            <w:vAlign w:val="center"/>
          </w:tcPr>
          <w:p w14:paraId="295AA2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支持手术人次、手术例数、四级手术人次、四级手术比例、微创手术人次、微创手术比例、日间手术人次、日间手术比例、择期手术人次、门诊手术人次 / 例数、住院手术人次 / 例数、术前等待天数、平均术前等待天数、手术级别分布、各科室手术人次排名、各主诊组手术人次排名、切口等级分布、愈合等级分布、手术人次趋势、手术例数趋势等</w:t>
            </w:r>
          </w:p>
        </w:tc>
        <w:tc>
          <w:tcPr>
            <w:tcW w:w="870" w:type="dxa"/>
            <w:vMerge w:val="continue"/>
            <w:tcBorders>
              <w:tl2br w:val="nil"/>
              <w:tr2bl w:val="nil"/>
            </w:tcBorders>
            <w:noWrap/>
            <w:vAlign w:val="center"/>
          </w:tcPr>
          <w:p w14:paraId="39181EF1">
            <w:pPr>
              <w:spacing w:line="360" w:lineRule="auto"/>
              <w:jc w:val="center"/>
              <w:rPr>
                <w:rFonts w:hint="eastAsia" w:ascii="宋体" w:hAnsi="宋体" w:cs="宋体"/>
                <w:color w:val="auto"/>
                <w:sz w:val="21"/>
                <w:szCs w:val="21"/>
                <w:highlight w:val="none"/>
              </w:rPr>
            </w:pPr>
          </w:p>
        </w:tc>
      </w:tr>
      <w:tr w14:paraId="1C0195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F91B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3.6.8.2</w:t>
            </w:r>
          </w:p>
        </w:tc>
        <w:tc>
          <w:tcPr>
            <w:tcW w:w="6982" w:type="dxa"/>
            <w:tcBorders>
              <w:tl2br w:val="nil"/>
              <w:tr2bl w:val="nil"/>
            </w:tcBorders>
            <w:vAlign w:val="center"/>
          </w:tcPr>
          <w:p w14:paraId="37C85F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支持手术台次数、手术完成数、择期 / 紧急 / 急诊手术台次数、日间手术台次、四级手术台次、微创手术台次、麻醉方式分布、手术等级分布、患者来源分布、手术室人次分布、科室手术台次排名等</w:t>
            </w:r>
          </w:p>
        </w:tc>
        <w:tc>
          <w:tcPr>
            <w:tcW w:w="870" w:type="dxa"/>
            <w:vMerge w:val="continue"/>
            <w:tcBorders>
              <w:tl2br w:val="nil"/>
              <w:tr2bl w:val="nil"/>
            </w:tcBorders>
            <w:noWrap/>
            <w:vAlign w:val="center"/>
          </w:tcPr>
          <w:p w14:paraId="23E70EFB">
            <w:pPr>
              <w:spacing w:line="360" w:lineRule="auto"/>
              <w:jc w:val="center"/>
              <w:rPr>
                <w:rFonts w:hint="eastAsia" w:ascii="宋体" w:hAnsi="宋体" w:cs="宋体"/>
                <w:color w:val="auto"/>
                <w:sz w:val="21"/>
                <w:szCs w:val="21"/>
                <w:highlight w:val="none"/>
              </w:rPr>
            </w:pPr>
          </w:p>
        </w:tc>
      </w:tr>
      <w:tr w14:paraId="1AFC5B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88B7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3.6.8.3</w:t>
            </w:r>
          </w:p>
        </w:tc>
        <w:tc>
          <w:tcPr>
            <w:tcW w:w="6982" w:type="dxa"/>
            <w:tcBorders>
              <w:tl2br w:val="nil"/>
              <w:tr2bl w:val="nil"/>
            </w:tcBorders>
            <w:vAlign w:val="center"/>
          </w:tcPr>
          <w:p w14:paraId="5C497C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支持检查申请人次、检查完成人次、门诊检查人次、住院检查人次、检查总费用、均次检查费用、检查类别分布、科室检查人次排名、各费别检查人次分布、检查人次趋势等</w:t>
            </w:r>
          </w:p>
        </w:tc>
        <w:tc>
          <w:tcPr>
            <w:tcW w:w="870" w:type="dxa"/>
            <w:vMerge w:val="continue"/>
            <w:tcBorders>
              <w:tl2br w:val="nil"/>
              <w:tr2bl w:val="nil"/>
            </w:tcBorders>
            <w:noWrap/>
            <w:vAlign w:val="center"/>
          </w:tcPr>
          <w:p w14:paraId="19A7DCB7">
            <w:pPr>
              <w:spacing w:line="360" w:lineRule="auto"/>
              <w:jc w:val="center"/>
              <w:rPr>
                <w:rFonts w:hint="eastAsia" w:ascii="宋体" w:hAnsi="宋体" w:cs="宋体"/>
                <w:color w:val="auto"/>
                <w:sz w:val="21"/>
                <w:szCs w:val="21"/>
                <w:highlight w:val="none"/>
              </w:rPr>
            </w:pPr>
          </w:p>
        </w:tc>
      </w:tr>
      <w:tr w14:paraId="4286C7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0A29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3.6.8.4</w:t>
            </w:r>
          </w:p>
        </w:tc>
        <w:tc>
          <w:tcPr>
            <w:tcW w:w="6982" w:type="dxa"/>
            <w:tcBorders>
              <w:tl2br w:val="nil"/>
              <w:tr2bl w:val="nil"/>
            </w:tcBorders>
            <w:vAlign w:val="center"/>
          </w:tcPr>
          <w:p w14:paraId="3B8E77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支持检验申请人次、检验完成人次、门诊检验人次、住院检验人次、检验总费用、均次检验费用、检验类别分布、科室检验人次排名、各费别检验人次分布、检验人次趋势等</w:t>
            </w:r>
          </w:p>
        </w:tc>
        <w:tc>
          <w:tcPr>
            <w:tcW w:w="870" w:type="dxa"/>
            <w:vMerge w:val="continue"/>
            <w:tcBorders>
              <w:tl2br w:val="nil"/>
              <w:tr2bl w:val="nil"/>
            </w:tcBorders>
            <w:noWrap/>
            <w:vAlign w:val="center"/>
          </w:tcPr>
          <w:p w14:paraId="737E8459">
            <w:pPr>
              <w:spacing w:line="360" w:lineRule="auto"/>
              <w:jc w:val="center"/>
              <w:rPr>
                <w:rFonts w:hint="eastAsia" w:ascii="宋体" w:hAnsi="宋体" w:cs="宋体"/>
                <w:color w:val="auto"/>
                <w:sz w:val="21"/>
                <w:szCs w:val="21"/>
                <w:highlight w:val="none"/>
              </w:rPr>
            </w:pPr>
          </w:p>
        </w:tc>
      </w:tr>
      <w:tr w14:paraId="340E00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1BA7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3.6.9</w:t>
            </w:r>
          </w:p>
        </w:tc>
        <w:tc>
          <w:tcPr>
            <w:tcW w:w="6982" w:type="dxa"/>
            <w:tcBorders>
              <w:tl2br w:val="nil"/>
              <w:tr2bl w:val="nil"/>
            </w:tcBorders>
            <w:vAlign w:val="center"/>
          </w:tcPr>
          <w:p w14:paraId="2F4F561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其他 BI 主题改造</w:t>
            </w:r>
          </w:p>
        </w:tc>
        <w:tc>
          <w:tcPr>
            <w:tcW w:w="870" w:type="dxa"/>
            <w:vMerge w:val="continue"/>
            <w:tcBorders>
              <w:tl2br w:val="nil"/>
              <w:tr2bl w:val="nil"/>
            </w:tcBorders>
            <w:noWrap/>
            <w:vAlign w:val="center"/>
          </w:tcPr>
          <w:p w14:paraId="62749055">
            <w:pPr>
              <w:spacing w:line="360" w:lineRule="auto"/>
              <w:jc w:val="center"/>
              <w:rPr>
                <w:rFonts w:hint="eastAsia" w:ascii="宋体" w:hAnsi="宋体" w:cs="宋体"/>
                <w:color w:val="auto"/>
                <w:sz w:val="21"/>
                <w:szCs w:val="21"/>
                <w:highlight w:val="none"/>
              </w:rPr>
            </w:pPr>
          </w:p>
        </w:tc>
      </w:tr>
      <w:tr w14:paraId="2ECE76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9E8E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3.6.9.1</w:t>
            </w:r>
          </w:p>
        </w:tc>
        <w:tc>
          <w:tcPr>
            <w:tcW w:w="6982" w:type="dxa"/>
            <w:tcBorders>
              <w:tl2br w:val="nil"/>
              <w:tr2bl w:val="nil"/>
            </w:tcBorders>
            <w:vAlign w:val="center"/>
          </w:tcPr>
          <w:p w14:paraId="3CDACE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支持门急诊总费用、门急诊总人次、人均费用、人均药品费用、人均检查费用、人均检验费用、人均耗材费用、各费用大类占比、各费用小类占比、各科室平均费用分布、均费趋势图等</w:t>
            </w:r>
          </w:p>
        </w:tc>
        <w:tc>
          <w:tcPr>
            <w:tcW w:w="870" w:type="dxa"/>
            <w:vMerge w:val="continue"/>
            <w:tcBorders>
              <w:tl2br w:val="nil"/>
              <w:tr2bl w:val="nil"/>
            </w:tcBorders>
            <w:noWrap/>
            <w:vAlign w:val="center"/>
          </w:tcPr>
          <w:p w14:paraId="11173B07">
            <w:pPr>
              <w:spacing w:line="360" w:lineRule="auto"/>
              <w:jc w:val="center"/>
              <w:rPr>
                <w:rFonts w:hint="eastAsia" w:ascii="宋体" w:hAnsi="宋体" w:cs="宋体"/>
                <w:color w:val="auto"/>
                <w:sz w:val="21"/>
                <w:szCs w:val="21"/>
                <w:highlight w:val="none"/>
              </w:rPr>
            </w:pPr>
          </w:p>
        </w:tc>
      </w:tr>
      <w:tr w14:paraId="6BD8A3A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F8B3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3.6.9.2</w:t>
            </w:r>
          </w:p>
        </w:tc>
        <w:tc>
          <w:tcPr>
            <w:tcW w:w="6982" w:type="dxa"/>
            <w:tcBorders>
              <w:tl2br w:val="nil"/>
              <w:tr2bl w:val="nil"/>
            </w:tcBorders>
            <w:vAlign w:val="center"/>
          </w:tcPr>
          <w:p w14:paraId="3D3E94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支持出院总费用、出院总人次、人均费用、人均药品费用、人均检查费用、人均检验费用、人均耗材费用、各费用大类占比、各费用小类占比、各科室平均费用分布、均费趋势图等</w:t>
            </w:r>
          </w:p>
        </w:tc>
        <w:tc>
          <w:tcPr>
            <w:tcW w:w="870" w:type="dxa"/>
            <w:vMerge w:val="continue"/>
            <w:tcBorders>
              <w:tl2br w:val="nil"/>
              <w:tr2bl w:val="nil"/>
            </w:tcBorders>
            <w:noWrap/>
            <w:vAlign w:val="center"/>
          </w:tcPr>
          <w:p w14:paraId="0F1937CC">
            <w:pPr>
              <w:spacing w:line="360" w:lineRule="auto"/>
              <w:jc w:val="center"/>
              <w:rPr>
                <w:rFonts w:hint="eastAsia" w:ascii="宋体" w:hAnsi="宋体" w:cs="宋体"/>
                <w:color w:val="auto"/>
                <w:sz w:val="21"/>
                <w:szCs w:val="21"/>
                <w:highlight w:val="none"/>
              </w:rPr>
            </w:pPr>
          </w:p>
        </w:tc>
      </w:tr>
      <w:tr w14:paraId="72CB1E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26CE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3.6.10</w:t>
            </w:r>
          </w:p>
        </w:tc>
        <w:tc>
          <w:tcPr>
            <w:tcW w:w="6982" w:type="dxa"/>
            <w:tcBorders>
              <w:tl2br w:val="nil"/>
              <w:tr2bl w:val="nil"/>
            </w:tcBorders>
            <w:vAlign w:val="center"/>
          </w:tcPr>
          <w:p w14:paraId="655BD7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驾驶舱 BI 主题改造</w:t>
            </w:r>
          </w:p>
        </w:tc>
        <w:tc>
          <w:tcPr>
            <w:tcW w:w="870" w:type="dxa"/>
            <w:vMerge w:val="continue"/>
            <w:tcBorders>
              <w:tl2br w:val="nil"/>
              <w:tr2bl w:val="nil"/>
            </w:tcBorders>
            <w:noWrap/>
            <w:vAlign w:val="center"/>
          </w:tcPr>
          <w:p w14:paraId="164BE516">
            <w:pPr>
              <w:spacing w:line="360" w:lineRule="auto"/>
              <w:jc w:val="center"/>
              <w:rPr>
                <w:rFonts w:hint="eastAsia" w:ascii="宋体" w:hAnsi="宋体" w:cs="宋体"/>
                <w:color w:val="auto"/>
                <w:sz w:val="21"/>
                <w:szCs w:val="21"/>
                <w:highlight w:val="none"/>
              </w:rPr>
            </w:pPr>
          </w:p>
        </w:tc>
      </w:tr>
      <w:tr w14:paraId="2DCED0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89BE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3.6.10.1</w:t>
            </w:r>
          </w:p>
        </w:tc>
        <w:tc>
          <w:tcPr>
            <w:tcW w:w="6982" w:type="dxa"/>
            <w:tcBorders>
              <w:tl2br w:val="nil"/>
              <w:tr2bl w:val="nil"/>
            </w:tcBorders>
            <w:vAlign w:val="center"/>
          </w:tcPr>
          <w:p w14:paraId="600553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院长、副院长分管业务区别，形成基于业务的运营决策、管理支持。具体展现形式可根据角色、模块由用户自定义驾驶舱模式。提供院长驾驶舱功视图，能够将医院主要运用指标集中展示到驾驶舱页面，供院长直观了解医院各项运营指标，并能够将运营指标数据推送到院长手机端，供院领导查阅</w:t>
            </w:r>
          </w:p>
        </w:tc>
        <w:tc>
          <w:tcPr>
            <w:tcW w:w="870" w:type="dxa"/>
            <w:vMerge w:val="continue"/>
            <w:tcBorders>
              <w:tl2br w:val="nil"/>
              <w:tr2bl w:val="nil"/>
            </w:tcBorders>
            <w:noWrap/>
            <w:vAlign w:val="center"/>
          </w:tcPr>
          <w:p w14:paraId="5FA123F4">
            <w:pPr>
              <w:spacing w:line="360" w:lineRule="auto"/>
              <w:jc w:val="center"/>
              <w:rPr>
                <w:rFonts w:hint="eastAsia" w:ascii="宋体" w:hAnsi="宋体" w:cs="宋体"/>
                <w:color w:val="auto"/>
                <w:sz w:val="21"/>
                <w:szCs w:val="21"/>
                <w:highlight w:val="none"/>
              </w:rPr>
            </w:pPr>
          </w:p>
        </w:tc>
      </w:tr>
      <w:tr w14:paraId="7738A0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3871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3.6.10.2</w:t>
            </w:r>
          </w:p>
        </w:tc>
        <w:tc>
          <w:tcPr>
            <w:tcW w:w="6982" w:type="dxa"/>
            <w:tcBorders>
              <w:tl2br w:val="nil"/>
              <w:tr2bl w:val="nil"/>
            </w:tcBorders>
            <w:vAlign w:val="center"/>
          </w:tcPr>
          <w:p w14:paraId="6A985B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支持展示运营指标，实现基于数据中心的数据自动统计、展示：支持当日数据的实时展示，数据支持定时刷新。具体主题如下：医疗负荷、医疗效能、医疗质量、医疗收入</w:t>
            </w:r>
          </w:p>
        </w:tc>
        <w:tc>
          <w:tcPr>
            <w:tcW w:w="870" w:type="dxa"/>
            <w:vMerge w:val="continue"/>
            <w:tcBorders>
              <w:tl2br w:val="nil"/>
              <w:tr2bl w:val="nil"/>
            </w:tcBorders>
            <w:noWrap/>
            <w:vAlign w:val="center"/>
          </w:tcPr>
          <w:p w14:paraId="0B3F4C8B">
            <w:pPr>
              <w:spacing w:line="360" w:lineRule="auto"/>
              <w:jc w:val="center"/>
              <w:rPr>
                <w:rFonts w:hint="eastAsia" w:ascii="宋体" w:hAnsi="宋体" w:cs="宋体"/>
                <w:color w:val="auto"/>
                <w:sz w:val="21"/>
                <w:szCs w:val="21"/>
                <w:highlight w:val="none"/>
              </w:rPr>
            </w:pPr>
          </w:p>
        </w:tc>
      </w:tr>
      <w:tr w14:paraId="73FD05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94C7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w:t>
            </w:r>
          </w:p>
        </w:tc>
        <w:tc>
          <w:tcPr>
            <w:tcW w:w="6982" w:type="dxa"/>
            <w:tcBorders>
              <w:tl2br w:val="nil"/>
              <w:tr2bl w:val="nil"/>
            </w:tcBorders>
            <w:vAlign w:val="center"/>
          </w:tcPr>
          <w:p w14:paraId="448409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医疗负荷</w:t>
            </w:r>
          </w:p>
        </w:tc>
        <w:tc>
          <w:tcPr>
            <w:tcW w:w="870" w:type="dxa"/>
            <w:vMerge w:val="continue"/>
            <w:tcBorders>
              <w:tl2br w:val="nil"/>
              <w:tr2bl w:val="nil"/>
            </w:tcBorders>
            <w:noWrap/>
            <w:vAlign w:val="center"/>
          </w:tcPr>
          <w:p w14:paraId="0253A8E5">
            <w:pPr>
              <w:spacing w:line="360" w:lineRule="auto"/>
              <w:jc w:val="center"/>
              <w:rPr>
                <w:rFonts w:hint="eastAsia" w:ascii="宋体" w:hAnsi="宋体" w:cs="宋体"/>
                <w:color w:val="auto"/>
                <w:sz w:val="21"/>
                <w:szCs w:val="21"/>
                <w:highlight w:val="none"/>
              </w:rPr>
            </w:pPr>
          </w:p>
        </w:tc>
      </w:tr>
      <w:tr w14:paraId="48D0CA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A17D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w:t>
            </w:r>
          </w:p>
        </w:tc>
        <w:tc>
          <w:tcPr>
            <w:tcW w:w="6982" w:type="dxa"/>
            <w:tcBorders>
              <w:tl2br w:val="nil"/>
              <w:tr2bl w:val="nil"/>
            </w:tcBorders>
            <w:vAlign w:val="center"/>
          </w:tcPr>
          <w:p w14:paraId="7CCB50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支持医院门诊总人次数据展示</w:t>
            </w:r>
          </w:p>
        </w:tc>
        <w:tc>
          <w:tcPr>
            <w:tcW w:w="870" w:type="dxa"/>
            <w:vMerge w:val="continue"/>
            <w:tcBorders>
              <w:tl2br w:val="nil"/>
              <w:tr2bl w:val="nil"/>
            </w:tcBorders>
            <w:noWrap/>
            <w:vAlign w:val="center"/>
          </w:tcPr>
          <w:p w14:paraId="61F011B9">
            <w:pPr>
              <w:spacing w:line="360" w:lineRule="auto"/>
              <w:jc w:val="center"/>
              <w:rPr>
                <w:rFonts w:hint="eastAsia" w:ascii="宋体" w:hAnsi="宋体" w:cs="宋体"/>
                <w:color w:val="auto"/>
                <w:sz w:val="21"/>
                <w:szCs w:val="21"/>
                <w:highlight w:val="none"/>
              </w:rPr>
            </w:pPr>
          </w:p>
        </w:tc>
      </w:tr>
      <w:tr w14:paraId="24F8C0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E224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3.6.11.2</w:t>
            </w:r>
          </w:p>
        </w:tc>
        <w:tc>
          <w:tcPr>
            <w:tcW w:w="6982" w:type="dxa"/>
            <w:tcBorders>
              <w:tl2br w:val="nil"/>
              <w:tr2bl w:val="nil"/>
            </w:tcBorders>
            <w:vAlign w:val="center"/>
          </w:tcPr>
          <w:p w14:paraId="7672D7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支持医院专家门诊人次的数据展示</w:t>
            </w:r>
          </w:p>
        </w:tc>
        <w:tc>
          <w:tcPr>
            <w:tcW w:w="870" w:type="dxa"/>
            <w:vMerge w:val="continue"/>
            <w:tcBorders>
              <w:tl2br w:val="nil"/>
              <w:tr2bl w:val="nil"/>
            </w:tcBorders>
            <w:noWrap/>
            <w:vAlign w:val="center"/>
          </w:tcPr>
          <w:p w14:paraId="32B591BC">
            <w:pPr>
              <w:spacing w:line="360" w:lineRule="auto"/>
              <w:jc w:val="center"/>
              <w:rPr>
                <w:rFonts w:hint="eastAsia" w:ascii="宋体" w:hAnsi="宋体" w:cs="宋体"/>
                <w:color w:val="auto"/>
                <w:sz w:val="21"/>
                <w:szCs w:val="21"/>
                <w:highlight w:val="none"/>
              </w:rPr>
            </w:pPr>
          </w:p>
        </w:tc>
      </w:tr>
      <w:tr w14:paraId="1007AB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E9C7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3.6.11.3</w:t>
            </w:r>
          </w:p>
        </w:tc>
        <w:tc>
          <w:tcPr>
            <w:tcW w:w="6982" w:type="dxa"/>
            <w:tcBorders>
              <w:tl2br w:val="nil"/>
              <w:tr2bl w:val="nil"/>
            </w:tcBorders>
            <w:vAlign w:val="center"/>
          </w:tcPr>
          <w:p w14:paraId="50EB00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支持医院急诊人次的数据展示</w:t>
            </w:r>
          </w:p>
        </w:tc>
        <w:tc>
          <w:tcPr>
            <w:tcW w:w="870" w:type="dxa"/>
            <w:vMerge w:val="continue"/>
            <w:tcBorders>
              <w:tl2br w:val="nil"/>
              <w:tr2bl w:val="nil"/>
            </w:tcBorders>
            <w:noWrap/>
            <w:vAlign w:val="center"/>
          </w:tcPr>
          <w:p w14:paraId="00D4AB4A">
            <w:pPr>
              <w:spacing w:line="360" w:lineRule="auto"/>
              <w:jc w:val="center"/>
              <w:rPr>
                <w:rFonts w:hint="eastAsia" w:ascii="宋体" w:hAnsi="宋体" w:cs="宋体"/>
                <w:color w:val="auto"/>
                <w:sz w:val="21"/>
                <w:szCs w:val="21"/>
                <w:highlight w:val="none"/>
              </w:rPr>
            </w:pPr>
          </w:p>
        </w:tc>
      </w:tr>
      <w:tr w14:paraId="4ED73A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C7B8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3.6.11.4</w:t>
            </w:r>
          </w:p>
        </w:tc>
        <w:tc>
          <w:tcPr>
            <w:tcW w:w="6982" w:type="dxa"/>
            <w:tcBorders>
              <w:tl2br w:val="nil"/>
              <w:tr2bl w:val="nil"/>
            </w:tcBorders>
            <w:vAlign w:val="center"/>
          </w:tcPr>
          <w:p w14:paraId="3C7B00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支持医院出院人次的数据展示</w:t>
            </w:r>
          </w:p>
        </w:tc>
        <w:tc>
          <w:tcPr>
            <w:tcW w:w="870" w:type="dxa"/>
            <w:vMerge w:val="continue"/>
            <w:tcBorders>
              <w:tl2br w:val="nil"/>
              <w:tr2bl w:val="nil"/>
            </w:tcBorders>
            <w:noWrap/>
            <w:vAlign w:val="center"/>
          </w:tcPr>
          <w:p w14:paraId="1492948F">
            <w:pPr>
              <w:spacing w:line="360" w:lineRule="auto"/>
              <w:jc w:val="center"/>
              <w:rPr>
                <w:rFonts w:hint="eastAsia" w:ascii="宋体" w:hAnsi="宋体" w:cs="宋体"/>
                <w:color w:val="auto"/>
                <w:sz w:val="21"/>
                <w:szCs w:val="21"/>
                <w:highlight w:val="none"/>
              </w:rPr>
            </w:pPr>
          </w:p>
        </w:tc>
      </w:tr>
      <w:tr w14:paraId="11B6B3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573A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3.6.11.5</w:t>
            </w:r>
          </w:p>
        </w:tc>
        <w:tc>
          <w:tcPr>
            <w:tcW w:w="6982" w:type="dxa"/>
            <w:tcBorders>
              <w:tl2br w:val="nil"/>
              <w:tr2bl w:val="nil"/>
            </w:tcBorders>
            <w:vAlign w:val="center"/>
          </w:tcPr>
          <w:p w14:paraId="5EB679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支持医院近一年门急诊量趋势图</w:t>
            </w:r>
          </w:p>
        </w:tc>
        <w:tc>
          <w:tcPr>
            <w:tcW w:w="870" w:type="dxa"/>
            <w:vMerge w:val="continue"/>
            <w:tcBorders>
              <w:tl2br w:val="nil"/>
              <w:tr2bl w:val="nil"/>
            </w:tcBorders>
            <w:noWrap/>
            <w:vAlign w:val="center"/>
          </w:tcPr>
          <w:p w14:paraId="233B16F2">
            <w:pPr>
              <w:spacing w:line="360" w:lineRule="auto"/>
              <w:jc w:val="center"/>
              <w:rPr>
                <w:rFonts w:hint="eastAsia" w:ascii="宋体" w:hAnsi="宋体" w:cs="宋体"/>
                <w:color w:val="auto"/>
                <w:sz w:val="21"/>
                <w:szCs w:val="21"/>
                <w:highlight w:val="none"/>
              </w:rPr>
            </w:pPr>
          </w:p>
        </w:tc>
      </w:tr>
      <w:tr w14:paraId="711DBB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0D22D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3.6.11.6</w:t>
            </w:r>
          </w:p>
        </w:tc>
        <w:tc>
          <w:tcPr>
            <w:tcW w:w="6982" w:type="dxa"/>
            <w:tcBorders>
              <w:tl2br w:val="nil"/>
              <w:tr2bl w:val="nil"/>
            </w:tcBorders>
            <w:vAlign w:val="center"/>
          </w:tcPr>
          <w:p w14:paraId="2C3D25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支持医院入院人次的数据展示</w:t>
            </w:r>
          </w:p>
        </w:tc>
        <w:tc>
          <w:tcPr>
            <w:tcW w:w="870" w:type="dxa"/>
            <w:vMerge w:val="continue"/>
            <w:tcBorders>
              <w:tl2br w:val="nil"/>
              <w:tr2bl w:val="nil"/>
            </w:tcBorders>
            <w:noWrap/>
            <w:vAlign w:val="center"/>
          </w:tcPr>
          <w:p w14:paraId="5A9E476C">
            <w:pPr>
              <w:spacing w:line="360" w:lineRule="auto"/>
              <w:jc w:val="center"/>
              <w:rPr>
                <w:rFonts w:hint="eastAsia" w:ascii="宋体" w:hAnsi="宋体" w:cs="宋体"/>
                <w:color w:val="auto"/>
                <w:sz w:val="21"/>
                <w:szCs w:val="21"/>
                <w:highlight w:val="none"/>
              </w:rPr>
            </w:pPr>
          </w:p>
        </w:tc>
      </w:tr>
      <w:tr w14:paraId="319C79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0204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3.6.11.7</w:t>
            </w:r>
          </w:p>
        </w:tc>
        <w:tc>
          <w:tcPr>
            <w:tcW w:w="6982" w:type="dxa"/>
            <w:tcBorders>
              <w:tl2br w:val="nil"/>
              <w:tr2bl w:val="nil"/>
            </w:tcBorders>
            <w:vAlign w:val="center"/>
          </w:tcPr>
          <w:p w14:paraId="34A23D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支持医院近一年入出院人次趋势图分析展示</w:t>
            </w:r>
          </w:p>
        </w:tc>
        <w:tc>
          <w:tcPr>
            <w:tcW w:w="870" w:type="dxa"/>
            <w:vMerge w:val="continue"/>
            <w:tcBorders>
              <w:tl2br w:val="nil"/>
              <w:tr2bl w:val="nil"/>
            </w:tcBorders>
            <w:noWrap/>
            <w:vAlign w:val="center"/>
          </w:tcPr>
          <w:p w14:paraId="235F4716">
            <w:pPr>
              <w:spacing w:line="360" w:lineRule="auto"/>
              <w:jc w:val="center"/>
              <w:rPr>
                <w:rFonts w:hint="eastAsia" w:ascii="宋体" w:hAnsi="宋体" w:cs="宋体"/>
                <w:color w:val="auto"/>
                <w:sz w:val="21"/>
                <w:szCs w:val="21"/>
                <w:highlight w:val="none"/>
              </w:rPr>
            </w:pPr>
          </w:p>
        </w:tc>
      </w:tr>
      <w:tr w14:paraId="017FA2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CFB0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3.6.11.8</w:t>
            </w:r>
          </w:p>
        </w:tc>
        <w:tc>
          <w:tcPr>
            <w:tcW w:w="6982" w:type="dxa"/>
            <w:tcBorders>
              <w:tl2br w:val="nil"/>
              <w:tr2bl w:val="nil"/>
            </w:tcBorders>
            <w:vAlign w:val="center"/>
          </w:tcPr>
          <w:p w14:paraId="6ABE56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支持医院手术总人次、3/4 级手术人次的数据展示</w:t>
            </w:r>
          </w:p>
        </w:tc>
        <w:tc>
          <w:tcPr>
            <w:tcW w:w="870" w:type="dxa"/>
            <w:vMerge w:val="continue"/>
            <w:tcBorders>
              <w:tl2br w:val="nil"/>
              <w:tr2bl w:val="nil"/>
            </w:tcBorders>
            <w:noWrap/>
            <w:vAlign w:val="center"/>
          </w:tcPr>
          <w:p w14:paraId="3576EBD8">
            <w:pPr>
              <w:spacing w:line="360" w:lineRule="auto"/>
              <w:jc w:val="center"/>
              <w:rPr>
                <w:rFonts w:hint="eastAsia" w:ascii="宋体" w:hAnsi="宋体" w:cs="宋体"/>
                <w:color w:val="auto"/>
                <w:sz w:val="21"/>
                <w:szCs w:val="21"/>
                <w:highlight w:val="none"/>
              </w:rPr>
            </w:pPr>
          </w:p>
        </w:tc>
      </w:tr>
      <w:tr w14:paraId="097A04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C8DD0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3.6.11.9</w:t>
            </w:r>
          </w:p>
        </w:tc>
        <w:tc>
          <w:tcPr>
            <w:tcW w:w="6982" w:type="dxa"/>
            <w:tcBorders>
              <w:tl2br w:val="nil"/>
              <w:tr2bl w:val="nil"/>
            </w:tcBorders>
            <w:vAlign w:val="center"/>
          </w:tcPr>
          <w:p w14:paraId="1658DC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支医院持近一年手术人次趋势图分析展示</w:t>
            </w:r>
          </w:p>
        </w:tc>
        <w:tc>
          <w:tcPr>
            <w:tcW w:w="870" w:type="dxa"/>
            <w:vMerge w:val="continue"/>
            <w:tcBorders>
              <w:tl2br w:val="nil"/>
              <w:tr2bl w:val="nil"/>
            </w:tcBorders>
            <w:noWrap/>
            <w:vAlign w:val="center"/>
          </w:tcPr>
          <w:p w14:paraId="5F7E72F1">
            <w:pPr>
              <w:spacing w:line="360" w:lineRule="auto"/>
              <w:jc w:val="center"/>
              <w:rPr>
                <w:rFonts w:hint="eastAsia" w:ascii="宋体" w:hAnsi="宋体" w:cs="宋体"/>
                <w:color w:val="auto"/>
                <w:sz w:val="21"/>
                <w:szCs w:val="21"/>
                <w:highlight w:val="none"/>
              </w:rPr>
            </w:pPr>
          </w:p>
        </w:tc>
      </w:tr>
      <w:tr w14:paraId="46767A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9C99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3.6.11.10</w:t>
            </w:r>
          </w:p>
        </w:tc>
        <w:tc>
          <w:tcPr>
            <w:tcW w:w="6982" w:type="dxa"/>
            <w:tcBorders>
              <w:tl2br w:val="nil"/>
              <w:tr2bl w:val="nil"/>
            </w:tcBorders>
            <w:vAlign w:val="center"/>
          </w:tcPr>
          <w:p w14:paraId="590464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支持医院检查人次展示</w:t>
            </w:r>
          </w:p>
        </w:tc>
        <w:tc>
          <w:tcPr>
            <w:tcW w:w="870" w:type="dxa"/>
            <w:vMerge w:val="continue"/>
            <w:tcBorders>
              <w:tl2br w:val="nil"/>
              <w:tr2bl w:val="nil"/>
            </w:tcBorders>
            <w:noWrap/>
            <w:vAlign w:val="center"/>
          </w:tcPr>
          <w:p w14:paraId="47CE1F69">
            <w:pPr>
              <w:spacing w:line="360" w:lineRule="auto"/>
              <w:jc w:val="center"/>
              <w:rPr>
                <w:rFonts w:hint="eastAsia" w:ascii="宋体" w:hAnsi="宋体" w:cs="宋体"/>
                <w:color w:val="auto"/>
                <w:sz w:val="21"/>
                <w:szCs w:val="21"/>
                <w:highlight w:val="none"/>
              </w:rPr>
            </w:pPr>
          </w:p>
        </w:tc>
      </w:tr>
      <w:tr w14:paraId="49EEE7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B9CD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3.6.11.11</w:t>
            </w:r>
          </w:p>
        </w:tc>
        <w:tc>
          <w:tcPr>
            <w:tcW w:w="6982" w:type="dxa"/>
            <w:tcBorders>
              <w:tl2br w:val="nil"/>
              <w:tr2bl w:val="nil"/>
            </w:tcBorders>
            <w:vAlign w:val="center"/>
          </w:tcPr>
          <w:p w14:paraId="73ED316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支持医院检查人次种类分布展示</w:t>
            </w:r>
          </w:p>
        </w:tc>
        <w:tc>
          <w:tcPr>
            <w:tcW w:w="870" w:type="dxa"/>
            <w:vMerge w:val="continue"/>
            <w:tcBorders>
              <w:tl2br w:val="nil"/>
              <w:tr2bl w:val="nil"/>
            </w:tcBorders>
            <w:noWrap/>
            <w:vAlign w:val="center"/>
          </w:tcPr>
          <w:p w14:paraId="2743B42A">
            <w:pPr>
              <w:spacing w:line="360" w:lineRule="auto"/>
              <w:jc w:val="center"/>
              <w:rPr>
                <w:rFonts w:hint="eastAsia" w:ascii="宋体" w:hAnsi="宋体" w:cs="宋体"/>
                <w:color w:val="auto"/>
                <w:sz w:val="21"/>
                <w:szCs w:val="21"/>
                <w:highlight w:val="none"/>
              </w:rPr>
            </w:pPr>
          </w:p>
        </w:tc>
      </w:tr>
      <w:tr w14:paraId="3A9EB1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26BE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3.6.11.12</w:t>
            </w:r>
          </w:p>
        </w:tc>
        <w:tc>
          <w:tcPr>
            <w:tcW w:w="6982" w:type="dxa"/>
            <w:tcBorders>
              <w:tl2br w:val="nil"/>
              <w:tr2bl w:val="nil"/>
            </w:tcBorders>
            <w:vAlign w:val="center"/>
          </w:tcPr>
          <w:p w14:paraId="181428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支持医院检查人次趋势图分析展示</w:t>
            </w:r>
          </w:p>
        </w:tc>
        <w:tc>
          <w:tcPr>
            <w:tcW w:w="870" w:type="dxa"/>
            <w:vMerge w:val="continue"/>
            <w:tcBorders>
              <w:tl2br w:val="nil"/>
              <w:tr2bl w:val="nil"/>
            </w:tcBorders>
            <w:noWrap/>
            <w:vAlign w:val="center"/>
          </w:tcPr>
          <w:p w14:paraId="2B16B326">
            <w:pPr>
              <w:spacing w:line="360" w:lineRule="auto"/>
              <w:jc w:val="center"/>
              <w:rPr>
                <w:rFonts w:hint="eastAsia" w:ascii="宋体" w:hAnsi="宋体" w:cs="宋体"/>
                <w:color w:val="auto"/>
                <w:sz w:val="21"/>
                <w:szCs w:val="21"/>
                <w:highlight w:val="none"/>
              </w:rPr>
            </w:pPr>
          </w:p>
        </w:tc>
      </w:tr>
      <w:tr w14:paraId="43E9D8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C45E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3.6.11.13</w:t>
            </w:r>
          </w:p>
        </w:tc>
        <w:tc>
          <w:tcPr>
            <w:tcW w:w="6982" w:type="dxa"/>
            <w:tcBorders>
              <w:tl2br w:val="nil"/>
              <w:tr2bl w:val="nil"/>
            </w:tcBorders>
            <w:vAlign w:val="center"/>
          </w:tcPr>
          <w:p w14:paraId="4FEB24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支持医院检验人次展示</w:t>
            </w:r>
          </w:p>
        </w:tc>
        <w:tc>
          <w:tcPr>
            <w:tcW w:w="870" w:type="dxa"/>
            <w:vMerge w:val="continue"/>
            <w:tcBorders>
              <w:tl2br w:val="nil"/>
              <w:tr2bl w:val="nil"/>
            </w:tcBorders>
            <w:noWrap/>
            <w:vAlign w:val="center"/>
          </w:tcPr>
          <w:p w14:paraId="2C46D971">
            <w:pPr>
              <w:spacing w:line="360" w:lineRule="auto"/>
              <w:jc w:val="center"/>
              <w:rPr>
                <w:rFonts w:hint="eastAsia" w:ascii="宋体" w:hAnsi="宋体" w:cs="宋体"/>
                <w:color w:val="auto"/>
                <w:sz w:val="21"/>
                <w:szCs w:val="21"/>
                <w:highlight w:val="none"/>
              </w:rPr>
            </w:pPr>
          </w:p>
        </w:tc>
      </w:tr>
      <w:tr w14:paraId="248B07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2523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3.6.11.14</w:t>
            </w:r>
          </w:p>
        </w:tc>
        <w:tc>
          <w:tcPr>
            <w:tcW w:w="6982" w:type="dxa"/>
            <w:tcBorders>
              <w:tl2br w:val="nil"/>
              <w:tr2bl w:val="nil"/>
            </w:tcBorders>
            <w:vAlign w:val="center"/>
          </w:tcPr>
          <w:p w14:paraId="797B42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支持医院检验人次种类分布展示</w:t>
            </w:r>
          </w:p>
        </w:tc>
        <w:tc>
          <w:tcPr>
            <w:tcW w:w="870" w:type="dxa"/>
            <w:vMerge w:val="continue"/>
            <w:tcBorders>
              <w:tl2br w:val="nil"/>
              <w:tr2bl w:val="nil"/>
            </w:tcBorders>
            <w:noWrap/>
            <w:vAlign w:val="center"/>
          </w:tcPr>
          <w:p w14:paraId="0BA1DFD0">
            <w:pPr>
              <w:spacing w:line="360" w:lineRule="auto"/>
              <w:jc w:val="center"/>
              <w:rPr>
                <w:rFonts w:hint="eastAsia" w:ascii="宋体" w:hAnsi="宋体" w:cs="宋体"/>
                <w:color w:val="auto"/>
                <w:sz w:val="21"/>
                <w:szCs w:val="21"/>
                <w:highlight w:val="none"/>
              </w:rPr>
            </w:pPr>
          </w:p>
        </w:tc>
      </w:tr>
      <w:tr w14:paraId="40660E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00EB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3.6.11.15</w:t>
            </w:r>
          </w:p>
        </w:tc>
        <w:tc>
          <w:tcPr>
            <w:tcW w:w="6982" w:type="dxa"/>
            <w:tcBorders>
              <w:tl2br w:val="nil"/>
              <w:tr2bl w:val="nil"/>
            </w:tcBorders>
            <w:vAlign w:val="center"/>
          </w:tcPr>
          <w:p w14:paraId="78E65B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支持医院检验人次趋势图分析展示</w:t>
            </w:r>
          </w:p>
        </w:tc>
        <w:tc>
          <w:tcPr>
            <w:tcW w:w="870" w:type="dxa"/>
            <w:vMerge w:val="continue"/>
            <w:tcBorders>
              <w:tl2br w:val="nil"/>
              <w:tr2bl w:val="nil"/>
            </w:tcBorders>
            <w:noWrap/>
            <w:vAlign w:val="center"/>
          </w:tcPr>
          <w:p w14:paraId="350CBAA9">
            <w:pPr>
              <w:spacing w:line="360" w:lineRule="auto"/>
              <w:jc w:val="center"/>
              <w:rPr>
                <w:rFonts w:hint="eastAsia" w:ascii="宋体" w:hAnsi="宋体" w:cs="宋体"/>
                <w:color w:val="auto"/>
                <w:sz w:val="21"/>
                <w:szCs w:val="21"/>
                <w:highlight w:val="none"/>
              </w:rPr>
            </w:pPr>
          </w:p>
        </w:tc>
      </w:tr>
      <w:tr w14:paraId="744DA6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2752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3.6.11.16</w:t>
            </w:r>
          </w:p>
        </w:tc>
        <w:tc>
          <w:tcPr>
            <w:tcW w:w="6982" w:type="dxa"/>
            <w:tcBorders>
              <w:tl2br w:val="nil"/>
              <w:tr2bl w:val="nil"/>
            </w:tcBorders>
            <w:vAlign w:val="center"/>
          </w:tcPr>
          <w:p w14:paraId="19ED43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支持医院出院患者出院方式分析展示</w:t>
            </w:r>
          </w:p>
        </w:tc>
        <w:tc>
          <w:tcPr>
            <w:tcW w:w="870" w:type="dxa"/>
            <w:vMerge w:val="continue"/>
            <w:tcBorders>
              <w:tl2br w:val="nil"/>
              <w:tr2bl w:val="nil"/>
            </w:tcBorders>
            <w:noWrap/>
            <w:vAlign w:val="center"/>
          </w:tcPr>
          <w:p w14:paraId="72A4FE4F">
            <w:pPr>
              <w:spacing w:line="360" w:lineRule="auto"/>
              <w:jc w:val="center"/>
              <w:rPr>
                <w:rFonts w:hint="eastAsia" w:ascii="宋体" w:hAnsi="宋体" w:cs="宋体"/>
                <w:color w:val="auto"/>
                <w:sz w:val="21"/>
                <w:szCs w:val="21"/>
                <w:highlight w:val="none"/>
              </w:rPr>
            </w:pPr>
          </w:p>
        </w:tc>
      </w:tr>
      <w:tr w14:paraId="637D58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34F3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3.6.12</w:t>
            </w:r>
          </w:p>
        </w:tc>
        <w:tc>
          <w:tcPr>
            <w:tcW w:w="6982" w:type="dxa"/>
            <w:tcBorders>
              <w:tl2br w:val="nil"/>
              <w:tr2bl w:val="nil"/>
            </w:tcBorders>
            <w:vAlign w:val="center"/>
          </w:tcPr>
          <w:p w14:paraId="154280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医疗效能</w:t>
            </w:r>
          </w:p>
        </w:tc>
        <w:tc>
          <w:tcPr>
            <w:tcW w:w="870" w:type="dxa"/>
            <w:vMerge w:val="continue"/>
            <w:tcBorders>
              <w:tl2br w:val="nil"/>
              <w:tr2bl w:val="nil"/>
            </w:tcBorders>
            <w:noWrap/>
            <w:vAlign w:val="center"/>
          </w:tcPr>
          <w:p w14:paraId="7B9E3B8A">
            <w:pPr>
              <w:spacing w:line="360" w:lineRule="auto"/>
              <w:jc w:val="center"/>
              <w:rPr>
                <w:rFonts w:hint="eastAsia" w:ascii="宋体" w:hAnsi="宋体" w:cs="宋体"/>
                <w:color w:val="auto"/>
                <w:sz w:val="21"/>
                <w:szCs w:val="21"/>
                <w:highlight w:val="none"/>
              </w:rPr>
            </w:pPr>
          </w:p>
        </w:tc>
      </w:tr>
      <w:tr w14:paraId="59A9AE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F478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3.6.12.1</w:t>
            </w:r>
          </w:p>
        </w:tc>
        <w:tc>
          <w:tcPr>
            <w:tcW w:w="6982" w:type="dxa"/>
            <w:tcBorders>
              <w:tl2br w:val="nil"/>
              <w:tr2bl w:val="nil"/>
            </w:tcBorders>
            <w:vAlign w:val="center"/>
          </w:tcPr>
          <w:p w14:paraId="3E780F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支持医院平均住院日的数据展示</w:t>
            </w:r>
          </w:p>
        </w:tc>
        <w:tc>
          <w:tcPr>
            <w:tcW w:w="870" w:type="dxa"/>
            <w:vMerge w:val="continue"/>
            <w:tcBorders>
              <w:tl2br w:val="nil"/>
              <w:tr2bl w:val="nil"/>
            </w:tcBorders>
            <w:noWrap/>
            <w:vAlign w:val="center"/>
          </w:tcPr>
          <w:p w14:paraId="55274266">
            <w:pPr>
              <w:spacing w:line="360" w:lineRule="auto"/>
              <w:jc w:val="center"/>
              <w:rPr>
                <w:rFonts w:hint="eastAsia" w:ascii="宋体" w:hAnsi="宋体" w:cs="宋体"/>
                <w:color w:val="auto"/>
                <w:sz w:val="21"/>
                <w:szCs w:val="21"/>
                <w:highlight w:val="none"/>
              </w:rPr>
            </w:pPr>
          </w:p>
        </w:tc>
      </w:tr>
      <w:tr w14:paraId="4E89DC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3F6F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3.6.12.2</w:t>
            </w:r>
          </w:p>
        </w:tc>
        <w:tc>
          <w:tcPr>
            <w:tcW w:w="6982" w:type="dxa"/>
            <w:tcBorders>
              <w:tl2br w:val="nil"/>
              <w:tr2bl w:val="nil"/>
            </w:tcBorders>
            <w:vAlign w:val="center"/>
          </w:tcPr>
          <w:p w14:paraId="7D039B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支持医院近一周的平均住院日趋势图分析展示</w:t>
            </w:r>
          </w:p>
        </w:tc>
        <w:tc>
          <w:tcPr>
            <w:tcW w:w="870" w:type="dxa"/>
            <w:vMerge w:val="continue"/>
            <w:tcBorders>
              <w:tl2br w:val="nil"/>
              <w:tr2bl w:val="nil"/>
            </w:tcBorders>
            <w:noWrap/>
            <w:vAlign w:val="center"/>
          </w:tcPr>
          <w:p w14:paraId="7A8B46A2">
            <w:pPr>
              <w:spacing w:line="360" w:lineRule="auto"/>
              <w:jc w:val="center"/>
              <w:rPr>
                <w:rFonts w:hint="eastAsia" w:ascii="宋体" w:hAnsi="宋体" w:cs="宋体"/>
                <w:color w:val="auto"/>
                <w:sz w:val="21"/>
                <w:szCs w:val="21"/>
                <w:highlight w:val="none"/>
              </w:rPr>
            </w:pPr>
          </w:p>
        </w:tc>
      </w:tr>
      <w:tr w14:paraId="7933F6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5006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3.6.12.3</w:t>
            </w:r>
          </w:p>
        </w:tc>
        <w:tc>
          <w:tcPr>
            <w:tcW w:w="6982" w:type="dxa"/>
            <w:tcBorders>
              <w:tl2br w:val="nil"/>
              <w:tr2bl w:val="nil"/>
            </w:tcBorders>
            <w:vAlign w:val="center"/>
          </w:tcPr>
          <w:p w14:paraId="269A46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支持医院床位使用率的数据展示</w:t>
            </w:r>
          </w:p>
        </w:tc>
        <w:tc>
          <w:tcPr>
            <w:tcW w:w="870" w:type="dxa"/>
            <w:vMerge w:val="continue"/>
            <w:tcBorders>
              <w:tl2br w:val="nil"/>
              <w:tr2bl w:val="nil"/>
            </w:tcBorders>
            <w:noWrap/>
            <w:vAlign w:val="center"/>
          </w:tcPr>
          <w:p w14:paraId="2EED5FD0">
            <w:pPr>
              <w:spacing w:line="360" w:lineRule="auto"/>
              <w:jc w:val="center"/>
              <w:rPr>
                <w:rFonts w:hint="eastAsia" w:ascii="宋体" w:hAnsi="宋体" w:cs="宋体"/>
                <w:color w:val="auto"/>
                <w:sz w:val="21"/>
                <w:szCs w:val="21"/>
                <w:highlight w:val="none"/>
              </w:rPr>
            </w:pPr>
          </w:p>
        </w:tc>
      </w:tr>
      <w:tr w14:paraId="5BE449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2960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3.6.13</w:t>
            </w:r>
          </w:p>
        </w:tc>
        <w:tc>
          <w:tcPr>
            <w:tcW w:w="6982" w:type="dxa"/>
            <w:tcBorders>
              <w:tl2br w:val="nil"/>
              <w:tr2bl w:val="nil"/>
            </w:tcBorders>
            <w:vAlign w:val="center"/>
          </w:tcPr>
          <w:p w14:paraId="77D6C0F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医疗质量</w:t>
            </w:r>
          </w:p>
        </w:tc>
        <w:tc>
          <w:tcPr>
            <w:tcW w:w="870" w:type="dxa"/>
            <w:vMerge w:val="continue"/>
            <w:tcBorders>
              <w:tl2br w:val="nil"/>
              <w:tr2bl w:val="nil"/>
            </w:tcBorders>
            <w:noWrap/>
            <w:vAlign w:val="center"/>
          </w:tcPr>
          <w:p w14:paraId="1241BC3B">
            <w:pPr>
              <w:spacing w:line="360" w:lineRule="auto"/>
              <w:jc w:val="center"/>
              <w:rPr>
                <w:rFonts w:hint="eastAsia" w:ascii="宋体" w:hAnsi="宋体" w:cs="宋体"/>
                <w:color w:val="auto"/>
                <w:sz w:val="21"/>
                <w:szCs w:val="21"/>
                <w:highlight w:val="none"/>
              </w:rPr>
            </w:pPr>
          </w:p>
        </w:tc>
      </w:tr>
      <w:tr w14:paraId="729D21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896B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3.6.13.1</w:t>
            </w:r>
          </w:p>
        </w:tc>
        <w:tc>
          <w:tcPr>
            <w:tcW w:w="6982" w:type="dxa"/>
            <w:tcBorders>
              <w:tl2br w:val="nil"/>
              <w:tr2bl w:val="nil"/>
            </w:tcBorders>
            <w:vAlign w:val="center"/>
          </w:tcPr>
          <w:p w14:paraId="55A4A9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支持住院手术情况展示、手术等级比例、趋势展示</w:t>
            </w:r>
          </w:p>
        </w:tc>
        <w:tc>
          <w:tcPr>
            <w:tcW w:w="870" w:type="dxa"/>
            <w:vMerge w:val="continue"/>
            <w:tcBorders>
              <w:tl2br w:val="nil"/>
              <w:tr2bl w:val="nil"/>
            </w:tcBorders>
            <w:noWrap/>
            <w:vAlign w:val="center"/>
          </w:tcPr>
          <w:p w14:paraId="071C6932">
            <w:pPr>
              <w:spacing w:line="360" w:lineRule="auto"/>
              <w:jc w:val="center"/>
              <w:rPr>
                <w:rFonts w:hint="eastAsia" w:ascii="宋体" w:hAnsi="宋体" w:cs="宋体"/>
                <w:color w:val="auto"/>
                <w:sz w:val="21"/>
                <w:szCs w:val="21"/>
                <w:highlight w:val="none"/>
              </w:rPr>
            </w:pPr>
          </w:p>
        </w:tc>
      </w:tr>
      <w:tr w14:paraId="543E15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3073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3.6.13.2</w:t>
            </w:r>
          </w:p>
        </w:tc>
        <w:tc>
          <w:tcPr>
            <w:tcW w:w="6982" w:type="dxa"/>
            <w:tcBorders>
              <w:tl2br w:val="nil"/>
              <w:tr2bl w:val="nil"/>
            </w:tcBorders>
            <w:vAlign w:val="center"/>
          </w:tcPr>
          <w:p w14:paraId="505936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支持急危重情况、住危重情况展示</w:t>
            </w:r>
          </w:p>
        </w:tc>
        <w:tc>
          <w:tcPr>
            <w:tcW w:w="870" w:type="dxa"/>
            <w:vMerge w:val="continue"/>
            <w:tcBorders>
              <w:tl2br w:val="nil"/>
              <w:tr2bl w:val="nil"/>
            </w:tcBorders>
            <w:noWrap/>
            <w:vAlign w:val="center"/>
          </w:tcPr>
          <w:p w14:paraId="247FFD7A">
            <w:pPr>
              <w:spacing w:line="360" w:lineRule="auto"/>
              <w:jc w:val="center"/>
              <w:rPr>
                <w:rFonts w:hint="eastAsia" w:ascii="宋体" w:hAnsi="宋体" w:cs="宋体"/>
                <w:color w:val="auto"/>
                <w:sz w:val="21"/>
                <w:szCs w:val="21"/>
                <w:highlight w:val="none"/>
              </w:rPr>
            </w:pPr>
          </w:p>
        </w:tc>
      </w:tr>
      <w:tr w14:paraId="1C2E80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2CFD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3.6.13.3</w:t>
            </w:r>
          </w:p>
        </w:tc>
        <w:tc>
          <w:tcPr>
            <w:tcW w:w="6982" w:type="dxa"/>
            <w:tcBorders>
              <w:tl2br w:val="nil"/>
              <w:tr2bl w:val="nil"/>
            </w:tcBorders>
            <w:vAlign w:val="center"/>
          </w:tcPr>
          <w:p w14:paraId="6D6FB7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支持住院患者主动出院与死亡统计展示</w:t>
            </w:r>
          </w:p>
        </w:tc>
        <w:tc>
          <w:tcPr>
            <w:tcW w:w="870" w:type="dxa"/>
            <w:vMerge w:val="continue"/>
            <w:tcBorders>
              <w:tl2br w:val="nil"/>
              <w:tr2bl w:val="nil"/>
            </w:tcBorders>
            <w:noWrap/>
            <w:vAlign w:val="center"/>
          </w:tcPr>
          <w:p w14:paraId="136E147D">
            <w:pPr>
              <w:spacing w:line="360" w:lineRule="auto"/>
              <w:jc w:val="center"/>
              <w:rPr>
                <w:rFonts w:hint="eastAsia" w:ascii="宋体" w:hAnsi="宋体" w:cs="宋体"/>
                <w:color w:val="auto"/>
                <w:sz w:val="21"/>
                <w:szCs w:val="21"/>
                <w:highlight w:val="none"/>
              </w:rPr>
            </w:pPr>
          </w:p>
        </w:tc>
      </w:tr>
      <w:tr w14:paraId="29E62A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8936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w:t>
            </w:r>
          </w:p>
        </w:tc>
        <w:tc>
          <w:tcPr>
            <w:tcW w:w="6982" w:type="dxa"/>
            <w:tcBorders>
              <w:tl2br w:val="nil"/>
              <w:tr2bl w:val="nil"/>
            </w:tcBorders>
            <w:vAlign w:val="center"/>
          </w:tcPr>
          <w:p w14:paraId="7EC7D7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医疗收入</w:t>
            </w:r>
          </w:p>
        </w:tc>
        <w:tc>
          <w:tcPr>
            <w:tcW w:w="870" w:type="dxa"/>
            <w:vMerge w:val="continue"/>
            <w:tcBorders>
              <w:tl2br w:val="nil"/>
              <w:tr2bl w:val="nil"/>
            </w:tcBorders>
            <w:noWrap/>
            <w:vAlign w:val="center"/>
          </w:tcPr>
          <w:p w14:paraId="7FCBFFEB">
            <w:pPr>
              <w:spacing w:line="360" w:lineRule="auto"/>
              <w:jc w:val="center"/>
              <w:rPr>
                <w:rFonts w:hint="eastAsia" w:ascii="宋体" w:hAnsi="宋体" w:cs="宋体"/>
                <w:color w:val="auto"/>
                <w:sz w:val="21"/>
                <w:szCs w:val="21"/>
                <w:highlight w:val="none"/>
              </w:rPr>
            </w:pPr>
          </w:p>
        </w:tc>
      </w:tr>
      <w:tr w14:paraId="36D5D1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34D9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3.6.14.1</w:t>
            </w:r>
          </w:p>
        </w:tc>
        <w:tc>
          <w:tcPr>
            <w:tcW w:w="6982" w:type="dxa"/>
            <w:tcBorders>
              <w:tl2br w:val="nil"/>
              <w:tr2bl w:val="nil"/>
            </w:tcBorders>
            <w:vAlign w:val="center"/>
          </w:tcPr>
          <w:p w14:paraId="03FA82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支持医院医疗总收入的数据展示</w:t>
            </w:r>
          </w:p>
        </w:tc>
        <w:tc>
          <w:tcPr>
            <w:tcW w:w="870" w:type="dxa"/>
            <w:vMerge w:val="continue"/>
            <w:tcBorders>
              <w:tl2br w:val="nil"/>
              <w:tr2bl w:val="nil"/>
            </w:tcBorders>
            <w:noWrap/>
            <w:vAlign w:val="center"/>
          </w:tcPr>
          <w:p w14:paraId="1ABD9146">
            <w:pPr>
              <w:spacing w:line="360" w:lineRule="auto"/>
              <w:jc w:val="center"/>
              <w:rPr>
                <w:rFonts w:hint="eastAsia" w:ascii="宋体" w:hAnsi="宋体" w:cs="宋体"/>
                <w:color w:val="auto"/>
                <w:sz w:val="21"/>
                <w:szCs w:val="21"/>
                <w:highlight w:val="none"/>
              </w:rPr>
            </w:pPr>
          </w:p>
        </w:tc>
      </w:tr>
      <w:tr w14:paraId="70DC1A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3BC0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3.6.14.2</w:t>
            </w:r>
          </w:p>
        </w:tc>
        <w:tc>
          <w:tcPr>
            <w:tcW w:w="6982" w:type="dxa"/>
            <w:tcBorders>
              <w:tl2br w:val="nil"/>
              <w:tr2bl w:val="nil"/>
            </w:tcBorders>
            <w:vAlign w:val="center"/>
          </w:tcPr>
          <w:p w14:paraId="65DF26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支持医院医疗收入中住院收入、门诊收入、急诊收入各收入金额与占比的数据展示</w:t>
            </w:r>
          </w:p>
        </w:tc>
        <w:tc>
          <w:tcPr>
            <w:tcW w:w="870" w:type="dxa"/>
            <w:vMerge w:val="continue"/>
            <w:tcBorders>
              <w:tl2br w:val="nil"/>
              <w:tr2bl w:val="nil"/>
            </w:tcBorders>
            <w:noWrap/>
            <w:vAlign w:val="center"/>
          </w:tcPr>
          <w:p w14:paraId="3E350592">
            <w:pPr>
              <w:spacing w:line="360" w:lineRule="auto"/>
              <w:jc w:val="center"/>
              <w:rPr>
                <w:rFonts w:hint="eastAsia" w:ascii="宋体" w:hAnsi="宋体" w:cs="宋体"/>
                <w:color w:val="auto"/>
                <w:sz w:val="21"/>
                <w:szCs w:val="21"/>
                <w:highlight w:val="none"/>
              </w:rPr>
            </w:pPr>
          </w:p>
        </w:tc>
      </w:tr>
      <w:tr w14:paraId="7ABC55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0B90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3.6.14.3</w:t>
            </w:r>
          </w:p>
        </w:tc>
        <w:tc>
          <w:tcPr>
            <w:tcW w:w="6982" w:type="dxa"/>
            <w:tcBorders>
              <w:tl2br w:val="nil"/>
              <w:tr2bl w:val="nil"/>
            </w:tcBorders>
            <w:vAlign w:val="center"/>
          </w:tcPr>
          <w:p w14:paraId="22F9F1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支持医院门诊耗材收入、药品收入、检查收入、检验收入、其他收入等及所占比例展示</w:t>
            </w:r>
          </w:p>
        </w:tc>
        <w:tc>
          <w:tcPr>
            <w:tcW w:w="870" w:type="dxa"/>
            <w:vMerge w:val="continue"/>
            <w:tcBorders>
              <w:tl2br w:val="nil"/>
              <w:tr2bl w:val="nil"/>
            </w:tcBorders>
            <w:noWrap/>
            <w:vAlign w:val="center"/>
          </w:tcPr>
          <w:p w14:paraId="0A31E42C">
            <w:pPr>
              <w:spacing w:line="360" w:lineRule="auto"/>
              <w:jc w:val="center"/>
              <w:rPr>
                <w:rFonts w:hint="eastAsia" w:ascii="宋体" w:hAnsi="宋体" w:cs="宋体"/>
                <w:color w:val="auto"/>
                <w:sz w:val="21"/>
                <w:szCs w:val="21"/>
                <w:highlight w:val="none"/>
              </w:rPr>
            </w:pPr>
          </w:p>
        </w:tc>
      </w:tr>
      <w:tr w14:paraId="7910B23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2C88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3.6.14.4</w:t>
            </w:r>
          </w:p>
        </w:tc>
        <w:tc>
          <w:tcPr>
            <w:tcW w:w="6982" w:type="dxa"/>
            <w:tcBorders>
              <w:tl2br w:val="nil"/>
              <w:tr2bl w:val="nil"/>
            </w:tcBorders>
            <w:vAlign w:val="center"/>
          </w:tcPr>
          <w:p w14:paraId="7231BA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支持医院住院耗材收入、药品收入、检查收入、检验收入、其他收入等及所占比例展示</w:t>
            </w:r>
          </w:p>
        </w:tc>
        <w:tc>
          <w:tcPr>
            <w:tcW w:w="870" w:type="dxa"/>
            <w:vMerge w:val="continue"/>
            <w:tcBorders>
              <w:tl2br w:val="nil"/>
              <w:tr2bl w:val="nil"/>
            </w:tcBorders>
            <w:noWrap/>
            <w:vAlign w:val="center"/>
          </w:tcPr>
          <w:p w14:paraId="7BC9ED4B">
            <w:pPr>
              <w:spacing w:line="360" w:lineRule="auto"/>
              <w:jc w:val="center"/>
              <w:rPr>
                <w:rFonts w:hint="eastAsia" w:ascii="宋体" w:hAnsi="宋体" w:cs="宋体"/>
                <w:color w:val="auto"/>
                <w:sz w:val="21"/>
                <w:szCs w:val="21"/>
                <w:highlight w:val="none"/>
              </w:rPr>
            </w:pPr>
          </w:p>
        </w:tc>
      </w:tr>
      <w:tr w14:paraId="0D4003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8C56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3.6.14.5</w:t>
            </w:r>
          </w:p>
        </w:tc>
        <w:tc>
          <w:tcPr>
            <w:tcW w:w="6982" w:type="dxa"/>
            <w:tcBorders>
              <w:tl2br w:val="nil"/>
              <w:tr2bl w:val="nil"/>
            </w:tcBorders>
            <w:vAlign w:val="center"/>
          </w:tcPr>
          <w:p w14:paraId="65436A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支持医院总收入、门诊收入、住院收入趋势图分析展示</w:t>
            </w:r>
          </w:p>
        </w:tc>
        <w:tc>
          <w:tcPr>
            <w:tcW w:w="870" w:type="dxa"/>
            <w:vMerge w:val="continue"/>
            <w:tcBorders>
              <w:tl2br w:val="nil"/>
              <w:tr2bl w:val="nil"/>
            </w:tcBorders>
            <w:noWrap/>
            <w:vAlign w:val="center"/>
          </w:tcPr>
          <w:p w14:paraId="3A167771">
            <w:pPr>
              <w:spacing w:line="360" w:lineRule="auto"/>
              <w:jc w:val="center"/>
              <w:rPr>
                <w:rFonts w:hint="eastAsia" w:ascii="宋体" w:hAnsi="宋体" w:cs="宋体"/>
                <w:color w:val="auto"/>
                <w:sz w:val="21"/>
                <w:szCs w:val="21"/>
                <w:highlight w:val="none"/>
              </w:rPr>
            </w:pPr>
          </w:p>
        </w:tc>
      </w:tr>
      <w:tr w14:paraId="3F2F65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0814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3.6.14.6</w:t>
            </w:r>
          </w:p>
        </w:tc>
        <w:tc>
          <w:tcPr>
            <w:tcW w:w="6982" w:type="dxa"/>
            <w:tcBorders>
              <w:tl2br w:val="nil"/>
              <w:tr2bl w:val="nil"/>
            </w:tcBorders>
            <w:vAlign w:val="center"/>
          </w:tcPr>
          <w:p w14:paraId="7C3E7C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支持医院门诊次均费用的数据展示</w:t>
            </w:r>
          </w:p>
        </w:tc>
        <w:tc>
          <w:tcPr>
            <w:tcW w:w="870" w:type="dxa"/>
            <w:vMerge w:val="continue"/>
            <w:tcBorders>
              <w:tl2br w:val="nil"/>
              <w:tr2bl w:val="nil"/>
            </w:tcBorders>
            <w:noWrap/>
            <w:vAlign w:val="center"/>
          </w:tcPr>
          <w:p w14:paraId="47C58727">
            <w:pPr>
              <w:spacing w:line="360" w:lineRule="auto"/>
              <w:jc w:val="center"/>
              <w:rPr>
                <w:rFonts w:hint="eastAsia" w:ascii="宋体" w:hAnsi="宋体" w:cs="宋体"/>
                <w:color w:val="auto"/>
                <w:sz w:val="21"/>
                <w:szCs w:val="21"/>
                <w:highlight w:val="none"/>
              </w:rPr>
            </w:pPr>
          </w:p>
        </w:tc>
      </w:tr>
      <w:tr w14:paraId="0C11E4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4867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3.6.14.7</w:t>
            </w:r>
          </w:p>
        </w:tc>
        <w:tc>
          <w:tcPr>
            <w:tcW w:w="6982" w:type="dxa"/>
            <w:tcBorders>
              <w:tl2br w:val="nil"/>
              <w:tr2bl w:val="nil"/>
            </w:tcBorders>
            <w:vAlign w:val="center"/>
          </w:tcPr>
          <w:p w14:paraId="32DE74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支持医院住院次均费用的数据展示</w:t>
            </w:r>
          </w:p>
        </w:tc>
        <w:tc>
          <w:tcPr>
            <w:tcW w:w="870" w:type="dxa"/>
            <w:vMerge w:val="continue"/>
            <w:tcBorders>
              <w:tl2br w:val="nil"/>
              <w:tr2bl w:val="nil"/>
            </w:tcBorders>
            <w:noWrap/>
            <w:vAlign w:val="center"/>
          </w:tcPr>
          <w:p w14:paraId="360101C4">
            <w:pPr>
              <w:spacing w:line="360" w:lineRule="auto"/>
              <w:jc w:val="center"/>
              <w:rPr>
                <w:rFonts w:hint="eastAsia" w:ascii="宋体" w:hAnsi="宋体" w:cs="宋体"/>
                <w:color w:val="auto"/>
                <w:sz w:val="21"/>
                <w:szCs w:val="21"/>
                <w:highlight w:val="none"/>
              </w:rPr>
            </w:pPr>
          </w:p>
        </w:tc>
      </w:tr>
      <w:tr w14:paraId="525953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2CAF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3.6.14.8</w:t>
            </w:r>
          </w:p>
        </w:tc>
        <w:tc>
          <w:tcPr>
            <w:tcW w:w="6982" w:type="dxa"/>
            <w:tcBorders>
              <w:tl2br w:val="nil"/>
              <w:tr2bl w:val="nil"/>
            </w:tcBorders>
            <w:vAlign w:val="center"/>
          </w:tcPr>
          <w:p w14:paraId="33EA31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支持医院住院次均药费的数据展示</w:t>
            </w:r>
          </w:p>
        </w:tc>
        <w:tc>
          <w:tcPr>
            <w:tcW w:w="870" w:type="dxa"/>
            <w:vMerge w:val="continue"/>
            <w:tcBorders>
              <w:tl2br w:val="nil"/>
              <w:tr2bl w:val="nil"/>
            </w:tcBorders>
            <w:noWrap/>
            <w:vAlign w:val="center"/>
          </w:tcPr>
          <w:p w14:paraId="35868B6F">
            <w:pPr>
              <w:spacing w:line="360" w:lineRule="auto"/>
              <w:jc w:val="center"/>
              <w:rPr>
                <w:rFonts w:hint="eastAsia" w:ascii="宋体" w:hAnsi="宋体" w:cs="宋体"/>
                <w:color w:val="auto"/>
                <w:sz w:val="21"/>
                <w:szCs w:val="21"/>
                <w:highlight w:val="none"/>
              </w:rPr>
            </w:pPr>
          </w:p>
        </w:tc>
      </w:tr>
      <w:tr w14:paraId="4AADC8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8EB0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3.6.14.9</w:t>
            </w:r>
          </w:p>
        </w:tc>
        <w:tc>
          <w:tcPr>
            <w:tcW w:w="6982" w:type="dxa"/>
            <w:tcBorders>
              <w:tl2br w:val="nil"/>
              <w:tr2bl w:val="nil"/>
            </w:tcBorders>
            <w:vAlign w:val="center"/>
          </w:tcPr>
          <w:p w14:paraId="68F7D4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支持医院门诊、住院非药非耗收入展示</w:t>
            </w:r>
          </w:p>
        </w:tc>
        <w:tc>
          <w:tcPr>
            <w:tcW w:w="870" w:type="dxa"/>
            <w:vMerge w:val="continue"/>
            <w:tcBorders>
              <w:tl2br w:val="nil"/>
              <w:tr2bl w:val="nil"/>
            </w:tcBorders>
            <w:noWrap/>
            <w:vAlign w:val="center"/>
          </w:tcPr>
          <w:p w14:paraId="5C6E7396">
            <w:pPr>
              <w:spacing w:line="360" w:lineRule="auto"/>
              <w:jc w:val="center"/>
              <w:rPr>
                <w:rFonts w:hint="eastAsia" w:ascii="宋体" w:hAnsi="宋体" w:cs="宋体"/>
                <w:color w:val="auto"/>
                <w:sz w:val="21"/>
                <w:szCs w:val="21"/>
                <w:highlight w:val="none"/>
              </w:rPr>
            </w:pPr>
          </w:p>
        </w:tc>
      </w:tr>
      <w:tr w14:paraId="7C2076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F9E8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四</w:t>
            </w:r>
          </w:p>
        </w:tc>
        <w:tc>
          <w:tcPr>
            <w:tcW w:w="6982" w:type="dxa"/>
            <w:tcBorders>
              <w:tl2br w:val="nil"/>
              <w:tr2bl w:val="nil"/>
            </w:tcBorders>
            <w:vAlign w:val="center"/>
          </w:tcPr>
          <w:p w14:paraId="49C84A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新院区运行所需新建 / 升级系统</w:t>
            </w:r>
          </w:p>
        </w:tc>
        <w:tc>
          <w:tcPr>
            <w:tcW w:w="870" w:type="dxa"/>
            <w:tcBorders>
              <w:tl2br w:val="nil"/>
              <w:tr2bl w:val="nil"/>
            </w:tcBorders>
            <w:noWrap/>
            <w:vAlign w:val="center"/>
          </w:tcPr>
          <w:p w14:paraId="711CAC41">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16C2B9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E5BE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w:t>
            </w:r>
          </w:p>
        </w:tc>
        <w:tc>
          <w:tcPr>
            <w:tcW w:w="6982" w:type="dxa"/>
            <w:tcBorders>
              <w:tl2br w:val="nil"/>
              <w:tr2bl w:val="nil"/>
            </w:tcBorders>
            <w:vAlign w:val="center"/>
          </w:tcPr>
          <w:p w14:paraId="7DC3E5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急诊输液管理系统（重构）</w:t>
            </w:r>
          </w:p>
        </w:tc>
        <w:tc>
          <w:tcPr>
            <w:tcW w:w="870" w:type="dxa"/>
            <w:vMerge w:val="restart"/>
            <w:tcBorders>
              <w:tl2br w:val="nil"/>
              <w:tr2bl w:val="nil"/>
            </w:tcBorders>
            <w:noWrap/>
            <w:vAlign w:val="center"/>
          </w:tcPr>
          <w:p w14:paraId="3A4B02A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048BDF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4E44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4.1.1</w:t>
            </w:r>
          </w:p>
        </w:tc>
        <w:tc>
          <w:tcPr>
            <w:tcW w:w="6982" w:type="dxa"/>
            <w:tcBorders>
              <w:tl2br w:val="nil"/>
              <w:tr2bl w:val="nil"/>
            </w:tcBorders>
            <w:vAlign w:val="center"/>
          </w:tcPr>
          <w:p w14:paraId="55523F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字典改造</w:t>
            </w:r>
          </w:p>
        </w:tc>
        <w:tc>
          <w:tcPr>
            <w:tcW w:w="870" w:type="dxa"/>
            <w:vMerge w:val="continue"/>
            <w:tcBorders>
              <w:tl2br w:val="nil"/>
              <w:tr2bl w:val="nil"/>
            </w:tcBorders>
            <w:noWrap/>
            <w:vAlign w:val="center"/>
          </w:tcPr>
          <w:p w14:paraId="7E2AFA6C">
            <w:pPr>
              <w:spacing w:line="360" w:lineRule="auto"/>
              <w:jc w:val="center"/>
              <w:rPr>
                <w:rFonts w:hint="eastAsia" w:ascii="宋体" w:hAnsi="宋体" w:cs="宋体"/>
                <w:color w:val="auto"/>
                <w:sz w:val="21"/>
                <w:szCs w:val="21"/>
                <w:highlight w:val="none"/>
              </w:rPr>
            </w:pPr>
          </w:p>
        </w:tc>
      </w:tr>
      <w:tr w14:paraId="7D9847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8155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4.1.1.1</w:t>
            </w:r>
          </w:p>
        </w:tc>
        <w:tc>
          <w:tcPr>
            <w:tcW w:w="6982" w:type="dxa"/>
            <w:tcBorders>
              <w:tl2br w:val="nil"/>
              <w:tr2bl w:val="nil"/>
            </w:tcBorders>
            <w:vAlign w:val="center"/>
          </w:tcPr>
          <w:p w14:paraId="0CFE08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字典改造需增加码表字典，定义输液室注射类型：静滴、雾化、注射。定义给药途径码表字典属性：编码为新增的码表字典（输液室注射类型字典）</w:t>
            </w:r>
          </w:p>
        </w:tc>
        <w:tc>
          <w:tcPr>
            <w:tcW w:w="870" w:type="dxa"/>
            <w:vMerge w:val="continue"/>
            <w:tcBorders>
              <w:tl2br w:val="nil"/>
              <w:tr2bl w:val="nil"/>
            </w:tcBorders>
            <w:noWrap/>
            <w:vAlign w:val="center"/>
          </w:tcPr>
          <w:p w14:paraId="152A7DA1">
            <w:pPr>
              <w:spacing w:line="360" w:lineRule="auto"/>
              <w:jc w:val="center"/>
              <w:rPr>
                <w:rFonts w:hint="eastAsia" w:ascii="宋体" w:hAnsi="宋体" w:cs="宋体"/>
                <w:color w:val="auto"/>
                <w:sz w:val="21"/>
                <w:szCs w:val="21"/>
                <w:highlight w:val="none"/>
              </w:rPr>
            </w:pPr>
          </w:p>
        </w:tc>
      </w:tr>
      <w:tr w14:paraId="2337F2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B40A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w:t>
            </w:r>
          </w:p>
        </w:tc>
        <w:tc>
          <w:tcPr>
            <w:tcW w:w="6982" w:type="dxa"/>
            <w:tcBorders>
              <w:tl2br w:val="nil"/>
              <w:tr2bl w:val="nil"/>
            </w:tcBorders>
            <w:vAlign w:val="center"/>
          </w:tcPr>
          <w:p w14:paraId="47E8C5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门诊医生站改造</w:t>
            </w:r>
          </w:p>
        </w:tc>
        <w:tc>
          <w:tcPr>
            <w:tcW w:w="870" w:type="dxa"/>
            <w:vMerge w:val="continue"/>
            <w:tcBorders>
              <w:tl2br w:val="nil"/>
              <w:tr2bl w:val="nil"/>
            </w:tcBorders>
            <w:noWrap/>
            <w:vAlign w:val="center"/>
          </w:tcPr>
          <w:p w14:paraId="66ACCB19">
            <w:pPr>
              <w:spacing w:line="360" w:lineRule="auto"/>
              <w:jc w:val="center"/>
              <w:rPr>
                <w:rFonts w:hint="eastAsia" w:ascii="宋体" w:hAnsi="宋体" w:cs="宋体"/>
                <w:color w:val="auto"/>
                <w:sz w:val="21"/>
                <w:szCs w:val="21"/>
                <w:highlight w:val="none"/>
              </w:rPr>
            </w:pPr>
          </w:p>
        </w:tc>
      </w:tr>
      <w:tr w14:paraId="5B3178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80C0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4.1.2.1</w:t>
            </w:r>
          </w:p>
        </w:tc>
        <w:tc>
          <w:tcPr>
            <w:tcW w:w="6982" w:type="dxa"/>
            <w:tcBorders>
              <w:tl2br w:val="nil"/>
              <w:tr2bl w:val="nil"/>
            </w:tcBorders>
            <w:vAlign w:val="center"/>
          </w:tcPr>
          <w:p w14:paraId="7424C0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门诊医生站改造需创建病人就诊注射费缴费信息记录表，数据结构参考如下，由医护组提供接口给财务组调用（病人完成缴费时调用，包括诊间结算、窗口结算、自助机结算等）</w:t>
            </w:r>
          </w:p>
        </w:tc>
        <w:tc>
          <w:tcPr>
            <w:tcW w:w="870" w:type="dxa"/>
            <w:vMerge w:val="continue"/>
            <w:tcBorders>
              <w:tl2br w:val="nil"/>
              <w:tr2bl w:val="nil"/>
            </w:tcBorders>
            <w:noWrap/>
            <w:vAlign w:val="center"/>
          </w:tcPr>
          <w:p w14:paraId="7A11C5E8">
            <w:pPr>
              <w:spacing w:line="360" w:lineRule="auto"/>
              <w:jc w:val="center"/>
              <w:rPr>
                <w:rFonts w:hint="eastAsia" w:ascii="宋体" w:hAnsi="宋体" w:cs="宋体"/>
                <w:color w:val="auto"/>
                <w:sz w:val="21"/>
                <w:szCs w:val="21"/>
                <w:highlight w:val="none"/>
              </w:rPr>
            </w:pPr>
          </w:p>
        </w:tc>
      </w:tr>
      <w:tr w14:paraId="6FA416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984D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w:t>
            </w:r>
          </w:p>
        </w:tc>
        <w:tc>
          <w:tcPr>
            <w:tcW w:w="6982" w:type="dxa"/>
            <w:tcBorders>
              <w:tl2br w:val="nil"/>
              <w:tr2bl w:val="nil"/>
            </w:tcBorders>
            <w:vAlign w:val="center"/>
          </w:tcPr>
          <w:p w14:paraId="0BB932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门诊输液台界面</w:t>
            </w:r>
          </w:p>
        </w:tc>
        <w:tc>
          <w:tcPr>
            <w:tcW w:w="870" w:type="dxa"/>
            <w:vMerge w:val="continue"/>
            <w:tcBorders>
              <w:tl2br w:val="nil"/>
              <w:tr2bl w:val="nil"/>
            </w:tcBorders>
            <w:noWrap/>
            <w:vAlign w:val="center"/>
          </w:tcPr>
          <w:p w14:paraId="17EE7EF9">
            <w:pPr>
              <w:spacing w:line="360" w:lineRule="auto"/>
              <w:jc w:val="center"/>
              <w:rPr>
                <w:rFonts w:hint="eastAsia" w:ascii="宋体" w:hAnsi="宋体" w:cs="宋体"/>
                <w:color w:val="auto"/>
                <w:sz w:val="21"/>
                <w:szCs w:val="21"/>
                <w:highlight w:val="none"/>
              </w:rPr>
            </w:pPr>
          </w:p>
        </w:tc>
      </w:tr>
      <w:tr w14:paraId="4C6348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74243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4.1.3.1</w:t>
            </w:r>
          </w:p>
        </w:tc>
        <w:tc>
          <w:tcPr>
            <w:tcW w:w="6982" w:type="dxa"/>
            <w:tcBorders>
              <w:tl2br w:val="nil"/>
              <w:tr2bl w:val="nil"/>
            </w:tcBorders>
            <w:vAlign w:val="center"/>
          </w:tcPr>
          <w:p w14:paraId="1EE988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门诊输液台界面需新增界面打开时弹出核对人选择框，护士选择后，界面上显示，同时系统缓存记录</w:t>
            </w:r>
          </w:p>
        </w:tc>
        <w:tc>
          <w:tcPr>
            <w:tcW w:w="870" w:type="dxa"/>
            <w:vMerge w:val="continue"/>
            <w:tcBorders>
              <w:tl2br w:val="nil"/>
              <w:tr2bl w:val="nil"/>
            </w:tcBorders>
            <w:noWrap/>
            <w:vAlign w:val="center"/>
          </w:tcPr>
          <w:p w14:paraId="2B23538F">
            <w:pPr>
              <w:spacing w:line="360" w:lineRule="auto"/>
              <w:jc w:val="center"/>
              <w:rPr>
                <w:rFonts w:hint="eastAsia" w:ascii="宋体" w:hAnsi="宋体" w:cs="宋体"/>
                <w:color w:val="auto"/>
                <w:sz w:val="21"/>
                <w:szCs w:val="21"/>
                <w:highlight w:val="none"/>
              </w:rPr>
            </w:pPr>
          </w:p>
        </w:tc>
      </w:tr>
      <w:tr w14:paraId="5354357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2E3E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w:t>
            </w:r>
          </w:p>
        </w:tc>
        <w:tc>
          <w:tcPr>
            <w:tcW w:w="6982" w:type="dxa"/>
            <w:tcBorders>
              <w:tl2br w:val="nil"/>
              <w:tr2bl w:val="nil"/>
            </w:tcBorders>
            <w:vAlign w:val="center"/>
          </w:tcPr>
          <w:p w14:paraId="308205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查看病人输液、雾化、肌注、皮下等剩余缴费次数，提供护士模板一键导入完成输液费缴费，支持病人按照已上线的穿刺台自动排队和护士手动分配穿刺台排队两种方式，并自动打印患者标签和药品标签；支持接收台界面同步查看病人的门诊病历信息。</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79562072">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5356CB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CC7D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w:t>
            </w:r>
          </w:p>
        </w:tc>
        <w:tc>
          <w:tcPr>
            <w:tcW w:w="6982" w:type="dxa"/>
            <w:tcBorders>
              <w:tl2br w:val="nil"/>
              <w:tr2bl w:val="nil"/>
            </w:tcBorders>
            <w:vAlign w:val="center"/>
          </w:tcPr>
          <w:p w14:paraId="5E6CB3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界面操作</w:t>
            </w:r>
          </w:p>
        </w:tc>
        <w:tc>
          <w:tcPr>
            <w:tcW w:w="870" w:type="dxa"/>
            <w:vMerge w:val="restart"/>
            <w:tcBorders>
              <w:tl2br w:val="nil"/>
              <w:tr2bl w:val="nil"/>
            </w:tcBorders>
            <w:noWrap/>
            <w:vAlign w:val="center"/>
          </w:tcPr>
          <w:p w14:paraId="2B1729EB">
            <w:pPr>
              <w:widowControl/>
              <w:spacing w:line="360" w:lineRule="auto"/>
              <w:jc w:val="center"/>
              <w:textAlignment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1</w:t>
            </w:r>
          </w:p>
        </w:tc>
      </w:tr>
      <w:tr w14:paraId="25703F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CAF6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4.1.4.1</w:t>
            </w:r>
          </w:p>
        </w:tc>
        <w:tc>
          <w:tcPr>
            <w:tcW w:w="6982" w:type="dxa"/>
            <w:tcBorders>
              <w:tl2br w:val="nil"/>
              <w:tr2bl w:val="nil"/>
            </w:tcBorders>
            <w:vAlign w:val="center"/>
          </w:tcPr>
          <w:p w14:paraId="17A99A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支持界面执行、暂停、结束执行</w:t>
            </w:r>
          </w:p>
        </w:tc>
        <w:tc>
          <w:tcPr>
            <w:tcW w:w="870" w:type="dxa"/>
            <w:vMerge w:val="continue"/>
            <w:tcBorders>
              <w:tl2br w:val="nil"/>
              <w:tr2bl w:val="nil"/>
            </w:tcBorders>
            <w:noWrap/>
            <w:vAlign w:val="center"/>
          </w:tcPr>
          <w:p w14:paraId="3EB8E8ED">
            <w:pPr>
              <w:widowControl/>
              <w:spacing w:line="360" w:lineRule="auto"/>
              <w:jc w:val="center"/>
              <w:textAlignment w:val="center"/>
              <w:rPr>
                <w:rFonts w:hint="eastAsia" w:ascii="宋体" w:hAnsi="宋体" w:cs="宋体"/>
                <w:color w:val="auto"/>
                <w:kern w:val="0"/>
                <w:sz w:val="21"/>
                <w:szCs w:val="21"/>
                <w:highlight w:val="none"/>
                <w:lang w:bidi="ar"/>
              </w:rPr>
            </w:pPr>
          </w:p>
        </w:tc>
      </w:tr>
      <w:tr w14:paraId="194EDFC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1A40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4.1.5</w:t>
            </w:r>
          </w:p>
        </w:tc>
        <w:tc>
          <w:tcPr>
            <w:tcW w:w="6982" w:type="dxa"/>
            <w:tcBorders>
              <w:tl2br w:val="nil"/>
              <w:tr2bl w:val="nil"/>
            </w:tcBorders>
            <w:vAlign w:val="center"/>
          </w:tcPr>
          <w:p w14:paraId="7DF565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信息展现</w:t>
            </w:r>
          </w:p>
        </w:tc>
        <w:tc>
          <w:tcPr>
            <w:tcW w:w="870" w:type="dxa"/>
            <w:vMerge w:val="continue"/>
            <w:tcBorders>
              <w:tl2br w:val="nil"/>
              <w:tr2bl w:val="nil"/>
            </w:tcBorders>
            <w:noWrap/>
            <w:vAlign w:val="center"/>
          </w:tcPr>
          <w:p w14:paraId="7F45A7A4">
            <w:pPr>
              <w:widowControl/>
              <w:spacing w:line="360" w:lineRule="auto"/>
              <w:jc w:val="center"/>
              <w:textAlignment w:val="center"/>
              <w:rPr>
                <w:rFonts w:hint="eastAsia" w:ascii="宋体" w:hAnsi="宋体" w:cs="宋体"/>
                <w:color w:val="auto"/>
                <w:kern w:val="0"/>
                <w:sz w:val="21"/>
                <w:szCs w:val="21"/>
                <w:highlight w:val="none"/>
                <w:lang w:bidi="ar"/>
              </w:rPr>
            </w:pPr>
          </w:p>
        </w:tc>
      </w:tr>
      <w:tr w14:paraId="19D9D8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BFC3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4.1.5.1</w:t>
            </w:r>
          </w:p>
        </w:tc>
        <w:tc>
          <w:tcPr>
            <w:tcW w:w="6982" w:type="dxa"/>
            <w:tcBorders>
              <w:tl2br w:val="nil"/>
              <w:tr2bl w:val="nil"/>
            </w:tcBorders>
            <w:vAlign w:val="center"/>
          </w:tcPr>
          <w:p w14:paraId="2C3AA2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支持执行小卡打印、过敏史、备注等信息展现</w:t>
            </w:r>
          </w:p>
        </w:tc>
        <w:tc>
          <w:tcPr>
            <w:tcW w:w="870" w:type="dxa"/>
            <w:vMerge w:val="continue"/>
            <w:tcBorders>
              <w:tl2br w:val="nil"/>
              <w:tr2bl w:val="nil"/>
            </w:tcBorders>
            <w:noWrap/>
            <w:vAlign w:val="center"/>
          </w:tcPr>
          <w:p w14:paraId="55CD8E0B">
            <w:pPr>
              <w:widowControl/>
              <w:spacing w:line="360" w:lineRule="auto"/>
              <w:jc w:val="center"/>
              <w:textAlignment w:val="center"/>
              <w:rPr>
                <w:rFonts w:hint="eastAsia" w:ascii="宋体" w:hAnsi="宋体" w:cs="宋体"/>
                <w:color w:val="auto"/>
                <w:kern w:val="0"/>
                <w:sz w:val="21"/>
                <w:szCs w:val="21"/>
                <w:highlight w:val="none"/>
                <w:lang w:bidi="ar"/>
              </w:rPr>
            </w:pPr>
          </w:p>
        </w:tc>
      </w:tr>
      <w:tr w14:paraId="5C6879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33FF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4.1.6</w:t>
            </w:r>
          </w:p>
        </w:tc>
        <w:tc>
          <w:tcPr>
            <w:tcW w:w="6982" w:type="dxa"/>
            <w:tcBorders>
              <w:tl2br w:val="nil"/>
              <w:tr2bl w:val="nil"/>
            </w:tcBorders>
            <w:vAlign w:val="center"/>
          </w:tcPr>
          <w:p w14:paraId="17283C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设备支持</w:t>
            </w:r>
          </w:p>
        </w:tc>
        <w:tc>
          <w:tcPr>
            <w:tcW w:w="870" w:type="dxa"/>
            <w:vMerge w:val="continue"/>
            <w:tcBorders>
              <w:tl2br w:val="nil"/>
              <w:tr2bl w:val="nil"/>
            </w:tcBorders>
            <w:noWrap/>
            <w:vAlign w:val="center"/>
          </w:tcPr>
          <w:p w14:paraId="4490B6F8">
            <w:pPr>
              <w:widowControl/>
              <w:spacing w:line="360" w:lineRule="auto"/>
              <w:jc w:val="center"/>
              <w:textAlignment w:val="center"/>
              <w:rPr>
                <w:rFonts w:hint="eastAsia" w:ascii="宋体" w:hAnsi="宋体" w:cs="宋体"/>
                <w:color w:val="auto"/>
                <w:kern w:val="0"/>
                <w:sz w:val="21"/>
                <w:szCs w:val="21"/>
                <w:highlight w:val="none"/>
                <w:lang w:bidi="ar"/>
              </w:rPr>
            </w:pPr>
          </w:p>
        </w:tc>
      </w:tr>
      <w:tr w14:paraId="5898AFE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182C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4.1.6.1</w:t>
            </w:r>
          </w:p>
        </w:tc>
        <w:tc>
          <w:tcPr>
            <w:tcW w:w="6982" w:type="dxa"/>
            <w:tcBorders>
              <w:tl2br w:val="nil"/>
              <w:tr2bl w:val="nil"/>
            </w:tcBorders>
            <w:vAlign w:val="center"/>
          </w:tcPr>
          <w:p w14:paraId="63C566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PDA 执行</w:t>
            </w:r>
          </w:p>
        </w:tc>
        <w:tc>
          <w:tcPr>
            <w:tcW w:w="870" w:type="dxa"/>
            <w:vMerge w:val="continue"/>
            <w:tcBorders>
              <w:tl2br w:val="nil"/>
              <w:tr2bl w:val="nil"/>
            </w:tcBorders>
            <w:noWrap/>
            <w:vAlign w:val="center"/>
          </w:tcPr>
          <w:p w14:paraId="2B7A9489">
            <w:pPr>
              <w:widowControl/>
              <w:spacing w:line="360" w:lineRule="auto"/>
              <w:jc w:val="center"/>
              <w:textAlignment w:val="center"/>
              <w:rPr>
                <w:rFonts w:hint="eastAsia" w:ascii="宋体" w:hAnsi="宋体" w:cs="宋体"/>
                <w:color w:val="auto"/>
                <w:kern w:val="0"/>
                <w:sz w:val="21"/>
                <w:szCs w:val="21"/>
                <w:highlight w:val="none"/>
                <w:lang w:bidi="ar"/>
              </w:rPr>
            </w:pPr>
          </w:p>
        </w:tc>
      </w:tr>
      <w:tr w14:paraId="110586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C5E3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w:t>
            </w:r>
          </w:p>
        </w:tc>
        <w:tc>
          <w:tcPr>
            <w:tcW w:w="6982" w:type="dxa"/>
            <w:tcBorders>
              <w:tl2br w:val="nil"/>
              <w:tr2bl w:val="nil"/>
            </w:tcBorders>
            <w:vAlign w:val="center"/>
          </w:tcPr>
          <w:p w14:paraId="40B548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新版消息公告平台（新建、B/S 架构）</w:t>
            </w:r>
          </w:p>
        </w:tc>
        <w:tc>
          <w:tcPr>
            <w:tcW w:w="870" w:type="dxa"/>
            <w:vMerge w:val="restart"/>
            <w:tcBorders>
              <w:tl2br w:val="nil"/>
              <w:tr2bl w:val="nil"/>
            </w:tcBorders>
            <w:noWrap/>
            <w:vAlign w:val="center"/>
          </w:tcPr>
          <w:p w14:paraId="2414B9E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r>
      <w:tr w14:paraId="524B67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5034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4.2.1</w:t>
            </w:r>
          </w:p>
        </w:tc>
        <w:tc>
          <w:tcPr>
            <w:tcW w:w="6982" w:type="dxa"/>
            <w:tcBorders>
              <w:tl2br w:val="nil"/>
              <w:tr2bl w:val="nil"/>
            </w:tcBorders>
            <w:vAlign w:val="center"/>
          </w:tcPr>
          <w:p w14:paraId="370435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为满足医院信息化系统整体架构升级与日常管理需要，本次需新建新版消息公告平台。由于原有旧版消息公告采用 C/S 架构，存在部署维护复杂、适配性差、扩展能力不足、无法满足多终端访问等问题，已不再适用于医院现有业务场景与未来发展需求。因此，新版平台需统一采用 B/S 架构进行建设，实现跨终端访问、便捷维护、灵活扩展，更好支撑院内通知、公告发布、消息推送等业务使用</w:t>
            </w:r>
          </w:p>
        </w:tc>
        <w:tc>
          <w:tcPr>
            <w:tcW w:w="870" w:type="dxa"/>
            <w:vMerge w:val="continue"/>
            <w:tcBorders>
              <w:tl2br w:val="nil"/>
              <w:tr2bl w:val="nil"/>
            </w:tcBorders>
            <w:noWrap/>
            <w:vAlign w:val="center"/>
          </w:tcPr>
          <w:p w14:paraId="3135E963">
            <w:pPr>
              <w:spacing w:line="360" w:lineRule="auto"/>
              <w:jc w:val="center"/>
              <w:rPr>
                <w:rFonts w:hint="eastAsia" w:ascii="宋体" w:hAnsi="宋体" w:cs="宋体"/>
                <w:color w:val="auto"/>
                <w:sz w:val="21"/>
                <w:szCs w:val="21"/>
                <w:highlight w:val="none"/>
              </w:rPr>
            </w:pPr>
          </w:p>
        </w:tc>
      </w:tr>
      <w:tr w14:paraId="7BBBD1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257F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4.2.2</w:t>
            </w:r>
          </w:p>
        </w:tc>
        <w:tc>
          <w:tcPr>
            <w:tcW w:w="6982" w:type="dxa"/>
            <w:tcBorders>
              <w:tl2br w:val="nil"/>
              <w:tr2bl w:val="nil"/>
            </w:tcBorders>
            <w:vAlign w:val="center"/>
          </w:tcPr>
          <w:p w14:paraId="7537F5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消息通知模块</w:t>
            </w:r>
          </w:p>
        </w:tc>
        <w:tc>
          <w:tcPr>
            <w:tcW w:w="870" w:type="dxa"/>
            <w:vMerge w:val="continue"/>
            <w:tcBorders>
              <w:tl2br w:val="nil"/>
              <w:tr2bl w:val="nil"/>
            </w:tcBorders>
            <w:noWrap/>
            <w:vAlign w:val="center"/>
          </w:tcPr>
          <w:p w14:paraId="511D47AC">
            <w:pPr>
              <w:spacing w:line="360" w:lineRule="auto"/>
              <w:jc w:val="center"/>
              <w:rPr>
                <w:rFonts w:hint="eastAsia" w:ascii="宋体" w:hAnsi="宋体" w:cs="宋体"/>
                <w:color w:val="auto"/>
                <w:sz w:val="21"/>
                <w:szCs w:val="21"/>
                <w:highlight w:val="none"/>
              </w:rPr>
            </w:pPr>
          </w:p>
        </w:tc>
      </w:tr>
      <w:tr w14:paraId="4ACF0B3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7BAA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4.2.2.1</w:t>
            </w:r>
          </w:p>
        </w:tc>
        <w:tc>
          <w:tcPr>
            <w:tcW w:w="6982" w:type="dxa"/>
            <w:tcBorders>
              <w:tl2br w:val="nil"/>
              <w:tr2bl w:val="nil"/>
            </w:tcBorders>
            <w:vAlign w:val="center"/>
          </w:tcPr>
          <w:p w14:paraId="7CC8F3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一键已读：应支持对平台内所有未读消息一键标记为已读，快速完成未读消息批量处理</w:t>
            </w:r>
          </w:p>
        </w:tc>
        <w:tc>
          <w:tcPr>
            <w:tcW w:w="870" w:type="dxa"/>
            <w:vMerge w:val="continue"/>
            <w:tcBorders>
              <w:tl2br w:val="nil"/>
              <w:tr2bl w:val="nil"/>
            </w:tcBorders>
            <w:noWrap/>
            <w:vAlign w:val="center"/>
          </w:tcPr>
          <w:p w14:paraId="515E9E5D">
            <w:pPr>
              <w:spacing w:line="360" w:lineRule="auto"/>
              <w:jc w:val="center"/>
              <w:rPr>
                <w:rFonts w:hint="eastAsia" w:ascii="宋体" w:hAnsi="宋体" w:cs="宋体"/>
                <w:color w:val="auto"/>
                <w:sz w:val="21"/>
                <w:szCs w:val="21"/>
                <w:highlight w:val="none"/>
              </w:rPr>
            </w:pPr>
          </w:p>
        </w:tc>
      </w:tr>
      <w:tr w14:paraId="2DE3936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C538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4.2.2.2</w:t>
            </w:r>
          </w:p>
        </w:tc>
        <w:tc>
          <w:tcPr>
            <w:tcW w:w="6982" w:type="dxa"/>
            <w:tcBorders>
              <w:tl2br w:val="nil"/>
              <w:tr2bl w:val="nil"/>
            </w:tcBorders>
            <w:vAlign w:val="center"/>
          </w:tcPr>
          <w:p w14:paraId="4F09DC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消息列表：以列表形式完整展示平台所有消息通知，为用户提供基础消息浏览入口</w:t>
            </w:r>
          </w:p>
        </w:tc>
        <w:tc>
          <w:tcPr>
            <w:tcW w:w="870" w:type="dxa"/>
            <w:vMerge w:val="continue"/>
            <w:tcBorders>
              <w:tl2br w:val="nil"/>
              <w:tr2bl w:val="nil"/>
            </w:tcBorders>
            <w:noWrap/>
            <w:vAlign w:val="center"/>
          </w:tcPr>
          <w:p w14:paraId="76FDC7C6">
            <w:pPr>
              <w:spacing w:line="360" w:lineRule="auto"/>
              <w:jc w:val="center"/>
              <w:rPr>
                <w:rFonts w:hint="eastAsia" w:ascii="宋体" w:hAnsi="宋体" w:cs="宋体"/>
                <w:color w:val="auto"/>
                <w:sz w:val="21"/>
                <w:szCs w:val="21"/>
                <w:highlight w:val="none"/>
              </w:rPr>
            </w:pPr>
          </w:p>
        </w:tc>
      </w:tr>
      <w:tr w14:paraId="6A06F2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C922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4.2.2.3</w:t>
            </w:r>
          </w:p>
        </w:tc>
        <w:tc>
          <w:tcPr>
            <w:tcW w:w="6982" w:type="dxa"/>
            <w:tcBorders>
              <w:tl2br w:val="nil"/>
              <w:tr2bl w:val="nil"/>
            </w:tcBorders>
            <w:vAlign w:val="center"/>
          </w:tcPr>
          <w:p w14:paraId="721E14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推送机制：平台按配置规则自动向登录用户推送对应消息，无需用户主动查询获取</w:t>
            </w:r>
          </w:p>
        </w:tc>
        <w:tc>
          <w:tcPr>
            <w:tcW w:w="870" w:type="dxa"/>
            <w:vMerge w:val="continue"/>
            <w:tcBorders>
              <w:tl2br w:val="nil"/>
              <w:tr2bl w:val="nil"/>
            </w:tcBorders>
            <w:noWrap/>
            <w:vAlign w:val="center"/>
          </w:tcPr>
          <w:p w14:paraId="55A18F9E">
            <w:pPr>
              <w:spacing w:line="360" w:lineRule="auto"/>
              <w:jc w:val="center"/>
              <w:rPr>
                <w:rFonts w:hint="eastAsia" w:ascii="宋体" w:hAnsi="宋体" w:cs="宋体"/>
                <w:color w:val="auto"/>
                <w:sz w:val="21"/>
                <w:szCs w:val="21"/>
                <w:highlight w:val="none"/>
              </w:rPr>
            </w:pPr>
          </w:p>
        </w:tc>
      </w:tr>
      <w:tr w14:paraId="3D5649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9D48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4.2.3</w:t>
            </w:r>
          </w:p>
        </w:tc>
        <w:tc>
          <w:tcPr>
            <w:tcW w:w="6982" w:type="dxa"/>
            <w:tcBorders>
              <w:tl2br w:val="nil"/>
              <w:tr2bl w:val="nil"/>
            </w:tcBorders>
            <w:vAlign w:val="center"/>
          </w:tcPr>
          <w:p w14:paraId="0EC6B9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消息展示模块</w:t>
            </w:r>
          </w:p>
        </w:tc>
        <w:tc>
          <w:tcPr>
            <w:tcW w:w="870" w:type="dxa"/>
            <w:vMerge w:val="continue"/>
            <w:tcBorders>
              <w:tl2br w:val="nil"/>
              <w:tr2bl w:val="nil"/>
            </w:tcBorders>
            <w:noWrap/>
            <w:vAlign w:val="center"/>
          </w:tcPr>
          <w:p w14:paraId="6502056C">
            <w:pPr>
              <w:spacing w:line="360" w:lineRule="auto"/>
              <w:jc w:val="center"/>
              <w:rPr>
                <w:rFonts w:hint="eastAsia" w:ascii="宋体" w:hAnsi="宋体" w:cs="宋体"/>
                <w:color w:val="auto"/>
                <w:sz w:val="21"/>
                <w:szCs w:val="21"/>
                <w:highlight w:val="none"/>
              </w:rPr>
            </w:pPr>
          </w:p>
        </w:tc>
      </w:tr>
      <w:tr w14:paraId="3EA674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DC1A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4.2.3.1</w:t>
            </w:r>
          </w:p>
        </w:tc>
        <w:tc>
          <w:tcPr>
            <w:tcW w:w="6982" w:type="dxa"/>
            <w:tcBorders>
              <w:tl2br w:val="nil"/>
              <w:tr2bl w:val="nil"/>
            </w:tcBorders>
            <w:vAlign w:val="center"/>
          </w:tcPr>
          <w:p w14:paraId="5E0F0D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消息标题检索：应支持消息标题模糊检索与精准检索，快速定位目标消息</w:t>
            </w:r>
          </w:p>
        </w:tc>
        <w:tc>
          <w:tcPr>
            <w:tcW w:w="870" w:type="dxa"/>
            <w:vMerge w:val="continue"/>
            <w:tcBorders>
              <w:tl2br w:val="nil"/>
              <w:tr2bl w:val="nil"/>
            </w:tcBorders>
            <w:noWrap/>
            <w:vAlign w:val="center"/>
          </w:tcPr>
          <w:p w14:paraId="1E2FDD2A">
            <w:pPr>
              <w:spacing w:line="360" w:lineRule="auto"/>
              <w:jc w:val="center"/>
              <w:rPr>
                <w:rFonts w:hint="eastAsia" w:ascii="宋体" w:hAnsi="宋体" w:cs="宋体"/>
                <w:color w:val="auto"/>
                <w:sz w:val="21"/>
                <w:szCs w:val="21"/>
                <w:highlight w:val="none"/>
              </w:rPr>
            </w:pPr>
          </w:p>
        </w:tc>
      </w:tr>
      <w:tr w14:paraId="567E08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95B5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4.2.3.2</w:t>
            </w:r>
          </w:p>
        </w:tc>
        <w:tc>
          <w:tcPr>
            <w:tcW w:w="6982" w:type="dxa"/>
            <w:tcBorders>
              <w:tl2br w:val="nil"/>
              <w:tr2bl w:val="nil"/>
            </w:tcBorders>
            <w:vAlign w:val="center"/>
          </w:tcPr>
          <w:p w14:paraId="22471B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发布时间过滤：提供快捷时间筛选（今天、昨天、最近 7 天、最近 30 天、最近 60 天），同时应支持自定义时间区间筛选，按发布时间精准过滤消息</w:t>
            </w:r>
          </w:p>
        </w:tc>
        <w:tc>
          <w:tcPr>
            <w:tcW w:w="870" w:type="dxa"/>
            <w:vMerge w:val="continue"/>
            <w:tcBorders>
              <w:tl2br w:val="nil"/>
              <w:tr2bl w:val="nil"/>
            </w:tcBorders>
            <w:noWrap/>
            <w:vAlign w:val="center"/>
          </w:tcPr>
          <w:p w14:paraId="7F9EE423">
            <w:pPr>
              <w:spacing w:line="360" w:lineRule="auto"/>
              <w:jc w:val="center"/>
              <w:rPr>
                <w:rFonts w:hint="eastAsia" w:ascii="宋体" w:hAnsi="宋体" w:cs="宋体"/>
                <w:color w:val="auto"/>
                <w:sz w:val="21"/>
                <w:szCs w:val="21"/>
                <w:highlight w:val="none"/>
              </w:rPr>
            </w:pPr>
          </w:p>
        </w:tc>
      </w:tr>
      <w:tr w14:paraId="748CB3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9099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4.2.3.3</w:t>
            </w:r>
          </w:p>
        </w:tc>
        <w:tc>
          <w:tcPr>
            <w:tcW w:w="6982" w:type="dxa"/>
            <w:tcBorders>
              <w:tl2br w:val="nil"/>
              <w:tr2bl w:val="nil"/>
            </w:tcBorders>
            <w:vAlign w:val="center"/>
          </w:tcPr>
          <w:p w14:paraId="38B0B1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消息时间轴：以时间轴维度倒序展示消息，同步显示消息标题，直观呈现消息发布时序</w:t>
            </w:r>
          </w:p>
        </w:tc>
        <w:tc>
          <w:tcPr>
            <w:tcW w:w="870" w:type="dxa"/>
            <w:vMerge w:val="continue"/>
            <w:tcBorders>
              <w:tl2br w:val="nil"/>
              <w:tr2bl w:val="nil"/>
            </w:tcBorders>
            <w:noWrap/>
            <w:vAlign w:val="center"/>
          </w:tcPr>
          <w:p w14:paraId="3D8B874B">
            <w:pPr>
              <w:spacing w:line="360" w:lineRule="auto"/>
              <w:jc w:val="center"/>
              <w:rPr>
                <w:rFonts w:hint="eastAsia" w:ascii="宋体" w:hAnsi="宋体" w:cs="宋体"/>
                <w:color w:val="auto"/>
                <w:sz w:val="21"/>
                <w:szCs w:val="21"/>
                <w:highlight w:val="none"/>
              </w:rPr>
            </w:pPr>
          </w:p>
        </w:tc>
      </w:tr>
      <w:tr w14:paraId="305050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48C3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4.2.3.4</w:t>
            </w:r>
          </w:p>
        </w:tc>
        <w:tc>
          <w:tcPr>
            <w:tcW w:w="6982" w:type="dxa"/>
            <w:tcBorders>
              <w:tl2br w:val="nil"/>
              <w:tr2bl w:val="nil"/>
            </w:tcBorders>
            <w:vAlign w:val="center"/>
          </w:tcPr>
          <w:p w14:paraId="358052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消息标识：对消息进行状态标记，应支持重点消息标识、撤回消息标识，提升消息辨识度</w:t>
            </w:r>
          </w:p>
        </w:tc>
        <w:tc>
          <w:tcPr>
            <w:tcW w:w="870" w:type="dxa"/>
            <w:vMerge w:val="continue"/>
            <w:tcBorders>
              <w:tl2br w:val="nil"/>
              <w:tr2bl w:val="nil"/>
            </w:tcBorders>
            <w:noWrap/>
            <w:vAlign w:val="center"/>
          </w:tcPr>
          <w:p w14:paraId="1F8089CE">
            <w:pPr>
              <w:spacing w:line="360" w:lineRule="auto"/>
              <w:jc w:val="center"/>
              <w:rPr>
                <w:rFonts w:hint="eastAsia" w:ascii="宋体" w:hAnsi="宋体" w:cs="宋体"/>
                <w:color w:val="auto"/>
                <w:sz w:val="21"/>
                <w:szCs w:val="21"/>
                <w:highlight w:val="none"/>
              </w:rPr>
            </w:pPr>
          </w:p>
        </w:tc>
      </w:tr>
      <w:tr w14:paraId="2F894C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24EA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w:t>
            </w:r>
          </w:p>
        </w:tc>
        <w:tc>
          <w:tcPr>
            <w:tcW w:w="6982" w:type="dxa"/>
            <w:tcBorders>
              <w:tl2br w:val="nil"/>
              <w:tr2bl w:val="nil"/>
            </w:tcBorders>
            <w:vAlign w:val="center"/>
          </w:tcPr>
          <w:p w14:paraId="25C0CD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消息管理后台模块</w:t>
            </w:r>
          </w:p>
        </w:tc>
        <w:tc>
          <w:tcPr>
            <w:tcW w:w="870" w:type="dxa"/>
            <w:vMerge w:val="continue"/>
            <w:tcBorders>
              <w:tl2br w:val="nil"/>
              <w:tr2bl w:val="nil"/>
            </w:tcBorders>
            <w:noWrap/>
            <w:vAlign w:val="center"/>
          </w:tcPr>
          <w:p w14:paraId="47ABEB1F">
            <w:pPr>
              <w:spacing w:line="360" w:lineRule="auto"/>
              <w:jc w:val="center"/>
              <w:rPr>
                <w:rFonts w:hint="eastAsia" w:ascii="宋体" w:hAnsi="宋体" w:cs="宋体"/>
                <w:color w:val="auto"/>
                <w:sz w:val="21"/>
                <w:szCs w:val="21"/>
                <w:highlight w:val="none"/>
              </w:rPr>
            </w:pPr>
          </w:p>
        </w:tc>
      </w:tr>
      <w:tr w14:paraId="20D244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3302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4.2.4.1</w:t>
            </w:r>
          </w:p>
        </w:tc>
        <w:tc>
          <w:tcPr>
            <w:tcW w:w="6982" w:type="dxa"/>
            <w:tcBorders>
              <w:tl2br w:val="nil"/>
              <w:tr2bl w:val="nil"/>
            </w:tcBorders>
            <w:vAlign w:val="center"/>
          </w:tcPr>
          <w:p w14:paraId="31F8C7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多维度筛选检索 - 创建时间过滤：应支持快捷时间选项及自定义时间区间筛选</w:t>
            </w:r>
          </w:p>
        </w:tc>
        <w:tc>
          <w:tcPr>
            <w:tcW w:w="870" w:type="dxa"/>
            <w:vMerge w:val="continue"/>
            <w:tcBorders>
              <w:tl2br w:val="nil"/>
              <w:tr2bl w:val="nil"/>
            </w:tcBorders>
            <w:noWrap/>
            <w:vAlign w:val="center"/>
          </w:tcPr>
          <w:p w14:paraId="77262062">
            <w:pPr>
              <w:spacing w:line="360" w:lineRule="auto"/>
              <w:jc w:val="center"/>
              <w:rPr>
                <w:rFonts w:hint="eastAsia" w:ascii="宋体" w:hAnsi="宋体" w:cs="宋体"/>
                <w:color w:val="auto"/>
                <w:sz w:val="21"/>
                <w:szCs w:val="21"/>
                <w:highlight w:val="none"/>
              </w:rPr>
            </w:pPr>
          </w:p>
        </w:tc>
      </w:tr>
      <w:tr w14:paraId="14A1C9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9765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4.2.4.2</w:t>
            </w:r>
          </w:p>
        </w:tc>
        <w:tc>
          <w:tcPr>
            <w:tcW w:w="6982" w:type="dxa"/>
            <w:tcBorders>
              <w:tl2br w:val="nil"/>
              <w:tr2bl w:val="nil"/>
            </w:tcBorders>
            <w:vAlign w:val="center"/>
          </w:tcPr>
          <w:p w14:paraId="15F2D9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多维度筛选检索 - 消息标题检索：应支持模糊、精准检索</w:t>
            </w:r>
          </w:p>
        </w:tc>
        <w:tc>
          <w:tcPr>
            <w:tcW w:w="870" w:type="dxa"/>
            <w:vMerge w:val="continue"/>
            <w:tcBorders>
              <w:tl2br w:val="nil"/>
              <w:tr2bl w:val="nil"/>
            </w:tcBorders>
            <w:noWrap/>
            <w:vAlign w:val="center"/>
          </w:tcPr>
          <w:p w14:paraId="520F86E5">
            <w:pPr>
              <w:spacing w:line="360" w:lineRule="auto"/>
              <w:jc w:val="center"/>
              <w:rPr>
                <w:rFonts w:hint="eastAsia" w:ascii="宋体" w:hAnsi="宋体" w:cs="宋体"/>
                <w:color w:val="auto"/>
                <w:sz w:val="21"/>
                <w:szCs w:val="21"/>
                <w:highlight w:val="none"/>
              </w:rPr>
            </w:pPr>
          </w:p>
        </w:tc>
      </w:tr>
      <w:tr w14:paraId="451D78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338F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4.2.4.3</w:t>
            </w:r>
          </w:p>
        </w:tc>
        <w:tc>
          <w:tcPr>
            <w:tcW w:w="6982" w:type="dxa"/>
            <w:tcBorders>
              <w:tl2br w:val="nil"/>
              <w:tr2bl w:val="nil"/>
            </w:tcBorders>
            <w:vAlign w:val="center"/>
          </w:tcPr>
          <w:p w14:paraId="6B800B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多维度筛选检索 - 操作人员检索：应支持对消息操作人模糊、精准检索</w:t>
            </w:r>
          </w:p>
        </w:tc>
        <w:tc>
          <w:tcPr>
            <w:tcW w:w="870" w:type="dxa"/>
            <w:vMerge w:val="continue"/>
            <w:tcBorders>
              <w:tl2br w:val="nil"/>
              <w:tr2bl w:val="nil"/>
            </w:tcBorders>
            <w:noWrap/>
            <w:vAlign w:val="center"/>
          </w:tcPr>
          <w:p w14:paraId="0B9BFD1C">
            <w:pPr>
              <w:spacing w:line="360" w:lineRule="auto"/>
              <w:jc w:val="center"/>
              <w:rPr>
                <w:rFonts w:hint="eastAsia" w:ascii="宋体" w:hAnsi="宋体" w:cs="宋体"/>
                <w:color w:val="auto"/>
                <w:sz w:val="21"/>
                <w:szCs w:val="21"/>
                <w:highlight w:val="none"/>
              </w:rPr>
            </w:pPr>
          </w:p>
        </w:tc>
      </w:tr>
      <w:tr w14:paraId="76F70F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5B15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4.2.4.4</w:t>
            </w:r>
          </w:p>
        </w:tc>
        <w:tc>
          <w:tcPr>
            <w:tcW w:w="6982" w:type="dxa"/>
            <w:tcBorders>
              <w:tl2br w:val="nil"/>
              <w:tr2bl w:val="nil"/>
            </w:tcBorders>
            <w:vAlign w:val="center"/>
          </w:tcPr>
          <w:p w14:paraId="18DF7E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多维度筛选检索 - 状态过滤：应支持按发布、编辑、撤回三种状态筛选消息</w:t>
            </w:r>
          </w:p>
        </w:tc>
        <w:tc>
          <w:tcPr>
            <w:tcW w:w="870" w:type="dxa"/>
            <w:vMerge w:val="continue"/>
            <w:tcBorders>
              <w:tl2br w:val="nil"/>
              <w:tr2bl w:val="nil"/>
            </w:tcBorders>
            <w:noWrap/>
            <w:vAlign w:val="center"/>
          </w:tcPr>
          <w:p w14:paraId="5AB5B19B">
            <w:pPr>
              <w:spacing w:line="360" w:lineRule="auto"/>
              <w:jc w:val="center"/>
              <w:rPr>
                <w:rFonts w:hint="eastAsia" w:ascii="宋体" w:hAnsi="宋体" w:cs="宋体"/>
                <w:color w:val="auto"/>
                <w:sz w:val="21"/>
                <w:szCs w:val="21"/>
                <w:highlight w:val="none"/>
              </w:rPr>
            </w:pPr>
          </w:p>
        </w:tc>
      </w:tr>
      <w:tr w14:paraId="5B75B5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DA3E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△4.2.4.5</w:t>
            </w:r>
          </w:p>
        </w:tc>
        <w:tc>
          <w:tcPr>
            <w:tcW w:w="6982" w:type="dxa"/>
            <w:tcBorders>
              <w:tl2br w:val="nil"/>
              <w:tr2bl w:val="nil"/>
            </w:tcBorders>
            <w:vAlign w:val="center"/>
          </w:tcPr>
          <w:p w14:paraId="5815B2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消息新增与发布 - 基础信息配置：应支持消息标题、发布部门（默认当前用户部门，应支持自定义修改）、推送院区 - 部门（需支持多院区、多科室部门的自定义推送）、重要等级（一般 / 重要）、推送时间（需支持推送时间与重要等级联动功能，一般对应时间是默认 1 天，重要对应时间是默认 2 天，同时也支持时间的自定义选择）、创建时间配置。</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61C7EECF">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68C449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150F5F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4.2.4.6</w:t>
            </w:r>
          </w:p>
        </w:tc>
        <w:tc>
          <w:tcPr>
            <w:tcW w:w="6982" w:type="dxa"/>
            <w:tcBorders>
              <w:tl2br w:val="nil"/>
              <w:tr2bl w:val="nil"/>
            </w:tcBorders>
            <w:vAlign w:val="center"/>
          </w:tcPr>
          <w:p w14:paraId="064757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消息新增与发布 - 内容编辑：应支持文本输入，及图片、Word/PPT/PDF/Excel 格式附件上传</w:t>
            </w:r>
          </w:p>
        </w:tc>
        <w:tc>
          <w:tcPr>
            <w:tcW w:w="870" w:type="dxa"/>
            <w:vMerge w:val="restart"/>
            <w:tcBorders>
              <w:tl2br w:val="nil"/>
              <w:tr2bl w:val="nil"/>
            </w:tcBorders>
            <w:noWrap/>
            <w:vAlign w:val="center"/>
          </w:tcPr>
          <w:p w14:paraId="25776F00">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24026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9969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4.2.4.7</w:t>
            </w:r>
          </w:p>
        </w:tc>
        <w:tc>
          <w:tcPr>
            <w:tcW w:w="6982" w:type="dxa"/>
            <w:tcBorders>
              <w:tl2br w:val="nil"/>
              <w:tr2bl w:val="nil"/>
            </w:tcBorders>
            <w:vAlign w:val="center"/>
          </w:tcPr>
          <w:p w14:paraId="35FA18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消息新增与发布 - 辅助功能：应支持消息预览、二次编辑、正式发布</w:t>
            </w:r>
          </w:p>
        </w:tc>
        <w:tc>
          <w:tcPr>
            <w:tcW w:w="870" w:type="dxa"/>
            <w:vMerge w:val="continue"/>
            <w:tcBorders>
              <w:tl2br w:val="nil"/>
              <w:tr2bl w:val="nil"/>
            </w:tcBorders>
            <w:noWrap/>
            <w:vAlign w:val="center"/>
          </w:tcPr>
          <w:p w14:paraId="66E4EEE6">
            <w:pPr>
              <w:spacing w:line="360" w:lineRule="auto"/>
              <w:jc w:val="center"/>
              <w:rPr>
                <w:rFonts w:hint="eastAsia" w:ascii="宋体" w:hAnsi="宋体" w:cs="宋体"/>
                <w:color w:val="auto"/>
                <w:sz w:val="21"/>
                <w:szCs w:val="21"/>
                <w:highlight w:val="none"/>
              </w:rPr>
            </w:pPr>
          </w:p>
        </w:tc>
      </w:tr>
      <w:tr w14:paraId="434B9C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67CC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4.2.4.8</w:t>
            </w:r>
          </w:p>
        </w:tc>
        <w:tc>
          <w:tcPr>
            <w:tcW w:w="6982" w:type="dxa"/>
            <w:tcBorders>
              <w:tl2br w:val="nil"/>
              <w:tr2bl w:val="nil"/>
            </w:tcBorders>
            <w:vAlign w:val="center"/>
          </w:tcPr>
          <w:p w14:paraId="70C4E7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消息后台表单管理 - 表单展示：展示字段包含消息标题、创建时间、查看人数、推送部门、操作人员、消息状态、操作按钮（查看 / 撤回 / 再次编辑）</w:t>
            </w:r>
          </w:p>
        </w:tc>
        <w:tc>
          <w:tcPr>
            <w:tcW w:w="870" w:type="dxa"/>
            <w:vMerge w:val="continue"/>
            <w:tcBorders>
              <w:tl2br w:val="nil"/>
              <w:tr2bl w:val="nil"/>
            </w:tcBorders>
            <w:noWrap/>
            <w:vAlign w:val="center"/>
          </w:tcPr>
          <w:p w14:paraId="2C6EB9BA">
            <w:pPr>
              <w:spacing w:line="360" w:lineRule="auto"/>
              <w:jc w:val="center"/>
              <w:rPr>
                <w:rFonts w:hint="eastAsia" w:ascii="宋体" w:hAnsi="宋体" w:cs="宋体"/>
                <w:color w:val="auto"/>
                <w:sz w:val="21"/>
                <w:szCs w:val="21"/>
                <w:highlight w:val="none"/>
              </w:rPr>
            </w:pPr>
          </w:p>
        </w:tc>
      </w:tr>
      <w:tr w14:paraId="446222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BEE2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4.2.4.9</w:t>
            </w:r>
          </w:p>
        </w:tc>
        <w:tc>
          <w:tcPr>
            <w:tcW w:w="6982" w:type="dxa"/>
            <w:tcBorders>
              <w:tl2br w:val="nil"/>
              <w:tr2bl w:val="nil"/>
            </w:tcBorders>
            <w:vAlign w:val="center"/>
          </w:tcPr>
          <w:p w14:paraId="3CE847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消息后台表单管理 - 查看人数统计：展示总查看人数，双击弹窗查看查看日志清单，应支持账号、用户名检索，日志包含账号、用户名、用户分类、科室、查看时间</w:t>
            </w:r>
          </w:p>
        </w:tc>
        <w:tc>
          <w:tcPr>
            <w:tcW w:w="870" w:type="dxa"/>
            <w:vMerge w:val="continue"/>
            <w:tcBorders>
              <w:tl2br w:val="nil"/>
              <w:tr2bl w:val="nil"/>
            </w:tcBorders>
            <w:noWrap/>
            <w:vAlign w:val="center"/>
          </w:tcPr>
          <w:p w14:paraId="26836112">
            <w:pPr>
              <w:spacing w:line="360" w:lineRule="auto"/>
              <w:jc w:val="center"/>
              <w:rPr>
                <w:rFonts w:hint="eastAsia" w:ascii="宋体" w:hAnsi="宋体" w:cs="宋体"/>
                <w:color w:val="auto"/>
                <w:sz w:val="21"/>
                <w:szCs w:val="21"/>
                <w:highlight w:val="none"/>
              </w:rPr>
            </w:pPr>
          </w:p>
        </w:tc>
      </w:tr>
      <w:tr w14:paraId="7A68B5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AA95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4.2.4.10</w:t>
            </w:r>
          </w:p>
        </w:tc>
        <w:tc>
          <w:tcPr>
            <w:tcW w:w="6982" w:type="dxa"/>
            <w:tcBorders>
              <w:tl2br w:val="nil"/>
              <w:tr2bl w:val="nil"/>
            </w:tcBorders>
            <w:vAlign w:val="center"/>
          </w:tcPr>
          <w:p w14:paraId="57DB50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消息后台表单管理 - 推送部门统计：展示推送部门数量，双击弹窗查看推送部门日志，应支持部门精准 / 模糊检索，日志包含科室代码、科室名称、所属院区、使用标志</w:t>
            </w:r>
          </w:p>
        </w:tc>
        <w:tc>
          <w:tcPr>
            <w:tcW w:w="870" w:type="dxa"/>
            <w:vMerge w:val="continue"/>
            <w:tcBorders>
              <w:tl2br w:val="nil"/>
              <w:tr2bl w:val="nil"/>
            </w:tcBorders>
            <w:noWrap/>
            <w:vAlign w:val="center"/>
          </w:tcPr>
          <w:p w14:paraId="7EEB95B2">
            <w:pPr>
              <w:spacing w:line="360" w:lineRule="auto"/>
              <w:jc w:val="center"/>
              <w:rPr>
                <w:rFonts w:hint="eastAsia" w:ascii="宋体" w:hAnsi="宋体" w:cs="宋体"/>
                <w:color w:val="auto"/>
                <w:sz w:val="21"/>
                <w:szCs w:val="21"/>
                <w:highlight w:val="none"/>
              </w:rPr>
            </w:pPr>
          </w:p>
        </w:tc>
      </w:tr>
      <w:tr w14:paraId="05BA2C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EA67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4.2.4.11</w:t>
            </w:r>
          </w:p>
        </w:tc>
        <w:tc>
          <w:tcPr>
            <w:tcW w:w="6982" w:type="dxa"/>
            <w:tcBorders>
              <w:tl2br w:val="nil"/>
              <w:tr2bl w:val="nil"/>
            </w:tcBorders>
            <w:vAlign w:val="center"/>
          </w:tcPr>
          <w:p w14:paraId="676F61F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消息后台表单管理 - 集成筛选：表单内置标题、操作人员、状态、创建时间等组合筛选条件</w:t>
            </w:r>
          </w:p>
        </w:tc>
        <w:tc>
          <w:tcPr>
            <w:tcW w:w="870" w:type="dxa"/>
            <w:vMerge w:val="continue"/>
            <w:tcBorders>
              <w:tl2br w:val="nil"/>
              <w:tr2bl w:val="nil"/>
            </w:tcBorders>
            <w:noWrap/>
            <w:vAlign w:val="center"/>
          </w:tcPr>
          <w:p w14:paraId="082F78CC">
            <w:pPr>
              <w:spacing w:line="360" w:lineRule="auto"/>
              <w:jc w:val="center"/>
              <w:rPr>
                <w:rFonts w:hint="eastAsia" w:ascii="宋体" w:hAnsi="宋体" w:cs="宋体"/>
                <w:color w:val="auto"/>
                <w:sz w:val="21"/>
                <w:szCs w:val="21"/>
                <w:highlight w:val="none"/>
              </w:rPr>
            </w:pPr>
          </w:p>
        </w:tc>
      </w:tr>
      <w:tr w14:paraId="71A8471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14FF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w:t>
            </w:r>
          </w:p>
        </w:tc>
        <w:tc>
          <w:tcPr>
            <w:tcW w:w="6982" w:type="dxa"/>
            <w:tcBorders>
              <w:tl2br w:val="nil"/>
              <w:tr2bl w:val="nil"/>
            </w:tcBorders>
            <w:vAlign w:val="center"/>
          </w:tcPr>
          <w:p w14:paraId="789433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VTE 系统 (重构)</w:t>
            </w:r>
          </w:p>
        </w:tc>
        <w:tc>
          <w:tcPr>
            <w:tcW w:w="870" w:type="dxa"/>
            <w:vMerge w:val="continue"/>
            <w:tcBorders>
              <w:tl2br w:val="nil"/>
              <w:tr2bl w:val="nil"/>
            </w:tcBorders>
            <w:noWrap/>
            <w:vAlign w:val="center"/>
          </w:tcPr>
          <w:p w14:paraId="2F0D1548">
            <w:pPr>
              <w:spacing w:line="360" w:lineRule="auto"/>
              <w:jc w:val="center"/>
              <w:rPr>
                <w:rFonts w:hint="eastAsia" w:ascii="宋体" w:hAnsi="宋体" w:cs="宋体"/>
                <w:color w:val="auto"/>
                <w:sz w:val="21"/>
                <w:szCs w:val="21"/>
                <w:highlight w:val="none"/>
              </w:rPr>
            </w:pPr>
          </w:p>
        </w:tc>
      </w:tr>
      <w:tr w14:paraId="3DD1FB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AE33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w:t>
            </w:r>
          </w:p>
        </w:tc>
        <w:tc>
          <w:tcPr>
            <w:tcW w:w="6982" w:type="dxa"/>
            <w:tcBorders>
              <w:tl2br w:val="nil"/>
              <w:tr2bl w:val="nil"/>
            </w:tcBorders>
            <w:vAlign w:val="center"/>
          </w:tcPr>
          <w:p w14:paraId="38E64B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为满足医院临床业务发展与新院区建设运行需要，本次需对 VTE 系统进行升级改造。当前医院业务对 VTE 筛查、评估、预警、随访等全流程管理提出了更高要求，且 VTE 相关核心数据需从 HIS、EMR、手术麻醉、检验检查等本次迁建整合的业务系统中统一获取。结合新院区业务上线紧迫性强、系统同步实施效率更高的特点，将 VTE 系统升级与各业务系统迁建改造工作同步推进、统一对接，可有效减少重复开发、重复对接工作量，节约整体改造成本、缩短项目周期，确保系统上线后能够快速支撑新院区 VTE 规范化管理业务开展</w:t>
            </w:r>
          </w:p>
        </w:tc>
        <w:tc>
          <w:tcPr>
            <w:tcW w:w="870" w:type="dxa"/>
            <w:vMerge w:val="continue"/>
            <w:tcBorders>
              <w:tl2br w:val="nil"/>
              <w:tr2bl w:val="nil"/>
            </w:tcBorders>
            <w:noWrap/>
            <w:vAlign w:val="center"/>
          </w:tcPr>
          <w:p w14:paraId="4DC65654">
            <w:pPr>
              <w:spacing w:line="360" w:lineRule="auto"/>
              <w:jc w:val="center"/>
              <w:rPr>
                <w:rFonts w:hint="eastAsia" w:ascii="宋体" w:hAnsi="宋体" w:cs="宋体"/>
                <w:color w:val="auto"/>
                <w:sz w:val="21"/>
                <w:szCs w:val="21"/>
                <w:highlight w:val="none"/>
              </w:rPr>
            </w:pPr>
          </w:p>
        </w:tc>
      </w:tr>
      <w:tr w14:paraId="6AA6AC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7D7B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w:t>
            </w:r>
          </w:p>
        </w:tc>
        <w:tc>
          <w:tcPr>
            <w:tcW w:w="6982" w:type="dxa"/>
            <w:tcBorders>
              <w:tl2br w:val="nil"/>
              <w:tr2bl w:val="nil"/>
            </w:tcBorders>
            <w:vAlign w:val="center"/>
          </w:tcPr>
          <w:p w14:paraId="40A382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一体化智能评估服务</w:t>
            </w:r>
          </w:p>
        </w:tc>
        <w:tc>
          <w:tcPr>
            <w:tcW w:w="870" w:type="dxa"/>
            <w:vMerge w:val="continue"/>
            <w:tcBorders>
              <w:tl2br w:val="nil"/>
              <w:tr2bl w:val="nil"/>
            </w:tcBorders>
            <w:noWrap/>
            <w:vAlign w:val="center"/>
          </w:tcPr>
          <w:p w14:paraId="1512A45F">
            <w:pPr>
              <w:spacing w:line="360" w:lineRule="auto"/>
              <w:jc w:val="center"/>
              <w:rPr>
                <w:rFonts w:hint="eastAsia" w:ascii="宋体" w:hAnsi="宋体" w:cs="宋体"/>
                <w:color w:val="auto"/>
                <w:sz w:val="21"/>
                <w:szCs w:val="21"/>
                <w:highlight w:val="none"/>
              </w:rPr>
            </w:pPr>
          </w:p>
        </w:tc>
      </w:tr>
      <w:tr w14:paraId="272863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8360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4.3.2.1</w:t>
            </w:r>
          </w:p>
        </w:tc>
        <w:tc>
          <w:tcPr>
            <w:tcW w:w="6982" w:type="dxa"/>
            <w:tcBorders>
              <w:tl2br w:val="nil"/>
              <w:tr2bl w:val="nil"/>
            </w:tcBorders>
            <w:vAlign w:val="center"/>
          </w:tcPr>
          <w:p w14:paraId="03EF9E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支持与住院电子病历系统、住院电子医嘱系统、住院护士站集成整合，为医务人员及时地、准确地提供医疗相关信息，有效地支持临床 VTE 评估工作</w:t>
            </w:r>
          </w:p>
        </w:tc>
        <w:tc>
          <w:tcPr>
            <w:tcW w:w="870" w:type="dxa"/>
            <w:vMerge w:val="continue"/>
            <w:tcBorders>
              <w:tl2br w:val="nil"/>
              <w:tr2bl w:val="nil"/>
            </w:tcBorders>
            <w:noWrap/>
            <w:vAlign w:val="center"/>
          </w:tcPr>
          <w:p w14:paraId="2DBCE1E6">
            <w:pPr>
              <w:spacing w:line="360" w:lineRule="auto"/>
              <w:jc w:val="center"/>
              <w:rPr>
                <w:rFonts w:hint="eastAsia" w:ascii="宋体" w:hAnsi="宋体" w:cs="宋体"/>
                <w:color w:val="auto"/>
                <w:sz w:val="21"/>
                <w:szCs w:val="21"/>
                <w:highlight w:val="none"/>
              </w:rPr>
            </w:pPr>
          </w:p>
        </w:tc>
      </w:tr>
      <w:tr w14:paraId="236CDF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B458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△4.3.2.2</w:t>
            </w:r>
          </w:p>
        </w:tc>
        <w:tc>
          <w:tcPr>
            <w:tcW w:w="6982" w:type="dxa"/>
            <w:tcBorders>
              <w:tl2br w:val="nil"/>
              <w:tr2bl w:val="nil"/>
            </w:tcBorders>
            <w:vAlign w:val="center"/>
          </w:tcPr>
          <w:p w14:paraId="368E89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系统在电子病历中内置 VTE 智能防控评估入口，可在患者入院、转科、手术、出院等节点自动触发评估，全程记录评估状态，并在医护站床卡实时显示高危风险，支持医生查看患者 VTE 防治时间轴。</w:t>
            </w:r>
            <w:r>
              <w:rPr>
                <w:rFonts w:hint="eastAsia" w:ascii="宋体" w:hAnsi="宋体" w:cs="宋体"/>
                <w:b/>
                <w:bCs/>
                <w:color w:val="auto"/>
                <w:kern w:val="0"/>
                <w:sz w:val="21"/>
                <w:szCs w:val="21"/>
                <w:highlight w:val="none"/>
                <w:lang w:bidi="ar"/>
              </w:rPr>
              <w:t>（提供功能视频演示）</w:t>
            </w:r>
          </w:p>
        </w:tc>
        <w:tc>
          <w:tcPr>
            <w:tcW w:w="870" w:type="dxa"/>
            <w:tcBorders>
              <w:tl2br w:val="nil"/>
              <w:tr2bl w:val="nil"/>
            </w:tcBorders>
            <w:noWrap/>
            <w:vAlign w:val="center"/>
          </w:tcPr>
          <w:p w14:paraId="3D79D16E">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1.5</w:t>
            </w:r>
          </w:p>
        </w:tc>
      </w:tr>
      <w:tr w14:paraId="22C10D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9FE9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4.3.2.3</w:t>
            </w:r>
          </w:p>
        </w:tc>
        <w:tc>
          <w:tcPr>
            <w:tcW w:w="6982" w:type="dxa"/>
            <w:tcBorders>
              <w:tl2br w:val="nil"/>
              <w:tr2bl w:val="nil"/>
            </w:tcBorders>
            <w:vAlign w:val="center"/>
          </w:tcPr>
          <w:p w14:paraId="21285A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系统与 HIS 同步登陆：临床端，质控端</w:t>
            </w:r>
          </w:p>
        </w:tc>
        <w:tc>
          <w:tcPr>
            <w:tcW w:w="870" w:type="dxa"/>
            <w:vMerge w:val="restart"/>
            <w:tcBorders>
              <w:tl2br w:val="nil"/>
              <w:tr2bl w:val="nil"/>
            </w:tcBorders>
            <w:noWrap/>
            <w:vAlign w:val="center"/>
          </w:tcPr>
          <w:p w14:paraId="2B7B935D">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AA1A8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84A0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4.3.2.4</w:t>
            </w:r>
          </w:p>
        </w:tc>
        <w:tc>
          <w:tcPr>
            <w:tcW w:w="6982" w:type="dxa"/>
            <w:tcBorders>
              <w:tl2br w:val="nil"/>
              <w:tr2bl w:val="nil"/>
            </w:tcBorders>
            <w:vAlign w:val="center"/>
          </w:tcPr>
          <w:p w14:paraId="08C434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各类信息化的评分表：非手术操作患者内科 Padua 评估，手术操作评估 Caprin 量表 Well-DVT 评分表、Wells-PE 评分、Geneva 评分表、Khorana 风险评估量表、妊娠期和产褥期 VTE 的风险因素表、出血风险评估表，以及其相应的预防措施</w:t>
            </w:r>
          </w:p>
        </w:tc>
        <w:tc>
          <w:tcPr>
            <w:tcW w:w="870" w:type="dxa"/>
            <w:vMerge w:val="continue"/>
            <w:tcBorders>
              <w:tl2br w:val="nil"/>
              <w:tr2bl w:val="nil"/>
            </w:tcBorders>
            <w:noWrap/>
            <w:vAlign w:val="center"/>
          </w:tcPr>
          <w:p w14:paraId="21C1A68C">
            <w:pPr>
              <w:spacing w:line="360" w:lineRule="auto"/>
              <w:jc w:val="center"/>
              <w:rPr>
                <w:rFonts w:hint="eastAsia" w:ascii="宋体" w:hAnsi="宋体" w:cs="宋体"/>
                <w:color w:val="auto"/>
                <w:sz w:val="21"/>
                <w:szCs w:val="21"/>
                <w:highlight w:val="none"/>
              </w:rPr>
            </w:pPr>
          </w:p>
        </w:tc>
      </w:tr>
      <w:tr w14:paraId="30EB1E0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E822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4.3.2.5</w:t>
            </w:r>
          </w:p>
        </w:tc>
        <w:tc>
          <w:tcPr>
            <w:tcW w:w="6982" w:type="dxa"/>
            <w:tcBorders>
              <w:tl2br w:val="nil"/>
              <w:tr2bl w:val="nil"/>
            </w:tcBorders>
            <w:vAlign w:val="center"/>
          </w:tcPr>
          <w:p w14:paraId="00C461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提供患者评估一体化功能，针对评估为中高风险患者，自动打开出血风险评估、禁忌症评估</w:t>
            </w:r>
          </w:p>
        </w:tc>
        <w:tc>
          <w:tcPr>
            <w:tcW w:w="870" w:type="dxa"/>
            <w:vMerge w:val="continue"/>
            <w:tcBorders>
              <w:tl2br w:val="nil"/>
              <w:tr2bl w:val="nil"/>
            </w:tcBorders>
            <w:noWrap/>
            <w:vAlign w:val="center"/>
          </w:tcPr>
          <w:p w14:paraId="2A80820B">
            <w:pPr>
              <w:spacing w:line="360" w:lineRule="auto"/>
              <w:jc w:val="center"/>
              <w:rPr>
                <w:rFonts w:hint="eastAsia" w:ascii="宋体" w:hAnsi="宋体" w:cs="宋体"/>
                <w:color w:val="auto"/>
                <w:sz w:val="21"/>
                <w:szCs w:val="21"/>
                <w:highlight w:val="none"/>
              </w:rPr>
            </w:pPr>
          </w:p>
        </w:tc>
      </w:tr>
      <w:tr w14:paraId="4BC1FA8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A225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4.3.2.6</w:t>
            </w:r>
          </w:p>
        </w:tc>
        <w:tc>
          <w:tcPr>
            <w:tcW w:w="6982" w:type="dxa"/>
            <w:tcBorders>
              <w:tl2br w:val="nil"/>
              <w:tr2bl w:val="nil"/>
            </w:tcBorders>
            <w:vAlign w:val="center"/>
          </w:tcPr>
          <w:p w14:paraId="27B53B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时间点卡控功能（如入院、出院、转科、出院、病情变化等）：执行各个环节点对预防范围内的患者的血栓风险评估、出血评估、预防等进行提醒和建议，且环节点与文书应是自动智能对应的，不需要人为修改</w:t>
            </w:r>
          </w:p>
        </w:tc>
        <w:tc>
          <w:tcPr>
            <w:tcW w:w="870" w:type="dxa"/>
            <w:vMerge w:val="continue"/>
            <w:tcBorders>
              <w:tl2br w:val="nil"/>
              <w:tr2bl w:val="nil"/>
            </w:tcBorders>
            <w:noWrap/>
            <w:vAlign w:val="center"/>
          </w:tcPr>
          <w:p w14:paraId="19798915">
            <w:pPr>
              <w:spacing w:line="360" w:lineRule="auto"/>
              <w:jc w:val="center"/>
              <w:rPr>
                <w:rFonts w:hint="eastAsia" w:ascii="宋体" w:hAnsi="宋体" w:cs="宋体"/>
                <w:color w:val="auto"/>
                <w:sz w:val="21"/>
                <w:szCs w:val="21"/>
                <w:highlight w:val="none"/>
              </w:rPr>
            </w:pPr>
          </w:p>
        </w:tc>
      </w:tr>
      <w:tr w14:paraId="7B6E9F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C525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4.3.2.7</w:t>
            </w:r>
          </w:p>
        </w:tc>
        <w:tc>
          <w:tcPr>
            <w:tcW w:w="6982" w:type="dxa"/>
            <w:tcBorders>
              <w:tl2br w:val="nil"/>
              <w:tr2bl w:val="nil"/>
            </w:tcBorders>
            <w:vAlign w:val="center"/>
          </w:tcPr>
          <w:p w14:paraId="24708D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提供点击患者跳转查看患者 360 视图功能，为医护及时了解患者历史就诊信息提供临床参考，提高评估准确性</w:t>
            </w:r>
          </w:p>
        </w:tc>
        <w:tc>
          <w:tcPr>
            <w:tcW w:w="870" w:type="dxa"/>
            <w:vMerge w:val="continue"/>
            <w:tcBorders>
              <w:tl2br w:val="nil"/>
              <w:tr2bl w:val="nil"/>
            </w:tcBorders>
            <w:noWrap/>
            <w:vAlign w:val="center"/>
          </w:tcPr>
          <w:p w14:paraId="2E9F0E25">
            <w:pPr>
              <w:spacing w:line="360" w:lineRule="auto"/>
              <w:jc w:val="center"/>
              <w:rPr>
                <w:rFonts w:hint="eastAsia" w:ascii="宋体" w:hAnsi="宋体" w:cs="宋体"/>
                <w:color w:val="auto"/>
                <w:sz w:val="21"/>
                <w:szCs w:val="21"/>
                <w:highlight w:val="none"/>
              </w:rPr>
            </w:pPr>
          </w:p>
        </w:tc>
      </w:tr>
      <w:tr w14:paraId="2F63583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318C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4.3.2.8</w:t>
            </w:r>
          </w:p>
        </w:tc>
        <w:tc>
          <w:tcPr>
            <w:tcW w:w="6982" w:type="dxa"/>
            <w:tcBorders>
              <w:tl2br w:val="nil"/>
              <w:tr2bl w:val="nil"/>
            </w:tcBorders>
            <w:vAlign w:val="center"/>
          </w:tcPr>
          <w:p w14:paraId="7C4192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支持医护查看患者当次就诊的所有 VTE 评估记录，且能以图表趋势图进行显示，按照评估时间点趋势图，方便快捷医护了解患者患 VTE 风险</w:t>
            </w:r>
          </w:p>
        </w:tc>
        <w:tc>
          <w:tcPr>
            <w:tcW w:w="870" w:type="dxa"/>
            <w:vMerge w:val="continue"/>
            <w:tcBorders>
              <w:tl2br w:val="nil"/>
              <w:tr2bl w:val="nil"/>
            </w:tcBorders>
            <w:noWrap/>
            <w:vAlign w:val="center"/>
          </w:tcPr>
          <w:p w14:paraId="13CA1EF8">
            <w:pPr>
              <w:spacing w:line="360" w:lineRule="auto"/>
              <w:jc w:val="center"/>
              <w:rPr>
                <w:rFonts w:hint="eastAsia" w:ascii="宋体" w:hAnsi="宋体" w:cs="宋体"/>
                <w:color w:val="auto"/>
                <w:sz w:val="21"/>
                <w:szCs w:val="21"/>
                <w:highlight w:val="none"/>
              </w:rPr>
            </w:pPr>
          </w:p>
        </w:tc>
      </w:tr>
      <w:tr w14:paraId="2E0B40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4CD6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4.3.2.9</w:t>
            </w:r>
          </w:p>
        </w:tc>
        <w:tc>
          <w:tcPr>
            <w:tcW w:w="6982" w:type="dxa"/>
            <w:tcBorders>
              <w:tl2br w:val="nil"/>
              <w:tr2bl w:val="nil"/>
            </w:tcBorders>
            <w:vAlign w:val="center"/>
          </w:tcPr>
          <w:p w14:paraId="0BA58B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支持不同科室患者评估时，风险量表自动对应，比如非手术操作患者自动打开内科 Padua 评估，外科手术操作患者自动评估 Caprin 量表，产科自动评估产科 VTE 量表，肿瘤相关自动推荐评估 Khorana 量表，且能根据医院具体要求进行动态配置</w:t>
            </w:r>
          </w:p>
        </w:tc>
        <w:tc>
          <w:tcPr>
            <w:tcW w:w="870" w:type="dxa"/>
            <w:vMerge w:val="continue"/>
            <w:tcBorders>
              <w:tl2br w:val="nil"/>
              <w:tr2bl w:val="nil"/>
            </w:tcBorders>
            <w:noWrap/>
            <w:vAlign w:val="center"/>
          </w:tcPr>
          <w:p w14:paraId="66E1DB68">
            <w:pPr>
              <w:spacing w:line="360" w:lineRule="auto"/>
              <w:jc w:val="center"/>
              <w:rPr>
                <w:rFonts w:hint="eastAsia" w:ascii="宋体" w:hAnsi="宋体" w:cs="宋体"/>
                <w:color w:val="auto"/>
                <w:sz w:val="21"/>
                <w:szCs w:val="21"/>
                <w:highlight w:val="none"/>
              </w:rPr>
            </w:pPr>
          </w:p>
        </w:tc>
      </w:tr>
      <w:tr w14:paraId="588CE6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42E8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4.3.3</w:t>
            </w:r>
          </w:p>
        </w:tc>
        <w:tc>
          <w:tcPr>
            <w:tcW w:w="6982" w:type="dxa"/>
            <w:tcBorders>
              <w:tl2br w:val="nil"/>
              <w:tr2bl w:val="nil"/>
            </w:tcBorders>
            <w:vAlign w:val="center"/>
          </w:tcPr>
          <w:p w14:paraId="0069AE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日志记录分析服务</w:t>
            </w:r>
          </w:p>
        </w:tc>
        <w:tc>
          <w:tcPr>
            <w:tcW w:w="870" w:type="dxa"/>
            <w:vMerge w:val="continue"/>
            <w:tcBorders>
              <w:tl2br w:val="nil"/>
              <w:tr2bl w:val="nil"/>
            </w:tcBorders>
            <w:noWrap/>
            <w:vAlign w:val="center"/>
          </w:tcPr>
          <w:p w14:paraId="2A8984A7">
            <w:pPr>
              <w:spacing w:line="360" w:lineRule="auto"/>
              <w:jc w:val="center"/>
              <w:rPr>
                <w:rFonts w:hint="eastAsia" w:ascii="宋体" w:hAnsi="宋体" w:cs="宋体"/>
                <w:color w:val="auto"/>
                <w:sz w:val="21"/>
                <w:szCs w:val="21"/>
                <w:highlight w:val="none"/>
              </w:rPr>
            </w:pPr>
          </w:p>
        </w:tc>
      </w:tr>
      <w:tr w14:paraId="39EB47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C8DD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4.3.3.1</w:t>
            </w:r>
          </w:p>
        </w:tc>
        <w:tc>
          <w:tcPr>
            <w:tcW w:w="6982" w:type="dxa"/>
            <w:tcBorders>
              <w:tl2br w:val="nil"/>
              <w:tr2bl w:val="nil"/>
            </w:tcBorders>
            <w:vAlign w:val="center"/>
          </w:tcPr>
          <w:p w14:paraId="24126F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提供后台日志记录功能，记录用户的评估信息，包括评估人 ID、科室、电脑 IP、患者信息、风险等级、评估时间等信息</w:t>
            </w:r>
          </w:p>
        </w:tc>
        <w:tc>
          <w:tcPr>
            <w:tcW w:w="870" w:type="dxa"/>
            <w:vMerge w:val="continue"/>
            <w:tcBorders>
              <w:tl2br w:val="nil"/>
              <w:tr2bl w:val="nil"/>
            </w:tcBorders>
            <w:noWrap/>
            <w:vAlign w:val="center"/>
          </w:tcPr>
          <w:p w14:paraId="1770AEBA">
            <w:pPr>
              <w:spacing w:line="360" w:lineRule="auto"/>
              <w:jc w:val="center"/>
              <w:rPr>
                <w:rFonts w:hint="eastAsia" w:ascii="宋体" w:hAnsi="宋体" w:cs="宋体"/>
                <w:color w:val="auto"/>
                <w:sz w:val="21"/>
                <w:szCs w:val="21"/>
                <w:highlight w:val="none"/>
              </w:rPr>
            </w:pPr>
          </w:p>
        </w:tc>
      </w:tr>
      <w:tr w14:paraId="64B696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D2E4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4.3.3.2</w:t>
            </w:r>
          </w:p>
        </w:tc>
        <w:tc>
          <w:tcPr>
            <w:tcW w:w="6982" w:type="dxa"/>
            <w:tcBorders>
              <w:tl2br w:val="nil"/>
              <w:tr2bl w:val="nil"/>
            </w:tcBorders>
            <w:vAlign w:val="center"/>
          </w:tcPr>
          <w:p w14:paraId="1EE303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提供管理员管理后台功能，能输入患者 ID、姓名按科室查看在院、已出院患者评估记录信息，以及最近一次评估情况</w:t>
            </w:r>
          </w:p>
        </w:tc>
        <w:tc>
          <w:tcPr>
            <w:tcW w:w="870" w:type="dxa"/>
            <w:vMerge w:val="continue"/>
            <w:tcBorders>
              <w:tl2br w:val="nil"/>
              <w:tr2bl w:val="nil"/>
            </w:tcBorders>
            <w:noWrap/>
            <w:vAlign w:val="center"/>
          </w:tcPr>
          <w:p w14:paraId="04C76529">
            <w:pPr>
              <w:spacing w:line="360" w:lineRule="auto"/>
              <w:jc w:val="center"/>
              <w:rPr>
                <w:rFonts w:hint="eastAsia" w:ascii="宋体" w:hAnsi="宋体" w:cs="宋体"/>
                <w:color w:val="auto"/>
                <w:sz w:val="21"/>
                <w:szCs w:val="21"/>
                <w:highlight w:val="none"/>
              </w:rPr>
            </w:pPr>
          </w:p>
        </w:tc>
      </w:tr>
      <w:tr w14:paraId="604BCB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EF3B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4.3.3.3</w:t>
            </w:r>
          </w:p>
        </w:tc>
        <w:tc>
          <w:tcPr>
            <w:tcW w:w="6982" w:type="dxa"/>
            <w:tcBorders>
              <w:tl2br w:val="nil"/>
              <w:tr2bl w:val="nil"/>
            </w:tcBorders>
            <w:vAlign w:val="center"/>
          </w:tcPr>
          <w:p w14:paraId="202626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提供后台日志统计功能，实时监控 VTE 防控产品推广使用情况</w:t>
            </w:r>
          </w:p>
        </w:tc>
        <w:tc>
          <w:tcPr>
            <w:tcW w:w="870" w:type="dxa"/>
            <w:vMerge w:val="continue"/>
            <w:tcBorders>
              <w:tl2br w:val="nil"/>
              <w:tr2bl w:val="nil"/>
            </w:tcBorders>
            <w:noWrap/>
            <w:vAlign w:val="center"/>
          </w:tcPr>
          <w:p w14:paraId="59D66937">
            <w:pPr>
              <w:spacing w:line="360" w:lineRule="auto"/>
              <w:jc w:val="center"/>
              <w:rPr>
                <w:rFonts w:hint="eastAsia" w:ascii="宋体" w:hAnsi="宋体" w:cs="宋体"/>
                <w:color w:val="auto"/>
                <w:sz w:val="21"/>
                <w:szCs w:val="21"/>
                <w:highlight w:val="none"/>
              </w:rPr>
            </w:pPr>
          </w:p>
        </w:tc>
      </w:tr>
      <w:tr w14:paraId="305891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5CF0F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w:t>
            </w:r>
          </w:p>
        </w:tc>
        <w:tc>
          <w:tcPr>
            <w:tcW w:w="6982" w:type="dxa"/>
            <w:tcBorders>
              <w:tl2br w:val="nil"/>
              <w:tr2bl w:val="nil"/>
            </w:tcBorders>
            <w:vAlign w:val="center"/>
          </w:tcPr>
          <w:p w14:paraId="291A3B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大数据统计分析服务</w:t>
            </w:r>
          </w:p>
        </w:tc>
        <w:tc>
          <w:tcPr>
            <w:tcW w:w="870" w:type="dxa"/>
            <w:vMerge w:val="continue"/>
            <w:tcBorders>
              <w:tl2br w:val="nil"/>
              <w:tr2bl w:val="nil"/>
            </w:tcBorders>
            <w:noWrap/>
            <w:vAlign w:val="center"/>
          </w:tcPr>
          <w:p w14:paraId="40AD8DEA">
            <w:pPr>
              <w:spacing w:line="360" w:lineRule="auto"/>
              <w:jc w:val="center"/>
              <w:rPr>
                <w:rFonts w:hint="eastAsia" w:ascii="宋体" w:hAnsi="宋体" w:cs="宋体"/>
                <w:color w:val="auto"/>
                <w:sz w:val="21"/>
                <w:szCs w:val="21"/>
                <w:highlight w:val="none"/>
              </w:rPr>
            </w:pPr>
          </w:p>
        </w:tc>
      </w:tr>
      <w:tr w14:paraId="245B28B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30F9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4.3.4.1</w:t>
            </w:r>
          </w:p>
        </w:tc>
        <w:tc>
          <w:tcPr>
            <w:tcW w:w="6982" w:type="dxa"/>
            <w:tcBorders>
              <w:tl2br w:val="nil"/>
              <w:tr2bl w:val="nil"/>
            </w:tcBorders>
            <w:vAlign w:val="center"/>
          </w:tcPr>
          <w:p w14:paraId="2E0825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内、外网均进行各类质控数据的查看，分权限管理，科主任可以看本科室的运行界面，医务部、护理部的指定人员分别由医务部或护理部授权，可看全院的运行界面</w:t>
            </w:r>
          </w:p>
        </w:tc>
        <w:tc>
          <w:tcPr>
            <w:tcW w:w="870" w:type="dxa"/>
            <w:vMerge w:val="continue"/>
            <w:tcBorders>
              <w:tl2br w:val="nil"/>
              <w:tr2bl w:val="nil"/>
            </w:tcBorders>
            <w:noWrap/>
            <w:vAlign w:val="center"/>
          </w:tcPr>
          <w:p w14:paraId="04182B45">
            <w:pPr>
              <w:spacing w:line="360" w:lineRule="auto"/>
              <w:jc w:val="center"/>
              <w:rPr>
                <w:rFonts w:hint="eastAsia" w:ascii="宋体" w:hAnsi="宋体" w:cs="宋体"/>
                <w:color w:val="auto"/>
                <w:sz w:val="21"/>
                <w:szCs w:val="21"/>
                <w:highlight w:val="none"/>
              </w:rPr>
            </w:pPr>
          </w:p>
        </w:tc>
      </w:tr>
      <w:tr w14:paraId="2535AA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0B21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4.3.4.2</w:t>
            </w:r>
          </w:p>
        </w:tc>
        <w:tc>
          <w:tcPr>
            <w:tcW w:w="6982" w:type="dxa"/>
            <w:tcBorders>
              <w:tl2br w:val="nil"/>
              <w:tr2bl w:val="nil"/>
            </w:tcBorders>
            <w:vAlign w:val="center"/>
          </w:tcPr>
          <w:p w14:paraId="2F4CA0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对全院和各个科室分别按照出院患者进行质控展示</w:t>
            </w:r>
          </w:p>
        </w:tc>
        <w:tc>
          <w:tcPr>
            <w:tcW w:w="870" w:type="dxa"/>
            <w:vMerge w:val="continue"/>
            <w:tcBorders>
              <w:tl2br w:val="nil"/>
              <w:tr2bl w:val="nil"/>
            </w:tcBorders>
            <w:noWrap/>
            <w:vAlign w:val="center"/>
          </w:tcPr>
          <w:p w14:paraId="15526643">
            <w:pPr>
              <w:spacing w:line="360" w:lineRule="auto"/>
              <w:jc w:val="center"/>
              <w:rPr>
                <w:rFonts w:hint="eastAsia" w:ascii="宋体" w:hAnsi="宋体" w:cs="宋体"/>
                <w:color w:val="auto"/>
                <w:sz w:val="21"/>
                <w:szCs w:val="21"/>
                <w:highlight w:val="none"/>
              </w:rPr>
            </w:pPr>
          </w:p>
        </w:tc>
      </w:tr>
      <w:tr w14:paraId="1E969EA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D0EB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4.3.4.3</w:t>
            </w:r>
          </w:p>
        </w:tc>
        <w:tc>
          <w:tcPr>
            <w:tcW w:w="6982" w:type="dxa"/>
            <w:tcBorders>
              <w:tl2br w:val="nil"/>
              <w:tr2bl w:val="nil"/>
            </w:tcBorders>
            <w:vAlign w:val="center"/>
          </w:tcPr>
          <w:p w14:paraId="09E6D6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院内监控综合：在院患者数据实时更新、评估率与预防率按照国家最新质控标准执行</w:t>
            </w:r>
          </w:p>
        </w:tc>
        <w:tc>
          <w:tcPr>
            <w:tcW w:w="870" w:type="dxa"/>
            <w:vMerge w:val="continue"/>
            <w:tcBorders>
              <w:tl2br w:val="nil"/>
              <w:tr2bl w:val="nil"/>
            </w:tcBorders>
            <w:noWrap/>
            <w:vAlign w:val="center"/>
          </w:tcPr>
          <w:p w14:paraId="060EF6B6">
            <w:pPr>
              <w:spacing w:line="360" w:lineRule="auto"/>
              <w:jc w:val="center"/>
              <w:rPr>
                <w:rFonts w:hint="eastAsia" w:ascii="宋体" w:hAnsi="宋体" w:cs="宋体"/>
                <w:color w:val="auto"/>
                <w:sz w:val="21"/>
                <w:szCs w:val="21"/>
                <w:highlight w:val="none"/>
              </w:rPr>
            </w:pPr>
          </w:p>
        </w:tc>
      </w:tr>
      <w:tr w14:paraId="08B8C3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2991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4.3.4.4</w:t>
            </w:r>
          </w:p>
        </w:tc>
        <w:tc>
          <w:tcPr>
            <w:tcW w:w="6982" w:type="dxa"/>
            <w:tcBorders>
              <w:tl2br w:val="nil"/>
              <w:tr2bl w:val="nil"/>
            </w:tcBorders>
            <w:vAlign w:val="center"/>
          </w:tcPr>
          <w:p w14:paraId="10B08E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患者出院质控监控：入院 24h 及时评估、VTE 风险评估、中高危患者占比、出血风险评估、出血高危占比、VTE 预防措施（药物 + 机械）、药物预防率、机械预防措施、VTE 结局质量。对 VTE 发生率进行分别统计，对院内 VTE 发生例数进行精确合理筛选</w:t>
            </w:r>
          </w:p>
        </w:tc>
        <w:tc>
          <w:tcPr>
            <w:tcW w:w="870" w:type="dxa"/>
            <w:vMerge w:val="continue"/>
            <w:tcBorders>
              <w:tl2br w:val="nil"/>
              <w:tr2bl w:val="nil"/>
            </w:tcBorders>
            <w:noWrap/>
            <w:vAlign w:val="center"/>
          </w:tcPr>
          <w:p w14:paraId="49A833EE">
            <w:pPr>
              <w:spacing w:line="360" w:lineRule="auto"/>
              <w:jc w:val="center"/>
              <w:rPr>
                <w:rFonts w:hint="eastAsia" w:ascii="宋体" w:hAnsi="宋体" w:cs="宋体"/>
                <w:color w:val="auto"/>
                <w:sz w:val="21"/>
                <w:szCs w:val="21"/>
                <w:highlight w:val="none"/>
              </w:rPr>
            </w:pPr>
          </w:p>
        </w:tc>
      </w:tr>
      <w:tr w14:paraId="0BAE24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4734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4.3.4.5</w:t>
            </w:r>
          </w:p>
        </w:tc>
        <w:tc>
          <w:tcPr>
            <w:tcW w:w="6982" w:type="dxa"/>
            <w:tcBorders>
              <w:tl2br w:val="nil"/>
              <w:tr2bl w:val="nil"/>
            </w:tcBorders>
            <w:vAlign w:val="center"/>
          </w:tcPr>
          <w:p w14:paraId="28D758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统计指标基础要求：VTE 风险评估率、入院 / 转科 24h 及时评估率、中高危患者占比、出血风险评估率、出血高危占比率、VTE 预防措施（药物 + 机械）预防率、药物预防率、机械预防率、联合预防率</w:t>
            </w:r>
          </w:p>
        </w:tc>
        <w:tc>
          <w:tcPr>
            <w:tcW w:w="870" w:type="dxa"/>
            <w:vMerge w:val="continue"/>
            <w:tcBorders>
              <w:tl2br w:val="nil"/>
              <w:tr2bl w:val="nil"/>
            </w:tcBorders>
            <w:noWrap/>
            <w:vAlign w:val="center"/>
          </w:tcPr>
          <w:p w14:paraId="3BFF4F58">
            <w:pPr>
              <w:spacing w:line="360" w:lineRule="auto"/>
              <w:jc w:val="center"/>
              <w:rPr>
                <w:rFonts w:hint="eastAsia" w:ascii="宋体" w:hAnsi="宋体" w:cs="宋体"/>
                <w:color w:val="auto"/>
                <w:sz w:val="21"/>
                <w:szCs w:val="21"/>
                <w:highlight w:val="none"/>
              </w:rPr>
            </w:pPr>
          </w:p>
        </w:tc>
      </w:tr>
      <w:tr w14:paraId="12B045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2380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4.3.4.6</w:t>
            </w:r>
          </w:p>
        </w:tc>
        <w:tc>
          <w:tcPr>
            <w:tcW w:w="6982" w:type="dxa"/>
            <w:tcBorders>
              <w:tl2br w:val="nil"/>
              <w:tr2bl w:val="nil"/>
            </w:tcBorders>
            <w:vAlign w:val="center"/>
          </w:tcPr>
          <w:p w14:paraId="4FA80A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对出院诊断中带有 VTE 诊断的，提供接口数据供 VTE 发生上报表，搜集相关重要规范化字段，供临床修改确认后，递交汇总</w:t>
            </w:r>
          </w:p>
        </w:tc>
        <w:tc>
          <w:tcPr>
            <w:tcW w:w="870" w:type="dxa"/>
            <w:vMerge w:val="continue"/>
            <w:tcBorders>
              <w:tl2br w:val="nil"/>
              <w:tr2bl w:val="nil"/>
            </w:tcBorders>
            <w:noWrap/>
            <w:vAlign w:val="center"/>
          </w:tcPr>
          <w:p w14:paraId="553E526D">
            <w:pPr>
              <w:spacing w:line="360" w:lineRule="auto"/>
              <w:jc w:val="center"/>
              <w:rPr>
                <w:rFonts w:hint="eastAsia" w:ascii="宋体" w:hAnsi="宋体" w:cs="宋体"/>
                <w:color w:val="auto"/>
                <w:sz w:val="21"/>
                <w:szCs w:val="21"/>
                <w:highlight w:val="none"/>
              </w:rPr>
            </w:pPr>
          </w:p>
        </w:tc>
      </w:tr>
      <w:tr w14:paraId="0D1751F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B5D5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4.3.4.7</w:t>
            </w:r>
          </w:p>
        </w:tc>
        <w:tc>
          <w:tcPr>
            <w:tcW w:w="6982" w:type="dxa"/>
            <w:tcBorders>
              <w:tl2br w:val="nil"/>
              <w:tr2bl w:val="nil"/>
            </w:tcBorders>
            <w:vAlign w:val="center"/>
          </w:tcPr>
          <w:p w14:paraId="68864F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能按照每年国家和省里医院管理和 VTE 联盟要求导出需要的数据</w:t>
            </w:r>
          </w:p>
        </w:tc>
        <w:tc>
          <w:tcPr>
            <w:tcW w:w="870" w:type="dxa"/>
            <w:vMerge w:val="continue"/>
            <w:tcBorders>
              <w:tl2br w:val="nil"/>
              <w:tr2bl w:val="nil"/>
            </w:tcBorders>
            <w:noWrap/>
            <w:vAlign w:val="center"/>
          </w:tcPr>
          <w:p w14:paraId="607E7BE9">
            <w:pPr>
              <w:spacing w:line="360" w:lineRule="auto"/>
              <w:jc w:val="center"/>
              <w:rPr>
                <w:rFonts w:hint="eastAsia" w:ascii="宋体" w:hAnsi="宋体" w:cs="宋体"/>
                <w:color w:val="auto"/>
                <w:sz w:val="21"/>
                <w:szCs w:val="21"/>
                <w:highlight w:val="none"/>
              </w:rPr>
            </w:pPr>
          </w:p>
        </w:tc>
      </w:tr>
      <w:tr w14:paraId="50DB1C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F0FF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4.3.4.8</w:t>
            </w:r>
          </w:p>
        </w:tc>
        <w:tc>
          <w:tcPr>
            <w:tcW w:w="6982" w:type="dxa"/>
            <w:tcBorders>
              <w:tl2br w:val="nil"/>
              <w:tr2bl w:val="nil"/>
            </w:tcBorders>
            <w:vAlign w:val="center"/>
          </w:tcPr>
          <w:p w14:paraId="20D31B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评分管理质控：入院 / 转科、在院、术前、术后、出院、院后</w:t>
            </w:r>
          </w:p>
        </w:tc>
        <w:tc>
          <w:tcPr>
            <w:tcW w:w="870" w:type="dxa"/>
            <w:vMerge w:val="continue"/>
            <w:tcBorders>
              <w:tl2br w:val="nil"/>
              <w:tr2bl w:val="nil"/>
            </w:tcBorders>
            <w:noWrap/>
            <w:vAlign w:val="center"/>
          </w:tcPr>
          <w:p w14:paraId="552622FD">
            <w:pPr>
              <w:spacing w:line="360" w:lineRule="auto"/>
              <w:jc w:val="center"/>
              <w:rPr>
                <w:rFonts w:hint="eastAsia" w:ascii="宋体" w:hAnsi="宋体" w:cs="宋体"/>
                <w:color w:val="auto"/>
                <w:sz w:val="21"/>
                <w:szCs w:val="21"/>
                <w:highlight w:val="none"/>
              </w:rPr>
            </w:pPr>
          </w:p>
        </w:tc>
      </w:tr>
      <w:tr w14:paraId="49A067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80FB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w:t>
            </w:r>
          </w:p>
        </w:tc>
        <w:tc>
          <w:tcPr>
            <w:tcW w:w="6982" w:type="dxa"/>
            <w:tcBorders>
              <w:tl2br w:val="nil"/>
              <w:tr2bl w:val="nil"/>
            </w:tcBorders>
            <w:vAlign w:val="center"/>
          </w:tcPr>
          <w:p w14:paraId="083DD0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VTE 风险评估率</w:t>
            </w:r>
          </w:p>
        </w:tc>
        <w:tc>
          <w:tcPr>
            <w:tcW w:w="870" w:type="dxa"/>
            <w:vMerge w:val="continue"/>
            <w:tcBorders>
              <w:tl2br w:val="nil"/>
              <w:tr2bl w:val="nil"/>
            </w:tcBorders>
            <w:noWrap/>
            <w:vAlign w:val="center"/>
          </w:tcPr>
          <w:p w14:paraId="60D2F8EA">
            <w:pPr>
              <w:spacing w:line="360" w:lineRule="auto"/>
              <w:jc w:val="center"/>
              <w:rPr>
                <w:rFonts w:hint="eastAsia" w:ascii="宋体" w:hAnsi="宋体" w:cs="宋体"/>
                <w:color w:val="auto"/>
                <w:sz w:val="21"/>
                <w:szCs w:val="21"/>
                <w:highlight w:val="none"/>
              </w:rPr>
            </w:pPr>
          </w:p>
        </w:tc>
      </w:tr>
      <w:tr w14:paraId="3C1454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234C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4.3.5.1</w:t>
            </w:r>
          </w:p>
        </w:tc>
        <w:tc>
          <w:tcPr>
            <w:tcW w:w="6982" w:type="dxa"/>
            <w:tcBorders>
              <w:tl2br w:val="nil"/>
              <w:tr2bl w:val="nil"/>
            </w:tcBorders>
            <w:vAlign w:val="center"/>
          </w:tcPr>
          <w:p w14:paraId="54254B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VTE 风险评估率</w:t>
            </w:r>
          </w:p>
        </w:tc>
        <w:tc>
          <w:tcPr>
            <w:tcW w:w="870" w:type="dxa"/>
            <w:vMerge w:val="continue"/>
            <w:tcBorders>
              <w:tl2br w:val="nil"/>
              <w:tr2bl w:val="nil"/>
            </w:tcBorders>
            <w:noWrap/>
            <w:vAlign w:val="center"/>
          </w:tcPr>
          <w:p w14:paraId="5480113A">
            <w:pPr>
              <w:spacing w:line="360" w:lineRule="auto"/>
              <w:jc w:val="center"/>
              <w:rPr>
                <w:rFonts w:hint="eastAsia" w:ascii="宋体" w:hAnsi="宋体" w:cs="宋体"/>
                <w:color w:val="auto"/>
                <w:sz w:val="21"/>
                <w:szCs w:val="21"/>
                <w:highlight w:val="none"/>
              </w:rPr>
            </w:pPr>
          </w:p>
        </w:tc>
      </w:tr>
      <w:tr w14:paraId="6B5C54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5AA0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4.3.5.2</w:t>
            </w:r>
          </w:p>
        </w:tc>
        <w:tc>
          <w:tcPr>
            <w:tcW w:w="6982" w:type="dxa"/>
            <w:tcBorders>
              <w:tl2br w:val="nil"/>
              <w:tr2bl w:val="nil"/>
            </w:tcBorders>
            <w:vAlign w:val="center"/>
          </w:tcPr>
          <w:p w14:paraId="55C296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入院后 24h 内 VTE 风险评估率</w:t>
            </w:r>
          </w:p>
        </w:tc>
        <w:tc>
          <w:tcPr>
            <w:tcW w:w="870" w:type="dxa"/>
            <w:vMerge w:val="continue"/>
            <w:tcBorders>
              <w:tl2br w:val="nil"/>
              <w:tr2bl w:val="nil"/>
            </w:tcBorders>
            <w:noWrap/>
            <w:vAlign w:val="center"/>
          </w:tcPr>
          <w:p w14:paraId="57FF5A5C">
            <w:pPr>
              <w:spacing w:line="360" w:lineRule="auto"/>
              <w:jc w:val="center"/>
              <w:rPr>
                <w:rFonts w:hint="eastAsia" w:ascii="宋体" w:hAnsi="宋体" w:cs="宋体"/>
                <w:color w:val="auto"/>
                <w:sz w:val="21"/>
                <w:szCs w:val="21"/>
                <w:highlight w:val="none"/>
              </w:rPr>
            </w:pPr>
          </w:p>
        </w:tc>
      </w:tr>
      <w:tr w14:paraId="77F930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E033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4.3.5.3</w:t>
            </w:r>
          </w:p>
        </w:tc>
        <w:tc>
          <w:tcPr>
            <w:tcW w:w="6982" w:type="dxa"/>
            <w:tcBorders>
              <w:tl2br w:val="nil"/>
              <w:tr2bl w:val="nil"/>
            </w:tcBorders>
            <w:vAlign w:val="center"/>
          </w:tcPr>
          <w:p w14:paraId="41092A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手术前 24h 内 VTE 风险评估率</w:t>
            </w:r>
          </w:p>
        </w:tc>
        <w:tc>
          <w:tcPr>
            <w:tcW w:w="870" w:type="dxa"/>
            <w:vMerge w:val="continue"/>
            <w:tcBorders>
              <w:tl2br w:val="nil"/>
              <w:tr2bl w:val="nil"/>
            </w:tcBorders>
            <w:noWrap/>
            <w:vAlign w:val="center"/>
          </w:tcPr>
          <w:p w14:paraId="5DCC7E25">
            <w:pPr>
              <w:spacing w:line="360" w:lineRule="auto"/>
              <w:jc w:val="center"/>
              <w:rPr>
                <w:rFonts w:hint="eastAsia" w:ascii="宋体" w:hAnsi="宋体" w:cs="宋体"/>
                <w:color w:val="auto"/>
                <w:sz w:val="21"/>
                <w:szCs w:val="21"/>
                <w:highlight w:val="none"/>
              </w:rPr>
            </w:pPr>
          </w:p>
        </w:tc>
      </w:tr>
      <w:tr w14:paraId="129E00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FA6F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4.3.5.4</w:t>
            </w:r>
          </w:p>
        </w:tc>
        <w:tc>
          <w:tcPr>
            <w:tcW w:w="6982" w:type="dxa"/>
            <w:tcBorders>
              <w:tl2br w:val="nil"/>
              <w:tr2bl w:val="nil"/>
            </w:tcBorders>
            <w:vAlign w:val="center"/>
          </w:tcPr>
          <w:p w14:paraId="4EB1A7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 内 VTE 风险评估率</w:t>
            </w:r>
          </w:p>
        </w:tc>
        <w:tc>
          <w:tcPr>
            <w:tcW w:w="870" w:type="dxa"/>
            <w:vMerge w:val="continue"/>
            <w:tcBorders>
              <w:tl2br w:val="nil"/>
              <w:tr2bl w:val="nil"/>
            </w:tcBorders>
            <w:noWrap/>
            <w:vAlign w:val="center"/>
          </w:tcPr>
          <w:p w14:paraId="60512D9D">
            <w:pPr>
              <w:spacing w:line="360" w:lineRule="auto"/>
              <w:jc w:val="center"/>
              <w:rPr>
                <w:rFonts w:hint="eastAsia" w:ascii="宋体" w:hAnsi="宋体" w:cs="宋体"/>
                <w:color w:val="auto"/>
                <w:sz w:val="21"/>
                <w:szCs w:val="21"/>
                <w:highlight w:val="none"/>
              </w:rPr>
            </w:pPr>
          </w:p>
        </w:tc>
      </w:tr>
      <w:tr w14:paraId="7437B6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7C2A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4.3.5.5</w:t>
            </w:r>
          </w:p>
        </w:tc>
        <w:tc>
          <w:tcPr>
            <w:tcW w:w="6982" w:type="dxa"/>
            <w:tcBorders>
              <w:tl2br w:val="nil"/>
              <w:tr2bl w:val="nil"/>
            </w:tcBorders>
            <w:vAlign w:val="center"/>
          </w:tcPr>
          <w:p w14:paraId="7F69A1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转科后 24h 内 VTE 风险评估率</w:t>
            </w:r>
          </w:p>
        </w:tc>
        <w:tc>
          <w:tcPr>
            <w:tcW w:w="870" w:type="dxa"/>
            <w:vMerge w:val="continue"/>
            <w:tcBorders>
              <w:tl2br w:val="nil"/>
              <w:tr2bl w:val="nil"/>
            </w:tcBorders>
            <w:noWrap/>
            <w:vAlign w:val="center"/>
          </w:tcPr>
          <w:p w14:paraId="28A5B538">
            <w:pPr>
              <w:spacing w:line="360" w:lineRule="auto"/>
              <w:jc w:val="center"/>
              <w:rPr>
                <w:rFonts w:hint="eastAsia" w:ascii="宋体" w:hAnsi="宋体" w:cs="宋体"/>
                <w:color w:val="auto"/>
                <w:sz w:val="21"/>
                <w:szCs w:val="21"/>
                <w:highlight w:val="none"/>
              </w:rPr>
            </w:pPr>
          </w:p>
        </w:tc>
      </w:tr>
      <w:tr w14:paraId="3A78C1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468F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4.3.5.6</w:t>
            </w:r>
          </w:p>
        </w:tc>
        <w:tc>
          <w:tcPr>
            <w:tcW w:w="6982" w:type="dxa"/>
            <w:tcBorders>
              <w:tl2br w:val="nil"/>
              <w:tr2bl w:val="nil"/>
            </w:tcBorders>
            <w:vAlign w:val="center"/>
          </w:tcPr>
          <w:p w14:paraId="401A36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出院前 24h 内 VTE 风险评估率</w:t>
            </w:r>
          </w:p>
        </w:tc>
        <w:tc>
          <w:tcPr>
            <w:tcW w:w="870" w:type="dxa"/>
            <w:vMerge w:val="continue"/>
            <w:tcBorders>
              <w:tl2br w:val="nil"/>
              <w:tr2bl w:val="nil"/>
            </w:tcBorders>
            <w:noWrap/>
            <w:vAlign w:val="center"/>
          </w:tcPr>
          <w:p w14:paraId="6CA8163E">
            <w:pPr>
              <w:spacing w:line="360" w:lineRule="auto"/>
              <w:jc w:val="center"/>
              <w:rPr>
                <w:rFonts w:hint="eastAsia" w:ascii="宋体" w:hAnsi="宋体" w:cs="宋体"/>
                <w:color w:val="auto"/>
                <w:sz w:val="21"/>
                <w:szCs w:val="21"/>
                <w:highlight w:val="none"/>
              </w:rPr>
            </w:pPr>
          </w:p>
        </w:tc>
      </w:tr>
      <w:tr w14:paraId="35455F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FB1C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4.3.5.7</w:t>
            </w:r>
          </w:p>
        </w:tc>
        <w:tc>
          <w:tcPr>
            <w:tcW w:w="6982" w:type="dxa"/>
            <w:tcBorders>
              <w:tl2br w:val="nil"/>
              <w:tr2bl w:val="nil"/>
            </w:tcBorders>
            <w:vAlign w:val="center"/>
          </w:tcPr>
          <w:p w14:paraId="16B5E0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VTE 中高风险比例</w:t>
            </w:r>
          </w:p>
        </w:tc>
        <w:tc>
          <w:tcPr>
            <w:tcW w:w="870" w:type="dxa"/>
            <w:vMerge w:val="continue"/>
            <w:tcBorders>
              <w:tl2br w:val="nil"/>
              <w:tr2bl w:val="nil"/>
            </w:tcBorders>
            <w:noWrap/>
            <w:vAlign w:val="center"/>
          </w:tcPr>
          <w:p w14:paraId="15796D44">
            <w:pPr>
              <w:spacing w:line="360" w:lineRule="auto"/>
              <w:jc w:val="center"/>
              <w:rPr>
                <w:rFonts w:hint="eastAsia" w:ascii="宋体" w:hAnsi="宋体" w:cs="宋体"/>
                <w:color w:val="auto"/>
                <w:sz w:val="21"/>
                <w:szCs w:val="21"/>
                <w:highlight w:val="none"/>
              </w:rPr>
            </w:pPr>
          </w:p>
        </w:tc>
      </w:tr>
      <w:tr w14:paraId="79E593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50A2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w:t>
            </w:r>
          </w:p>
        </w:tc>
        <w:tc>
          <w:tcPr>
            <w:tcW w:w="6982" w:type="dxa"/>
            <w:tcBorders>
              <w:tl2br w:val="nil"/>
              <w:tr2bl w:val="nil"/>
            </w:tcBorders>
            <w:vAlign w:val="center"/>
          </w:tcPr>
          <w:p w14:paraId="63A5D3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出血风险评估率</w:t>
            </w:r>
          </w:p>
        </w:tc>
        <w:tc>
          <w:tcPr>
            <w:tcW w:w="870" w:type="dxa"/>
            <w:vMerge w:val="continue"/>
            <w:tcBorders>
              <w:tl2br w:val="nil"/>
              <w:tr2bl w:val="nil"/>
            </w:tcBorders>
            <w:noWrap/>
            <w:vAlign w:val="center"/>
          </w:tcPr>
          <w:p w14:paraId="09A983A2">
            <w:pPr>
              <w:spacing w:line="360" w:lineRule="auto"/>
              <w:jc w:val="center"/>
              <w:rPr>
                <w:rFonts w:hint="eastAsia" w:ascii="宋体" w:hAnsi="宋体" w:cs="宋体"/>
                <w:color w:val="auto"/>
                <w:sz w:val="21"/>
                <w:szCs w:val="21"/>
                <w:highlight w:val="none"/>
              </w:rPr>
            </w:pPr>
          </w:p>
        </w:tc>
      </w:tr>
      <w:tr w14:paraId="6EB88B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F193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4.3.6.1</w:t>
            </w:r>
          </w:p>
        </w:tc>
        <w:tc>
          <w:tcPr>
            <w:tcW w:w="6982" w:type="dxa"/>
            <w:tcBorders>
              <w:tl2br w:val="nil"/>
              <w:tr2bl w:val="nil"/>
            </w:tcBorders>
            <w:vAlign w:val="center"/>
          </w:tcPr>
          <w:p w14:paraId="297CF3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出血风险评估率</w:t>
            </w:r>
          </w:p>
        </w:tc>
        <w:tc>
          <w:tcPr>
            <w:tcW w:w="870" w:type="dxa"/>
            <w:vMerge w:val="continue"/>
            <w:tcBorders>
              <w:tl2br w:val="nil"/>
              <w:tr2bl w:val="nil"/>
            </w:tcBorders>
            <w:noWrap/>
            <w:vAlign w:val="center"/>
          </w:tcPr>
          <w:p w14:paraId="2C568DF1">
            <w:pPr>
              <w:spacing w:line="360" w:lineRule="auto"/>
              <w:jc w:val="center"/>
              <w:rPr>
                <w:rFonts w:hint="eastAsia" w:ascii="宋体" w:hAnsi="宋体" w:cs="宋体"/>
                <w:color w:val="auto"/>
                <w:sz w:val="21"/>
                <w:szCs w:val="21"/>
                <w:highlight w:val="none"/>
              </w:rPr>
            </w:pPr>
          </w:p>
        </w:tc>
      </w:tr>
      <w:tr w14:paraId="5D6B32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3970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4.3.6.2</w:t>
            </w:r>
          </w:p>
        </w:tc>
        <w:tc>
          <w:tcPr>
            <w:tcW w:w="6982" w:type="dxa"/>
            <w:tcBorders>
              <w:tl2br w:val="nil"/>
              <w:tr2bl w:val="nil"/>
            </w:tcBorders>
            <w:vAlign w:val="center"/>
          </w:tcPr>
          <w:p w14:paraId="152D2B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入院后 24h 内出血评估率</w:t>
            </w:r>
          </w:p>
        </w:tc>
        <w:tc>
          <w:tcPr>
            <w:tcW w:w="870" w:type="dxa"/>
            <w:vMerge w:val="continue"/>
            <w:tcBorders>
              <w:tl2br w:val="nil"/>
              <w:tr2bl w:val="nil"/>
            </w:tcBorders>
            <w:noWrap/>
            <w:vAlign w:val="center"/>
          </w:tcPr>
          <w:p w14:paraId="16A55FF9">
            <w:pPr>
              <w:spacing w:line="360" w:lineRule="auto"/>
              <w:jc w:val="center"/>
              <w:rPr>
                <w:rFonts w:hint="eastAsia" w:ascii="宋体" w:hAnsi="宋体" w:cs="宋体"/>
                <w:color w:val="auto"/>
                <w:sz w:val="21"/>
                <w:szCs w:val="21"/>
                <w:highlight w:val="none"/>
              </w:rPr>
            </w:pPr>
          </w:p>
        </w:tc>
      </w:tr>
      <w:tr w14:paraId="4A0394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D0DB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4.3.6.3</w:t>
            </w:r>
          </w:p>
        </w:tc>
        <w:tc>
          <w:tcPr>
            <w:tcW w:w="6982" w:type="dxa"/>
            <w:tcBorders>
              <w:tl2br w:val="nil"/>
              <w:tr2bl w:val="nil"/>
            </w:tcBorders>
            <w:vAlign w:val="center"/>
          </w:tcPr>
          <w:p w14:paraId="471E2F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手术前 24h 内出血评估率</w:t>
            </w:r>
          </w:p>
        </w:tc>
        <w:tc>
          <w:tcPr>
            <w:tcW w:w="870" w:type="dxa"/>
            <w:vMerge w:val="continue"/>
            <w:tcBorders>
              <w:tl2br w:val="nil"/>
              <w:tr2bl w:val="nil"/>
            </w:tcBorders>
            <w:noWrap/>
            <w:vAlign w:val="center"/>
          </w:tcPr>
          <w:p w14:paraId="006E4D8F">
            <w:pPr>
              <w:spacing w:line="360" w:lineRule="auto"/>
              <w:jc w:val="center"/>
              <w:rPr>
                <w:rFonts w:hint="eastAsia" w:ascii="宋体" w:hAnsi="宋体" w:cs="宋体"/>
                <w:color w:val="auto"/>
                <w:sz w:val="21"/>
                <w:szCs w:val="21"/>
                <w:highlight w:val="none"/>
              </w:rPr>
            </w:pPr>
          </w:p>
        </w:tc>
      </w:tr>
      <w:tr w14:paraId="149E43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0906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4.3.6.4</w:t>
            </w:r>
          </w:p>
        </w:tc>
        <w:tc>
          <w:tcPr>
            <w:tcW w:w="6982" w:type="dxa"/>
            <w:tcBorders>
              <w:tl2br w:val="nil"/>
              <w:tr2bl w:val="nil"/>
            </w:tcBorders>
            <w:vAlign w:val="center"/>
          </w:tcPr>
          <w:p w14:paraId="17F187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 内出血评估率</w:t>
            </w:r>
          </w:p>
        </w:tc>
        <w:tc>
          <w:tcPr>
            <w:tcW w:w="870" w:type="dxa"/>
            <w:vMerge w:val="continue"/>
            <w:tcBorders>
              <w:tl2br w:val="nil"/>
              <w:tr2bl w:val="nil"/>
            </w:tcBorders>
            <w:noWrap/>
            <w:vAlign w:val="center"/>
          </w:tcPr>
          <w:p w14:paraId="53F21D44">
            <w:pPr>
              <w:spacing w:line="360" w:lineRule="auto"/>
              <w:jc w:val="center"/>
              <w:rPr>
                <w:rFonts w:hint="eastAsia" w:ascii="宋体" w:hAnsi="宋体" w:cs="宋体"/>
                <w:color w:val="auto"/>
                <w:sz w:val="21"/>
                <w:szCs w:val="21"/>
                <w:highlight w:val="none"/>
              </w:rPr>
            </w:pPr>
          </w:p>
        </w:tc>
      </w:tr>
      <w:tr w14:paraId="19B930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9998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4.3.6.5</w:t>
            </w:r>
          </w:p>
        </w:tc>
        <w:tc>
          <w:tcPr>
            <w:tcW w:w="6982" w:type="dxa"/>
            <w:tcBorders>
              <w:tl2br w:val="nil"/>
              <w:tr2bl w:val="nil"/>
            </w:tcBorders>
            <w:vAlign w:val="center"/>
          </w:tcPr>
          <w:p w14:paraId="372D4C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转科后 24h 内出血评估率</w:t>
            </w:r>
          </w:p>
        </w:tc>
        <w:tc>
          <w:tcPr>
            <w:tcW w:w="870" w:type="dxa"/>
            <w:vMerge w:val="continue"/>
            <w:tcBorders>
              <w:tl2br w:val="nil"/>
              <w:tr2bl w:val="nil"/>
            </w:tcBorders>
            <w:noWrap/>
            <w:vAlign w:val="center"/>
          </w:tcPr>
          <w:p w14:paraId="56C79C35">
            <w:pPr>
              <w:spacing w:line="360" w:lineRule="auto"/>
              <w:jc w:val="center"/>
              <w:rPr>
                <w:rFonts w:hint="eastAsia" w:ascii="宋体" w:hAnsi="宋体" w:cs="宋体"/>
                <w:color w:val="auto"/>
                <w:sz w:val="21"/>
                <w:szCs w:val="21"/>
                <w:highlight w:val="none"/>
              </w:rPr>
            </w:pPr>
          </w:p>
        </w:tc>
      </w:tr>
      <w:tr w14:paraId="523988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EE03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4.3.6.6</w:t>
            </w:r>
          </w:p>
        </w:tc>
        <w:tc>
          <w:tcPr>
            <w:tcW w:w="6982" w:type="dxa"/>
            <w:tcBorders>
              <w:tl2br w:val="nil"/>
              <w:tr2bl w:val="nil"/>
            </w:tcBorders>
            <w:vAlign w:val="center"/>
          </w:tcPr>
          <w:p w14:paraId="39300B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出院前 24h 内出血评估率</w:t>
            </w:r>
          </w:p>
        </w:tc>
        <w:tc>
          <w:tcPr>
            <w:tcW w:w="870" w:type="dxa"/>
            <w:vMerge w:val="continue"/>
            <w:tcBorders>
              <w:tl2br w:val="nil"/>
              <w:tr2bl w:val="nil"/>
            </w:tcBorders>
            <w:noWrap/>
            <w:vAlign w:val="center"/>
          </w:tcPr>
          <w:p w14:paraId="7ED006D8">
            <w:pPr>
              <w:spacing w:line="360" w:lineRule="auto"/>
              <w:jc w:val="center"/>
              <w:rPr>
                <w:rFonts w:hint="eastAsia" w:ascii="宋体" w:hAnsi="宋体" w:cs="宋体"/>
                <w:color w:val="auto"/>
                <w:sz w:val="21"/>
                <w:szCs w:val="21"/>
                <w:highlight w:val="none"/>
              </w:rPr>
            </w:pPr>
          </w:p>
        </w:tc>
      </w:tr>
      <w:tr w14:paraId="2CC80B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7034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4.3.6.7</w:t>
            </w:r>
          </w:p>
        </w:tc>
        <w:tc>
          <w:tcPr>
            <w:tcW w:w="6982" w:type="dxa"/>
            <w:tcBorders>
              <w:tl2br w:val="nil"/>
              <w:tr2bl w:val="nil"/>
            </w:tcBorders>
            <w:vAlign w:val="center"/>
          </w:tcPr>
          <w:p w14:paraId="380442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高出血风险比例</w:t>
            </w:r>
          </w:p>
        </w:tc>
        <w:tc>
          <w:tcPr>
            <w:tcW w:w="870" w:type="dxa"/>
            <w:vMerge w:val="continue"/>
            <w:tcBorders>
              <w:tl2br w:val="nil"/>
              <w:tr2bl w:val="nil"/>
            </w:tcBorders>
            <w:noWrap/>
            <w:vAlign w:val="center"/>
          </w:tcPr>
          <w:p w14:paraId="5F862C9F">
            <w:pPr>
              <w:spacing w:line="360" w:lineRule="auto"/>
              <w:jc w:val="center"/>
              <w:rPr>
                <w:rFonts w:hint="eastAsia" w:ascii="宋体" w:hAnsi="宋体" w:cs="宋体"/>
                <w:color w:val="auto"/>
                <w:sz w:val="21"/>
                <w:szCs w:val="21"/>
                <w:highlight w:val="none"/>
              </w:rPr>
            </w:pPr>
          </w:p>
        </w:tc>
      </w:tr>
      <w:tr w14:paraId="7072AD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A409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4.3.7</w:t>
            </w:r>
          </w:p>
        </w:tc>
        <w:tc>
          <w:tcPr>
            <w:tcW w:w="6982" w:type="dxa"/>
            <w:tcBorders>
              <w:tl2br w:val="nil"/>
              <w:tr2bl w:val="nil"/>
            </w:tcBorders>
            <w:vAlign w:val="center"/>
          </w:tcPr>
          <w:p w14:paraId="367EBE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基础预防质控统计指标</w:t>
            </w:r>
          </w:p>
        </w:tc>
        <w:tc>
          <w:tcPr>
            <w:tcW w:w="870" w:type="dxa"/>
            <w:vMerge w:val="continue"/>
            <w:tcBorders>
              <w:tl2br w:val="nil"/>
              <w:tr2bl w:val="nil"/>
            </w:tcBorders>
            <w:noWrap/>
            <w:vAlign w:val="center"/>
          </w:tcPr>
          <w:p w14:paraId="0F599FCB">
            <w:pPr>
              <w:spacing w:line="360" w:lineRule="auto"/>
              <w:jc w:val="center"/>
              <w:rPr>
                <w:rFonts w:hint="eastAsia" w:ascii="宋体" w:hAnsi="宋体" w:cs="宋体"/>
                <w:color w:val="auto"/>
                <w:sz w:val="21"/>
                <w:szCs w:val="21"/>
                <w:highlight w:val="none"/>
              </w:rPr>
            </w:pPr>
          </w:p>
        </w:tc>
      </w:tr>
      <w:tr w14:paraId="5936BE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8D0D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4.3.7.1</w:t>
            </w:r>
          </w:p>
        </w:tc>
        <w:tc>
          <w:tcPr>
            <w:tcW w:w="6982" w:type="dxa"/>
            <w:tcBorders>
              <w:tl2br w:val="nil"/>
              <w:tr2bl w:val="nil"/>
            </w:tcBorders>
            <w:vAlign w:val="center"/>
          </w:tcPr>
          <w:p w14:paraId="37CFED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基础预防实施率</w:t>
            </w:r>
          </w:p>
        </w:tc>
        <w:tc>
          <w:tcPr>
            <w:tcW w:w="870" w:type="dxa"/>
            <w:vMerge w:val="continue"/>
            <w:tcBorders>
              <w:tl2br w:val="nil"/>
              <w:tr2bl w:val="nil"/>
            </w:tcBorders>
            <w:noWrap/>
            <w:vAlign w:val="center"/>
          </w:tcPr>
          <w:p w14:paraId="7BA20C36">
            <w:pPr>
              <w:spacing w:line="360" w:lineRule="auto"/>
              <w:jc w:val="center"/>
              <w:rPr>
                <w:rFonts w:hint="eastAsia" w:ascii="宋体" w:hAnsi="宋体" w:cs="宋体"/>
                <w:color w:val="auto"/>
                <w:sz w:val="21"/>
                <w:szCs w:val="21"/>
                <w:highlight w:val="none"/>
              </w:rPr>
            </w:pPr>
          </w:p>
        </w:tc>
      </w:tr>
      <w:tr w14:paraId="5144F1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F480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w:t>
            </w:r>
          </w:p>
        </w:tc>
        <w:tc>
          <w:tcPr>
            <w:tcW w:w="6982" w:type="dxa"/>
            <w:tcBorders>
              <w:tl2br w:val="nil"/>
              <w:tr2bl w:val="nil"/>
            </w:tcBorders>
            <w:vAlign w:val="center"/>
          </w:tcPr>
          <w:p w14:paraId="2F5415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药物预防质控统计指标</w:t>
            </w:r>
          </w:p>
        </w:tc>
        <w:tc>
          <w:tcPr>
            <w:tcW w:w="870" w:type="dxa"/>
            <w:vMerge w:val="continue"/>
            <w:tcBorders>
              <w:tl2br w:val="nil"/>
              <w:tr2bl w:val="nil"/>
            </w:tcBorders>
            <w:noWrap/>
            <w:vAlign w:val="center"/>
          </w:tcPr>
          <w:p w14:paraId="33892818">
            <w:pPr>
              <w:spacing w:line="360" w:lineRule="auto"/>
              <w:jc w:val="center"/>
              <w:rPr>
                <w:rFonts w:hint="eastAsia" w:ascii="宋体" w:hAnsi="宋体" w:cs="宋体"/>
                <w:color w:val="auto"/>
                <w:sz w:val="21"/>
                <w:szCs w:val="21"/>
                <w:highlight w:val="none"/>
              </w:rPr>
            </w:pPr>
          </w:p>
        </w:tc>
      </w:tr>
      <w:tr w14:paraId="204483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2A02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4.3.8.1</w:t>
            </w:r>
          </w:p>
        </w:tc>
        <w:tc>
          <w:tcPr>
            <w:tcW w:w="6982" w:type="dxa"/>
            <w:tcBorders>
              <w:tl2br w:val="nil"/>
              <w:tr2bl w:val="nil"/>
            </w:tcBorders>
            <w:vAlign w:val="center"/>
          </w:tcPr>
          <w:p w14:paraId="7EFA5A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药物预防实施率</w:t>
            </w:r>
          </w:p>
        </w:tc>
        <w:tc>
          <w:tcPr>
            <w:tcW w:w="870" w:type="dxa"/>
            <w:vMerge w:val="continue"/>
            <w:tcBorders>
              <w:tl2br w:val="nil"/>
              <w:tr2bl w:val="nil"/>
            </w:tcBorders>
            <w:noWrap/>
            <w:vAlign w:val="center"/>
          </w:tcPr>
          <w:p w14:paraId="3FEEE219">
            <w:pPr>
              <w:spacing w:line="360" w:lineRule="auto"/>
              <w:jc w:val="center"/>
              <w:rPr>
                <w:rFonts w:hint="eastAsia" w:ascii="宋体" w:hAnsi="宋体" w:cs="宋体"/>
                <w:color w:val="auto"/>
                <w:sz w:val="21"/>
                <w:szCs w:val="21"/>
                <w:highlight w:val="none"/>
              </w:rPr>
            </w:pPr>
          </w:p>
        </w:tc>
      </w:tr>
      <w:tr w14:paraId="7A24752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664F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4.3.8.2</w:t>
            </w:r>
          </w:p>
        </w:tc>
        <w:tc>
          <w:tcPr>
            <w:tcW w:w="6982" w:type="dxa"/>
            <w:tcBorders>
              <w:tl2br w:val="nil"/>
              <w:tr2bl w:val="nil"/>
            </w:tcBorders>
            <w:vAlign w:val="center"/>
          </w:tcPr>
          <w:p w14:paraId="24D943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入院后 24h 内药物预防实施率</w:t>
            </w:r>
          </w:p>
        </w:tc>
        <w:tc>
          <w:tcPr>
            <w:tcW w:w="870" w:type="dxa"/>
            <w:vMerge w:val="continue"/>
            <w:tcBorders>
              <w:tl2br w:val="nil"/>
              <w:tr2bl w:val="nil"/>
            </w:tcBorders>
            <w:noWrap/>
            <w:vAlign w:val="center"/>
          </w:tcPr>
          <w:p w14:paraId="18035C5C">
            <w:pPr>
              <w:spacing w:line="360" w:lineRule="auto"/>
              <w:jc w:val="center"/>
              <w:rPr>
                <w:rFonts w:hint="eastAsia" w:ascii="宋体" w:hAnsi="宋体" w:cs="宋体"/>
                <w:color w:val="auto"/>
                <w:sz w:val="21"/>
                <w:szCs w:val="21"/>
                <w:highlight w:val="none"/>
              </w:rPr>
            </w:pPr>
          </w:p>
        </w:tc>
      </w:tr>
      <w:tr w14:paraId="5757E3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9A57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4.3.8.3</w:t>
            </w:r>
          </w:p>
        </w:tc>
        <w:tc>
          <w:tcPr>
            <w:tcW w:w="6982" w:type="dxa"/>
            <w:tcBorders>
              <w:tl2br w:val="nil"/>
              <w:tr2bl w:val="nil"/>
            </w:tcBorders>
            <w:vAlign w:val="center"/>
          </w:tcPr>
          <w:p w14:paraId="53D574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手术前 24h~72h 内药物预防实施率</w:t>
            </w:r>
          </w:p>
        </w:tc>
        <w:tc>
          <w:tcPr>
            <w:tcW w:w="870" w:type="dxa"/>
            <w:vMerge w:val="continue"/>
            <w:tcBorders>
              <w:tl2br w:val="nil"/>
              <w:tr2bl w:val="nil"/>
            </w:tcBorders>
            <w:noWrap/>
            <w:vAlign w:val="center"/>
          </w:tcPr>
          <w:p w14:paraId="65925F95">
            <w:pPr>
              <w:spacing w:line="360" w:lineRule="auto"/>
              <w:jc w:val="center"/>
              <w:rPr>
                <w:rFonts w:hint="eastAsia" w:ascii="宋体" w:hAnsi="宋体" w:cs="宋体"/>
                <w:color w:val="auto"/>
                <w:sz w:val="21"/>
                <w:szCs w:val="21"/>
                <w:highlight w:val="none"/>
              </w:rPr>
            </w:pPr>
          </w:p>
        </w:tc>
      </w:tr>
      <w:tr w14:paraId="349FD6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8AE1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4.3.8.4</w:t>
            </w:r>
          </w:p>
        </w:tc>
        <w:tc>
          <w:tcPr>
            <w:tcW w:w="6982" w:type="dxa"/>
            <w:tcBorders>
              <w:tl2br w:val="nil"/>
              <w:tr2bl w:val="nil"/>
            </w:tcBorders>
            <w:vAlign w:val="center"/>
          </w:tcPr>
          <w:p w14:paraId="549E45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 内药物预防实施率</w:t>
            </w:r>
          </w:p>
        </w:tc>
        <w:tc>
          <w:tcPr>
            <w:tcW w:w="870" w:type="dxa"/>
            <w:vMerge w:val="continue"/>
            <w:tcBorders>
              <w:tl2br w:val="nil"/>
              <w:tr2bl w:val="nil"/>
            </w:tcBorders>
            <w:noWrap/>
            <w:vAlign w:val="center"/>
          </w:tcPr>
          <w:p w14:paraId="71075C9A">
            <w:pPr>
              <w:spacing w:line="360" w:lineRule="auto"/>
              <w:jc w:val="center"/>
              <w:rPr>
                <w:rFonts w:hint="eastAsia" w:ascii="宋体" w:hAnsi="宋体" w:cs="宋体"/>
                <w:color w:val="auto"/>
                <w:sz w:val="21"/>
                <w:szCs w:val="21"/>
                <w:highlight w:val="none"/>
              </w:rPr>
            </w:pPr>
          </w:p>
        </w:tc>
      </w:tr>
      <w:tr w14:paraId="719EF4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5FA1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4.3.8.5</w:t>
            </w:r>
          </w:p>
        </w:tc>
        <w:tc>
          <w:tcPr>
            <w:tcW w:w="6982" w:type="dxa"/>
            <w:tcBorders>
              <w:tl2br w:val="nil"/>
              <w:tr2bl w:val="nil"/>
            </w:tcBorders>
            <w:vAlign w:val="center"/>
          </w:tcPr>
          <w:p w14:paraId="41D57A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24h~72h 内药物预防实施率</w:t>
            </w:r>
          </w:p>
        </w:tc>
        <w:tc>
          <w:tcPr>
            <w:tcW w:w="870" w:type="dxa"/>
            <w:vMerge w:val="continue"/>
            <w:tcBorders>
              <w:tl2br w:val="nil"/>
              <w:tr2bl w:val="nil"/>
            </w:tcBorders>
            <w:noWrap/>
            <w:vAlign w:val="center"/>
          </w:tcPr>
          <w:p w14:paraId="10FE89B8">
            <w:pPr>
              <w:spacing w:line="360" w:lineRule="auto"/>
              <w:jc w:val="center"/>
              <w:rPr>
                <w:rFonts w:hint="eastAsia" w:ascii="宋体" w:hAnsi="宋体" w:cs="宋体"/>
                <w:color w:val="auto"/>
                <w:sz w:val="21"/>
                <w:szCs w:val="21"/>
                <w:highlight w:val="none"/>
              </w:rPr>
            </w:pPr>
          </w:p>
        </w:tc>
      </w:tr>
      <w:tr w14:paraId="648030C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044F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4.3.8.6</w:t>
            </w:r>
          </w:p>
        </w:tc>
        <w:tc>
          <w:tcPr>
            <w:tcW w:w="6982" w:type="dxa"/>
            <w:tcBorders>
              <w:tl2br w:val="nil"/>
              <w:tr2bl w:val="nil"/>
            </w:tcBorders>
            <w:vAlign w:val="center"/>
          </w:tcPr>
          <w:p w14:paraId="61970C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转科后 24h 内药物预防实施率</w:t>
            </w:r>
          </w:p>
        </w:tc>
        <w:tc>
          <w:tcPr>
            <w:tcW w:w="870" w:type="dxa"/>
            <w:vMerge w:val="continue"/>
            <w:tcBorders>
              <w:tl2br w:val="nil"/>
              <w:tr2bl w:val="nil"/>
            </w:tcBorders>
            <w:noWrap/>
            <w:vAlign w:val="center"/>
          </w:tcPr>
          <w:p w14:paraId="1B19D6DB">
            <w:pPr>
              <w:spacing w:line="360" w:lineRule="auto"/>
              <w:jc w:val="center"/>
              <w:rPr>
                <w:rFonts w:hint="eastAsia" w:ascii="宋体" w:hAnsi="宋体" w:cs="宋体"/>
                <w:color w:val="auto"/>
                <w:sz w:val="21"/>
                <w:szCs w:val="21"/>
                <w:highlight w:val="none"/>
              </w:rPr>
            </w:pPr>
          </w:p>
        </w:tc>
      </w:tr>
      <w:tr w14:paraId="00D9CF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92EE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4.3.8.7</w:t>
            </w:r>
          </w:p>
        </w:tc>
        <w:tc>
          <w:tcPr>
            <w:tcW w:w="6982" w:type="dxa"/>
            <w:tcBorders>
              <w:tl2br w:val="nil"/>
              <w:tr2bl w:val="nil"/>
            </w:tcBorders>
            <w:vAlign w:val="center"/>
          </w:tcPr>
          <w:p w14:paraId="7DDB0A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出院医嘱带抗凝药比例</w:t>
            </w:r>
          </w:p>
        </w:tc>
        <w:tc>
          <w:tcPr>
            <w:tcW w:w="870" w:type="dxa"/>
            <w:vMerge w:val="continue"/>
            <w:tcBorders>
              <w:tl2br w:val="nil"/>
              <w:tr2bl w:val="nil"/>
            </w:tcBorders>
            <w:noWrap/>
            <w:vAlign w:val="center"/>
          </w:tcPr>
          <w:p w14:paraId="7D578DDE">
            <w:pPr>
              <w:spacing w:line="360" w:lineRule="auto"/>
              <w:jc w:val="center"/>
              <w:rPr>
                <w:rFonts w:hint="eastAsia" w:ascii="宋体" w:hAnsi="宋体" w:cs="宋体"/>
                <w:color w:val="auto"/>
                <w:sz w:val="21"/>
                <w:szCs w:val="21"/>
                <w:highlight w:val="none"/>
              </w:rPr>
            </w:pPr>
          </w:p>
        </w:tc>
      </w:tr>
      <w:tr w14:paraId="2D7753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00161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w:t>
            </w:r>
          </w:p>
        </w:tc>
        <w:tc>
          <w:tcPr>
            <w:tcW w:w="6982" w:type="dxa"/>
            <w:tcBorders>
              <w:tl2br w:val="nil"/>
              <w:tr2bl w:val="nil"/>
            </w:tcBorders>
            <w:vAlign w:val="center"/>
          </w:tcPr>
          <w:p w14:paraId="3194B6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机械预防质控统计指标</w:t>
            </w:r>
          </w:p>
        </w:tc>
        <w:tc>
          <w:tcPr>
            <w:tcW w:w="870" w:type="dxa"/>
            <w:vMerge w:val="continue"/>
            <w:tcBorders>
              <w:tl2br w:val="nil"/>
              <w:tr2bl w:val="nil"/>
            </w:tcBorders>
            <w:noWrap/>
            <w:vAlign w:val="center"/>
          </w:tcPr>
          <w:p w14:paraId="6CD14495">
            <w:pPr>
              <w:spacing w:line="360" w:lineRule="auto"/>
              <w:jc w:val="center"/>
              <w:rPr>
                <w:rFonts w:hint="eastAsia" w:ascii="宋体" w:hAnsi="宋体" w:cs="宋体"/>
                <w:color w:val="auto"/>
                <w:sz w:val="21"/>
                <w:szCs w:val="21"/>
                <w:highlight w:val="none"/>
              </w:rPr>
            </w:pPr>
          </w:p>
        </w:tc>
      </w:tr>
      <w:tr w14:paraId="07B804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9EE99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4.3.9.1</w:t>
            </w:r>
          </w:p>
        </w:tc>
        <w:tc>
          <w:tcPr>
            <w:tcW w:w="6982" w:type="dxa"/>
            <w:tcBorders>
              <w:tl2br w:val="nil"/>
              <w:tr2bl w:val="nil"/>
            </w:tcBorders>
            <w:vAlign w:val="center"/>
          </w:tcPr>
          <w:p w14:paraId="37385A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机械预防实施率</w:t>
            </w:r>
          </w:p>
        </w:tc>
        <w:tc>
          <w:tcPr>
            <w:tcW w:w="870" w:type="dxa"/>
            <w:vMerge w:val="continue"/>
            <w:tcBorders>
              <w:tl2br w:val="nil"/>
              <w:tr2bl w:val="nil"/>
            </w:tcBorders>
            <w:noWrap/>
            <w:vAlign w:val="center"/>
          </w:tcPr>
          <w:p w14:paraId="070469CF">
            <w:pPr>
              <w:spacing w:line="360" w:lineRule="auto"/>
              <w:jc w:val="center"/>
              <w:rPr>
                <w:rFonts w:hint="eastAsia" w:ascii="宋体" w:hAnsi="宋体" w:cs="宋体"/>
                <w:color w:val="auto"/>
                <w:sz w:val="21"/>
                <w:szCs w:val="21"/>
                <w:highlight w:val="none"/>
              </w:rPr>
            </w:pPr>
          </w:p>
        </w:tc>
      </w:tr>
      <w:tr w14:paraId="1730D3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8AC9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4.3.9.2</w:t>
            </w:r>
          </w:p>
        </w:tc>
        <w:tc>
          <w:tcPr>
            <w:tcW w:w="6982" w:type="dxa"/>
            <w:tcBorders>
              <w:tl2br w:val="nil"/>
              <w:tr2bl w:val="nil"/>
            </w:tcBorders>
            <w:vAlign w:val="center"/>
          </w:tcPr>
          <w:p w14:paraId="71C3AF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入院后 24h 内机械预防实施率</w:t>
            </w:r>
          </w:p>
        </w:tc>
        <w:tc>
          <w:tcPr>
            <w:tcW w:w="870" w:type="dxa"/>
            <w:vMerge w:val="continue"/>
            <w:tcBorders>
              <w:tl2br w:val="nil"/>
              <w:tr2bl w:val="nil"/>
            </w:tcBorders>
            <w:noWrap/>
            <w:vAlign w:val="center"/>
          </w:tcPr>
          <w:p w14:paraId="47AF716C">
            <w:pPr>
              <w:spacing w:line="360" w:lineRule="auto"/>
              <w:jc w:val="center"/>
              <w:rPr>
                <w:rFonts w:hint="eastAsia" w:ascii="宋体" w:hAnsi="宋体" w:cs="宋体"/>
                <w:color w:val="auto"/>
                <w:sz w:val="21"/>
                <w:szCs w:val="21"/>
                <w:highlight w:val="none"/>
              </w:rPr>
            </w:pPr>
          </w:p>
        </w:tc>
      </w:tr>
      <w:tr w14:paraId="4B0609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253F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4.3.9.3</w:t>
            </w:r>
          </w:p>
        </w:tc>
        <w:tc>
          <w:tcPr>
            <w:tcW w:w="6982" w:type="dxa"/>
            <w:tcBorders>
              <w:tl2br w:val="nil"/>
              <w:tr2bl w:val="nil"/>
            </w:tcBorders>
            <w:vAlign w:val="center"/>
          </w:tcPr>
          <w:p w14:paraId="2ABAAF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手术前 24h 内机械预防实施率</w:t>
            </w:r>
          </w:p>
        </w:tc>
        <w:tc>
          <w:tcPr>
            <w:tcW w:w="870" w:type="dxa"/>
            <w:vMerge w:val="continue"/>
            <w:tcBorders>
              <w:tl2br w:val="nil"/>
              <w:tr2bl w:val="nil"/>
            </w:tcBorders>
            <w:noWrap/>
            <w:vAlign w:val="center"/>
          </w:tcPr>
          <w:p w14:paraId="273C3273">
            <w:pPr>
              <w:spacing w:line="360" w:lineRule="auto"/>
              <w:jc w:val="center"/>
              <w:rPr>
                <w:rFonts w:hint="eastAsia" w:ascii="宋体" w:hAnsi="宋体" w:cs="宋体"/>
                <w:color w:val="auto"/>
                <w:sz w:val="21"/>
                <w:szCs w:val="21"/>
                <w:highlight w:val="none"/>
              </w:rPr>
            </w:pPr>
          </w:p>
        </w:tc>
      </w:tr>
      <w:tr w14:paraId="216C24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ECEC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4.3.9.4</w:t>
            </w:r>
          </w:p>
        </w:tc>
        <w:tc>
          <w:tcPr>
            <w:tcW w:w="6982" w:type="dxa"/>
            <w:tcBorders>
              <w:tl2br w:val="nil"/>
              <w:tr2bl w:val="nil"/>
            </w:tcBorders>
            <w:vAlign w:val="center"/>
          </w:tcPr>
          <w:p w14:paraId="600A27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手术中机械预防实施率</w:t>
            </w:r>
          </w:p>
        </w:tc>
        <w:tc>
          <w:tcPr>
            <w:tcW w:w="870" w:type="dxa"/>
            <w:vMerge w:val="continue"/>
            <w:tcBorders>
              <w:tl2br w:val="nil"/>
              <w:tr2bl w:val="nil"/>
            </w:tcBorders>
            <w:noWrap/>
            <w:vAlign w:val="center"/>
          </w:tcPr>
          <w:p w14:paraId="4217003F">
            <w:pPr>
              <w:spacing w:line="360" w:lineRule="auto"/>
              <w:jc w:val="center"/>
              <w:rPr>
                <w:rFonts w:hint="eastAsia" w:ascii="宋体" w:hAnsi="宋体" w:cs="宋体"/>
                <w:color w:val="auto"/>
                <w:sz w:val="21"/>
                <w:szCs w:val="21"/>
                <w:highlight w:val="none"/>
              </w:rPr>
            </w:pPr>
          </w:p>
        </w:tc>
      </w:tr>
      <w:tr w14:paraId="2923BC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4A2D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4.3.9.5</w:t>
            </w:r>
          </w:p>
        </w:tc>
        <w:tc>
          <w:tcPr>
            <w:tcW w:w="6982" w:type="dxa"/>
            <w:tcBorders>
              <w:tl2br w:val="nil"/>
              <w:tr2bl w:val="nil"/>
            </w:tcBorders>
            <w:vAlign w:val="center"/>
          </w:tcPr>
          <w:p w14:paraId="2E33D4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 内机械预防实施率</w:t>
            </w:r>
          </w:p>
        </w:tc>
        <w:tc>
          <w:tcPr>
            <w:tcW w:w="870" w:type="dxa"/>
            <w:vMerge w:val="continue"/>
            <w:tcBorders>
              <w:tl2br w:val="nil"/>
              <w:tr2bl w:val="nil"/>
            </w:tcBorders>
            <w:noWrap/>
            <w:vAlign w:val="center"/>
          </w:tcPr>
          <w:p w14:paraId="325621DF">
            <w:pPr>
              <w:spacing w:line="360" w:lineRule="auto"/>
              <w:jc w:val="center"/>
              <w:rPr>
                <w:rFonts w:hint="eastAsia" w:ascii="宋体" w:hAnsi="宋体" w:cs="宋体"/>
                <w:color w:val="auto"/>
                <w:sz w:val="21"/>
                <w:szCs w:val="21"/>
                <w:highlight w:val="none"/>
              </w:rPr>
            </w:pPr>
          </w:p>
        </w:tc>
      </w:tr>
      <w:tr w14:paraId="61902C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590E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4.3.9.6</w:t>
            </w:r>
          </w:p>
        </w:tc>
        <w:tc>
          <w:tcPr>
            <w:tcW w:w="6982" w:type="dxa"/>
            <w:tcBorders>
              <w:tl2br w:val="nil"/>
              <w:tr2bl w:val="nil"/>
            </w:tcBorders>
            <w:vAlign w:val="center"/>
          </w:tcPr>
          <w:p w14:paraId="620215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转科后 24h 内机械预防实施率</w:t>
            </w:r>
          </w:p>
        </w:tc>
        <w:tc>
          <w:tcPr>
            <w:tcW w:w="870" w:type="dxa"/>
            <w:vMerge w:val="continue"/>
            <w:tcBorders>
              <w:tl2br w:val="nil"/>
              <w:tr2bl w:val="nil"/>
            </w:tcBorders>
            <w:noWrap/>
            <w:vAlign w:val="center"/>
          </w:tcPr>
          <w:p w14:paraId="06059079">
            <w:pPr>
              <w:spacing w:line="360" w:lineRule="auto"/>
              <w:jc w:val="center"/>
              <w:rPr>
                <w:rFonts w:hint="eastAsia" w:ascii="宋体" w:hAnsi="宋体" w:cs="宋体"/>
                <w:color w:val="auto"/>
                <w:sz w:val="21"/>
                <w:szCs w:val="21"/>
                <w:highlight w:val="none"/>
              </w:rPr>
            </w:pPr>
          </w:p>
        </w:tc>
      </w:tr>
      <w:tr w14:paraId="148CFD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CD27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w:t>
            </w:r>
          </w:p>
        </w:tc>
        <w:tc>
          <w:tcPr>
            <w:tcW w:w="6982" w:type="dxa"/>
            <w:tcBorders>
              <w:tl2br w:val="nil"/>
              <w:tr2bl w:val="nil"/>
            </w:tcBorders>
            <w:vAlign w:val="center"/>
          </w:tcPr>
          <w:p w14:paraId="1E420C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联合预防质控统计指标</w:t>
            </w:r>
          </w:p>
        </w:tc>
        <w:tc>
          <w:tcPr>
            <w:tcW w:w="870" w:type="dxa"/>
            <w:vMerge w:val="continue"/>
            <w:tcBorders>
              <w:tl2br w:val="nil"/>
              <w:tr2bl w:val="nil"/>
            </w:tcBorders>
            <w:noWrap/>
            <w:vAlign w:val="center"/>
          </w:tcPr>
          <w:p w14:paraId="6C3EEA2A">
            <w:pPr>
              <w:spacing w:line="360" w:lineRule="auto"/>
              <w:jc w:val="center"/>
              <w:rPr>
                <w:rFonts w:hint="eastAsia" w:ascii="宋体" w:hAnsi="宋体" w:cs="宋体"/>
                <w:color w:val="auto"/>
                <w:sz w:val="21"/>
                <w:szCs w:val="21"/>
                <w:highlight w:val="none"/>
              </w:rPr>
            </w:pPr>
          </w:p>
        </w:tc>
      </w:tr>
      <w:tr w14:paraId="72D4F8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A33D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4.3.10.1</w:t>
            </w:r>
          </w:p>
        </w:tc>
        <w:tc>
          <w:tcPr>
            <w:tcW w:w="6982" w:type="dxa"/>
            <w:tcBorders>
              <w:tl2br w:val="nil"/>
              <w:tr2bl w:val="nil"/>
            </w:tcBorders>
            <w:vAlign w:val="center"/>
          </w:tcPr>
          <w:p w14:paraId="58F29F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联合预防实施率</w:t>
            </w:r>
          </w:p>
        </w:tc>
        <w:tc>
          <w:tcPr>
            <w:tcW w:w="870" w:type="dxa"/>
            <w:vMerge w:val="continue"/>
            <w:tcBorders>
              <w:tl2br w:val="nil"/>
              <w:tr2bl w:val="nil"/>
            </w:tcBorders>
            <w:noWrap/>
            <w:vAlign w:val="center"/>
          </w:tcPr>
          <w:p w14:paraId="6F0BB1E2">
            <w:pPr>
              <w:spacing w:line="360" w:lineRule="auto"/>
              <w:jc w:val="center"/>
              <w:rPr>
                <w:rFonts w:hint="eastAsia" w:ascii="宋体" w:hAnsi="宋体" w:cs="宋体"/>
                <w:color w:val="auto"/>
                <w:sz w:val="21"/>
                <w:szCs w:val="21"/>
                <w:highlight w:val="none"/>
              </w:rPr>
            </w:pPr>
          </w:p>
        </w:tc>
      </w:tr>
      <w:tr w14:paraId="14ECF8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EA83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4.3.10.2</w:t>
            </w:r>
          </w:p>
        </w:tc>
        <w:tc>
          <w:tcPr>
            <w:tcW w:w="6982" w:type="dxa"/>
            <w:tcBorders>
              <w:tl2br w:val="nil"/>
              <w:tr2bl w:val="nil"/>
            </w:tcBorders>
            <w:vAlign w:val="center"/>
          </w:tcPr>
          <w:p w14:paraId="74C903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入院后 24h 内联合预防实施率</w:t>
            </w:r>
          </w:p>
        </w:tc>
        <w:tc>
          <w:tcPr>
            <w:tcW w:w="870" w:type="dxa"/>
            <w:vMerge w:val="continue"/>
            <w:tcBorders>
              <w:tl2br w:val="nil"/>
              <w:tr2bl w:val="nil"/>
            </w:tcBorders>
            <w:noWrap/>
            <w:vAlign w:val="center"/>
          </w:tcPr>
          <w:p w14:paraId="558392EF">
            <w:pPr>
              <w:spacing w:line="360" w:lineRule="auto"/>
              <w:jc w:val="center"/>
              <w:rPr>
                <w:rFonts w:hint="eastAsia" w:ascii="宋体" w:hAnsi="宋体" w:cs="宋体"/>
                <w:color w:val="auto"/>
                <w:sz w:val="21"/>
                <w:szCs w:val="21"/>
                <w:highlight w:val="none"/>
              </w:rPr>
            </w:pPr>
          </w:p>
        </w:tc>
      </w:tr>
      <w:tr w14:paraId="6C20DB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5C94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4.3.10.3</w:t>
            </w:r>
          </w:p>
        </w:tc>
        <w:tc>
          <w:tcPr>
            <w:tcW w:w="6982" w:type="dxa"/>
            <w:tcBorders>
              <w:tl2br w:val="nil"/>
              <w:tr2bl w:val="nil"/>
            </w:tcBorders>
            <w:vAlign w:val="center"/>
          </w:tcPr>
          <w:p w14:paraId="611876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手术前 24h~72h 内联合预防实施率</w:t>
            </w:r>
          </w:p>
        </w:tc>
        <w:tc>
          <w:tcPr>
            <w:tcW w:w="870" w:type="dxa"/>
            <w:vMerge w:val="continue"/>
            <w:tcBorders>
              <w:tl2br w:val="nil"/>
              <w:tr2bl w:val="nil"/>
            </w:tcBorders>
            <w:noWrap/>
            <w:vAlign w:val="center"/>
          </w:tcPr>
          <w:p w14:paraId="31D2F047">
            <w:pPr>
              <w:spacing w:line="360" w:lineRule="auto"/>
              <w:jc w:val="center"/>
              <w:rPr>
                <w:rFonts w:hint="eastAsia" w:ascii="宋体" w:hAnsi="宋体" w:cs="宋体"/>
                <w:color w:val="auto"/>
                <w:sz w:val="21"/>
                <w:szCs w:val="21"/>
                <w:highlight w:val="none"/>
              </w:rPr>
            </w:pPr>
          </w:p>
        </w:tc>
      </w:tr>
      <w:tr w14:paraId="416E50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364D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4.3.10.4</w:t>
            </w:r>
          </w:p>
        </w:tc>
        <w:tc>
          <w:tcPr>
            <w:tcW w:w="6982" w:type="dxa"/>
            <w:tcBorders>
              <w:tl2br w:val="nil"/>
              <w:tr2bl w:val="nil"/>
            </w:tcBorders>
            <w:vAlign w:val="center"/>
          </w:tcPr>
          <w:p w14:paraId="57CA5E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 内联合预防实施率</w:t>
            </w:r>
          </w:p>
        </w:tc>
        <w:tc>
          <w:tcPr>
            <w:tcW w:w="870" w:type="dxa"/>
            <w:vMerge w:val="continue"/>
            <w:tcBorders>
              <w:tl2br w:val="nil"/>
              <w:tr2bl w:val="nil"/>
            </w:tcBorders>
            <w:noWrap/>
            <w:vAlign w:val="center"/>
          </w:tcPr>
          <w:p w14:paraId="6405D4EF">
            <w:pPr>
              <w:spacing w:line="360" w:lineRule="auto"/>
              <w:jc w:val="center"/>
              <w:rPr>
                <w:rFonts w:hint="eastAsia" w:ascii="宋体" w:hAnsi="宋体" w:cs="宋体"/>
                <w:color w:val="auto"/>
                <w:sz w:val="21"/>
                <w:szCs w:val="21"/>
                <w:highlight w:val="none"/>
              </w:rPr>
            </w:pPr>
          </w:p>
        </w:tc>
      </w:tr>
      <w:tr w14:paraId="089AD3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3BCB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4.3.10.5</w:t>
            </w:r>
          </w:p>
        </w:tc>
        <w:tc>
          <w:tcPr>
            <w:tcW w:w="6982" w:type="dxa"/>
            <w:tcBorders>
              <w:tl2br w:val="nil"/>
              <w:tr2bl w:val="nil"/>
            </w:tcBorders>
            <w:vAlign w:val="center"/>
          </w:tcPr>
          <w:p w14:paraId="418361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手术后 24h~72h 内联合预防实施率</w:t>
            </w:r>
          </w:p>
        </w:tc>
        <w:tc>
          <w:tcPr>
            <w:tcW w:w="870" w:type="dxa"/>
            <w:vMerge w:val="continue"/>
            <w:tcBorders>
              <w:tl2br w:val="nil"/>
              <w:tr2bl w:val="nil"/>
            </w:tcBorders>
            <w:noWrap/>
            <w:vAlign w:val="center"/>
          </w:tcPr>
          <w:p w14:paraId="19153325">
            <w:pPr>
              <w:spacing w:line="360" w:lineRule="auto"/>
              <w:jc w:val="center"/>
              <w:rPr>
                <w:rFonts w:hint="eastAsia" w:ascii="宋体" w:hAnsi="宋体" w:cs="宋体"/>
                <w:color w:val="auto"/>
                <w:sz w:val="21"/>
                <w:szCs w:val="21"/>
                <w:highlight w:val="none"/>
              </w:rPr>
            </w:pPr>
          </w:p>
        </w:tc>
      </w:tr>
      <w:tr w14:paraId="3F80995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131F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4.3.10.6</w:t>
            </w:r>
          </w:p>
        </w:tc>
        <w:tc>
          <w:tcPr>
            <w:tcW w:w="6982" w:type="dxa"/>
            <w:tcBorders>
              <w:tl2br w:val="nil"/>
              <w:tr2bl w:val="nil"/>
            </w:tcBorders>
            <w:vAlign w:val="center"/>
          </w:tcPr>
          <w:p w14:paraId="5FB178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转科后 24h 内联合预防实施率</w:t>
            </w:r>
          </w:p>
        </w:tc>
        <w:tc>
          <w:tcPr>
            <w:tcW w:w="870" w:type="dxa"/>
            <w:vMerge w:val="continue"/>
            <w:tcBorders>
              <w:tl2br w:val="nil"/>
              <w:tr2bl w:val="nil"/>
            </w:tcBorders>
            <w:noWrap/>
            <w:vAlign w:val="center"/>
          </w:tcPr>
          <w:p w14:paraId="22306311">
            <w:pPr>
              <w:spacing w:line="360" w:lineRule="auto"/>
              <w:jc w:val="center"/>
              <w:rPr>
                <w:rFonts w:hint="eastAsia" w:ascii="宋体" w:hAnsi="宋体" w:cs="宋体"/>
                <w:color w:val="auto"/>
                <w:sz w:val="21"/>
                <w:szCs w:val="21"/>
                <w:highlight w:val="none"/>
              </w:rPr>
            </w:pPr>
          </w:p>
        </w:tc>
      </w:tr>
      <w:tr w14:paraId="0FA217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FA4AB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w:t>
            </w:r>
          </w:p>
        </w:tc>
        <w:tc>
          <w:tcPr>
            <w:tcW w:w="6982" w:type="dxa"/>
            <w:tcBorders>
              <w:tl2br w:val="nil"/>
              <w:tr2bl w:val="nil"/>
            </w:tcBorders>
            <w:vAlign w:val="center"/>
          </w:tcPr>
          <w:p w14:paraId="20724A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检出率质控统计指标</w:t>
            </w:r>
          </w:p>
        </w:tc>
        <w:tc>
          <w:tcPr>
            <w:tcW w:w="870" w:type="dxa"/>
            <w:vMerge w:val="continue"/>
            <w:tcBorders>
              <w:tl2br w:val="nil"/>
              <w:tr2bl w:val="nil"/>
            </w:tcBorders>
            <w:noWrap/>
            <w:vAlign w:val="center"/>
          </w:tcPr>
          <w:p w14:paraId="64795D50">
            <w:pPr>
              <w:spacing w:line="360" w:lineRule="auto"/>
              <w:jc w:val="center"/>
              <w:rPr>
                <w:rFonts w:hint="eastAsia" w:ascii="宋体" w:hAnsi="宋体" w:cs="宋体"/>
                <w:color w:val="auto"/>
                <w:sz w:val="21"/>
                <w:szCs w:val="21"/>
                <w:highlight w:val="none"/>
              </w:rPr>
            </w:pPr>
          </w:p>
        </w:tc>
      </w:tr>
      <w:tr w14:paraId="1817E0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DE89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4.3.11.1</w:t>
            </w:r>
          </w:p>
        </w:tc>
        <w:tc>
          <w:tcPr>
            <w:tcW w:w="6982" w:type="dxa"/>
            <w:tcBorders>
              <w:tl2br w:val="nil"/>
              <w:tr2bl w:val="nil"/>
            </w:tcBorders>
            <w:vAlign w:val="center"/>
          </w:tcPr>
          <w:p w14:paraId="6012C9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单纯 DVT 出院患者例数（相关性）</w:t>
            </w:r>
          </w:p>
        </w:tc>
        <w:tc>
          <w:tcPr>
            <w:tcW w:w="870" w:type="dxa"/>
            <w:vMerge w:val="continue"/>
            <w:tcBorders>
              <w:tl2br w:val="nil"/>
              <w:tr2bl w:val="nil"/>
            </w:tcBorders>
            <w:noWrap/>
            <w:vAlign w:val="center"/>
          </w:tcPr>
          <w:p w14:paraId="75CD5A26">
            <w:pPr>
              <w:spacing w:line="360" w:lineRule="auto"/>
              <w:jc w:val="center"/>
              <w:rPr>
                <w:rFonts w:hint="eastAsia" w:ascii="宋体" w:hAnsi="宋体" w:cs="宋体"/>
                <w:color w:val="auto"/>
                <w:sz w:val="21"/>
                <w:szCs w:val="21"/>
                <w:highlight w:val="none"/>
              </w:rPr>
            </w:pPr>
          </w:p>
        </w:tc>
      </w:tr>
      <w:tr w14:paraId="744AE2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CCEB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4.3.11.2</w:t>
            </w:r>
          </w:p>
        </w:tc>
        <w:tc>
          <w:tcPr>
            <w:tcW w:w="6982" w:type="dxa"/>
            <w:tcBorders>
              <w:tl2br w:val="nil"/>
              <w:tr2bl w:val="nil"/>
            </w:tcBorders>
            <w:vAlign w:val="center"/>
          </w:tcPr>
          <w:p w14:paraId="080F4E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单纯 PTE（或 PE）出院患者例数（相关性）</w:t>
            </w:r>
          </w:p>
        </w:tc>
        <w:tc>
          <w:tcPr>
            <w:tcW w:w="870" w:type="dxa"/>
            <w:vMerge w:val="continue"/>
            <w:tcBorders>
              <w:tl2br w:val="nil"/>
              <w:tr2bl w:val="nil"/>
            </w:tcBorders>
            <w:noWrap/>
            <w:vAlign w:val="center"/>
          </w:tcPr>
          <w:p w14:paraId="28D74FF2">
            <w:pPr>
              <w:spacing w:line="360" w:lineRule="auto"/>
              <w:jc w:val="center"/>
              <w:rPr>
                <w:rFonts w:hint="eastAsia" w:ascii="宋体" w:hAnsi="宋体" w:cs="宋体"/>
                <w:color w:val="auto"/>
                <w:sz w:val="21"/>
                <w:szCs w:val="21"/>
                <w:highlight w:val="none"/>
              </w:rPr>
            </w:pPr>
          </w:p>
        </w:tc>
      </w:tr>
      <w:tr w14:paraId="722BA9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B84A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4.3.11.3</w:t>
            </w:r>
          </w:p>
        </w:tc>
        <w:tc>
          <w:tcPr>
            <w:tcW w:w="6982" w:type="dxa"/>
            <w:tcBorders>
              <w:tl2br w:val="nil"/>
              <w:tr2bl w:val="nil"/>
            </w:tcBorders>
            <w:vAlign w:val="center"/>
          </w:tcPr>
          <w:p w14:paraId="7AEADD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DVT 合并 PTE（或 PE）出院患者例数（相关性）</w:t>
            </w:r>
          </w:p>
        </w:tc>
        <w:tc>
          <w:tcPr>
            <w:tcW w:w="870" w:type="dxa"/>
            <w:vMerge w:val="continue"/>
            <w:tcBorders>
              <w:tl2br w:val="nil"/>
              <w:tr2bl w:val="nil"/>
            </w:tcBorders>
            <w:noWrap/>
            <w:vAlign w:val="center"/>
          </w:tcPr>
          <w:p w14:paraId="06C2D450">
            <w:pPr>
              <w:spacing w:line="360" w:lineRule="auto"/>
              <w:jc w:val="center"/>
              <w:rPr>
                <w:rFonts w:hint="eastAsia" w:ascii="宋体" w:hAnsi="宋体" w:cs="宋体"/>
                <w:color w:val="auto"/>
                <w:sz w:val="21"/>
                <w:szCs w:val="21"/>
                <w:highlight w:val="none"/>
              </w:rPr>
            </w:pPr>
          </w:p>
        </w:tc>
      </w:tr>
      <w:tr w14:paraId="3C4D0F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046F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4.3.11.4</w:t>
            </w:r>
          </w:p>
        </w:tc>
        <w:tc>
          <w:tcPr>
            <w:tcW w:w="6982" w:type="dxa"/>
            <w:tcBorders>
              <w:tl2br w:val="nil"/>
              <w:tr2bl w:val="nil"/>
            </w:tcBorders>
            <w:vAlign w:val="center"/>
          </w:tcPr>
          <w:p w14:paraId="54F9DB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DVT 或 PTE（或 PE）出院患者例数（相关性）</w:t>
            </w:r>
          </w:p>
        </w:tc>
        <w:tc>
          <w:tcPr>
            <w:tcW w:w="870" w:type="dxa"/>
            <w:vMerge w:val="continue"/>
            <w:tcBorders>
              <w:tl2br w:val="nil"/>
              <w:tr2bl w:val="nil"/>
            </w:tcBorders>
            <w:noWrap/>
            <w:vAlign w:val="center"/>
          </w:tcPr>
          <w:p w14:paraId="0DAB6BD8">
            <w:pPr>
              <w:spacing w:line="360" w:lineRule="auto"/>
              <w:jc w:val="center"/>
              <w:rPr>
                <w:rFonts w:hint="eastAsia" w:ascii="宋体" w:hAnsi="宋体" w:cs="宋体"/>
                <w:color w:val="auto"/>
                <w:sz w:val="21"/>
                <w:szCs w:val="21"/>
                <w:highlight w:val="none"/>
              </w:rPr>
            </w:pPr>
          </w:p>
        </w:tc>
      </w:tr>
      <w:tr w14:paraId="53B75B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914B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4.3.11.5</w:t>
            </w:r>
          </w:p>
        </w:tc>
        <w:tc>
          <w:tcPr>
            <w:tcW w:w="6982" w:type="dxa"/>
            <w:tcBorders>
              <w:tl2br w:val="nil"/>
              <w:tr2bl w:val="nil"/>
            </w:tcBorders>
            <w:vAlign w:val="center"/>
          </w:tcPr>
          <w:p w14:paraId="49A9EC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明确为医院相关性 VTE 的出院患者例数</w:t>
            </w:r>
          </w:p>
        </w:tc>
        <w:tc>
          <w:tcPr>
            <w:tcW w:w="870" w:type="dxa"/>
            <w:vMerge w:val="continue"/>
            <w:tcBorders>
              <w:tl2br w:val="nil"/>
              <w:tr2bl w:val="nil"/>
            </w:tcBorders>
            <w:noWrap/>
            <w:vAlign w:val="center"/>
          </w:tcPr>
          <w:p w14:paraId="36079216">
            <w:pPr>
              <w:spacing w:line="360" w:lineRule="auto"/>
              <w:jc w:val="center"/>
              <w:rPr>
                <w:rFonts w:hint="eastAsia" w:ascii="宋体" w:hAnsi="宋体" w:cs="宋体"/>
                <w:color w:val="auto"/>
                <w:sz w:val="21"/>
                <w:szCs w:val="21"/>
                <w:highlight w:val="none"/>
              </w:rPr>
            </w:pPr>
          </w:p>
        </w:tc>
      </w:tr>
      <w:tr w14:paraId="57D0E6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DB8E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w:t>
            </w:r>
          </w:p>
        </w:tc>
        <w:tc>
          <w:tcPr>
            <w:tcW w:w="6982" w:type="dxa"/>
            <w:tcBorders>
              <w:tl2br w:val="nil"/>
              <w:tr2bl w:val="nil"/>
            </w:tcBorders>
            <w:vAlign w:val="center"/>
          </w:tcPr>
          <w:p w14:paraId="53903C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规范治疗质控统计指标</w:t>
            </w:r>
          </w:p>
        </w:tc>
        <w:tc>
          <w:tcPr>
            <w:tcW w:w="870" w:type="dxa"/>
            <w:vMerge w:val="continue"/>
            <w:tcBorders>
              <w:tl2br w:val="nil"/>
              <w:tr2bl w:val="nil"/>
            </w:tcBorders>
            <w:noWrap/>
            <w:vAlign w:val="center"/>
          </w:tcPr>
          <w:p w14:paraId="0D80A2F4">
            <w:pPr>
              <w:spacing w:line="360" w:lineRule="auto"/>
              <w:jc w:val="center"/>
              <w:rPr>
                <w:rFonts w:hint="eastAsia" w:ascii="宋体" w:hAnsi="宋体" w:cs="宋体"/>
                <w:color w:val="auto"/>
                <w:sz w:val="21"/>
                <w:szCs w:val="21"/>
                <w:highlight w:val="none"/>
              </w:rPr>
            </w:pPr>
          </w:p>
        </w:tc>
      </w:tr>
      <w:tr w14:paraId="4390734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964B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4.3.12.1</w:t>
            </w:r>
          </w:p>
        </w:tc>
        <w:tc>
          <w:tcPr>
            <w:tcW w:w="6982" w:type="dxa"/>
            <w:tcBorders>
              <w:tl2br w:val="nil"/>
              <w:tr2bl w:val="nil"/>
            </w:tcBorders>
            <w:vAlign w:val="center"/>
          </w:tcPr>
          <w:p w14:paraId="4B1390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规范治疗率</w:t>
            </w:r>
          </w:p>
        </w:tc>
        <w:tc>
          <w:tcPr>
            <w:tcW w:w="870" w:type="dxa"/>
            <w:vMerge w:val="continue"/>
            <w:tcBorders>
              <w:tl2br w:val="nil"/>
              <w:tr2bl w:val="nil"/>
            </w:tcBorders>
            <w:noWrap/>
            <w:vAlign w:val="center"/>
          </w:tcPr>
          <w:p w14:paraId="2223BB35">
            <w:pPr>
              <w:spacing w:line="360" w:lineRule="auto"/>
              <w:jc w:val="center"/>
              <w:rPr>
                <w:rFonts w:hint="eastAsia" w:ascii="宋体" w:hAnsi="宋体" w:cs="宋体"/>
                <w:color w:val="auto"/>
                <w:sz w:val="21"/>
                <w:szCs w:val="21"/>
                <w:highlight w:val="none"/>
              </w:rPr>
            </w:pPr>
          </w:p>
        </w:tc>
      </w:tr>
      <w:tr w14:paraId="7F87AF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C07A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4.3.12.2</w:t>
            </w:r>
          </w:p>
        </w:tc>
        <w:tc>
          <w:tcPr>
            <w:tcW w:w="6982" w:type="dxa"/>
            <w:tcBorders>
              <w:tl2br w:val="nil"/>
              <w:tr2bl w:val="nil"/>
            </w:tcBorders>
            <w:vAlign w:val="center"/>
          </w:tcPr>
          <w:p w14:paraId="21DBD3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病例住院期间抗凝治疗实施率</w:t>
            </w:r>
          </w:p>
        </w:tc>
        <w:tc>
          <w:tcPr>
            <w:tcW w:w="870" w:type="dxa"/>
            <w:vMerge w:val="continue"/>
            <w:tcBorders>
              <w:tl2br w:val="nil"/>
              <w:tr2bl w:val="nil"/>
            </w:tcBorders>
            <w:noWrap/>
            <w:vAlign w:val="center"/>
          </w:tcPr>
          <w:p w14:paraId="0F7ED9D8">
            <w:pPr>
              <w:spacing w:line="360" w:lineRule="auto"/>
              <w:jc w:val="center"/>
              <w:rPr>
                <w:rFonts w:hint="eastAsia" w:ascii="宋体" w:hAnsi="宋体" w:cs="宋体"/>
                <w:color w:val="auto"/>
                <w:sz w:val="21"/>
                <w:szCs w:val="21"/>
                <w:highlight w:val="none"/>
              </w:rPr>
            </w:pPr>
          </w:p>
        </w:tc>
      </w:tr>
      <w:tr w14:paraId="3C81AD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D22E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4.3.12.3</w:t>
            </w:r>
          </w:p>
        </w:tc>
        <w:tc>
          <w:tcPr>
            <w:tcW w:w="6982" w:type="dxa"/>
            <w:tcBorders>
              <w:tl2br w:val="nil"/>
              <w:tr2bl w:val="nil"/>
            </w:tcBorders>
            <w:vAlign w:val="center"/>
          </w:tcPr>
          <w:p w14:paraId="6D7751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病例住院期间溶栓治疗实施率</w:t>
            </w:r>
          </w:p>
        </w:tc>
        <w:tc>
          <w:tcPr>
            <w:tcW w:w="870" w:type="dxa"/>
            <w:vMerge w:val="continue"/>
            <w:tcBorders>
              <w:tl2br w:val="nil"/>
              <w:tr2bl w:val="nil"/>
            </w:tcBorders>
            <w:noWrap/>
            <w:vAlign w:val="center"/>
          </w:tcPr>
          <w:p w14:paraId="44CD98BA">
            <w:pPr>
              <w:spacing w:line="360" w:lineRule="auto"/>
              <w:jc w:val="center"/>
              <w:rPr>
                <w:rFonts w:hint="eastAsia" w:ascii="宋体" w:hAnsi="宋体" w:cs="宋体"/>
                <w:color w:val="auto"/>
                <w:sz w:val="21"/>
                <w:szCs w:val="21"/>
                <w:highlight w:val="none"/>
              </w:rPr>
            </w:pPr>
          </w:p>
        </w:tc>
      </w:tr>
      <w:tr w14:paraId="56D4F3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D9EC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4.3.12.4</w:t>
            </w:r>
          </w:p>
        </w:tc>
        <w:tc>
          <w:tcPr>
            <w:tcW w:w="6982" w:type="dxa"/>
            <w:tcBorders>
              <w:tl2br w:val="nil"/>
              <w:tr2bl w:val="nil"/>
            </w:tcBorders>
            <w:vAlign w:val="center"/>
          </w:tcPr>
          <w:p w14:paraId="1ECA16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病例住院期间介入治疗实施率</w:t>
            </w:r>
          </w:p>
        </w:tc>
        <w:tc>
          <w:tcPr>
            <w:tcW w:w="870" w:type="dxa"/>
            <w:vMerge w:val="continue"/>
            <w:tcBorders>
              <w:tl2br w:val="nil"/>
              <w:tr2bl w:val="nil"/>
            </w:tcBorders>
            <w:noWrap/>
            <w:vAlign w:val="center"/>
          </w:tcPr>
          <w:p w14:paraId="6C991E5E">
            <w:pPr>
              <w:spacing w:line="360" w:lineRule="auto"/>
              <w:jc w:val="center"/>
              <w:rPr>
                <w:rFonts w:hint="eastAsia" w:ascii="宋体" w:hAnsi="宋体" w:cs="宋体"/>
                <w:color w:val="auto"/>
                <w:sz w:val="21"/>
                <w:szCs w:val="21"/>
                <w:highlight w:val="none"/>
              </w:rPr>
            </w:pPr>
          </w:p>
        </w:tc>
      </w:tr>
      <w:tr w14:paraId="236E49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A1AB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4.3.12.5</w:t>
            </w:r>
          </w:p>
        </w:tc>
        <w:tc>
          <w:tcPr>
            <w:tcW w:w="6982" w:type="dxa"/>
            <w:tcBorders>
              <w:tl2br w:val="nil"/>
              <w:tr2bl w:val="nil"/>
            </w:tcBorders>
            <w:vAlign w:val="center"/>
          </w:tcPr>
          <w:p w14:paraId="450851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病例住院期间手术治疗实施率</w:t>
            </w:r>
          </w:p>
        </w:tc>
        <w:tc>
          <w:tcPr>
            <w:tcW w:w="870" w:type="dxa"/>
            <w:vMerge w:val="continue"/>
            <w:tcBorders>
              <w:tl2br w:val="nil"/>
              <w:tr2bl w:val="nil"/>
            </w:tcBorders>
            <w:noWrap/>
            <w:vAlign w:val="center"/>
          </w:tcPr>
          <w:p w14:paraId="49C512DC">
            <w:pPr>
              <w:spacing w:line="360" w:lineRule="auto"/>
              <w:jc w:val="center"/>
              <w:rPr>
                <w:rFonts w:hint="eastAsia" w:ascii="宋体" w:hAnsi="宋体" w:cs="宋体"/>
                <w:color w:val="auto"/>
                <w:sz w:val="21"/>
                <w:szCs w:val="21"/>
                <w:highlight w:val="none"/>
              </w:rPr>
            </w:pPr>
          </w:p>
        </w:tc>
      </w:tr>
      <w:tr w14:paraId="52BF89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17C4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4.3.12.6</w:t>
            </w:r>
          </w:p>
        </w:tc>
        <w:tc>
          <w:tcPr>
            <w:tcW w:w="6982" w:type="dxa"/>
            <w:tcBorders>
              <w:tl2br w:val="nil"/>
              <w:tr2bl w:val="nil"/>
            </w:tcBorders>
            <w:vAlign w:val="center"/>
          </w:tcPr>
          <w:p w14:paraId="071873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医院相关性 VTE 病例出院医嘱带抗凝药比例</w:t>
            </w:r>
          </w:p>
        </w:tc>
        <w:tc>
          <w:tcPr>
            <w:tcW w:w="870" w:type="dxa"/>
            <w:vMerge w:val="continue"/>
            <w:tcBorders>
              <w:tl2br w:val="nil"/>
              <w:tr2bl w:val="nil"/>
            </w:tcBorders>
            <w:noWrap/>
            <w:vAlign w:val="center"/>
          </w:tcPr>
          <w:p w14:paraId="0E5E85F3">
            <w:pPr>
              <w:spacing w:line="360" w:lineRule="auto"/>
              <w:jc w:val="center"/>
              <w:rPr>
                <w:rFonts w:hint="eastAsia" w:ascii="宋体" w:hAnsi="宋体" w:cs="宋体"/>
                <w:color w:val="auto"/>
                <w:sz w:val="21"/>
                <w:szCs w:val="21"/>
                <w:highlight w:val="none"/>
              </w:rPr>
            </w:pPr>
          </w:p>
        </w:tc>
      </w:tr>
      <w:tr w14:paraId="3361C8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0B81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4.3.13</w:t>
            </w:r>
          </w:p>
        </w:tc>
        <w:tc>
          <w:tcPr>
            <w:tcW w:w="6982" w:type="dxa"/>
            <w:tcBorders>
              <w:tl2br w:val="nil"/>
              <w:tr2bl w:val="nil"/>
            </w:tcBorders>
            <w:vAlign w:val="center"/>
          </w:tcPr>
          <w:p w14:paraId="432928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出血事件质控统计指标</w:t>
            </w:r>
          </w:p>
        </w:tc>
        <w:tc>
          <w:tcPr>
            <w:tcW w:w="870" w:type="dxa"/>
            <w:vMerge w:val="continue"/>
            <w:tcBorders>
              <w:tl2br w:val="nil"/>
              <w:tr2bl w:val="nil"/>
            </w:tcBorders>
            <w:noWrap/>
            <w:vAlign w:val="center"/>
          </w:tcPr>
          <w:p w14:paraId="247DDF51">
            <w:pPr>
              <w:spacing w:line="360" w:lineRule="auto"/>
              <w:jc w:val="center"/>
              <w:rPr>
                <w:rFonts w:hint="eastAsia" w:ascii="宋体" w:hAnsi="宋体" w:cs="宋体"/>
                <w:color w:val="auto"/>
                <w:sz w:val="21"/>
                <w:szCs w:val="21"/>
                <w:highlight w:val="none"/>
              </w:rPr>
            </w:pPr>
          </w:p>
        </w:tc>
      </w:tr>
      <w:tr w14:paraId="57C657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8C8F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4.3.13.1</w:t>
            </w:r>
          </w:p>
        </w:tc>
        <w:tc>
          <w:tcPr>
            <w:tcW w:w="6982" w:type="dxa"/>
            <w:tcBorders>
              <w:tl2br w:val="nil"/>
              <w:tr2bl w:val="nil"/>
            </w:tcBorders>
            <w:vAlign w:val="center"/>
          </w:tcPr>
          <w:p w14:paraId="69345D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抗凝预防患者住院期间大出血事件发生率</w:t>
            </w:r>
          </w:p>
        </w:tc>
        <w:tc>
          <w:tcPr>
            <w:tcW w:w="870" w:type="dxa"/>
            <w:vMerge w:val="continue"/>
            <w:tcBorders>
              <w:tl2br w:val="nil"/>
              <w:tr2bl w:val="nil"/>
            </w:tcBorders>
            <w:noWrap/>
            <w:vAlign w:val="center"/>
          </w:tcPr>
          <w:p w14:paraId="10E6F328">
            <w:pPr>
              <w:spacing w:line="360" w:lineRule="auto"/>
              <w:jc w:val="center"/>
              <w:rPr>
                <w:rFonts w:hint="eastAsia" w:ascii="宋体" w:hAnsi="宋体" w:cs="宋体"/>
                <w:color w:val="auto"/>
                <w:sz w:val="21"/>
                <w:szCs w:val="21"/>
                <w:highlight w:val="none"/>
              </w:rPr>
            </w:pPr>
          </w:p>
        </w:tc>
      </w:tr>
      <w:tr w14:paraId="4B1DFD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A90C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4.3.13.2</w:t>
            </w:r>
          </w:p>
        </w:tc>
        <w:tc>
          <w:tcPr>
            <w:tcW w:w="6982" w:type="dxa"/>
            <w:tcBorders>
              <w:tl2br w:val="nil"/>
              <w:tr2bl w:val="nil"/>
            </w:tcBorders>
            <w:vAlign w:val="center"/>
          </w:tcPr>
          <w:p w14:paraId="249FB3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抗凝预防患者住院期间临床相关非大出血事件发生率</w:t>
            </w:r>
          </w:p>
        </w:tc>
        <w:tc>
          <w:tcPr>
            <w:tcW w:w="870" w:type="dxa"/>
            <w:vMerge w:val="continue"/>
            <w:tcBorders>
              <w:tl2br w:val="nil"/>
              <w:tr2bl w:val="nil"/>
            </w:tcBorders>
            <w:noWrap/>
            <w:vAlign w:val="center"/>
          </w:tcPr>
          <w:p w14:paraId="74AC5C20">
            <w:pPr>
              <w:spacing w:line="360" w:lineRule="auto"/>
              <w:jc w:val="center"/>
              <w:rPr>
                <w:rFonts w:hint="eastAsia" w:ascii="宋体" w:hAnsi="宋体" w:cs="宋体"/>
                <w:color w:val="auto"/>
                <w:sz w:val="21"/>
                <w:szCs w:val="21"/>
                <w:highlight w:val="none"/>
              </w:rPr>
            </w:pPr>
          </w:p>
        </w:tc>
      </w:tr>
      <w:tr w14:paraId="28C3A0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4FD1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4.3.13.3</w:t>
            </w:r>
          </w:p>
        </w:tc>
        <w:tc>
          <w:tcPr>
            <w:tcW w:w="6982" w:type="dxa"/>
            <w:tcBorders>
              <w:tl2br w:val="nil"/>
              <w:tr2bl w:val="nil"/>
            </w:tcBorders>
            <w:vAlign w:val="center"/>
          </w:tcPr>
          <w:p w14:paraId="25668D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抗凝 / 溶栓治疗患者住院期间大出血事件发生率</w:t>
            </w:r>
          </w:p>
        </w:tc>
        <w:tc>
          <w:tcPr>
            <w:tcW w:w="870" w:type="dxa"/>
            <w:vMerge w:val="continue"/>
            <w:tcBorders>
              <w:tl2br w:val="nil"/>
              <w:tr2bl w:val="nil"/>
            </w:tcBorders>
            <w:noWrap/>
            <w:vAlign w:val="center"/>
          </w:tcPr>
          <w:p w14:paraId="62200779">
            <w:pPr>
              <w:spacing w:line="360" w:lineRule="auto"/>
              <w:jc w:val="center"/>
              <w:rPr>
                <w:rFonts w:hint="eastAsia" w:ascii="宋体" w:hAnsi="宋体" w:cs="宋体"/>
                <w:color w:val="auto"/>
                <w:sz w:val="21"/>
                <w:szCs w:val="21"/>
                <w:highlight w:val="none"/>
              </w:rPr>
            </w:pPr>
          </w:p>
        </w:tc>
      </w:tr>
      <w:tr w14:paraId="5F1193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ACFD8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4.3.13.4</w:t>
            </w:r>
          </w:p>
        </w:tc>
        <w:tc>
          <w:tcPr>
            <w:tcW w:w="6982" w:type="dxa"/>
            <w:tcBorders>
              <w:tl2br w:val="nil"/>
              <w:tr2bl w:val="nil"/>
            </w:tcBorders>
            <w:vAlign w:val="center"/>
          </w:tcPr>
          <w:p w14:paraId="0D144E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抗凝 / 溶栓治疗患者住院期间临床相关非大出血事件发生率</w:t>
            </w:r>
          </w:p>
        </w:tc>
        <w:tc>
          <w:tcPr>
            <w:tcW w:w="870" w:type="dxa"/>
            <w:vMerge w:val="continue"/>
            <w:tcBorders>
              <w:tl2br w:val="nil"/>
              <w:tr2bl w:val="nil"/>
            </w:tcBorders>
            <w:noWrap/>
            <w:vAlign w:val="center"/>
          </w:tcPr>
          <w:p w14:paraId="6C6416A4">
            <w:pPr>
              <w:spacing w:line="360" w:lineRule="auto"/>
              <w:jc w:val="center"/>
              <w:rPr>
                <w:rFonts w:hint="eastAsia" w:ascii="宋体" w:hAnsi="宋体" w:cs="宋体"/>
                <w:color w:val="auto"/>
                <w:sz w:val="21"/>
                <w:szCs w:val="21"/>
                <w:highlight w:val="none"/>
              </w:rPr>
            </w:pPr>
          </w:p>
        </w:tc>
      </w:tr>
      <w:tr w14:paraId="54F6A5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9E306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w:t>
            </w:r>
          </w:p>
        </w:tc>
        <w:tc>
          <w:tcPr>
            <w:tcW w:w="6982" w:type="dxa"/>
            <w:tcBorders>
              <w:tl2br w:val="nil"/>
              <w:tr2bl w:val="nil"/>
            </w:tcBorders>
            <w:vAlign w:val="center"/>
          </w:tcPr>
          <w:p w14:paraId="6AE5FB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死亡率质控统计指标</w:t>
            </w:r>
          </w:p>
        </w:tc>
        <w:tc>
          <w:tcPr>
            <w:tcW w:w="870" w:type="dxa"/>
            <w:vMerge w:val="continue"/>
            <w:tcBorders>
              <w:tl2br w:val="nil"/>
              <w:tr2bl w:val="nil"/>
            </w:tcBorders>
            <w:noWrap/>
            <w:vAlign w:val="center"/>
          </w:tcPr>
          <w:p w14:paraId="446F6C04">
            <w:pPr>
              <w:spacing w:line="360" w:lineRule="auto"/>
              <w:jc w:val="center"/>
              <w:rPr>
                <w:rFonts w:hint="eastAsia" w:ascii="宋体" w:hAnsi="宋体" w:cs="宋体"/>
                <w:color w:val="auto"/>
                <w:sz w:val="21"/>
                <w:szCs w:val="21"/>
                <w:highlight w:val="none"/>
              </w:rPr>
            </w:pPr>
          </w:p>
        </w:tc>
      </w:tr>
      <w:tr w14:paraId="34A3DE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1B00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4.3.14.1</w:t>
            </w:r>
          </w:p>
        </w:tc>
        <w:tc>
          <w:tcPr>
            <w:tcW w:w="6982" w:type="dxa"/>
            <w:tcBorders>
              <w:tl2br w:val="nil"/>
              <w:tr2bl w:val="nil"/>
            </w:tcBorders>
            <w:vAlign w:val="center"/>
          </w:tcPr>
          <w:p w14:paraId="57893B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单纯 DVT 死亡病例（相关性）</w:t>
            </w:r>
          </w:p>
        </w:tc>
        <w:tc>
          <w:tcPr>
            <w:tcW w:w="870" w:type="dxa"/>
            <w:vMerge w:val="continue"/>
            <w:tcBorders>
              <w:tl2br w:val="nil"/>
              <w:tr2bl w:val="nil"/>
            </w:tcBorders>
            <w:noWrap/>
            <w:vAlign w:val="center"/>
          </w:tcPr>
          <w:p w14:paraId="6F425FA8">
            <w:pPr>
              <w:spacing w:line="360" w:lineRule="auto"/>
              <w:jc w:val="center"/>
              <w:rPr>
                <w:rFonts w:hint="eastAsia" w:ascii="宋体" w:hAnsi="宋体" w:cs="宋体"/>
                <w:color w:val="auto"/>
                <w:sz w:val="21"/>
                <w:szCs w:val="21"/>
                <w:highlight w:val="none"/>
              </w:rPr>
            </w:pPr>
          </w:p>
        </w:tc>
      </w:tr>
      <w:tr w14:paraId="11453C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B911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4.3.14.2</w:t>
            </w:r>
          </w:p>
        </w:tc>
        <w:tc>
          <w:tcPr>
            <w:tcW w:w="6982" w:type="dxa"/>
            <w:tcBorders>
              <w:tl2br w:val="nil"/>
              <w:tr2bl w:val="nil"/>
            </w:tcBorders>
            <w:vAlign w:val="center"/>
          </w:tcPr>
          <w:p w14:paraId="1B7EEE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单纯 PTE（或 PE）死亡病例相关性）</w:t>
            </w:r>
          </w:p>
        </w:tc>
        <w:tc>
          <w:tcPr>
            <w:tcW w:w="870" w:type="dxa"/>
            <w:vMerge w:val="continue"/>
            <w:tcBorders>
              <w:tl2br w:val="nil"/>
              <w:tr2bl w:val="nil"/>
            </w:tcBorders>
            <w:noWrap/>
            <w:vAlign w:val="center"/>
          </w:tcPr>
          <w:p w14:paraId="6F762355">
            <w:pPr>
              <w:spacing w:line="360" w:lineRule="auto"/>
              <w:jc w:val="center"/>
              <w:rPr>
                <w:rFonts w:hint="eastAsia" w:ascii="宋体" w:hAnsi="宋体" w:cs="宋体"/>
                <w:color w:val="auto"/>
                <w:sz w:val="21"/>
                <w:szCs w:val="21"/>
                <w:highlight w:val="none"/>
              </w:rPr>
            </w:pPr>
          </w:p>
        </w:tc>
      </w:tr>
      <w:tr w14:paraId="2CB855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1E8F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4.3.14.3</w:t>
            </w:r>
          </w:p>
        </w:tc>
        <w:tc>
          <w:tcPr>
            <w:tcW w:w="6982" w:type="dxa"/>
            <w:tcBorders>
              <w:tl2br w:val="nil"/>
              <w:tr2bl w:val="nil"/>
            </w:tcBorders>
            <w:vAlign w:val="center"/>
          </w:tcPr>
          <w:p w14:paraId="4050BF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DVT 合并 PTE（或 PE）死亡病例相关性）</w:t>
            </w:r>
          </w:p>
        </w:tc>
        <w:tc>
          <w:tcPr>
            <w:tcW w:w="870" w:type="dxa"/>
            <w:vMerge w:val="continue"/>
            <w:tcBorders>
              <w:tl2br w:val="nil"/>
              <w:tr2bl w:val="nil"/>
            </w:tcBorders>
            <w:noWrap/>
            <w:vAlign w:val="center"/>
          </w:tcPr>
          <w:p w14:paraId="7E4967CC">
            <w:pPr>
              <w:spacing w:line="360" w:lineRule="auto"/>
              <w:jc w:val="center"/>
              <w:rPr>
                <w:rFonts w:hint="eastAsia" w:ascii="宋体" w:hAnsi="宋体" w:cs="宋体"/>
                <w:color w:val="auto"/>
                <w:sz w:val="21"/>
                <w:szCs w:val="21"/>
                <w:highlight w:val="none"/>
              </w:rPr>
            </w:pPr>
          </w:p>
        </w:tc>
      </w:tr>
      <w:tr w14:paraId="394BFE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DD6D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4.3.14.4</w:t>
            </w:r>
          </w:p>
        </w:tc>
        <w:tc>
          <w:tcPr>
            <w:tcW w:w="6982" w:type="dxa"/>
            <w:tcBorders>
              <w:tl2br w:val="nil"/>
              <w:tr2bl w:val="nil"/>
            </w:tcBorders>
            <w:vAlign w:val="center"/>
          </w:tcPr>
          <w:p w14:paraId="424434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DVT 或 PTE（或 PE）死亡病例相关性）</w:t>
            </w:r>
          </w:p>
        </w:tc>
        <w:tc>
          <w:tcPr>
            <w:tcW w:w="870" w:type="dxa"/>
            <w:vMerge w:val="continue"/>
            <w:tcBorders>
              <w:tl2br w:val="nil"/>
              <w:tr2bl w:val="nil"/>
            </w:tcBorders>
            <w:noWrap/>
            <w:vAlign w:val="center"/>
          </w:tcPr>
          <w:p w14:paraId="65C8912D">
            <w:pPr>
              <w:spacing w:line="360" w:lineRule="auto"/>
              <w:jc w:val="center"/>
              <w:rPr>
                <w:rFonts w:hint="eastAsia" w:ascii="宋体" w:hAnsi="宋体" w:cs="宋体"/>
                <w:color w:val="auto"/>
                <w:sz w:val="21"/>
                <w:szCs w:val="21"/>
                <w:highlight w:val="none"/>
              </w:rPr>
            </w:pPr>
          </w:p>
        </w:tc>
      </w:tr>
      <w:tr w14:paraId="3E1D38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9C44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4.3.14.5</w:t>
            </w:r>
          </w:p>
        </w:tc>
        <w:tc>
          <w:tcPr>
            <w:tcW w:w="6982" w:type="dxa"/>
            <w:tcBorders>
              <w:tl2br w:val="nil"/>
              <w:tr2bl w:val="nil"/>
            </w:tcBorders>
            <w:vAlign w:val="center"/>
          </w:tcPr>
          <w:p w14:paraId="3C6CCA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明确为因医院相关性 VTE 而死亡的患者例数</w:t>
            </w:r>
          </w:p>
        </w:tc>
        <w:tc>
          <w:tcPr>
            <w:tcW w:w="870" w:type="dxa"/>
            <w:vMerge w:val="continue"/>
            <w:tcBorders>
              <w:tl2br w:val="nil"/>
              <w:tr2bl w:val="nil"/>
            </w:tcBorders>
            <w:noWrap/>
            <w:vAlign w:val="center"/>
          </w:tcPr>
          <w:p w14:paraId="5B0FB0ED">
            <w:pPr>
              <w:spacing w:line="360" w:lineRule="auto"/>
              <w:jc w:val="center"/>
              <w:rPr>
                <w:rFonts w:hint="eastAsia" w:ascii="宋体" w:hAnsi="宋体" w:cs="宋体"/>
                <w:color w:val="auto"/>
                <w:sz w:val="21"/>
                <w:szCs w:val="21"/>
                <w:highlight w:val="none"/>
              </w:rPr>
            </w:pPr>
          </w:p>
        </w:tc>
      </w:tr>
      <w:tr w14:paraId="04D62C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C9CF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w:t>
            </w:r>
          </w:p>
        </w:tc>
        <w:tc>
          <w:tcPr>
            <w:tcW w:w="6982" w:type="dxa"/>
            <w:tcBorders>
              <w:tl2br w:val="nil"/>
              <w:tr2bl w:val="nil"/>
            </w:tcBorders>
            <w:vAlign w:val="center"/>
          </w:tcPr>
          <w:p w14:paraId="21CD156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线上线下（院内院外）MDT 多学科会诊平台（新建）</w:t>
            </w:r>
          </w:p>
        </w:tc>
        <w:tc>
          <w:tcPr>
            <w:tcW w:w="870" w:type="dxa"/>
            <w:vMerge w:val="restart"/>
            <w:tcBorders>
              <w:tl2br w:val="nil"/>
              <w:tr2bl w:val="nil"/>
            </w:tcBorders>
            <w:noWrap/>
            <w:vAlign w:val="center"/>
          </w:tcPr>
          <w:p w14:paraId="3E387DFA">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AE382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64265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4.4.1</w:t>
            </w:r>
          </w:p>
        </w:tc>
        <w:tc>
          <w:tcPr>
            <w:tcW w:w="6982" w:type="dxa"/>
            <w:tcBorders>
              <w:tl2br w:val="nil"/>
              <w:tr2bl w:val="nil"/>
            </w:tcBorders>
            <w:vAlign w:val="center"/>
          </w:tcPr>
          <w:p w14:paraId="4B4E2B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新建线上线下一体化 MDT 多学科会诊平台，打破院内各科室、院外医疗机构的空间壁垒，整合多学科医疗资源，实现线上便捷发起会诊、线下集中研讨联动，优化会诊流程、提升会诊效率，为患者提供精准、全面的多学科诊疗方案，助力医疗资源共享与诊疗质量提升</w:t>
            </w:r>
          </w:p>
        </w:tc>
        <w:tc>
          <w:tcPr>
            <w:tcW w:w="870" w:type="dxa"/>
            <w:vMerge w:val="continue"/>
            <w:tcBorders>
              <w:tl2br w:val="nil"/>
              <w:tr2bl w:val="nil"/>
            </w:tcBorders>
            <w:noWrap/>
            <w:vAlign w:val="center"/>
          </w:tcPr>
          <w:p w14:paraId="38F21F2E">
            <w:pPr>
              <w:spacing w:line="360" w:lineRule="auto"/>
              <w:jc w:val="center"/>
              <w:rPr>
                <w:rFonts w:hint="eastAsia" w:ascii="宋体" w:hAnsi="宋体" w:cs="宋体"/>
                <w:color w:val="auto"/>
                <w:sz w:val="21"/>
                <w:szCs w:val="21"/>
                <w:highlight w:val="none"/>
              </w:rPr>
            </w:pPr>
          </w:p>
        </w:tc>
      </w:tr>
      <w:tr w14:paraId="61292D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0723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4.4.2</w:t>
            </w:r>
          </w:p>
        </w:tc>
        <w:tc>
          <w:tcPr>
            <w:tcW w:w="6982" w:type="dxa"/>
            <w:tcBorders>
              <w:tl2br w:val="nil"/>
              <w:tr2bl w:val="nil"/>
            </w:tcBorders>
            <w:vAlign w:val="center"/>
          </w:tcPr>
          <w:p w14:paraId="6BF5E5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患者端（微信小程序）</w:t>
            </w:r>
          </w:p>
        </w:tc>
        <w:tc>
          <w:tcPr>
            <w:tcW w:w="870" w:type="dxa"/>
            <w:vMerge w:val="continue"/>
            <w:tcBorders>
              <w:tl2br w:val="nil"/>
              <w:tr2bl w:val="nil"/>
            </w:tcBorders>
            <w:noWrap/>
            <w:vAlign w:val="center"/>
          </w:tcPr>
          <w:p w14:paraId="2D9DC78A">
            <w:pPr>
              <w:spacing w:line="360" w:lineRule="auto"/>
              <w:jc w:val="center"/>
              <w:rPr>
                <w:rFonts w:hint="eastAsia" w:ascii="宋体" w:hAnsi="宋体" w:cs="宋体"/>
                <w:color w:val="auto"/>
                <w:sz w:val="21"/>
                <w:szCs w:val="21"/>
                <w:highlight w:val="none"/>
              </w:rPr>
            </w:pPr>
          </w:p>
        </w:tc>
      </w:tr>
      <w:tr w14:paraId="57E9E4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04EB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4.4.2.1</w:t>
            </w:r>
          </w:p>
        </w:tc>
        <w:tc>
          <w:tcPr>
            <w:tcW w:w="6982" w:type="dxa"/>
            <w:tcBorders>
              <w:tl2br w:val="nil"/>
              <w:tr2bl w:val="nil"/>
            </w:tcBorders>
            <w:vAlign w:val="center"/>
          </w:tcPr>
          <w:p w14:paraId="4D0154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MDT 门户与团队展示：MDT 专家团队：按病种（如肺癌、消化道肿瘤）展示 MDT 团队；专家团队介绍：展示专家资历、专长、出诊时间，支持直接预约挂号或在线咨询</w:t>
            </w:r>
          </w:p>
        </w:tc>
        <w:tc>
          <w:tcPr>
            <w:tcW w:w="870" w:type="dxa"/>
            <w:vMerge w:val="continue"/>
            <w:tcBorders>
              <w:tl2br w:val="nil"/>
              <w:tr2bl w:val="nil"/>
            </w:tcBorders>
            <w:noWrap/>
            <w:vAlign w:val="center"/>
          </w:tcPr>
          <w:p w14:paraId="49C078E9">
            <w:pPr>
              <w:spacing w:line="360" w:lineRule="auto"/>
              <w:jc w:val="center"/>
              <w:rPr>
                <w:rFonts w:hint="eastAsia" w:ascii="宋体" w:hAnsi="宋体" w:cs="宋体"/>
                <w:color w:val="auto"/>
                <w:sz w:val="21"/>
                <w:szCs w:val="21"/>
                <w:highlight w:val="none"/>
              </w:rPr>
            </w:pPr>
          </w:p>
        </w:tc>
      </w:tr>
      <w:tr w14:paraId="46D465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80B3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4.4.2.2</w:t>
            </w:r>
          </w:p>
        </w:tc>
        <w:tc>
          <w:tcPr>
            <w:tcW w:w="6982" w:type="dxa"/>
            <w:tcBorders>
              <w:tl2br w:val="nil"/>
              <w:tr2bl w:val="nil"/>
            </w:tcBorders>
            <w:vAlign w:val="center"/>
          </w:tcPr>
          <w:p w14:paraId="612796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MDT 申请受理与患者管理：选择团队：患者根据病情选择期望的 MDT 团队；知情同意：在线阅读并签署电子知情同意书，确认会诊相关事宜；预问诊：应支持按所选 MDT 团队或病种，自动调用对应配置的预问诊问卷供填写；提交病情资料：填写病情描述，支持以图片的形式上传的病历资料</w:t>
            </w:r>
          </w:p>
        </w:tc>
        <w:tc>
          <w:tcPr>
            <w:tcW w:w="870" w:type="dxa"/>
            <w:vMerge w:val="continue"/>
            <w:tcBorders>
              <w:tl2br w:val="nil"/>
              <w:tr2bl w:val="nil"/>
            </w:tcBorders>
            <w:noWrap/>
            <w:vAlign w:val="center"/>
          </w:tcPr>
          <w:p w14:paraId="14B077C3">
            <w:pPr>
              <w:spacing w:line="360" w:lineRule="auto"/>
              <w:jc w:val="center"/>
              <w:rPr>
                <w:rFonts w:hint="eastAsia" w:ascii="宋体" w:hAnsi="宋体" w:cs="宋体"/>
                <w:color w:val="auto"/>
                <w:sz w:val="21"/>
                <w:szCs w:val="21"/>
                <w:highlight w:val="none"/>
              </w:rPr>
            </w:pPr>
          </w:p>
        </w:tc>
      </w:tr>
      <w:tr w14:paraId="187BF3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D18C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4.4.2.3</w:t>
            </w:r>
          </w:p>
        </w:tc>
        <w:tc>
          <w:tcPr>
            <w:tcW w:w="6982" w:type="dxa"/>
            <w:tcBorders>
              <w:tl2br w:val="nil"/>
              <w:tr2bl w:val="nil"/>
            </w:tcBorders>
            <w:vAlign w:val="center"/>
          </w:tcPr>
          <w:p w14:paraId="4698B5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会诊订单与支付结算：支付与退费：应支持微信 / 支付宝支付；若评估不通过，自动 / 手动触发原路退费；进度查询：清晰展示订单状态流（待支付 -&gt; 待评估 -&gt; 待会诊 -&gt; 会诊中 -&gt; 已完成）；查看会诊报告：应支持会诊后在线查看《MDT 会诊报告》</w:t>
            </w:r>
          </w:p>
        </w:tc>
        <w:tc>
          <w:tcPr>
            <w:tcW w:w="870" w:type="dxa"/>
            <w:vMerge w:val="continue"/>
            <w:tcBorders>
              <w:tl2br w:val="nil"/>
              <w:tr2bl w:val="nil"/>
            </w:tcBorders>
            <w:noWrap/>
            <w:vAlign w:val="center"/>
          </w:tcPr>
          <w:p w14:paraId="105F8318">
            <w:pPr>
              <w:spacing w:line="360" w:lineRule="auto"/>
              <w:jc w:val="center"/>
              <w:rPr>
                <w:rFonts w:hint="eastAsia" w:ascii="宋体" w:hAnsi="宋体" w:cs="宋体"/>
                <w:color w:val="auto"/>
                <w:sz w:val="21"/>
                <w:szCs w:val="21"/>
                <w:highlight w:val="none"/>
              </w:rPr>
            </w:pPr>
          </w:p>
        </w:tc>
      </w:tr>
      <w:tr w14:paraId="176C88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38BD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4.4.3</w:t>
            </w:r>
          </w:p>
        </w:tc>
        <w:tc>
          <w:tcPr>
            <w:tcW w:w="6982" w:type="dxa"/>
            <w:tcBorders>
              <w:tl2br w:val="nil"/>
              <w:tr2bl w:val="nil"/>
            </w:tcBorders>
            <w:vAlign w:val="center"/>
          </w:tcPr>
          <w:p w14:paraId="353048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医生端（移动医生 App）</w:t>
            </w:r>
          </w:p>
        </w:tc>
        <w:tc>
          <w:tcPr>
            <w:tcW w:w="870" w:type="dxa"/>
            <w:vMerge w:val="continue"/>
            <w:tcBorders>
              <w:tl2br w:val="nil"/>
              <w:tr2bl w:val="nil"/>
            </w:tcBorders>
            <w:noWrap/>
            <w:vAlign w:val="center"/>
          </w:tcPr>
          <w:p w14:paraId="275646E0">
            <w:pPr>
              <w:spacing w:line="360" w:lineRule="auto"/>
              <w:jc w:val="center"/>
              <w:rPr>
                <w:rFonts w:hint="eastAsia" w:ascii="宋体" w:hAnsi="宋体" w:cs="宋体"/>
                <w:color w:val="auto"/>
                <w:sz w:val="21"/>
                <w:szCs w:val="21"/>
                <w:highlight w:val="none"/>
              </w:rPr>
            </w:pPr>
          </w:p>
        </w:tc>
      </w:tr>
      <w:tr w14:paraId="13B1B0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AC81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4.4.3.1</w:t>
            </w:r>
          </w:p>
        </w:tc>
        <w:tc>
          <w:tcPr>
            <w:tcW w:w="6982" w:type="dxa"/>
            <w:tcBorders>
              <w:tl2br w:val="nil"/>
              <w:tr2bl w:val="nil"/>
            </w:tcBorders>
            <w:vAlign w:val="center"/>
          </w:tcPr>
          <w:p w14:paraId="34CF5E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会诊调度与团队秘书协同：应支持申请池管理：MDT 申请审核，查看并初审患者提交的 MDT 申请详情；应支持流程处理：根据医生评估结论，执行 “拒绝” 操作，填写行政理由并处理退费流程。接到医生 “同意” 指示后，执行接单，并负责后续协调</w:t>
            </w:r>
          </w:p>
        </w:tc>
        <w:tc>
          <w:tcPr>
            <w:tcW w:w="870" w:type="dxa"/>
            <w:vMerge w:val="continue"/>
            <w:tcBorders>
              <w:tl2br w:val="nil"/>
              <w:tr2bl w:val="nil"/>
            </w:tcBorders>
            <w:noWrap/>
            <w:vAlign w:val="center"/>
          </w:tcPr>
          <w:p w14:paraId="224AF49D">
            <w:pPr>
              <w:spacing w:line="360" w:lineRule="auto"/>
              <w:jc w:val="center"/>
              <w:rPr>
                <w:rFonts w:hint="eastAsia" w:ascii="宋体" w:hAnsi="宋体" w:cs="宋体"/>
                <w:color w:val="auto"/>
                <w:sz w:val="21"/>
                <w:szCs w:val="21"/>
                <w:highlight w:val="none"/>
              </w:rPr>
            </w:pPr>
          </w:p>
        </w:tc>
      </w:tr>
      <w:tr w14:paraId="6D11AE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7FEC2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4.4.3.2</w:t>
            </w:r>
          </w:p>
        </w:tc>
        <w:tc>
          <w:tcPr>
            <w:tcW w:w="6982" w:type="dxa"/>
            <w:tcBorders>
              <w:tl2br w:val="nil"/>
              <w:tr2bl w:val="nil"/>
            </w:tcBorders>
            <w:vAlign w:val="center"/>
          </w:tcPr>
          <w:p w14:paraId="3AB8A08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专家会诊与结论管理：应支持会诊安排：具体联系并调整最终参与会诊的专家名单。与各方协调，确定并设定最终的会诊时间，并通知所有参会者；应支持会诊发起与邀请：在预定时间，发起视频会议，连接所有预定参会专家。根据医生要求，临时邀请非本院专家、特殊科室医生进入会议。协助邀请患者加入会议</w:t>
            </w:r>
          </w:p>
        </w:tc>
        <w:tc>
          <w:tcPr>
            <w:tcW w:w="870" w:type="dxa"/>
            <w:vMerge w:val="continue"/>
            <w:tcBorders>
              <w:tl2br w:val="nil"/>
              <w:tr2bl w:val="nil"/>
            </w:tcBorders>
            <w:noWrap/>
            <w:vAlign w:val="center"/>
          </w:tcPr>
          <w:p w14:paraId="53DE2D44">
            <w:pPr>
              <w:spacing w:line="360" w:lineRule="auto"/>
              <w:jc w:val="center"/>
              <w:rPr>
                <w:rFonts w:hint="eastAsia" w:ascii="宋体" w:hAnsi="宋体" w:cs="宋体"/>
                <w:color w:val="auto"/>
                <w:sz w:val="21"/>
                <w:szCs w:val="21"/>
                <w:highlight w:val="none"/>
              </w:rPr>
            </w:pPr>
          </w:p>
        </w:tc>
      </w:tr>
      <w:tr w14:paraId="565191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283F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4.4.3.3</w:t>
            </w:r>
          </w:p>
        </w:tc>
        <w:tc>
          <w:tcPr>
            <w:tcW w:w="6982" w:type="dxa"/>
            <w:tcBorders>
              <w:tl2br w:val="nil"/>
              <w:tr2bl w:val="nil"/>
            </w:tcBorders>
            <w:vAlign w:val="center"/>
          </w:tcPr>
          <w:p w14:paraId="712831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病历资料与会诊文档管理：应支持资料整理：整理会议纪要；确保会诊记录归档至病历</w:t>
            </w:r>
          </w:p>
        </w:tc>
        <w:tc>
          <w:tcPr>
            <w:tcW w:w="870" w:type="dxa"/>
            <w:vMerge w:val="continue"/>
            <w:tcBorders>
              <w:tl2br w:val="nil"/>
              <w:tr2bl w:val="nil"/>
            </w:tcBorders>
            <w:noWrap/>
            <w:vAlign w:val="center"/>
          </w:tcPr>
          <w:p w14:paraId="68A8563C">
            <w:pPr>
              <w:spacing w:line="360" w:lineRule="auto"/>
              <w:jc w:val="center"/>
              <w:rPr>
                <w:rFonts w:hint="eastAsia" w:ascii="宋体" w:hAnsi="宋体" w:cs="宋体"/>
                <w:color w:val="auto"/>
                <w:sz w:val="21"/>
                <w:szCs w:val="21"/>
                <w:highlight w:val="none"/>
              </w:rPr>
            </w:pPr>
          </w:p>
        </w:tc>
      </w:tr>
      <w:tr w14:paraId="7303A3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4CEA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4.4.3.4</w:t>
            </w:r>
          </w:p>
        </w:tc>
        <w:tc>
          <w:tcPr>
            <w:tcW w:w="6982" w:type="dxa"/>
            <w:tcBorders>
              <w:tl2br w:val="nil"/>
              <w:tr2bl w:val="nil"/>
            </w:tcBorders>
            <w:vAlign w:val="center"/>
          </w:tcPr>
          <w:p w14:paraId="1D56AC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运营管理与业务配置：应支持 MDT 申请评估：查看患者详细的病史、影像、病理等资料。从医学专业角度判断申请是否符合 MDT 指征。选择 “拒绝”（需填写专业医学理由）或 “同意”。同意” 后，提出需要参与会诊的科室专家建议名单及初步会诊时间意向；应支持线上会诊：在线参与视频会诊，进行多学科讨论；应支持会诊意见与结论：在会诊中或会诊后，提交本人所属科室的专业诊疗意见。（主持人 / 主治医生专属） 综合各专家意见，汇总并撰写最终的 MDT 结论与诊疗方案。应支持查看、修改并确认生成的会议纪要，确保其医学专业内容准确无误</w:t>
            </w:r>
          </w:p>
        </w:tc>
        <w:tc>
          <w:tcPr>
            <w:tcW w:w="870" w:type="dxa"/>
            <w:vMerge w:val="continue"/>
            <w:tcBorders>
              <w:tl2br w:val="nil"/>
              <w:tr2bl w:val="nil"/>
            </w:tcBorders>
            <w:noWrap/>
            <w:vAlign w:val="center"/>
          </w:tcPr>
          <w:p w14:paraId="55F5ACF7">
            <w:pPr>
              <w:spacing w:line="360" w:lineRule="auto"/>
              <w:jc w:val="center"/>
              <w:rPr>
                <w:rFonts w:hint="eastAsia" w:ascii="宋体" w:hAnsi="宋体" w:cs="宋体"/>
                <w:color w:val="auto"/>
                <w:sz w:val="21"/>
                <w:szCs w:val="21"/>
                <w:highlight w:val="none"/>
              </w:rPr>
            </w:pPr>
          </w:p>
        </w:tc>
      </w:tr>
      <w:tr w14:paraId="6731AD6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2F80C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4.4.4</w:t>
            </w:r>
          </w:p>
        </w:tc>
        <w:tc>
          <w:tcPr>
            <w:tcW w:w="6982" w:type="dxa"/>
            <w:tcBorders>
              <w:tl2br w:val="nil"/>
              <w:tr2bl w:val="nil"/>
            </w:tcBorders>
            <w:vAlign w:val="center"/>
          </w:tcPr>
          <w:p w14:paraId="5F2CD5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运营管理后台（Web 端）</w:t>
            </w:r>
          </w:p>
        </w:tc>
        <w:tc>
          <w:tcPr>
            <w:tcW w:w="870" w:type="dxa"/>
            <w:vMerge w:val="continue"/>
            <w:tcBorders>
              <w:tl2br w:val="nil"/>
              <w:tr2bl w:val="nil"/>
            </w:tcBorders>
            <w:noWrap/>
            <w:vAlign w:val="center"/>
          </w:tcPr>
          <w:p w14:paraId="2FBC1E0A">
            <w:pPr>
              <w:spacing w:line="360" w:lineRule="auto"/>
              <w:jc w:val="center"/>
              <w:rPr>
                <w:rFonts w:hint="eastAsia" w:ascii="宋体" w:hAnsi="宋体" w:cs="宋体"/>
                <w:color w:val="auto"/>
                <w:sz w:val="21"/>
                <w:szCs w:val="21"/>
                <w:highlight w:val="none"/>
              </w:rPr>
            </w:pPr>
          </w:p>
        </w:tc>
      </w:tr>
      <w:tr w14:paraId="4183C1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DD11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4.4.4.1</w:t>
            </w:r>
          </w:p>
        </w:tc>
        <w:tc>
          <w:tcPr>
            <w:tcW w:w="6982" w:type="dxa"/>
            <w:tcBorders>
              <w:tl2br w:val="nil"/>
              <w:tr2bl w:val="nil"/>
            </w:tcBorders>
            <w:vAlign w:val="center"/>
          </w:tcPr>
          <w:p w14:paraId="797BCC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统计分析与质量监管：应支持订单看板：应支持查看所有订单的状态与统计</w:t>
            </w:r>
          </w:p>
        </w:tc>
        <w:tc>
          <w:tcPr>
            <w:tcW w:w="870" w:type="dxa"/>
            <w:vMerge w:val="continue"/>
            <w:tcBorders>
              <w:tl2br w:val="nil"/>
              <w:tr2bl w:val="nil"/>
            </w:tcBorders>
            <w:noWrap/>
            <w:vAlign w:val="center"/>
          </w:tcPr>
          <w:p w14:paraId="7B7DB5AA">
            <w:pPr>
              <w:spacing w:line="360" w:lineRule="auto"/>
              <w:jc w:val="center"/>
              <w:rPr>
                <w:rFonts w:hint="eastAsia" w:ascii="宋体" w:hAnsi="宋体" w:cs="宋体"/>
                <w:color w:val="auto"/>
                <w:sz w:val="21"/>
                <w:szCs w:val="21"/>
                <w:highlight w:val="none"/>
              </w:rPr>
            </w:pPr>
          </w:p>
        </w:tc>
      </w:tr>
      <w:tr w14:paraId="130FFD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70E8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4.4.4.2</w:t>
            </w:r>
          </w:p>
        </w:tc>
        <w:tc>
          <w:tcPr>
            <w:tcW w:w="6982" w:type="dxa"/>
            <w:tcBorders>
              <w:tl2br w:val="nil"/>
              <w:tr2bl w:val="nil"/>
            </w:tcBorders>
            <w:vAlign w:val="center"/>
          </w:tcPr>
          <w:p w14:paraId="39BD22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系统集成与基础支撑：应支持疾病与团队管理：配置 MDT 病种及各团队成员；应支持权限配置：团队成员权限配置（组长、秘书、普通成员、记录员角色分工）</w:t>
            </w:r>
          </w:p>
        </w:tc>
        <w:tc>
          <w:tcPr>
            <w:tcW w:w="870" w:type="dxa"/>
            <w:vMerge w:val="continue"/>
            <w:tcBorders>
              <w:tl2br w:val="nil"/>
              <w:tr2bl w:val="nil"/>
            </w:tcBorders>
            <w:noWrap/>
            <w:vAlign w:val="center"/>
          </w:tcPr>
          <w:p w14:paraId="4D69D38D">
            <w:pPr>
              <w:spacing w:line="360" w:lineRule="auto"/>
              <w:jc w:val="center"/>
              <w:rPr>
                <w:rFonts w:hint="eastAsia" w:ascii="宋体" w:hAnsi="宋体" w:cs="宋体"/>
                <w:color w:val="auto"/>
                <w:sz w:val="21"/>
                <w:szCs w:val="21"/>
                <w:highlight w:val="none"/>
              </w:rPr>
            </w:pPr>
          </w:p>
        </w:tc>
      </w:tr>
      <w:tr w14:paraId="7FB0E8E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222C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w:t>
            </w:r>
          </w:p>
        </w:tc>
        <w:tc>
          <w:tcPr>
            <w:tcW w:w="6982" w:type="dxa"/>
            <w:tcBorders>
              <w:tl2br w:val="nil"/>
              <w:tr2bl w:val="nil"/>
            </w:tcBorders>
            <w:vAlign w:val="center"/>
          </w:tcPr>
          <w:p w14:paraId="1233A0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体检系统（重构）</w:t>
            </w:r>
          </w:p>
        </w:tc>
        <w:tc>
          <w:tcPr>
            <w:tcW w:w="870" w:type="dxa"/>
            <w:vMerge w:val="restart"/>
            <w:tcBorders>
              <w:tl2br w:val="nil"/>
              <w:tr2bl w:val="nil"/>
            </w:tcBorders>
            <w:noWrap/>
            <w:vAlign w:val="center"/>
          </w:tcPr>
          <w:p w14:paraId="7BF6AFC3">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63E14C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C54A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4.5.1</w:t>
            </w:r>
          </w:p>
        </w:tc>
        <w:tc>
          <w:tcPr>
            <w:tcW w:w="6982" w:type="dxa"/>
            <w:tcBorders>
              <w:tl2br w:val="nil"/>
              <w:tr2bl w:val="nil"/>
            </w:tcBorders>
            <w:vAlign w:val="center"/>
          </w:tcPr>
          <w:p w14:paraId="55565A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适配新院区体检业务开展需求，本次需对体检系统进行全面重构改造。新院区配备了全新的体检设备，在设备安装调试、对接上线的关键阶段，同步开展体检软件系统重构，可实现设备与系统的无缝衔接、数据实时同步，避免设备单独上线后再进行系统改造导致的业务中断、重复施工等问题，大幅提升实施效率。同时，结合新院区体检业务布局、服务流程优化的需求，通过系统重构，同步优化体检预约、检查数据录入、报告生成、结果查询等核心功能，确保重构后的体检系统能够精准匹配新设备性能、贴合新院区业务场景，保障体检业务高效、顺畅开展，避免后期重复投入，节约整体改造成本</w:t>
            </w:r>
          </w:p>
        </w:tc>
        <w:tc>
          <w:tcPr>
            <w:tcW w:w="870" w:type="dxa"/>
            <w:vMerge w:val="continue"/>
            <w:tcBorders>
              <w:tl2br w:val="nil"/>
              <w:tr2bl w:val="nil"/>
            </w:tcBorders>
            <w:noWrap/>
            <w:vAlign w:val="center"/>
          </w:tcPr>
          <w:p w14:paraId="7ADCC7B4">
            <w:pPr>
              <w:spacing w:line="360" w:lineRule="auto"/>
              <w:jc w:val="center"/>
              <w:rPr>
                <w:rFonts w:hint="eastAsia" w:ascii="宋体" w:hAnsi="宋体" w:cs="宋体"/>
                <w:color w:val="auto"/>
                <w:sz w:val="21"/>
                <w:szCs w:val="21"/>
                <w:highlight w:val="none"/>
              </w:rPr>
            </w:pPr>
          </w:p>
        </w:tc>
      </w:tr>
      <w:tr w14:paraId="29863D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13ED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w:t>
            </w:r>
          </w:p>
        </w:tc>
        <w:tc>
          <w:tcPr>
            <w:tcW w:w="6982" w:type="dxa"/>
            <w:tcBorders>
              <w:tl2br w:val="nil"/>
              <w:tr2bl w:val="nil"/>
            </w:tcBorders>
            <w:vAlign w:val="center"/>
          </w:tcPr>
          <w:p w14:paraId="4463B7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全流程分时间段预约系统</w:t>
            </w:r>
          </w:p>
        </w:tc>
        <w:tc>
          <w:tcPr>
            <w:tcW w:w="870" w:type="dxa"/>
            <w:vMerge w:val="continue"/>
            <w:tcBorders>
              <w:tl2br w:val="nil"/>
              <w:tr2bl w:val="nil"/>
            </w:tcBorders>
            <w:noWrap/>
            <w:vAlign w:val="center"/>
          </w:tcPr>
          <w:p w14:paraId="110B4639">
            <w:pPr>
              <w:spacing w:line="360" w:lineRule="auto"/>
              <w:jc w:val="center"/>
              <w:rPr>
                <w:rFonts w:hint="eastAsia" w:ascii="宋体" w:hAnsi="宋体" w:cs="宋体"/>
                <w:color w:val="auto"/>
                <w:sz w:val="21"/>
                <w:szCs w:val="21"/>
                <w:highlight w:val="none"/>
              </w:rPr>
            </w:pPr>
          </w:p>
        </w:tc>
      </w:tr>
      <w:tr w14:paraId="0F8FCCA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4F94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4.5.2.1</w:t>
            </w:r>
          </w:p>
        </w:tc>
        <w:tc>
          <w:tcPr>
            <w:tcW w:w="6982" w:type="dxa"/>
            <w:tcBorders>
              <w:tl2br w:val="nil"/>
              <w:tr2bl w:val="nil"/>
            </w:tcBorders>
            <w:vAlign w:val="center"/>
          </w:tcPr>
          <w:p w14:paraId="59EF43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通过微信公众号预约，接受个人、团体预定，定制体检套餐或个性化的体检项目</w:t>
            </w:r>
          </w:p>
        </w:tc>
        <w:tc>
          <w:tcPr>
            <w:tcW w:w="870" w:type="dxa"/>
            <w:vMerge w:val="continue"/>
            <w:tcBorders>
              <w:tl2br w:val="nil"/>
              <w:tr2bl w:val="nil"/>
            </w:tcBorders>
            <w:noWrap/>
            <w:vAlign w:val="center"/>
          </w:tcPr>
          <w:p w14:paraId="1186DD7B">
            <w:pPr>
              <w:spacing w:line="360" w:lineRule="auto"/>
              <w:jc w:val="center"/>
              <w:rPr>
                <w:rFonts w:hint="eastAsia" w:ascii="宋体" w:hAnsi="宋体" w:cs="宋体"/>
                <w:color w:val="auto"/>
                <w:sz w:val="21"/>
                <w:szCs w:val="21"/>
                <w:highlight w:val="none"/>
              </w:rPr>
            </w:pPr>
          </w:p>
        </w:tc>
      </w:tr>
      <w:tr w14:paraId="376504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5F6B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4.5.2.2</w:t>
            </w:r>
          </w:p>
        </w:tc>
        <w:tc>
          <w:tcPr>
            <w:tcW w:w="6982" w:type="dxa"/>
            <w:tcBorders>
              <w:tl2br w:val="nil"/>
              <w:tr2bl w:val="nil"/>
            </w:tcBorders>
            <w:vAlign w:val="center"/>
          </w:tcPr>
          <w:p w14:paraId="1B31B9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每天设定检查量，超过设定数量将自动限制预约</w:t>
            </w:r>
          </w:p>
        </w:tc>
        <w:tc>
          <w:tcPr>
            <w:tcW w:w="870" w:type="dxa"/>
            <w:vMerge w:val="continue"/>
            <w:tcBorders>
              <w:tl2br w:val="nil"/>
              <w:tr2bl w:val="nil"/>
            </w:tcBorders>
            <w:noWrap/>
            <w:vAlign w:val="center"/>
          </w:tcPr>
          <w:p w14:paraId="4C038A21">
            <w:pPr>
              <w:spacing w:line="360" w:lineRule="auto"/>
              <w:jc w:val="center"/>
              <w:rPr>
                <w:rFonts w:hint="eastAsia" w:ascii="宋体" w:hAnsi="宋体" w:cs="宋体"/>
                <w:color w:val="auto"/>
                <w:sz w:val="21"/>
                <w:szCs w:val="21"/>
                <w:highlight w:val="none"/>
              </w:rPr>
            </w:pPr>
          </w:p>
        </w:tc>
      </w:tr>
      <w:tr w14:paraId="124E96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DE67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4.5.2.3</w:t>
            </w:r>
          </w:p>
        </w:tc>
        <w:tc>
          <w:tcPr>
            <w:tcW w:w="6982" w:type="dxa"/>
            <w:tcBorders>
              <w:tl2br w:val="nil"/>
              <w:tr2bl w:val="nil"/>
            </w:tcBorders>
            <w:vAlign w:val="center"/>
          </w:tcPr>
          <w:p w14:paraId="65624C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通过手机客户端能预约项目和体检时间，时间可在系统后台根据实际情况自定义</w:t>
            </w:r>
          </w:p>
        </w:tc>
        <w:tc>
          <w:tcPr>
            <w:tcW w:w="870" w:type="dxa"/>
            <w:vMerge w:val="continue"/>
            <w:tcBorders>
              <w:tl2br w:val="nil"/>
              <w:tr2bl w:val="nil"/>
            </w:tcBorders>
            <w:noWrap/>
            <w:vAlign w:val="center"/>
          </w:tcPr>
          <w:p w14:paraId="0E38B6E8">
            <w:pPr>
              <w:spacing w:line="360" w:lineRule="auto"/>
              <w:jc w:val="center"/>
              <w:rPr>
                <w:rFonts w:hint="eastAsia" w:ascii="宋体" w:hAnsi="宋体" w:cs="宋体"/>
                <w:color w:val="auto"/>
                <w:sz w:val="21"/>
                <w:szCs w:val="21"/>
                <w:highlight w:val="none"/>
              </w:rPr>
            </w:pPr>
          </w:p>
        </w:tc>
      </w:tr>
      <w:tr w14:paraId="01FDD5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DD23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4.5.2.4</w:t>
            </w:r>
          </w:p>
        </w:tc>
        <w:tc>
          <w:tcPr>
            <w:tcW w:w="6982" w:type="dxa"/>
            <w:tcBorders>
              <w:tl2br w:val="nil"/>
              <w:tr2bl w:val="nil"/>
            </w:tcBorders>
            <w:vAlign w:val="center"/>
          </w:tcPr>
          <w:p w14:paraId="506496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可设置特殊预留，提供给未按照单位时间体检的客户补检预约通道</w:t>
            </w:r>
          </w:p>
        </w:tc>
        <w:tc>
          <w:tcPr>
            <w:tcW w:w="870" w:type="dxa"/>
            <w:vMerge w:val="continue"/>
            <w:tcBorders>
              <w:tl2br w:val="nil"/>
              <w:tr2bl w:val="nil"/>
            </w:tcBorders>
            <w:noWrap/>
            <w:vAlign w:val="center"/>
          </w:tcPr>
          <w:p w14:paraId="6FDE4F8B">
            <w:pPr>
              <w:spacing w:line="360" w:lineRule="auto"/>
              <w:jc w:val="center"/>
              <w:rPr>
                <w:rFonts w:hint="eastAsia" w:ascii="宋体" w:hAnsi="宋体" w:cs="宋体"/>
                <w:color w:val="auto"/>
                <w:sz w:val="21"/>
                <w:szCs w:val="21"/>
                <w:highlight w:val="none"/>
              </w:rPr>
            </w:pPr>
          </w:p>
        </w:tc>
      </w:tr>
      <w:tr w14:paraId="755B46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C526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4.5.2.5</w:t>
            </w:r>
          </w:p>
        </w:tc>
        <w:tc>
          <w:tcPr>
            <w:tcW w:w="6982" w:type="dxa"/>
            <w:tcBorders>
              <w:tl2br w:val="nil"/>
              <w:tr2bl w:val="nil"/>
            </w:tcBorders>
            <w:vAlign w:val="center"/>
          </w:tcPr>
          <w:p w14:paraId="793A2E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问卷填写 (微信端)：体检前可在微信端填写相关病史及问卷量表</w:t>
            </w:r>
          </w:p>
        </w:tc>
        <w:tc>
          <w:tcPr>
            <w:tcW w:w="870" w:type="dxa"/>
            <w:vMerge w:val="continue"/>
            <w:tcBorders>
              <w:tl2br w:val="nil"/>
              <w:tr2bl w:val="nil"/>
            </w:tcBorders>
            <w:noWrap/>
            <w:vAlign w:val="center"/>
          </w:tcPr>
          <w:p w14:paraId="2C102943">
            <w:pPr>
              <w:spacing w:line="360" w:lineRule="auto"/>
              <w:jc w:val="center"/>
              <w:rPr>
                <w:rFonts w:hint="eastAsia" w:ascii="宋体" w:hAnsi="宋体" w:cs="宋体"/>
                <w:color w:val="auto"/>
                <w:sz w:val="21"/>
                <w:szCs w:val="21"/>
                <w:highlight w:val="none"/>
              </w:rPr>
            </w:pPr>
          </w:p>
        </w:tc>
      </w:tr>
      <w:tr w14:paraId="396801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F176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4.5.2.6</w:t>
            </w:r>
          </w:p>
        </w:tc>
        <w:tc>
          <w:tcPr>
            <w:tcW w:w="6982" w:type="dxa"/>
            <w:tcBorders>
              <w:tl2br w:val="nil"/>
              <w:tr2bl w:val="nil"/>
            </w:tcBorders>
            <w:vAlign w:val="center"/>
          </w:tcPr>
          <w:p w14:paraId="5AFD11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个人预约（微信端）：个人预约包括套餐和个性化套餐的预约、体检时间段</w:t>
            </w:r>
          </w:p>
        </w:tc>
        <w:tc>
          <w:tcPr>
            <w:tcW w:w="870" w:type="dxa"/>
            <w:vMerge w:val="continue"/>
            <w:tcBorders>
              <w:tl2br w:val="nil"/>
              <w:tr2bl w:val="nil"/>
            </w:tcBorders>
            <w:noWrap/>
            <w:vAlign w:val="center"/>
          </w:tcPr>
          <w:p w14:paraId="2B11E07A">
            <w:pPr>
              <w:spacing w:line="360" w:lineRule="auto"/>
              <w:jc w:val="center"/>
              <w:rPr>
                <w:rFonts w:hint="eastAsia" w:ascii="宋体" w:hAnsi="宋体" w:cs="宋体"/>
                <w:color w:val="auto"/>
                <w:sz w:val="21"/>
                <w:szCs w:val="21"/>
                <w:highlight w:val="none"/>
              </w:rPr>
            </w:pPr>
          </w:p>
        </w:tc>
      </w:tr>
      <w:tr w14:paraId="6B92A9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E25F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4.5.2.7</w:t>
            </w:r>
          </w:p>
        </w:tc>
        <w:tc>
          <w:tcPr>
            <w:tcW w:w="6982" w:type="dxa"/>
            <w:tcBorders>
              <w:tl2br w:val="nil"/>
              <w:tr2bl w:val="nil"/>
            </w:tcBorders>
            <w:vAlign w:val="center"/>
          </w:tcPr>
          <w:p w14:paraId="2CE391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团体预约（微信端）：包括预约体检项目、体检时间段</w:t>
            </w:r>
          </w:p>
        </w:tc>
        <w:tc>
          <w:tcPr>
            <w:tcW w:w="870" w:type="dxa"/>
            <w:vMerge w:val="continue"/>
            <w:tcBorders>
              <w:tl2br w:val="nil"/>
              <w:tr2bl w:val="nil"/>
            </w:tcBorders>
            <w:noWrap/>
            <w:vAlign w:val="center"/>
          </w:tcPr>
          <w:p w14:paraId="727D8F7A">
            <w:pPr>
              <w:spacing w:line="360" w:lineRule="auto"/>
              <w:jc w:val="center"/>
              <w:rPr>
                <w:rFonts w:hint="eastAsia" w:ascii="宋体" w:hAnsi="宋体" w:cs="宋体"/>
                <w:color w:val="auto"/>
                <w:sz w:val="21"/>
                <w:szCs w:val="21"/>
                <w:highlight w:val="none"/>
              </w:rPr>
            </w:pPr>
          </w:p>
        </w:tc>
      </w:tr>
      <w:tr w14:paraId="4D2F9E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6313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4.5.2.8</w:t>
            </w:r>
          </w:p>
        </w:tc>
        <w:tc>
          <w:tcPr>
            <w:tcW w:w="6982" w:type="dxa"/>
            <w:tcBorders>
              <w:tl2br w:val="nil"/>
              <w:tr2bl w:val="nil"/>
            </w:tcBorders>
            <w:vAlign w:val="center"/>
          </w:tcPr>
          <w:p w14:paraId="587A14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可查阅团检安排和预约信息，能灵活进行团检单位人员调整</w:t>
            </w:r>
          </w:p>
        </w:tc>
        <w:tc>
          <w:tcPr>
            <w:tcW w:w="870" w:type="dxa"/>
            <w:vMerge w:val="continue"/>
            <w:tcBorders>
              <w:tl2br w:val="nil"/>
              <w:tr2bl w:val="nil"/>
            </w:tcBorders>
            <w:noWrap/>
            <w:vAlign w:val="center"/>
          </w:tcPr>
          <w:p w14:paraId="565A4EFE">
            <w:pPr>
              <w:spacing w:line="360" w:lineRule="auto"/>
              <w:jc w:val="center"/>
              <w:rPr>
                <w:rFonts w:hint="eastAsia" w:ascii="宋体" w:hAnsi="宋体" w:cs="宋体"/>
                <w:color w:val="auto"/>
                <w:sz w:val="21"/>
                <w:szCs w:val="21"/>
                <w:highlight w:val="none"/>
              </w:rPr>
            </w:pPr>
          </w:p>
        </w:tc>
      </w:tr>
      <w:tr w14:paraId="66A4A1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6742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4.5.2.9</w:t>
            </w:r>
          </w:p>
        </w:tc>
        <w:tc>
          <w:tcPr>
            <w:tcW w:w="6982" w:type="dxa"/>
            <w:tcBorders>
              <w:tl2br w:val="nil"/>
              <w:tr2bl w:val="nil"/>
            </w:tcBorders>
            <w:vAlign w:val="center"/>
          </w:tcPr>
          <w:p w14:paraId="240D8A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针对瓶颈科室等特殊科室，如 CT、超声等每天实时展示预约数量（按部位），根据当天所查项目数量合理调配医护人员资源</w:t>
            </w:r>
          </w:p>
        </w:tc>
        <w:tc>
          <w:tcPr>
            <w:tcW w:w="870" w:type="dxa"/>
            <w:vMerge w:val="continue"/>
            <w:tcBorders>
              <w:tl2br w:val="nil"/>
              <w:tr2bl w:val="nil"/>
            </w:tcBorders>
            <w:noWrap/>
            <w:vAlign w:val="center"/>
          </w:tcPr>
          <w:p w14:paraId="298E030B">
            <w:pPr>
              <w:spacing w:line="360" w:lineRule="auto"/>
              <w:jc w:val="center"/>
              <w:rPr>
                <w:rFonts w:hint="eastAsia" w:ascii="宋体" w:hAnsi="宋体" w:cs="宋体"/>
                <w:color w:val="auto"/>
                <w:sz w:val="21"/>
                <w:szCs w:val="21"/>
                <w:highlight w:val="none"/>
              </w:rPr>
            </w:pPr>
          </w:p>
        </w:tc>
      </w:tr>
      <w:tr w14:paraId="1975F9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CF67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4.5.2.10</w:t>
            </w:r>
          </w:p>
        </w:tc>
        <w:tc>
          <w:tcPr>
            <w:tcW w:w="6982" w:type="dxa"/>
            <w:tcBorders>
              <w:tl2br w:val="nil"/>
              <w:tr2bl w:val="nil"/>
            </w:tcBorders>
            <w:vAlign w:val="center"/>
          </w:tcPr>
          <w:p w14:paraId="4633B6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管理后台：控制个人和团体预约的预约数量以及预约时间段，如有超出设定人员，给予相应的警示，后台有相应的数据统计</w:t>
            </w:r>
          </w:p>
        </w:tc>
        <w:tc>
          <w:tcPr>
            <w:tcW w:w="870" w:type="dxa"/>
            <w:vMerge w:val="continue"/>
            <w:tcBorders>
              <w:tl2br w:val="nil"/>
              <w:tr2bl w:val="nil"/>
            </w:tcBorders>
            <w:noWrap/>
            <w:vAlign w:val="center"/>
          </w:tcPr>
          <w:p w14:paraId="006675F8">
            <w:pPr>
              <w:spacing w:line="360" w:lineRule="auto"/>
              <w:jc w:val="center"/>
              <w:rPr>
                <w:rFonts w:hint="eastAsia" w:ascii="宋体" w:hAnsi="宋体" w:cs="宋体"/>
                <w:color w:val="auto"/>
                <w:sz w:val="21"/>
                <w:szCs w:val="21"/>
                <w:highlight w:val="none"/>
              </w:rPr>
            </w:pPr>
          </w:p>
        </w:tc>
      </w:tr>
      <w:tr w14:paraId="2776B7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C6A1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4.5.2.11</w:t>
            </w:r>
          </w:p>
        </w:tc>
        <w:tc>
          <w:tcPr>
            <w:tcW w:w="6982" w:type="dxa"/>
            <w:tcBorders>
              <w:tl2br w:val="nil"/>
              <w:tr2bl w:val="nil"/>
            </w:tcBorders>
            <w:vAlign w:val="center"/>
          </w:tcPr>
          <w:p w14:paraId="379C5D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后台可查阅预约的体检客户的详细信息</w:t>
            </w:r>
          </w:p>
        </w:tc>
        <w:tc>
          <w:tcPr>
            <w:tcW w:w="870" w:type="dxa"/>
            <w:vMerge w:val="continue"/>
            <w:tcBorders>
              <w:tl2br w:val="nil"/>
              <w:tr2bl w:val="nil"/>
            </w:tcBorders>
            <w:noWrap/>
            <w:vAlign w:val="center"/>
          </w:tcPr>
          <w:p w14:paraId="14BD755C">
            <w:pPr>
              <w:spacing w:line="360" w:lineRule="auto"/>
              <w:jc w:val="center"/>
              <w:rPr>
                <w:rFonts w:hint="eastAsia" w:ascii="宋体" w:hAnsi="宋体" w:cs="宋体"/>
                <w:color w:val="auto"/>
                <w:sz w:val="21"/>
                <w:szCs w:val="21"/>
                <w:highlight w:val="none"/>
              </w:rPr>
            </w:pPr>
          </w:p>
        </w:tc>
      </w:tr>
      <w:tr w14:paraId="67C744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87D0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4.5.2.12</w:t>
            </w:r>
          </w:p>
        </w:tc>
        <w:tc>
          <w:tcPr>
            <w:tcW w:w="6982" w:type="dxa"/>
            <w:tcBorders>
              <w:tl2br w:val="nil"/>
              <w:tr2bl w:val="nil"/>
            </w:tcBorders>
            <w:vAlign w:val="center"/>
          </w:tcPr>
          <w:p w14:paraId="10925C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通过微信端可以随时查阅体检报告及历年体检记录</w:t>
            </w:r>
          </w:p>
        </w:tc>
        <w:tc>
          <w:tcPr>
            <w:tcW w:w="870" w:type="dxa"/>
            <w:vMerge w:val="continue"/>
            <w:tcBorders>
              <w:tl2br w:val="nil"/>
              <w:tr2bl w:val="nil"/>
            </w:tcBorders>
            <w:noWrap/>
            <w:vAlign w:val="center"/>
          </w:tcPr>
          <w:p w14:paraId="1DF11B18">
            <w:pPr>
              <w:spacing w:line="360" w:lineRule="auto"/>
              <w:jc w:val="center"/>
              <w:rPr>
                <w:rFonts w:hint="eastAsia" w:ascii="宋体" w:hAnsi="宋体" w:cs="宋体"/>
                <w:color w:val="auto"/>
                <w:sz w:val="21"/>
                <w:szCs w:val="21"/>
                <w:highlight w:val="none"/>
              </w:rPr>
            </w:pPr>
          </w:p>
        </w:tc>
      </w:tr>
      <w:tr w14:paraId="62BD78A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3A3A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4.5.2.13</w:t>
            </w:r>
          </w:p>
        </w:tc>
        <w:tc>
          <w:tcPr>
            <w:tcW w:w="6982" w:type="dxa"/>
            <w:tcBorders>
              <w:tl2br w:val="nil"/>
              <w:tr2bl w:val="nil"/>
            </w:tcBorders>
            <w:vAlign w:val="center"/>
          </w:tcPr>
          <w:p w14:paraId="791BCD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与体检系统无缝对接，体检客户线上预约之后，可凭身份证直接打印指引单</w:t>
            </w:r>
          </w:p>
        </w:tc>
        <w:tc>
          <w:tcPr>
            <w:tcW w:w="870" w:type="dxa"/>
            <w:vMerge w:val="continue"/>
            <w:tcBorders>
              <w:tl2br w:val="nil"/>
              <w:tr2bl w:val="nil"/>
            </w:tcBorders>
            <w:noWrap/>
            <w:vAlign w:val="center"/>
          </w:tcPr>
          <w:p w14:paraId="51B15875">
            <w:pPr>
              <w:spacing w:line="360" w:lineRule="auto"/>
              <w:jc w:val="center"/>
              <w:rPr>
                <w:rFonts w:hint="eastAsia" w:ascii="宋体" w:hAnsi="宋体" w:cs="宋体"/>
                <w:color w:val="auto"/>
                <w:sz w:val="21"/>
                <w:szCs w:val="21"/>
                <w:highlight w:val="none"/>
              </w:rPr>
            </w:pPr>
          </w:p>
        </w:tc>
      </w:tr>
      <w:tr w14:paraId="19A39A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69F3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w:t>
            </w:r>
          </w:p>
        </w:tc>
        <w:tc>
          <w:tcPr>
            <w:tcW w:w="6982" w:type="dxa"/>
            <w:tcBorders>
              <w:tl2br w:val="nil"/>
              <w:tr2bl w:val="nil"/>
            </w:tcBorders>
            <w:vAlign w:val="center"/>
          </w:tcPr>
          <w:p w14:paraId="67A9FE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健康管理系统</w:t>
            </w:r>
          </w:p>
        </w:tc>
        <w:tc>
          <w:tcPr>
            <w:tcW w:w="870" w:type="dxa"/>
            <w:vMerge w:val="continue"/>
            <w:tcBorders>
              <w:tl2br w:val="nil"/>
              <w:tr2bl w:val="nil"/>
            </w:tcBorders>
            <w:noWrap/>
            <w:vAlign w:val="center"/>
          </w:tcPr>
          <w:p w14:paraId="211495CA">
            <w:pPr>
              <w:spacing w:line="360" w:lineRule="auto"/>
              <w:jc w:val="center"/>
              <w:rPr>
                <w:rFonts w:hint="eastAsia" w:ascii="宋体" w:hAnsi="宋体" w:cs="宋体"/>
                <w:color w:val="auto"/>
                <w:sz w:val="21"/>
                <w:szCs w:val="21"/>
                <w:highlight w:val="none"/>
              </w:rPr>
            </w:pPr>
          </w:p>
        </w:tc>
      </w:tr>
      <w:tr w14:paraId="10835F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95BF2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w:t>
            </w:r>
          </w:p>
        </w:tc>
        <w:tc>
          <w:tcPr>
            <w:tcW w:w="6982" w:type="dxa"/>
            <w:tcBorders>
              <w:tl2br w:val="nil"/>
              <w:tr2bl w:val="nil"/>
            </w:tcBorders>
            <w:vAlign w:val="center"/>
          </w:tcPr>
          <w:p w14:paraId="23CBF7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基本资料：通过身份证读取设备自动采集信息录入功能</w:t>
            </w:r>
          </w:p>
        </w:tc>
        <w:tc>
          <w:tcPr>
            <w:tcW w:w="870" w:type="dxa"/>
            <w:vMerge w:val="continue"/>
            <w:tcBorders>
              <w:tl2br w:val="nil"/>
              <w:tr2bl w:val="nil"/>
            </w:tcBorders>
            <w:noWrap/>
            <w:vAlign w:val="center"/>
          </w:tcPr>
          <w:p w14:paraId="6036A065">
            <w:pPr>
              <w:spacing w:line="360" w:lineRule="auto"/>
              <w:jc w:val="center"/>
              <w:rPr>
                <w:rFonts w:hint="eastAsia" w:ascii="宋体" w:hAnsi="宋体" w:cs="宋体"/>
                <w:color w:val="auto"/>
                <w:sz w:val="21"/>
                <w:szCs w:val="21"/>
                <w:highlight w:val="none"/>
              </w:rPr>
            </w:pPr>
          </w:p>
        </w:tc>
      </w:tr>
      <w:tr w14:paraId="3BFD216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6DDC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w:t>
            </w:r>
          </w:p>
        </w:tc>
        <w:tc>
          <w:tcPr>
            <w:tcW w:w="6982" w:type="dxa"/>
            <w:tcBorders>
              <w:tl2br w:val="nil"/>
              <w:tr2bl w:val="nil"/>
            </w:tcBorders>
            <w:vAlign w:val="center"/>
          </w:tcPr>
          <w:p w14:paraId="300B44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数码拍照：支持现场拍照功能实现全流程照片显示比对</w:t>
            </w:r>
          </w:p>
        </w:tc>
        <w:tc>
          <w:tcPr>
            <w:tcW w:w="870" w:type="dxa"/>
            <w:vMerge w:val="continue"/>
            <w:tcBorders>
              <w:tl2br w:val="nil"/>
              <w:tr2bl w:val="nil"/>
            </w:tcBorders>
            <w:noWrap/>
            <w:vAlign w:val="center"/>
          </w:tcPr>
          <w:p w14:paraId="39F91763">
            <w:pPr>
              <w:spacing w:line="360" w:lineRule="auto"/>
              <w:jc w:val="center"/>
              <w:rPr>
                <w:rFonts w:hint="eastAsia" w:ascii="宋体" w:hAnsi="宋体" w:cs="宋体"/>
                <w:color w:val="auto"/>
                <w:sz w:val="21"/>
                <w:szCs w:val="21"/>
                <w:highlight w:val="none"/>
              </w:rPr>
            </w:pPr>
          </w:p>
        </w:tc>
      </w:tr>
      <w:tr w14:paraId="1B07B84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FFAD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w:t>
            </w:r>
          </w:p>
        </w:tc>
        <w:tc>
          <w:tcPr>
            <w:tcW w:w="6982" w:type="dxa"/>
            <w:tcBorders>
              <w:tl2br w:val="nil"/>
              <w:tr2bl w:val="nil"/>
            </w:tcBorders>
            <w:vAlign w:val="center"/>
          </w:tcPr>
          <w:p w14:paraId="6DD002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项目规则：具备性别属性自动区分男性、女性项目功能</w:t>
            </w:r>
          </w:p>
        </w:tc>
        <w:tc>
          <w:tcPr>
            <w:tcW w:w="870" w:type="dxa"/>
            <w:vMerge w:val="continue"/>
            <w:tcBorders>
              <w:tl2br w:val="nil"/>
              <w:tr2bl w:val="nil"/>
            </w:tcBorders>
            <w:noWrap/>
            <w:vAlign w:val="center"/>
          </w:tcPr>
          <w:p w14:paraId="289BEC22">
            <w:pPr>
              <w:spacing w:line="360" w:lineRule="auto"/>
              <w:jc w:val="center"/>
              <w:rPr>
                <w:rFonts w:hint="eastAsia" w:ascii="宋体" w:hAnsi="宋体" w:cs="宋体"/>
                <w:color w:val="auto"/>
                <w:sz w:val="21"/>
                <w:szCs w:val="21"/>
                <w:highlight w:val="none"/>
              </w:rPr>
            </w:pPr>
          </w:p>
        </w:tc>
      </w:tr>
      <w:tr w14:paraId="7A3F84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A495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w:t>
            </w:r>
          </w:p>
        </w:tc>
        <w:tc>
          <w:tcPr>
            <w:tcW w:w="6982" w:type="dxa"/>
            <w:tcBorders>
              <w:tl2br w:val="nil"/>
              <w:tr2bl w:val="nil"/>
            </w:tcBorders>
            <w:vAlign w:val="center"/>
          </w:tcPr>
          <w:p w14:paraId="670419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项目禁忌：具备婚否属性自动区分未婚、已婚项目功能</w:t>
            </w:r>
          </w:p>
        </w:tc>
        <w:tc>
          <w:tcPr>
            <w:tcW w:w="870" w:type="dxa"/>
            <w:vMerge w:val="continue"/>
            <w:tcBorders>
              <w:tl2br w:val="nil"/>
              <w:tr2bl w:val="nil"/>
            </w:tcBorders>
            <w:noWrap/>
            <w:vAlign w:val="center"/>
          </w:tcPr>
          <w:p w14:paraId="1C98777A">
            <w:pPr>
              <w:spacing w:line="360" w:lineRule="auto"/>
              <w:jc w:val="center"/>
              <w:rPr>
                <w:rFonts w:hint="eastAsia" w:ascii="宋体" w:hAnsi="宋体" w:cs="宋体"/>
                <w:color w:val="auto"/>
                <w:sz w:val="21"/>
                <w:szCs w:val="21"/>
                <w:highlight w:val="none"/>
              </w:rPr>
            </w:pPr>
          </w:p>
        </w:tc>
      </w:tr>
      <w:tr w14:paraId="06FFFED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FB7C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w:t>
            </w:r>
          </w:p>
        </w:tc>
        <w:tc>
          <w:tcPr>
            <w:tcW w:w="6982" w:type="dxa"/>
            <w:tcBorders>
              <w:tl2br w:val="nil"/>
              <w:tr2bl w:val="nil"/>
            </w:tcBorders>
            <w:vAlign w:val="center"/>
          </w:tcPr>
          <w:p w14:paraId="25C3A5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项目选定：支持套餐、单项、复制、点击方式快速录入项目</w:t>
            </w:r>
          </w:p>
        </w:tc>
        <w:tc>
          <w:tcPr>
            <w:tcW w:w="870" w:type="dxa"/>
            <w:vMerge w:val="continue"/>
            <w:tcBorders>
              <w:tl2br w:val="nil"/>
              <w:tr2bl w:val="nil"/>
            </w:tcBorders>
            <w:noWrap/>
            <w:vAlign w:val="center"/>
          </w:tcPr>
          <w:p w14:paraId="272A1E7A">
            <w:pPr>
              <w:spacing w:line="360" w:lineRule="auto"/>
              <w:jc w:val="center"/>
              <w:rPr>
                <w:rFonts w:hint="eastAsia" w:ascii="宋体" w:hAnsi="宋体" w:cs="宋体"/>
                <w:color w:val="auto"/>
                <w:sz w:val="21"/>
                <w:szCs w:val="21"/>
                <w:highlight w:val="none"/>
              </w:rPr>
            </w:pPr>
          </w:p>
        </w:tc>
      </w:tr>
      <w:tr w14:paraId="4EC5C1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08DC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w:t>
            </w:r>
          </w:p>
        </w:tc>
        <w:tc>
          <w:tcPr>
            <w:tcW w:w="6982" w:type="dxa"/>
            <w:tcBorders>
              <w:tl2br w:val="nil"/>
              <w:tr2bl w:val="nil"/>
            </w:tcBorders>
            <w:vAlign w:val="center"/>
          </w:tcPr>
          <w:p w14:paraId="1A9B95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单据打印：支持打印体检业务需要的各类单据，指引单上有条码</w:t>
            </w:r>
          </w:p>
        </w:tc>
        <w:tc>
          <w:tcPr>
            <w:tcW w:w="870" w:type="dxa"/>
            <w:vMerge w:val="continue"/>
            <w:tcBorders>
              <w:tl2br w:val="nil"/>
              <w:tr2bl w:val="nil"/>
            </w:tcBorders>
            <w:noWrap/>
            <w:vAlign w:val="center"/>
          </w:tcPr>
          <w:p w14:paraId="6D489406">
            <w:pPr>
              <w:spacing w:line="360" w:lineRule="auto"/>
              <w:jc w:val="center"/>
              <w:rPr>
                <w:rFonts w:hint="eastAsia" w:ascii="宋体" w:hAnsi="宋体" w:cs="宋体"/>
                <w:color w:val="auto"/>
                <w:sz w:val="21"/>
                <w:szCs w:val="21"/>
                <w:highlight w:val="none"/>
              </w:rPr>
            </w:pPr>
          </w:p>
        </w:tc>
      </w:tr>
      <w:tr w14:paraId="0F2F20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D5AD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w:t>
            </w:r>
          </w:p>
        </w:tc>
        <w:tc>
          <w:tcPr>
            <w:tcW w:w="6982" w:type="dxa"/>
            <w:tcBorders>
              <w:tl2br w:val="nil"/>
              <w:tr2bl w:val="nil"/>
            </w:tcBorders>
            <w:vAlign w:val="center"/>
          </w:tcPr>
          <w:p w14:paraId="06241B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客户管理：支持客户登记管理如 VIP 标识、投诉标识和替检标识</w:t>
            </w:r>
          </w:p>
        </w:tc>
        <w:tc>
          <w:tcPr>
            <w:tcW w:w="870" w:type="dxa"/>
            <w:vMerge w:val="continue"/>
            <w:tcBorders>
              <w:tl2br w:val="nil"/>
              <w:tr2bl w:val="nil"/>
            </w:tcBorders>
            <w:noWrap/>
            <w:vAlign w:val="center"/>
          </w:tcPr>
          <w:p w14:paraId="05CDF307">
            <w:pPr>
              <w:spacing w:line="360" w:lineRule="auto"/>
              <w:jc w:val="center"/>
              <w:rPr>
                <w:rFonts w:hint="eastAsia" w:ascii="宋体" w:hAnsi="宋体" w:cs="宋体"/>
                <w:color w:val="auto"/>
                <w:sz w:val="21"/>
                <w:szCs w:val="21"/>
                <w:highlight w:val="none"/>
              </w:rPr>
            </w:pPr>
          </w:p>
        </w:tc>
      </w:tr>
      <w:tr w14:paraId="58E9D7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1FFF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w:t>
            </w:r>
          </w:p>
        </w:tc>
        <w:tc>
          <w:tcPr>
            <w:tcW w:w="6982" w:type="dxa"/>
            <w:tcBorders>
              <w:tl2br w:val="nil"/>
              <w:tr2bl w:val="nil"/>
            </w:tcBorders>
            <w:vAlign w:val="center"/>
          </w:tcPr>
          <w:p w14:paraId="12900A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历史结果：支持在开单环节一键调阅提交客户历次体检结果信息</w:t>
            </w:r>
          </w:p>
        </w:tc>
        <w:tc>
          <w:tcPr>
            <w:tcW w:w="870" w:type="dxa"/>
            <w:vMerge w:val="continue"/>
            <w:tcBorders>
              <w:tl2br w:val="nil"/>
              <w:tr2bl w:val="nil"/>
            </w:tcBorders>
            <w:noWrap/>
            <w:vAlign w:val="center"/>
          </w:tcPr>
          <w:p w14:paraId="44FD2467">
            <w:pPr>
              <w:spacing w:line="360" w:lineRule="auto"/>
              <w:jc w:val="center"/>
              <w:rPr>
                <w:rFonts w:hint="eastAsia" w:ascii="宋体" w:hAnsi="宋体" w:cs="宋体"/>
                <w:color w:val="auto"/>
                <w:sz w:val="21"/>
                <w:szCs w:val="21"/>
                <w:highlight w:val="none"/>
              </w:rPr>
            </w:pPr>
          </w:p>
        </w:tc>
      </w:tr>
      <w:tr w14:paraId="621351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1C67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4.5.3.9</w:t>
            </w:r>
          </w:p>
        </w:tc>
        <w:tc>
          <w:tcPr>
            <w:tcW w:w="6982" w:type="dxa"/>
            <w:tcBorders>
              <w:tl2br w:val="nil"/>
              <w:tr2bl w:val="nil"/>
            </w:tcBorders>
            <w:vAlign w:val="center"/>
          </w:tcPr>
          <w:p w14:paraId="395C7C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报到登记：支持读取身份证自动获取体检单进行登记体检</w:t>
            </w:r>
          </w:p>
        </w:tc>
        <w:tc>
          <w:tcPr>
            <w:tcW w:w="870" w:type="dxa"/>
            <w:vMerge w:val="continue"/>
            <w:tcBorders>
              <w:tl2br w:val="nil"/>
              <w:tr2bl w:val="nil"/>
            </w:tcBorders>
            <w:noWrap/>
            <w:vAlign w:val="center"/>
          </w:tcPr>
          <w:p w14:paraId="19F3243F">
            <w:pPr>
              <w:spacing w:line="360" w:lineRule="auto"/>
              <w:jc w:val="center"/>
              <w:rPr>
                <w:rFonts w:hint="eastAsia" w:ascii="宋体" w:hAnsi="宋体" w:cs="宋体"/>
                <w:color w:val="auto"/>
                <w:sz w:val="21"/>
                <w:szCs w:val="21"/>
                <w:highlight w:val="none"/>
              </w:rPr>
            </w:pPr>
          </w:p>
        </w:tc>
      </w:tr>
      <w:tr w14:paraId="408257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0EA43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4.5.3.10</w:t>
            </w:r>
          </w:p>
        </w:tc>
        <w:tc>
          <w:tcPr>
            <w:tcW w:w="6982" w:type="dxa"/>
            <w:tcBorders>
              <w:tl2br w:val="nil"/>
              <w:tr2bl w:val="nil"/>
            </w:tcBorders>
            <w:vAlign w:val="center"/>
          </w:tcPr>
          <w:p w14:paraId="275DDB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单据打印：通过前台登记，打印带有条码和照片的体检指引单</w:t>
            </w:r>
          </w:p>
        </w:tc>
        <w:tc>
          <w:tcPr>
            <w:tcW w:w="870" w:type="dxa"/>
            <w:vMerge w:val="continue"/>
            <w:tcBorders>
              <w:tl2br w:val="nil"/>
              <w:tr2bl w:val="nil"/>
            </w:tcBorders>
            <w:noWrap/>
            <w:vAlign w:val="center"/>
          </w:tcPr>
          <w:p w14:paraId="6742EA42">
            <w:pPr>
              <w:spacing w:line="360" w:lineRule="auto"/>
              <w:jc w:val="center"/>
              <w:rPr>
                <w:rFonts w:hint="eastAsia" w:ascii="宋体" w:hAnsi="宋体" w:cs="宋体"/>
                <w:color w:val="auto"/>
                <w:sz w:val="21"/>
                <w:szCs w:val="21"/>
                <w:highlight w:val="none"/>
              </w:rPr>
            </w:pPr>
          </w:p>
        </w:tc>
      </w:tr>
      <w:tr w14:paraId="1CD13F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622D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4.5.3.11</w:t>
            </w:r>
          </w:p>
        </w:tc>
        <w:tc>
          <w:tcPr>
            <w:tcW w:w="6982" w:type="dxa"/>
            <w:tcBorders>
              <w:tl2br w:val="nil"/>
              <w:tr2bl w:val="nil"/>
            </w:tcBorders>
            <w:vAlign w:val="center"/>
          </w:tcPr>
          <w:p w14:paraId="61652F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团检结算：支持团体体检先登记体检，体检完毕后再统一结算</w:t>
            </w:r>
          </w:p>
        </w:tc>
        <w:tc>
          <w:tcPr>
            <w:tcW w:w="870" w:type="dxa"/>
            <w:vMerge w:val="continue"/>
            <w:tcBorders>
              <w:tl2br w:val="nil"/>
              <w:tr2bl w:val="nil"/>
            </w:tcBorders>
            <w:noWrap/>
            <w:vAlign w:val="center"/>
          </w:tcPr>
          <w:p w14:paraId="7713D42A">
            <w:pPr>
              <w:spacing w:line="360" w:lineRule="auto"/>
              <w:jc w:val="center"/>
              <w:rPr>
                <w:rFonts w:hint="eastAsia" w:ascii="宋体" w:hAnsi="宋体" w:cs="宋体"/>
                <w:color w:val="auto"/>
                <w:sz w:val="21"/>
                <w:szCs w:val="21"/>
                <w:highlight w:val="none"/>
              </w:rPr>
            </w:pPr>
          </w:p>
        </w:tc>
      </w:tr>
      <w:tr w14:paraId="558373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0423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4.5.3.12</w:t>
            </w:r>
          </w:p>
        </w:tc>
        <w:tc>
          <w:tcPr>
            <w:tcW w:w="6982" w:type="dxa"/>
            <w:tcBorders>
              <w:tl2br w:val="nil"/>
              <w:tr2bl w:val="nil"/>
            </w:tcBorders>
            <w:vAlign w:val="center"/>
          </w:tcPr>
          <w:p w14:paraId="0593C2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支持退费退项，可删减未缴费的项目或退掉已缴费项目</w:t>
            </w:r>
          </w:p>
        </w:tc>
        <w:tc>
          <w:tcPr>
            <w:tcW w:w="870" w:type="dxa"/>
            <w:vMerge w:val="continue"/>
            <w:tcBorders>
              <w:tl2br w:val="nil"/>
              <w:tr2bl w:val="nil"/>
            </w:tcBorders>
            <w:noWrap/>
            <w:vAlign w:val="center"/>
          </w:tcPr>
          <w:p w14:paraId="494B11AD">
            <w:pPr>
              <w:spacing w:line="360" w:lineRule="auto"/>
              <w:jc w:val="center"/>
              <w:rPr>
                <w:rFonts w:hint="eastAsia" w:ascii="宋体" w:hAnsi="宋体" w:cs="宋体"/>
                <w:color w:val="auto"/>
                <w:sz w:val="21"/>
                <w:szCs w:val="21"/>
                <w:highlight w:val="none"/>
              </w:rPr>
            </w:pPr>
          </w:p>
        </w:tc>
      </w:tr>
      <w:tr w14:paraId="37AD54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8B77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4.5.3.13</w:t>
            </w:r>
          </w:p>
        </w:tc>
        <w:tc>
          <w:tcPr>
            <w:tcW w:w="6982" w:type="dxa"/>
            <w:tcBorders>
              <w:tl2br w:val="nil"/>
              <w:tr2bl w:val="nil"/>
            </w:tcBorders>
            <w:vAlign w:val="center"/>
          </w:tcPr>
          <w:p w14:paraId="7640EE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具备弃检功能，对于体检者放弃的项目，如果不退费则使用弃检，表示放弃该科室项目的检查</w:t>
            </w:r>
          </w:p>
        </w:tc>
        <w:tc>
          <w:tcPr>
            <w:tcW w:w="870" w:type="dxa"/>
            <w:vMerge w:val="continue"/>
            <w:tcBorders>
              <w:tl2br w:val="nil"/>
              <w:tr2bl w:val="nil"/>
            </w:tcBorders>
            <w:noWrap/>
            <w:vAlign w:val="center"/>
          </w:tcPr>
          <w:p w14:paraId="5B6A64C1">
            <w:pPr>
              <w:spacing w:line="360" w:lineRule="auto"/>
              <w:jc w:val="center"/>
              <w:rPr>
                <w:rFonts w:hint="eastAsia" w:ascii="宋体" w:hAnsi="宋体" w:cs="宋体"/>
                <w:color w:val="auto"/>
                <w:sz w:val="21"/>
                <w:szCs w:val="21"/>
                <w:highlight w:val="none"/>
              </w:rPr>
            </w:pPr>
          </w:p>
        </w:tc>
      </w:tr>
      <w:tr w14:paraId="33F712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04695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4.5.3.14</w:t>
            </w:r>
          </w:p>
        </w:tc>
        <w:tc>
          <w:tcPr>
            <w:tcW w:w="6982" w:type="dxa"/>
            <w:tcBorders>
              <w:tl2br w:val="nil"/>
              <w:tr2bl w:val="nil"/>
            </w:tcBorders>
            <w:vAlign w:val="center"/>
          </w:tcPr>
          <w:p w14:paraId="7B5FA2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所有操作严格记录责任人</w:t>
            </w:r>
          </w:p>
        </w:tc>
        <w:tc>
          <w:tcPr>
            <w:tcW w:w="870" w:type="dxa"/>
            <w:vMerge w:val="continue"/>
            <w:tcBorders>
              <w:tl2br w:val="nil"/>
              <w:tr2bl w:val="nil"/>
            </w:tcBorders>
            <w:noWrap/>
            <w:vAlign w:val="center"/>
          </w:tcPr>
          <w:p w14:paraId="09DA6542">
            <w:pPr>
              <w:spacing w:line="360" w:lineRule="auto"/>
              <w:jc w:val="center"/>
              <w:rPr>
                <w:rFonts w:hint="eastAsia" w:ascii="宋体" w:hAnsi="宋体" w:cs="宋体"/>
                <w:color w:val="auto"/>
                <w:sz w:val="21"/>
                <w:szCs w:val="21"/>
                <w:highlight w:val="none"/>
              </w:rPr>
            </w:pPr>
          </w:p>
        </w:tc>
      </w:tr>
      <w:tr w14:paraId="251A0E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A779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4.5.3.15</w:t>
            </w:r>
          </w:p>
        </w:tc>
        <w:tc>
          <w:tcPr>
            <w:tcW w:w="6982" w:type="dxa"/>
            <w:tcBorders>
              <w:tl2br w:val="nil"/>
              <w:tr2bl w:val="nil"/>
            </w:tcBorders>
            <w:vAlign w:val="center"/>
          </w:tcPr>
          <w:p w14:paraId="2013B9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支持自动分组和分组校检</w:t>
            </w:r>
          </w:p>
        </w:tc>
        <w:tc>
          <w:tcPr>
            <w:tcW w:w="870" w:type="dxa"/>
            <w:vMerge w:val="continue"/>
            <w:tcBorders>
              <w:tl2br w:val="nil"/>
              <w:tr2bl w:val="nil"/>
            </w:tcBorders>
            <w:noWrap/>
            <w:vAlign w:val="center"/>
          </w:tcPr>
          <w:p w14:paraId="0AE1267A">
            <w:pPr>
              <w:spacing w:line="360" w:lineRule="auto"/>
              <w:jc w:val="center"/>
              <w:rPr>
                <w:rFonts w:hint="eastAsia" w:ascii="宋体" w:hAnsi="宋体" w:cs="宋体"/>
                <w:color w:val="auto"/>
                <w:sz w:val="21"/>
                <w:szCs w:val="21"/>
                <w:highlight w:val="none"/>
              </w:rPr>
            </w:pPr>
          </w:p>
        </w:tc>
      </w:tr>
      <w:tr w14:paraId="58751D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C78C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4.5.3.16</w:t>
            </w:r>
          </w:p>
        </w:tc>
        <w:tc>
          <w:tcPr>
            <w:tcW w:w="6982" w:type="dxa"/>
            <w:tcBorders>
              <w:tl2br w:val="nil"/>
              <w:tr2bl w:val="nil"/>
            </w:tcBorders>
            <w:vAlign w:val="center"/>
          </w:tcPr>
          <w:p w14:paraId="41BE28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支持分组及个人的禁检和恢复</w:t>
            </w:r>
          </w:p>
        </w:tc>
        <w:tc>
          <w:tcPr>
            <w:tcW w:w="870" w:type="dxa"/>
            <w:vMerge w:val="continue"/>
            <w:tcBorders>
              <w:tl2br w:val="nil"/>
              <w:tr2bl w:val="nil"/>
            </w:tcBorders>
            <w:noWrap/>
            <w:vAlign w:val="center"/>
          </w:tcPr>
          <w:p w14:paraId="5F263FAE">
            <w:pPr>
              <w:spacing w:line="360" w:lineRule="auto"/>
              <w:jc w:val="center"/>
              <w:rPr>
                <w:rFonts w:hint="eastAsia" w:ascii="宋体" w:hAnsi="宋体" w:cs="宋体"/>
                <w:color w:val="auto"/>
                <w:sz w:val="21"/>
                <w:szCs w:val="21"/>
                <w:highlight w:val="none"/>
              </w:rPr>
            </w:pPr>
          </w:p>
        </w:tc>
      </w:tr>
      <w:tr w14:paraId="163904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601E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4.5.3.17</w:t>
            </w:r>
          </w:p>
        </w:tc>
        <w:tc>
          <w:tcPr>
            <w:tcW w:w="6982" w:type="dxa"/>
            <w:tcBorders>
              <w:tl2br w:val="nil"/>
              <w:tr2bl w:val="nil"/>
            </w:tcBorders>
            <w:vAlign w:val="center"/>
          </w:tcPr>
          <w:p w14:paraId="6D73EC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支持批量的项目设置、增删、折扣、限额设置</w:t>
            </w:r>
          </w:p>
        </w:tc>
        <w:tc>
          <w:tcPr>
            <w:tcW w:w="870" w:type="dxa"/>
            <w:vMerge w:val="continue"/>
            <w:tcBorders>
              <w:tl2br w:val="nil"/>
              <w:tr2bl w:val="nil"/>
            </w:tcBorders>
            <w:noWrap/>
            <w:vAlign w:val="center"/>
          </w:tcPr>
          <w:p w14:paraId="47DD1D37">
            <w:pPr>
              <w:spacing w:line="360" w:lineRule="auto"/>
              <w:jc w:val="center"/>
              <w:rPr>
                <w:rFonts w:hint="eastAsia" w:ascii="宋体" w:hAnsi="宋体" w:cs="宋体"/>
                <w:color w:val="auto"/>
                <w:sz w:val="21"/>
                <w:szCs w:val="21"/>
                <w:highlight w:val="none"/>
              </w:rPr>
            </w:pPr>
          </w:p>
        </w:tc>
      </w:tr>
      <w:tr w14:paraId="04CDD5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AE82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4.5.3.18</w:t>
            </w:r>
          </w:p>
        </w:tc>
        <w:tc>
          <w:tcPr>
            <w:tcW w:w="6982" w:type="dxa"/>
            <w:tcBorders>
              <w:tl2br w:val="nil"/>
              <w:tr2bl w:val="nil"/>
            </w:tcBorders>
            <w:vAlign w:val="center"/>
          </w:tcPr>
          <w:p w14:paraId="5F2C60F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通知单、指引单、条码的统一批量打印和制作</w:t>
            </w:r>
          </w:p>
        </w:tc>
        <w:tc>
          <w:tcPr>
            <w:tcW w:w="870" w:type="dxa"/>
            <w:vMerge w:val="continue"/>
            <w:tcBorders>
              <w:tl2br w:val="nil"/>
              <w:tr2bl w:val="nil"/>
            </w:tcBorders>
            <w:noWrap/>
            <w:vAlign w:val="center"/>
          </w:tcPr>
          <w:p w14:paraId="25A3F06F">
            <w:pPr>
              <w:spacing w:line="360" w:lineRule="auto"/>
              <w:jc w:val="center"/>
              <w:rPr>
                <w:rFonts w:hint="eastAsia" w:ascii="宋体" w:hAnsi="宋体" w:cs="宋体"/>
                <w:color w:val="auto"/>
                <w:sz w:val="21"/>
                <w:szCs w:val="21"/>
                <w:highlight w:val="none"/>
              </w:rPr>
            </w:pPr>
          </w:p>
        </w:tc>
      </w:tr>
      <w:tr w14:paraId="22F4A8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23AA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4.5.3.19</w:t>
            </w:r>
          </w:p>
        </w:tc>
        <w:tc>
          <w:tcPr>
            <w:tcW w:w="6982" w:type="dxa"/>
            <w:tcBorders>
              <w:tl2br w:val="nil"/>
              <w:tr2bl w:val="nil"/>
            </w:tcBorders>
            <w:vAlign w:val="center"/>
          </w:tcPr>
          <w:p w14:paraId="329A77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支持关联字段的名单导入，有直接标明错误的纠错项</w:t>
            </w:r>
          </w:p>
        </w:tc>
        <w:tc>
          <w:tcPr>
            <w:tcW w:w="870" w:type="dxa"/>
            <w:vMerge w:val="continue"/>
            <w:tcBorders>
              <w:tl2br w:val="nil"/>
              <w:tr2bl w:val="nil"/>
            </w:tcBorders>
            <w:noWrap/>
            <w:vAlign w:val="center"/>
          </w:tcPr>
          <w:p w14:paraId="57557C5B">
            <w:pPr>
              <w:spacing w:line="360" w:lineRule="auto"/>
              <w:jc w:val="center"/>
              <w:rPr>
                <w:rFonts w:hint="eastAsia" w:ascii="宋体" w:hAnsi="宋体" w:cs="宋体"/>
                <w:color w:val="auto"/>
                <w:sz w:val="21"/>
                <w:szCs w:val="21"/>
                <w:highlight w:val="none"/>
              </w:rPr>
            </w:pPr>
          </w:p>
        </w:tc>
      </w:tr>
      <w:tr w14:paraId="76FEB0E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F233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4.5.3.20</w:t>
            </w:r>
          </w:p>
        </w:tc>
        <w:tc>
          <w:tcPr>
            <w:tcW w:w="6982" w:type="dxa"/>
            <w:tcBorders>
              <w:tl2br w:val="nil"/>
              <w:tr2bl w:val="nil"/>
            </w:tcBorders>
            <w:vAlign w:val="center"/>
          </w:tcPr>
          <w:p w14:paraId="2E8985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支持弃拍、补拍、拍照的功能按钮，并记录在系统中</w:t>
            </w:r>
          </w:p>
        </w:tc>
        <w:tc>
          <w:tcPr>
            <w:tcW w:w="870" w:type="dxa"/>
            <w:vMerge w:val="continue"/>
            <w:tcBorders>
              <w:tl2br w:val="nil"/>
              <w:tr2bl w:val="nil"/>
            </w:tcBorders>
            <w:noWrap/>
            <w:vAlign w:val="center"/>
          </w:tcPr>
          <w:p w14:paraId="33FE89B0">
            <w:pPr>
              <w:spacing w:line="360" w:lineRule="auto"/>
              <w:jc w:val="center"/>
              <w:rPr>
                <w:rFonts w:hint="eastAsia" w:ascii="宋体" w:hAnsi="宋体" w:cs="宋体"/>
                <w:color w:val="auto"/>
                <w:sz w:val="21"/>
                <w:szCs w:val="21"/>
                <w:highlight w:val="none"/>
              </w:rPr>
            </w:pPr>
          </w:p>
        </w:tc>
      </w:tr>
      <w:tr w14:paraId="35B819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4598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4.5.3.21</w:t>
            </w:r>
          </w:p>
        </w:tc>
        <w:tc>
          <w:tcPr>
            <w:tcW w:w="6982" w:type="dxa"/>
            <w:tcBorders>
              <w:tl2br w:val="nil"/>
              <w:tr2bl w:val="nil"/>
            </w:tcBorders>
            <w:vAlign w:val="center"/>
          </w:tcPr>
          <w:p w14:paraId="2643110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支持在开单登记处可进行拍照处理，指引单上能够显示个人照片</w:t>
            </w:r>
          </w:p>
        </w:tc>
        <w:tc>
          <w:tcPr>
            <w:tcW w:w="870" w:type="dxa"/>
            <w:vMerge w:val="continue"/>
            <w:tcBorders>
              <w:tl2br w:val="nil"/>
              <w:tr2bl w:val="nil"/>
            </w:tcBorders>
            <w:noWrap/>
            <w:vAlign w:val="center"/>
          </w:tcPr>
          <w:p w14:paraId="79CDDB66">
            <w:pPr>
              <w:spacing w:line="360" w:lineRule="auto"/>
              <w:jc w:val="center"/>
              <w:rPr>
                <w:rFonts w:hint="eastAsia" w:ascii="宋体" w:hAnsi="宋体" w:cs="宋体"/>
                <w:color w:val="auto"/>
                <w:sz w:val="21"/>
                <w:szCs w:val="21"/>
                <w:highlight w:val="none"/>
              </w:rPr>
            </w:pPr>
          </w:p>
        </w:tc>
      </w:tr>
      <w:tr w14:paraId="18CAEEB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C7DE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4.5.3.22</w:t>
            </w:r>
          </w:p>
        </w:tc>
        <w:tc>
          <w:tcPr>
            <w:tcW w:w="6982" w:type="dxa"/>
            <w:tcBorders>
              <w:tl2br w:val="nil"/>
              <w:tr2bl w:val="nil"/>
            </w:tcBorders>
            <w:vAlign w:val="center"/>
          </w:tcPr>
          <w:p w14:paraId="62D3CD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支持自动生成的体检号不带有 4 的号数</w:t>
            </w:r>
          </w:p>
        </w:tc>
        <w:tc>
          <w:tcPr>
            <w:tcW w:w="870" w:type="dxa"/>
            <w:vMerge w:val="continue"/>
            <w:tcBorders>
              <w:tl2br w:val="nil"/>
              <w:tr2bl w:val="nil"/>
            </w:tcBorders>
            <w:noWrap/>
            <w:vAlign w:val="center"/>
          </w:tcPr>
          <w:p w14:paraId="7F01AAE2">
            <w:pPr>
              <w:spacing w:line="360" w:lineRule="auto"/>
              <w:jc w:val="center"/>
              <w:rPr>
                <w:rFonts w:hint="eastAsia" w:ascii="宋体" w:hAnsi="宋体" w:cs="宋体"/>
                <w:color w:val="auto"/>
                <w:sz w:val="21"/>
                <w:szCs w:val="21"/>
                <w:highlight w:val="none"/>
              </w:rPr>
            </w:pPr>
          </w:p>
        </w:tc>
      </w:tr>
      <w:tr w14:paraId="611CBF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3278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4.5.3.23</w:t>
            </w:r>
          </w:p>
        </w:tc>
        <w:tc>
          <w:tcPr>
            <w:tcW w:w="6982" w:type="dxa"/>
            <w:tcBorders>
              <w:tl2br w:val="nil"/>
              <w:tr2bl w:val="nil"/>
            </w:tcBorders>
            <w:vAlign w:val="center"/>
          </w:tcPr>
          <w:p w14:paraId="3F6E6F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支持多种规则生成体检号（如流水号、日期 + 流水号）</w:t>
            </w:r>
          </w:p>
        </w:tc>
        <w:tc>
          <w:tcPr>
            <w:tcW w:w="870" w:type="dxa"/>
            <w:vMerge w:val="continue"/>
            <w:tcBorders>
              <w:tl2br w:val="nil"/>
              <w:tr2bl w:val="nil"/>
            </w:tcBorders>
            <w:noWrap/>
            <w:vAlign w:val="center"/>
          </w:tcPr>
          <w:p w14:paraId="29386899">
            <w:pPr>
              <w:spacing w:line="360" w:lineRule="auto"/>
              <w:jc w:val="center"/>
              <w:rPr>
                <w:rFonts w:hint="eastAsia" w:ascii="宋体" w:hAnsi="宋体" w:cs="宋体"/>
                <w:color w:val="auto"/>
                <w:sz w:val="21"/>
                <w:szCs w:val="21"/>
                <w:highlight w:val="none"/>
              </w:rPr>
            </w:pPr>
          </w:p>
        </w:tc>
      </w:tr>
      <w:tr w14:paraId="465161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3AD3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4.5.3.24</w:t>
            </w:r>
          </w:p>
        </w:tc>
        <w:tc>
          <w:tcPr>
            <w:tcW w:w="6982" w:type="dxa"/>
            <w:tcBorders>
              <w:tl2br w:val="nil"/>
              <w:tr2bl w:val="nil"/>
            </w:tcBorders>
            <w:vAlign w:val="center"/>
          </w:tcPr>
          <w:p w14:paraId="57BA43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系统将保留详细拒检项目清单和客户签字确认信息记录</w:t>
            </w:r>
          </w:p>
        </w:tc>
        <w:tc>
          <w:tcPr>
            <w:tcW w:w="870" w:type="dxa"/>
            <w:vMerge w:val="continue"/>
            <w:tcBorders>
              <w:tl2br w:val="nil"/>
              <w:tr2bl w:val="nil"/>
            </w:tcBorders>
            <w:noWrap/>
            <w:vAlign w:val="center"/>
          </w:tcPr>
          <w:p w14:paraId="0261F7D1">
            <w:pPr>
              <w:spacing w:line="360" w:lineRule="auto"/>
              <w:jc w:val="center"/>
              <w:rPr>
                <w:rFonts w:hint="eastAsia" w:ascii="宋体" w:hAnsi="宋体" w:cs="宋体"/>
                <w:color w:val="auto"/>
                <w:sz w:val="21"/>
                <w:szCs w:val="21"/>
                <w:highlight w:val="none"/>
              </w:rPr>
            </w:pPr>
          </w:p>
        </w:tc>
      </w:tr>
      <w:tr w14:paraId="1A5053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8794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4.5.3.25</w:t>
            </w:r>
          </w:p>
        </w:tc>
        <w:tc>
          <w:tcPr>
            <w:tcW w:w="6982" w:type="dxa"/>
            <w:tcBorders>
              <w:tl2br w:val="nil"/>
              <w:tr2bl w:val="nil"/>
            </w:tcBorders>
            <w:vAlign w:val="center"/>
          </w:tcPr>
          <w:p w14:paraId="285BAB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采集血液、体液以及采集档案记录（晕针血、是否困难）</w:t>
            </w:r>
          </w:p>
        </w:tc>
        <w:tc>
          <w:tcPr>
            <w:tcW w:w="870" w:type="dxa"/>
            <w:vMerge w:val="continue"/>
            <w:tcBorders>
              <w:tl2br w:val="nil"/>
              <w:tr2bl w:val="nil"/>
            </w:tcBorders>
            <w:noWrap/>
            <w:vAlign w:val="center"/>
          </w:tcPr>
          <w:p w14:paraId="0690D9FD">
            <w:pPr>
              <w:spacing w:line="360" w:lineRule="auto"/>
              <w:jc w:val="center"/>
              <w:rPr>
                <w:rFonts w:hint="eastAsia" w:ascii="宋体" w:hAnsi="宋体" w:cs="宋体"/>
                <w:color w:val="auto"/>
                <w:sz w:val="21"/>
                <w:szCs w:val="21"/>
                <w:highlight w:val="none"/>
              </w:rPr>
            </w:pPr>
          </w:p>
        </w:tc>
      </w:tr>
      <w:tr w14:paraId="0CF736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0452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4.5.3.26</w:t>
            </w:r>
          </w:p>
        </w:tc>
        <w:tc>
          <w:tcPr>
            <w:tcW w:w="6982" w:type="dxa"/>
            <w:tcBorders>
              <w:tl2br w:val="nil"/>
              <w:tr2bl w:val="nil"/>
            </w:tcBorders>
            <w:vAlign w:val="center"/>
          </w:tcPr>
          <w:p w14:paraId="09A23F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支持标本的全流程管理质量控制</w:t>
            </w:r>
          </w:p>
        </w:tc>
        <w:tc>
          <w:tcPr>
            <w:tcW w:w="870" w:type="dxa"/>
            <w:vMerge w:val="continue"/>
            <w:tcBorders>
              <w:tl2br w:val="nil"/>
              <w:tr2bl w:val="nil"/>
            </w:tcBorders>
            <w:noWrap/>
            <w:vAlign w:val="center"/>
          </w:tcPr>
          <w:p w14:paraId="00FF5DFC">
            <w:pPr>
              <w:spacing w:line="360" w:lineRule="auto"/>
              <w:jc w:val="center"/>
              <w:rPr>
                <w:rFonts w:hint="eastAsia" w:ascii="宋体" w:hAnsi="宋体" w:cs="宋体"/>
                <w:color w:val="auto"/>
                <w:sz w:val="21"/>
                <w:szCs w:val="21"/>
                <w:highlight w:val="none"/>
              </w:rPr>
            </w:pPr>
          </w:p>
        </w:tc>
      </w:tr>
      <w:tr w14:paraId="19AC54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6638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4.5.3.27</w:t>
            </w:r>
          </w:p>
        </w:tc>
        <w:tc>
          <w:tcPr>
            <w:tcW w:w="6982" w:type="dxa"/>
            <w:tcBorders>
              <w:tl2br w:val="nil"/>
              <w:tr2bl w:val="nil"/>
            </w:tcBorders>
            <w:vAlign w:val="center"/>
          </w:tcPr>
          <w:p w14:paraId="79B93F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完善的检查结果知识库模板</w:t>
            </w:r>
          </w:p>
        </w:tc>
        <w:tc>
          <w:tcPr>
            <w:tcW w:w="870" w:type="dxa"/>
            <w:vMerge w:val="continue"/>
            <w:tcBorders>
              <w:tl2br w:val="nil"/>
              <w:tr2bl w:val="nil"/>
            </w:tcBorders>
            <w:noWrap/>
            <w:vAlign w:val="center"/>
          </w:tcPr>
          <w:p w14:paraId="7C40C560">
            <w:pPr>
              <w:spacing w:line="360" w:lineRule="auto"/>
              <w:jc w:val="center"/>
              <w:rPr>
                <w:rFonts w:hint="eastAsia" w:ascii="宋体" w:hAnsi="宋体" w:cs="宋体"/>
                <w:color w:val="auto"/>
                <w:sz w:val="21"/>
                <w:szCs w:val="21"/>
                <w:highlight w:val="none"/>
              </w:rPr>
            </w:pPr>
          </w:p>
        </w:tc>
      </w:tr>
      <w:tr w14:paraId="74705F3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41B2C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4.5.3.28</w:t>
            </w:r>
          </w:p>
        </w:tc>
        <w:tc>
          <w:tcPr>
            <w:tcW w:w="6982" w:type="dxa"/>
            <w:tcBorders>
              <w:tl2br w:val="nil"/>
              <w:tr2bl w:val="nil"/>
            </w:tcBorders>
            <w:vAlign w:val="center"/>
          </w:tcPr>
          <w:p w14:paraId="76E690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实现科室之间检查结果的实时对比参考</w:t>
            </w:r>
          </w:p>
        </w:tc>
        <w:tc>
          <w:tcPr>
            <w:tcW w:w="870" w:type="dxa"/>
            <w:vMerge w:val="continue"/>
            <w:tcBorders>
              <w:tl2br w:val="nil"/>
              <w:tr2bl w:val="nil"/>
            </w:tcBorders>
            <w:noWrap/>
            <w:vAlign w:val="center"/>
          </w:tcPr>
          <w:p w14:paraId="60B6D934">
            <w:pPr>
              <w:spacing w:line="360" w:lineRule="auto"/>
              <w:jc w:val="center"/>
              <w:rPr>
                <w:rFonts w:hint="eastAsia" w:ascii="宋体" w:hAnsi="宋体" w:cs="宋体"/>
                <w:color w:val="auto"/>
                <w:sz w:val="21"/>
                <w:szCs w:val="21"/>
                <w:highlight w:val="none"/>
              </w:rPr>
            </w:pPr>
          </w:p>
        </w:tc>
      </w:tr>
      <w:tr w14:paraId="4ED1FC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4A72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4.5.3.29</w:t>
            </w:r>
          </w:p>
        </w:tc>
        <w:tc>
          <w:tcPr>
            <w:tcW w:w="6982" w:type="dxa"/>
            <w:tcBorders>
              <w:tl2br w:val="nil"/>
              <w:tr2bl w:val="nil"/>
            </w:tcBorders>
            <w:vAlign w:val="center"/>
          </w:tcPr>
          <w:p w14:paraId="7E4EC6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实现查看当前体检客户的历年的检查报告</w:t>
            </w:r>
          </w:p>
        </w:tc>
        <w:tc>
          <w:tcPr>
            <w:tcW w:w="870" w:type="dxa"/>
            <w:vMerge w:val="continue"/>
            <w:tcBorders>
              <w:tl2br w:val="nil"/>
              <w:tr2bl w:val="nil"/>
            </w:tcBorders>
            <w:noWrap/>
            <w:vAlign w:val="center"/>
          </w:tcPr>
          <w:p w14:paraId="599CDE12">
            <w:pPr>
              <w:spacing w:line="360" w:lineRule="auto"/>
              <w:jc w:val="center"/>
              <w:rPr>
                <w:rFonts w:hint="eastAsia" w:ascii="宋体" w:hAnsi="宋体" w:cs="宋体"/>
                <w:color w:val="auto"/>
                <w:sz w:val="21"/>
                <w:szCs w:val="21"/>
                <w:highlight w:val="none"/>
              </w:rPr>
            </w:pPr>
          </w:p>
        </w:tc>
      </w:tr>
      <w:tr w14:paraId="796DCC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20F0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4.5.3.30</w:t>
            </w:r>
          </w:p>
        </w:tc>
        <w:tc>
          <w:tcPr>
            <w:tcW w:w="6982" w:type="dxa"/>
            <w:tcBorders>
              <w:tl2br w:val="nil"/>
              <w:tr2bl w:val="nil"/>
            </w:tcBorders>
            <w:vAlign w:val="center"/>
          </w:tcPr>
          <w:p w14:paraId="3FAAA3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医生只需勾选阳性结果后即可自动产生诊断和建议</w:t>
            </w:r>
          </w:p>
        </w:tc>
        <w:tc>
          <w:tcPr>
            <w:tcW w:w="870" w:type="dxa"/>
            <w:vMerge w:val="continue"/>
            <w:tcBorders>
              <w:tl2br w:val="nil"/>
              <w:tr2bl w:val="nil"/>
            </w:tcBorders>
            <w:noWrap/>
            <w:vAlign w:val="center"/>
          </w:tcPr>
          <w:p w14:paraId="27038788">
            <w:pPr>
              <w:spacing w:line="360" w:lineRule="auto"/>
              <w:jc w:val="center"/>
              <w:rPr>
                <w:rFonts w:hint="eastAsia" w:ascii="宋体" w:hAnsi="宋体" w:cs="宋体"/>
                <w:color w:val="auto"/>
                <w:sz w:val="21"/>
                <w:szCs w:val="21"/>
                <w:highlight w:val="none"/>
              </w:rPr>
            </w:pPr>
          </w:p>
        </w:tc>
      </w:tr>
      <w:tr w14:paraId="293D60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394C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4.5.3.31</w:t>
            </w:r>
          </w:p>
        </w:tc>
        <w:tc>
          <w:tcPr>
            <w:tcW w:w="6982" w:type="dxa"/>
            <w:tcBorders>
              <w:tl2br w:val="nil"/>
              <w:tr2bl w:val="nil"/>
            </w:tcBorders>
            <w:vAlign w:val="center"/>
          </w:tcPr>
          <w:p w14:paraId="7DBC48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实现体检者当天没有检查完，改日重新进行报到做检查</w:t>
            </w:r>
          </w:p>
        </w:tc>
        <w:tc>
          <w:tcPr>
            <w:tcW w:w="870" w:type="dxa"/>
            <w:vMerge w:val="continue"/>
            <w:tcBorders>
              <w:tl2br w:val="nil"/>
              <w:tr2bl w:val="nil"/>
            </w:tcBorders>
            <w:noWrap/>
            <w:vAlign w:val="center"/>
          </w:tcPr>
          <w:p w14:paraId="4F61E090">
            <w:pPr>
              <w:spacing w:line="360" w:lineRule="auto"/>
              <w:jc w:val="center"/>
              <w:rPr>
                <w:rFonts w:hint="eastAsia" w:ascii="宋体" w:hAnsi="宋体" w:cs="宋体"/>
                <w:color w:val="auto"/>
                <w:sz w:val="21"/>
                <w:szCs w:val="21"/>
                <w:highlight w:val="none"/>
              </w:rPr>
            </w:pPr>
          </w:p>
        </w:tc>
      </w:tr>
      <w:tr w14:paraId="7AC3C5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B314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4.5.3.32</w:t>
            </w:r>
          </w:p>
        </w:tc>
        <w:tc>
          <w:tcPr>
            <w:tcW w:w="6982" w:type="dxa"/>
            <w:tcBorders>
              <w:tl2br w:val="nil"/>
              <w:tr2bl w:val="nil"/>
            </w:tcBorders>
            <w:vAlign w:val="center"/>
          </w:tcPr>
          <w:p w14:paraId="378D79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各个科室体检医生能通过条码扫描扫出受检者在当前科室的检查项目，依次输入各个检查项目的结果，科室小结，系统自动产生诊断和建议</w:t>
            </w:r>
          </w:p>
        </w:tc>
        <w:tc>
          <w:tcPr>
            <w:tcW w:w="870" w:type="dxa"/>
            <w:vMerge w:val="continue"/>
            <w:tcBorders>
              <w:tl2br w:val="nil"/>
              <w:tr2bl w:val="nil"/>
            </w:tcBorders>
            <w:noWrap/>
            <w:vAlign w:val="center"/>
          </w:tcPr>
          <w:p w14:paraId="6FA82C02">
            <w:pPr>
              <w:spacing w:line="360" w:lineRule="auto"/>
              <w:jc w:val="center"/>
              <w:rPr>
                <w:rFonts w:hint="eastAsia" w:ascii="宋体" w:hAnsi="宋体" w:cs="宋体"/>
                <w:color w:val="auto"/>
                <w:sz w:val="21"/>
                <w:szCs w:val="21"/>
                <w:highlight w:val="none"/>
              </w:rPr>
            </w:pPr>
          </w:p>
        </w:tc>
      </w:tr>
      <w:tr w14:paraId="5C48D2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6BA3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4.5.3.33</w:t>
            </w:r>
          </w:p>
        </w:tc>
        <w:tc>
          <w:tcPr>
            <w:tcW w:w="6982" w:type="dxa"/>
            <w:tcBorders>
              <w:tl2br w:val="nil"/>
              <w:tr2bl w:val="nil"/>
            </w:tcBorders>
            <w:vAlign w:val="center"/>
          </w:tcPr>
          <w:p w14:paraId="016B17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支持在分科查看体检者病史信息（既往史、手术史、家族史、现病史）</w:t>
            </w:r>
          </w:p>
        </w:tc>
        <w:tc>
          <w:tcPr>
            <w:tcW w:w="870" w:type="dxa"/>
            <w:vMerge w:val="continue"/>
            <w:tcBorders>
              <w:tl2br w:val="nil"/>
              <w:tr2bl w:val="nil"/>
            </w:tcBorders>
            <w:noWrap/>
            <w:vAlign w:val="center"/>
          </w:tcPr>
          <w:p w14:paraId="67DE1F22">
            <w:pPr>
              <w:spacing w:line="360" w:lineRule="auto"/>
              <w:jc w:val="center"/>
              <w:rPr>
                <w:rFonts w:hint="eastAsia" w:ascii="宋体" w:hAnsi="宋体" w:cs="宋体"/>
                <w:color w:val="auto"/>
                <w:sz w:val="21"/>
                <w:szCs w:val="21"/>
                <w:highlight w:val="none"/>
              </w:rPr>
            </w:pPr>
          </w:p>
        </w:tc>
      </w:tr>
      <w:tr w14:paraId="2F10391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5858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4.5.3.34</w:t>
            </w:r>
          </w:p>
        </w:tc>
        <w:tc>
          <w:tcPr>
            <w:tcW w:w="6982" w:type="dxa"/>
            <w:tcBorders>
              <w:tl2br w:val="nil"/>
              <w:tr2bl w:val="nil"/>
            </w:tcBorders>
            <w:vAlign w:val="center"/>
          </w:tcPr>
          <w:p w14:paraId="721D69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支持在分科进行重要异常结果的上报</w:t>
            </w:r>
          </w:p>
        </w:tc>
        <w:tc>
          <w:tcPr>
            <w:tcW w:w="870" w:type="dxa"/>
            <w:vMerge w:val="continue"/>
            <w:tcBorders>
              <w:tl2br w:val="nil"/>
              <w:tr2bl w:val="nil"/>
            </w:tcBorders>
            <w:noWrap/>
            <w:vAlign w:val="center"/>
          </w:tcPr>
          <w:p w14:paraId="0C3015E2">
            <w:pPr>
              <w:spacing w:line="360" w:lineRule="auto"/>
              <w:jc w:val="center"/>
              <w:rPr>
                <w:rFonts w:hint="eastAsia" w:ascii="宋体" w:hAnsi="宋体" w:cs="宋体"/>
                <w:color w:val="auto"/>
                <w:sz w:val="21"/>
                <w:szCs w:val="21"/>
                <w:highlight w:val="none"/>
              </w:rPr>
            </w:pPr>
          </w:p>
        </w:tc>
      </w:tr>
      <w:tr w14:paraId="321EF7A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F041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4.5.3.35</w:t>
            </w:r>
          </w:p>
        </w:tc>
        <w:tc>
          <w:tcPr>
            <w:tcW w:w="6982" w:type="dxa"/>
            <w:tcBorders>
              <w:tl2br w:val="nil"/>
              <w:tr2bl w:val="nil"/>
            </w:tcBorders>
            <w:vAlign w:val="center"/>
          </w:tcPr>
          <w:p w14:paraId="2624F2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上报依据《健康体检重要异常结果管理专家共识（试行版）》</w:t>
            </w:r>
          </w:p>
        </w:tc>
        <w:tc>
          <w:tcPr>
            <w:tcW w:w="870" w:type="dxa"/>
            <w:vMerge w:val="continue"/>
            <w:tcBorders>
              <w:tl2br w:val="nil"/>
              <w:tr2bl w:val="nil"/>
            </w:tcBorders>
            <w:noWrap/>
            <w:vAlign w:val="center"/>
          </w:tcPr>
          <w:p w14:paraId="592D16D4">
            <w:pPr>
              <w:spacing w:line="360" w:lineRule="auto"/>
              <w:jc w:val="center"/>
              <w:rPr>
                <w:rFonts w:hint="eastAsia" w:ascii="宋体" w:hAnsi="宋体" w:cs="宋体"/>
                <w:color w:val="auto"/>
                <w:sz w:val="21"/>
                <w:szCs w:val="21"/>
                <w:highlight w:val="none"/>
              </w:rPr>
            </w:pPr>
          </w:p>
        </w:tc>
      </w:tr>
      <w:tr w14:paraId="7DD40F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F3F6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4.5.3.36</w:t>
            </w:r>
          </w:p>
        </w:tc>
        <w:tc>
          <w:tcPr>
            <w:tcW w:w="6982" w:type="dxa"/>
            <w:tcBorders>
              <w:tl2br w:val="nil"/>
              <w:tr2bl w:val="nil"/>
            </w:tcBorders>
            <w:vAlign w:val="center"/>
          </w:tcPr>
          <w:p w14:paraId="52E302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支持分科环节采集问卷的功能</w:t>
            </w:r>
          </w:p>
        </w:tc>
        <w:tc>
          <w:tcPr>
            <w:tcW w:w="870" w:type="dxa"/>
            <w:vMerge w:val="continue"/>
            <w:tcBorders>
              <w:tl2br w:val="nil"/>
              <w:tr2bl w:val="nil"/>
            </w:tcBorders>
            <w:noWrap/>
            <w:vAlign w:val="center"/>
          </w:tcPr>
          <w:p w14:paraId="1ABB2133">
            <w:pPr>
              <w:spacing w:line="360" w:lineRule="auto"/>
              <w:jc w:val="center"/>
              <w:rPr>
                <w:rFonts w:hint="eastAsia" w:ascii="宋体" w:hAnsi="宋体" w:cs="宋体"/>
                <w:color w:val="auto"/>
                <w:sz w:val="21"/>
                <w:szCs w:val="21"/>
                <w:highlight w:val="none"/>
              </w:rPr>
            </w:pPr>
          </w:p>
        </w:tc>
      </w:tr>
      <w:tr w14:paraId="1CDD1A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2518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4.5.3.37</w:t>
            </w:r>
          </w:p>
        </w:tc>
        <w:tc>
          <w:tcPr>
            <w:tcW w:w="6982" w:type="dxa"/>
            <w:tcBorders>
              <w:tl2br w:val="nil"/>
              <w:tr2bl w:val="nil"/>
            </w:tcBorders>
            <w:vAlign w:val="center"/>
          </w:tcPr>
          <w:p w14:paraId="081E51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支持科室小结性别敏感词的提醒</w:t>
            </w:r>
          </w:p>
        </w:tc>
        <w:tc>
          <w:tcPr>
            <w:tcW w:w="870" w:type="dxa"/>
            <w:vMerge w:val="continue"/>
            <w:tcBorders>
              <w:tl2br w:val="nil"/>
              <w:tr2bl w:val="nil"/>
            </w:tcBorders>
            <w:noWrap/>
            <w:vAlign w:val="center"/>
          </w:tcPr>
          <w:p w14:paraId="3AF67CC1">
            <w:pPr>
              <w:spacing w:line="360" w:lineRule="auto"/>
              <w:jc w:val="center"/>
              <w:rPr>
                <w:rFonts w:hint="eastAsia" w:ascii="宋体" w:hAnsi="宋体" w:cs="宋体"/>
                <w:color w:val="auto"/>
                <w:sz w:val="21"/>
                <w:szCs w:val="21"/>
                <w:highlight w:val="none"/>
              </w:rPr>
            </w:pPr>
          </w:p>
        </w:tc>
      </w:tr>
      <w:tr w14:paraId="6A18DD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91A0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4.5.3.38</w:t>
            </w:r>
          </w:p>
        </w:tc>
        <w:tc>
          <w:tcPr>
            <w:tcW w:w="6982" w:type="dxa"/>
            <w:tcBorders>
              <w:tl2br w:val="nil"/>
              <w:tr2bl w:val="nil"/>
            </w:tcBorders>
            <w:vAlign w:val="center"/>
          </w:tcPr>
          <w:p w14:paraId="210707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支持分科结果的既往比对质量控制</w:t>
            </w:r>
          </w:p>
        </w:tc>
        <w:tc>
          <w:tcPr>
            <w:tcW w:w="870" w:type="dxa"/>
            <w:vMerge w:val="continue"/>
            <w:tcBorders>
              <w:tl2br w:val="nil"/>
              <w:tr2bl w:val="nil"/>
            </w:tcBorders>
            <w:noWrap/>
            <w:vAlign w:val="center"/>
          </w:tcPr>
          <w:p w14:paraId="0F55C067">
            <w:pPr>
              <w:spacing w:line="360" w:lineRule="auto"/>
              <w:jc w:val="center"/>
              <w:rPr>
                <w:rFonts w:hint="eastAsia" w:ascii="宋体" w:hAnsi="宋体" w:cs="宋体"/>
                <w:color w:val="auto"/>
                <w:sz w:val="21"/>
                <w:szCs w:val="21"/>
                <w:highlight w:val="none"/>
              </w:rPr>
            </w:pPr>
          </w:p>
        </w:tc>
      </w:tr>
      <w:tr w14:paraId="1962F1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352B5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4.5.3.39</w:t>
            </w:r>
          </w:p>
        </w:tc>
        <w:tc>
          <w:tcPr>
            <w:tcW w:w="6982" w:type="dxa"/>
            <w:tcBorders>
              <w:tl2br w:val="nil"/>
              <w:tr2bl w:val="nil"/>
            </w:tcBorders>
            <w:vAlign w:val="center"/>
          </w:tcPr>
          <w:p w14:paraId="38294D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医生可以根据患者检查的情况随时新增体检项目</w:t>
            </w:r>
          </w:p>
        </w:tc>
        <w:tc>
          <w:tcPr>
            <w:tcW w:w="870" w:type="dxa"/>
            <w:vMerge w:val="continue"/>
            <w:tcBorders>
              <w:tl2br w:val="nil"/>
              <w:tr2bl w:val="nil"/>
            </w:tcBorders>
            <w:noWrap/>
            <w:vAlign w:val="center"/>
          </w:tcPr>
          <w:p w14:paraId="67CA5FC4">
            <w:pPr>
              <w:spacing w:line="360" w:lineRule="auto"/>
              <w:jc w:val="center"/>
              <w:rPr>
                <w:rFonts w:hint="eastAsia" w:ascii="宋体" w:hAnsi="宋体" w:cs="宋体"/>
                <w:color w:val="auto"/>
                <w:sz w:val="21"/>
                <w:szCs w:val="21"/>
                <w:highlight w:val="none"/>
              </w:rPr>
            </w:pPr>
          </w:p>
        </w:tc>
      </w:tr>
      <w:tr w14:paraId="33A685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B0E37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4.5.3.40</w:t>
            </w:r>
          </w:p>
        </w:tc>
        <w:tc>
          <w:tcPr>
            <w:tcW w:w="6982" w:type="dxa"/>
            <w:tcBorders>
              <w:tl2br w:val="nil"/>
              <w:tr2bl w:val="nil"/>
            </w:tcBorders>
            <w:vAlign w:val="center"/>
          </w:tcPr>
          <w:p w14:paraId="70C623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具备对接诊间支付的能力，避免体检客户在科室和缴费处来回</w:t>
            </w:r>
          </w:p>
        </w:tc>
        <w:tc>
          <w:tcPr>
            <w:tcW w:w="870" w:type="dxa"/>
            <w:vMerge w:val="continue"/>
            <w:tcBorders>
              <w:tl2br w:val="nil"/>
              <w:tr2bl w:val="nil"/>
            </w:tcBorders>
            <w:noWrap/>
            <w:vAlign w:val="center"/>
          </w:tcPr>
          <w:p w14:paraId="4EAC70DE">
            <w:pPr>
              <w:spacing w:line="360" w:lineRule="auto"/>
              <w:jc w:val="center"/>
              <w:rPr>
                <w:rFonts w:hint="eastAsia" w:ascii="宋体" w:hAnsi="宋体" w:cs="宋体"/>
                <w:color w:val="auto"/>
                <w:sz w:val="21"/>
                <w:szCs w:val="21"/>
                <w:highlight w:val="none"/>
              </w:rPr>
            </w:pPr>
          </w:p>
        </w:tc>
      </w:tr>
      <w:tr w14:paraId="167FCD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D700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4.5.3.41</w:t>
            </w:r>
          </w:p>
        </w:tc>
        <w:tc>
          <w:tcPr>
            <w:tcW w:w="6982" w:type="dxa"/>
            <w:tcBorders>
              <w:tl2br w:val="nil"/>
              <w:tr2bl w:val="nil"/>
            </w:tcBorders>
            <w:vAlign w:val="center"/>
          </w:tcPr>
          <w:p w14:paraId="607E61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支持指引单回收功能，可记录收单操作人员和操作时间</w:t>
            </w:r>
          </w:p>
        </w:tc>
        <w:tc>
          <w:tcPr>
            <w:tcW w:w="870" w:type="dxa"/>
            <w:vMerge w:val="continue"/>
            <w:tcBorders>
              <w:tl2br w:val="nil"/>
              <w:tr2bl w:val="nil"/>
            </w:tcBorders>
            <w:noWrap/>
            <w:vAlign w:val="center"/>
          </w:tcPr>
          <w:p w14:paraId="3E89B339">
            <w:pPr>
              <w:spacing w:line="360" w:lineRule="auto"/>
              <w:jc w:val="center"/>
              <w:rPr>
                <w:rFonts w:hint="eastAsia" w:ascii="宋体" w:hAnsi="宋体" w:cs="宋体"/>
                <w:color w:val="auto"/>
                <w:sz w:val="21"/>
                <w:szCs w:val="21"/>
                <w:highlight w:val="none"/>
              </w:rPr>
            </w:pPr>
          </w:p>
        </w:tc>
      </w:tr>
      <w:tr w14:paraId="17C975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1489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4.5.3.42</w:t>
            </w:r>
          </w:p>
        </w:tc>
        <w:tc>
          <w:tcPr>
            <w:tcW w:w="6982" w:type="dxa"/>
            <w:tcBorders>
              <w:tl2br w:val="nil"/>
              <w:tr2bl w:val="nil"/>
            </w:tcBorders>
            <w:vAlign w:val="center"/>
          </w:tcPr>
          <w:p w14:paraId="49191B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支持当场处理客户放弃检查的体检项目的弃检操作登记</w:t>
            </w:r>
          </w:p>
        </w:tc>
        <w:tc>
          <w:tcPr>
            <w:tcW w:w="870" w:type="dxa"/>
            <w:vMerge w:val="continue"/>
            <w:tcBorders>
              <w:tl2br w:val="nil"/>
              <w:tr2bl w:val="nil"/>
            </w:tcBorders>
            <w:noWrap/>
            <w:vAlign w:val="center"/>
          </w:tcPr>
          <w:p w14:paraId="1D8EB751">
            <w:pPr>
              <w:spacing w:line="360" w:lineRule="auto"/>
              <w:jc w:val="center"/>
              <w:rPr>
                <w:rFonts w:hint="eastAsia" w:ascii="宋体" w:hAnsi="宋体" w:cs="宋体"/>
                <w:color w:val="auto"/>
                <w:sz w:val="21"/>
                <w:szCs w:val="21"/>
                <w:highlight w:val="none"/>
              </w:rPr>
            </w:pPr>
          </w:p>
        </w:tc>
      </w:tr>
      <w:tr w14:paraId="32A893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496D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4.5.3.43</w:t>
            </w:r>
          </w:p>
        </w:tc>
        <w:tc>
          <w:tcPr>
            <w:tcW w:w="6982" w:type="dxa"/>
            <w:tcBorders>
              <w:tl2br w:val="nil"/>
              <w:tr2bl w:val="nil"/>
            </w:tcBorders>
            <w:vAlign w:val="center"/>
          </w:tcPr>
          <w:p w14:paraId="640FAD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支持项目补检登记：针对体检项目无法当天一次性完成的，可设置项目为【补检】，体检者后续需完成全部项目方可进入总检总审环节，项目未完成会一直处于 “积案” 状态</w:t>
            </w:r>
          </w:p>
        </w:tc>
        <w:tc>
          <w:tcPr>
            <w:tcW w:w="870" w:type="dxa"/>
            <w:vMerge w:val="continue"/>
            <w:tcBorders>
              <w:tl2br w:val="nil"/>
              <w:tr2bl w:val="nil"/>
            </w:tcBorders>
            <w:noWrap/>
            <w:vAlign w:val="center"/>
          </w:tcPr>
          <w:p w14:paraId="5E24ED3C">
            <w:pPr>
              <w:spacing w:line="360" w:lineRule="auto"/>
              <w:jc w:val="center"/>
              <w:rPr>
                <w:rFonts w:hint="eastAsia" w:ascii="宋体" w:hAnsi="宋体" w:cs="宋体"/>
                <w:color w:val="auto"/>
                <w:sz w:val="21"/>
                <w:szCs w:val="21"/>
                <w:highlight w:val="none"/>
              </w:rPr>
            </w:pPr>
          </w:p>
        </w:tc>
      </w:tr>
      <w:tr w14:paraId="5695E3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67409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4.5.3.44</w:t>
            </w:r>
          </w:p>
        </w:tc>
        <w:tc>
          <w:tcPr>
            <w:tcW w:w="6982" w:type="dxa"/>
            <w:tcBorders>
              <w:tl2br w:val="nil"/>
              <w:tr2bl w:val="nil"/>
            </w:tcBorders>
            <w:vAlign w:val="center"/>
          </w:tcPr>
          <w:p w14:paraId="704E43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支持项目延检登记：即延期检查，针对某些项目在短期内无法完成的可设置成【延检】，设置后其余项目可先完成总检总审，延期项目后续单独做检查、单独出报告，设置为延检后，不会进入到 “积案” 状态</w:t>
            </w:r>
          </w:p>
        </w:tc>
        <w:tc>
          <w:tcPr>
            <w:tcW w:w="870" w:type="dxa"/>
            <w:vMerge w:val="continue"/>
            <w:tcBorders>
              <w:tl2br w:val="nil"/>
              <w:tr2bl w:val="nil"/>
            </w:tcBorders>
            <w:noWrap/>
            <w:vAlign w:val="center"/>
          </w:tcPr>
          <w:p w14:paraId="3BCDAA23">
            <w:pPr>
              <w:spacing w:line="360" w:lineRule="auto"/>
              <w:jc w:val="center"/>
              <w:rPr>
                <w:rFonts w:hint="eastAsia" w:ascii="宋体" w:hAnsi="宋体" w:cs="宋体"/>
                <w:color w:val="auto"/>
                <w:sz w:val="21"/>
                <w:szCs w:val="21"/>
                <w:highlight w:val="none"/>
              </w:rPr>
            </w:pPr>
          </w:p>
        </w:tc>
      </w:tr>
      <w:tr w14:paraId="34C5D2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9432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4.5.3.45</w:t>
            </w:r>
          </w:p>
        </w:tc>
        <w:tc>
          <w:tcPr>
            <w:tcW w:w="6982" w:type="dxa"/>
            <w:tcBorders>
              <w:tl2br w:val="nil"/>
              <w:tr2bl w:val="nil"/>
            </w:tcBorders>
            <w:vAlign w:val="center"/>
          </w:tcPr>
          <w:p w14:paraId="6F7C2F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在各个科室结果全部录入或产生之后，总检医生可对体检人员进行总检，实现对体检者分配总检医师</w:t>
            </w:r>
          </w:p>
        </w:tc>
        <w:tc>
          <w:tcPr>
            <w:tcW w:w="870" w:type="dxa"/>
            <w:vMerge w:val="continue"/>
            <w:tcBorders>
              <w:tl2br w:val="nil"/>
              <w:tr2bl w:val="nil"/>
            </w:tcBorders>
            <w:noWrap/>
            <w:vAlign w:val="center"/>
          </w:tcPr>
          <w:p w14:paraId="62339047">
            <w:pPr>
              <w:spacing w:line="360" w:lineRule="auto"/>
              <w:jc w:val="center"/>
              <w:rPr>
                <w:rFonts w:hint="eastAsia" w:ascii="宋体" w:hAnsi="宋体" w:cs="宋体"/>
                <w:color w:val="auto"/>
                <w:sz w:val="21"/>
                <w:szCs w:val="21"/>
                <w:highlight w:val="none"/>
              </w:rPr>
            </w:pPr>
          </w:p>
        </w:tc>
      </w:tr>
      <w:tr w14:paraId="47593F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E7C9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4.5.3.46</w:t>
            </w:r>
          </w:p>
        </w:tc>
        <w:tc>
          <w:tcPr>
            <w:tcW w:w="6982" w:type="dxa"/>
            <w:tcBorders>
              <w:tl2br w:val="nil"/>
              <w:tr2bl w:val="nil"/>
            </w:tcBorders>
            <w:vAlign w:val="center"/>
          </w:tcPr>
          <w:p w14:paraId="4B2509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系统支持按难易度分级不同级别的报告由不同级别的医师评检</w:t>
            </w:r>
          </w:p>
        </w:tc>
        <w:tc>
          <w:tcPr>
            <w:tcW w:w="870" w:type="dxa"/>
            <w:vMerge w:val="continue"/>
            <w:tcBorders>
              <w:tl2br w:val="nil"/>
              <w:tr2bl w:val="nil"/>
            </w:tcBorders>
            <w:noWrap/>
            <w:vAlign w:val="center"/>
          </w:tcPr>
          <w:p w14:paraId="58EA47E7">
            <w:pPr>
              <w:spacing w:line="360" w:lineRule="auto"/>
              <w:jc w:val="center"/>
              <w:rPr>
                <w:rFonts w:hint="eastAsia" w:ascii="宋体" w:hAnsi="宋体" w:cs="宋体"/>
                <w:color w:val="auto"/>
                <w:sz w:val="21"/>
                <w:szCs w:val="21"/>
                <w:highlight w:val="none"/>
              </w:rPr>
            </w:pPr>
          </w:p>
        </w:tc>
      </w:tr>
      <w:tr w14:paraId="1293D9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E41D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4.5.3.47</w:t>
            </w:r>
          </w:p>
        </w:tc>
        <w:tc>
          <w:tcPr>
            <w:tcW w:w="6982" w:type="dxa"/>
            <w:tcBorders>
              <w:tl2br w:val="nil"/>
              <w:tr2bl w:val="nil"/>
            </w:tcBorders>
            <w:vAlign w:val="center"/>
          </w:tcPr>
          <w:p w14:paraId="77F9DD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实现分配原则：随机分配、数量均等、难易程度随机的分配模式</w:t>
            </w:r>
          </w:p>
        </w:tc>
        <w:tc>
          <w:tcPr>
            <w:tcW w:w="870" w:type="dxa"/>
            <w:vMerge w:val="continue"/>
            <w:tcBorders>
              <w:tl2br w:val="nil"/>
              <w:tr2bl w:val="nil"/>
            </w:tcBorders>
            <w:noWrap/>
            <w:vAlign w:val="center"/>
          </w:tcPr>
          <w:p w14:paraId="5D81DB05">
            <w:pPr>
              <w:spacing w:line="360" w:lineRule="auto"/>
              <w:jc w:val="center"/>
              <w:rPr>
                <w:rFonts w:hint="eastAsia" w:ascii="宋体" w:hAnsi="宋体" w:cs="宋体"/>
                <w:color w:val="auto"/>
                <w:sz w:val="21"/>
                <w:szCs w:val="21"/>
                <w:highlight w:val="none"/>
              </w:rPr>
            </w:pPr>
          </w:p>
        </w:tc>
      </w:tr>
      <w:tr w14:paraId="05EBB96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1B7D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4.5.3.48</w:t>
            </w:r>
          </w:p>
        </w:tc>
        <w:tc>
          <w:tcPr>
            <w:tcW w:w="6982" w:type="dxa"/>
            <w:tcBorders>
              <w:tl2br w:val="nil"/>
              <w:tr2bl w:val="nil"/>
            </w:tcBorders>
            <w:vAlign w:val="center"/>
          </w:tcPr>
          <w:p w14:paraId="01CF38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异常提示：对体检中的异常指标以显著的标示予以提示</w:t>
            </w:r>
          </w:p>
        </w:tc>
        <w:tc>
          <w:tcPr>
            <w:tcW w:w="870" w:type="dxa"/>
            <w:vMerge w:val="continue"/>
            <w:tcBorders>
              <w:tl2br w:val="nil"/>
              <w:tr2bl w:val="nil"/>
            </w:tcBorders>
            <w:noWrap/>
            <w:vAlign w:val="center"/>
          </w:tcPr>
          <w:p w14:paraId="7AADEED2">
            <w:pPr>
              <w:spacing w:line="360" w:lineRule="auto"/>
              <w:jc w:val="center"/>
              <w:rPr>
                <w:rFonts w:hint="eastAsia" w:ascii="宋体" w:hAnsi="宋体" w:cs="宋体"/>
                <w:color w:val="auto"/>
                <w:sz w:val="21"/>
                <w:szCs w:val="21"/>
                <w:highlight w:val="none"/>
              </w:rPr>
            </w:pPr>
          </w:p>
        </w:tc>
      </w:tr>
      <w:tr w14:paraId="242E762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86C7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4.5.3.49</w:t>
            </w:r>
          </w:p>
        </w:tc>
        <w:tc>
          <w:tcPr>
            <w:tcW w:w="6982" w:type="dxa"/>
            <w:tcBorders>
              <w:tl2br w:val="nil"/>
              <w:tr2bl w:val="nil"/>
            </w:tcBorders>
            <w:vAlign w:val="center"/>
          </w:tcPr>
          <w:p w14:paraId="0626CC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自动汇总：自动形成科室小结报告综述，小结模板可定制</w:t>
            </w:r>
          </w:p>
        </w:tc>
        <w:tc>
          <w:tcPr>
            <w:tcW w:w="870" w:type="dxa"/>
            <w:vMerge w:val="continue"/>
            <w:tcBorders>
              <w:tl2br w:val="nil"/>
              <w:tr2bl w:val="nil"/>
            </w:tcBorders>
            <w:noWrap/>
            <w:vAlign w:val="center"/>
          </w:tcPr>
          <w:p w14:paraId="04EBD0A1">
            <w:pPr>
              <w:spacing w:line="360" w:lineRule="auto"/>
              <w:jc w:val="center"/>
              <w:rPr>
                <w:rFonts w:hint="eastAsia" w:ascii="宋体" w:hAnsi="宋体" w:cs="宋体"/>
                <w:color w:val="auto"/>
                <w:sz w:val="21"/>
                <w:szCs w:val="21"/>
                <w:highlight w:val="none"/>
              </w:rPr>
            </w:pPr>
          </w:p>
        </w:tc>
      </w:tr>
      <w:tr w14:paraId="21A361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E79B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4.5.3.50</w:t>
            </w:r>
          </w:p>
        </w:tc>
        <w:tc>
          <w:tcPr>
            <w:tcW w:w="6982" w:type="dxa"/>
            <w:tcBorders>
              <w:tl2br w:val="nil"/>
              <w:tr2bl w:val="nil"/>
            </w:tcBorders>
            <w:vAlign w:val="center"/>
          </w:tcPr>
          <w:p w14:paraId="6907EB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分科结果：支持查看各科室项目结果，包括科室小结和项目明细</w:t>
            </w:r>
          </w:p>
        </w:tc>
        <w:tc>
          <w:tcPr>
            <w:tcW w:w="870" w:type="dxa"/>
            <w:vMerge w:val="continue"/>
            <w:tcBorders>
              <w:tl2br w:val="nil"/>
              <w:tr2bl w:val="nil"/>
            </w:tcBorders>
            <w:noWrap/>
            <w:vAlign w:val="center"/>
          </w:tcPr>
          <w:p w14:paraId="558E4F12">
            <w:pPr>
              <w:spacing w:line="360" w:lineRule="auto"/>
              <w:jc w:val="center"/>
              <w:rPr>
                <w:rFonts w:hint="eastAsia" w:ascii="宋体" w:hAnsi="宋体" w:cs="宋体"/>
                <w:color w:val="auto"/>
                <w:sz w:val="21"/>
                <w:szCs w:val="21"/>
                <w:highlight w:val="none"/>
              </w:rPr>
            </w:pPr>
          </w:p>
        </w:tc>
      </w:tr>
      <w:tr w14:paraId="3A5BAE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2342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4.5.3.51</w:t>
            </w:r>
          </w:p>
        </w:tc>
        <w:tc>
          <w:tcPr>
            <w:tcW w:w="6982" w:type="dxa"/>
            <w:tcBorders>
              <w:tl2br w:val="nil"/>
              <w:tr2bl w:val="nil"/>
            </w:tcBorders>
            <w:vAlign w:val="center"/>
          </w:tcPr>
          <w:p w14:paraId="01C727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历史结果：支持查看历史检查结果，方便医生对比</w:t>
            </w:r>
          </w:p>
        </w:tc>
        <w:tc>
          <w:tcPr>
            <w:tcW w:w="870" w:type="dxa"/>
            <w:vMerge w:val="continue"/>
            <w:tcBorders>
              <w:tl2br w:val="nil"/>
              <w:tr2bl w:val="nil"/>
            </w:tcBorders>
            <w:noWrap/>
            <w:vAlign w:val="center"/>
          </w:tcPr>
          <w:p w14:paraId="515FE3BB">
            <w:pPr>
              <w:spacing w:line="360" w:lineRule="auto"/>
              <w:jc w:val="center"/>
              <w:rPr>
                <w:rFonts w:hint="eastAsia" w:ascii="宋体" w:hAnsi="宋体" w:cs="宋体"/>
                <w:color w:val="auto"/>
                <w:sz w:val="21"/>
                <w:szCs w:val="21"/>
                <w:highlight w:val="none"/>
              </w:rPr>
            </w:pPr>
          </w:p>
        </w:tc>
      </w:tr>
      <w:tr w14:paraId="6BA594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1692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4.5.3.52</w:t>
            </w:r>
          </w:p>
        </w:tc>
        <w:tc>
          <w:tcPr>
            <w:tcW w:w="6982" w:type="dxa"/>
            <w:tcBorders>
              <w:tl2br w:val="nil"/>
              <w:tr2bl w:val="nil"/>
            </w:tcBorders>
            <w:vAlign w:val="center"/>
          </w:tcPr>
          <w:p w14:paraId="23E8D3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图文报告：支持查看心电、超声、功能检查的图片报告</w:t>
            </w:r>
          </w:p>
        </w:tc>
        <w:tc>
          <w:tcPr>
            <w:tcW w:w="870" w:type="dxa"/>
            <w:vMerge w:val="continue"/>
            <w:tcBorders>
              <w:tl2br w:val="nil"/>
              <w:tr2bl w:val="nil"/>
            </w:tcBorders>
            <w:noWrap/>
            <w:vAlign w:val="center"/>
          </w:tcPr>
          <w:p w14:paraId="623E5D38">
            <w:pPr>
              <w:spacing w:line="360" w:lineRule="auto"/>
              <w:jc w:val="center"/>
              <w:rPr>
                <w:rFonts w:hint="eastAsia" w:ascii="宋体" w:hAnsi="宋体" w:cs="宋体"/>
                <w:color w:val="auto"/>
                <w:sz w:val="21"/>
                <w:szCs w:val="21"/>
                <w:highlight w:val="none"/>
              </w:rPr>
            </w:pPr>
          </w:p>
        </w:tc>
      </w:tr>
      <w:tr w14:paraId="09B719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BB04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4.5.3.53</w:t>
            </w:r>
          </w:p>
        </w:tc>
        <w:tc>
          <w:tcPr>
            <w:tcW w:w="6982" w:type="dxa"/>
            <w:tcBorders>
              <w:tl2br w:val="nil"/>
              <w:tr2bl w:val="nil"/>
            </w:tcBorders>
            <w:vAlign w:val="center"/>
          </w:tcPr>
          <w:p w14:paraId="46E509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健康建议：支持修改健康建议，添加结论词和健康建议</w:t>
            </w:r>
          </w:p>
        </w:tc>
        <w:tc>
          <w:tcPr>
            <w:tcW w:w="870" w:type="dxa"/>
            <w:vMerge w:val="continue"/>
            <w:tcBorders>
              <w:tl2br w:val="nil"/>
              <w:tr2bl w:val="nil"/>
            </w:tcBorders>
            <w:noWrap/>
            <w:vAlign w:val="center"/>
          </w:tcPr>
          <w:p w14:paraId="5164DAD4">
            <w:pPr>
              <w:spacing w:line="360" w:lineRule="auto"/>
              <w:jc w:val="center"/>
              <w:rPr>
                <w:rFonts w:hint="eastAsia" w:ascii="宋体" w:hAnsi="宋体" w:cs="宋体"/>
                <w:color w:val="auto"/>
                <w:sz w:val="21"/>
                <w:szCs w:val="21"/>
                <w:highlight w:val="none"/>
              </w:rPr>
            </w:pPr>
          </w:p>
        </w:tc>
      </w:tr>
      <w:tr w14:paraId="4A3282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71BB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4.5.3.54</w:t>
            </w:r>
          </w:p>
        </w:tc>
        <w:tc>
          <w:tcPr>
            <w:tcW w:w="6982" w:type="dxa"/>
            <w:tcBorders>
              <w:tl2br w:val="nil"/>
              <w:tr2bl w:val="nil"/>
            </w:tcBorders>
            <w:vAlign w:val="center"/>
          </w:tcPr>
          <w:p w14:paraId="67DA79B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结论检索：支持拼音输入显示相关体检结论名称</w:t>
            </w:r>
          </w:p>
        </w:tc>
        <w:tc>
          <w:tcPr>
            <w:tcW w:w="870" w:type="dxa"/>
            <w:vMerge w:val="continue"/>
            <w:tcBorders>
              <w:tl2br w:val="nil"/>
              <w:tr2bl w:val="nil"/>
            </w:tcBorders>
            <w:noWrap/>
            <w:vAlign w:val="center"/>
          </w:tcPr>
          <w:p w14:paraId="38D2E49C">
            <w:pPr>
              <w:spacing w:line="360" w:lineRule="auto"/>
              <w:jc w:val="center"/>
              <w:rPr>
                <w:rFonts w:hint="eastAsia" w:ascii="宋体" w:hAnsi="宋体" w:cs="宋体"/>
                <w:color w:val="auto"/>
                <w:sz w:val="21"/>
                <w:szCs w:val="21"/>
                <w:highlight w:val="none"/>
              </w:rPr>
            </w:pPr>
          </w:p>
        </w:tc>
      </w:tr>
      <w:tr w14:paraId="08E012F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F46E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4.5.3.55</w:t>
            </w:r>
          </w:p>
        </w:tc>
        <w:tc>
          <w:tcPr>
            <w:tcW w:w="6982" w:type="dxa"/>
            <w:tcBorders>
              <w:tl2br w:val="nil"/>
              <w:tr2bl w:val="nil"/>
            </w:tcBorders>
            <w:vAlign w:val="center"/>
          </w:tcPr>
          <w:p w14:paraId="1AD6E7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结论合并：支持结论合并方式， 生成新的结论和健康建议</w:t>
            </w:r>
          </w:p>
        </w:tc>
        <w:tc>
          <w:tcPr>
            <w:tcW w:w="870" w:type="dxa"/>
            <w:vMerge w:val="continue"/>
            <w:tcBorders>
              <w:tl2br w:val="nil"/>
              <w:tr2bl w:val="nil"/>
            </w:tcBorders>
            <w:noWrap/>
            <w:vAlign w:val="center"/>
          </w:tcPr>
          <w:p w14:paraId="78F0FB55">
            <w:pPr>
              <w:spacing w:line="360" w:lineRule="auto"/>
              <w:jc w:val="center"/>
              <w:rPr>
                <w:rFonts w:hint="eastAsia" w:ascii="宋体" w:hAnsi="宋体" w:cs="宋体"/>
                <w:color w:val="auto"/>
                <w:sz w:val="21"/>
                <w:szCs w:val="21"/>
                <w:highlight w:val="none"/>
              </w:rPr>
            </w:pPr>
          </w:p>
        </w:tc>
      </w:tr>
      <w:tr w14:paraId="64884B7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68E7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4.5.3.56</w:t>
            </w:r>
          </w:p>
        </w:tc>
        <w:tc>
          <w:tcPr>
            <w:tcW w:w="6982" w:type="dxa"/>
            <w:tcBorders>
              <w:tl2br w:val="nil"/>
              <w:tr2bl w:val="nil"/>
            </w:tcBorders>
            <w:vAlign w:val="center"/>
          </w:tcPr>
          <w:p w14:paraId="57CF73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结论排序：总检可拖动方式任意对结论进行排序</w:t>
            </w:r>
          </w:p>
        </w:tc>
        <w:tc>
          <w:tcPr>
            <w:tcW w:w="870" w:type="dxa"/>
            <w:vMerge w:val="continue"/>
            <w:tcBorders>
              <w:tl2br w:val="nil"/>
              <w:tr2bl w:val="nil"/>
            </w:tcBorders>
            <w:noWrap/>
            <w:vAlign w:val="center"/>
          </w:tcPr>
          <w:p w14:paraId="5C2AC8B7">
            <w:pPr>
              <w:spacing w:line="360" w:lineRule="auto"/>
              <w:jc w:val="center"/>
              <w:rPr>
                <w:rFonts w:hint="eastAsia" w:ascii="宋体" w:hAnsi="宋体" w:cs="宋体"/>
                <w:color w:val="auto"/>
                <w:sz w:val="21"/>
                <w:szCs w:val="21"/>
                <w:highlight w:val="none"/>
              </w:rPr>
            </w:pPr>
          </w:p>
        </w:tc>
      </w:tr>
      <w:tr w14:paraId="6171AB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A507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4.5.3.57</w:t>
            </w:r>
          </w:p>
        </w:tc>
        <w:tc>
          <w:tcPr>
            <w:tcW w:w="6982" w:type="dxa"/>
            <w:tcBorders>
              <w:tl2br w:val="nil"/>
              <w:tr2bl w:val="nil"/>
            </w:tcBorders>
            <w:vAlign w:val="center"/>
          </w:tcPr>
          <w:p w14:paraId="44F632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结果提取：支持提取检验项目结果提示并显示在体检报告上</w:t>
            </w:r>
          </w:p>
        </w:tc>
        <w:tc>
          <w:tcPr>
            <w:tcW w:w="870" w:type="dxa"/>
            <w:vMerge w:val="continue"/>
            <w:tcBorders>
              <w:tl2br w:val="nil"/>
              <w:tr2bl w:val="nil"/>
            </w:tcBorders>
            <w:noWrap/>
            <w:vAlign w:val="center"/>
          </w:tcPr>
          <w:p w14:paraId="66213D87">
            <w:pPr>
              <w:spacing w:line="360" w:lineRule="auto"/>
              <w:jc w:val="center"/>
              <w:rPr>
                <w:rFonts w:hint="eastAsia" w:ascii="宋体" w:hAnsi="宋体" w:cs="宋体"/>
                <w:color w:val="auto"/>
                <w:sz w:val="21"/>
                <w:szCs w:val="21"/>
                <w:highlight w:val="none"/>
              </w:rPr>
            </w:pPr>
          </w:p>
        </w:tc>
      </w:tr>
      <w:tr w14:paraId="569369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4E61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4.5.3.58</w:t>
            </w:r>
          </w:p>
        </w:tc>
        <w:tc>
          <w:tcPr>
            <w:tcW w:w="6982" w:type="dxa"/>
            <w:tcBorders>
              <w:tl2br w:val="nil"/>
              <w:tr2bl w:val="nil"/>
            </w:tcBorders>
            <w:vAlign w:val="center"/>
          </w:tcPr>
          <w:p w14:paraId="1E3796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支持对总检报告进行解锁（退回）操作</w:t>
            </w:r>
          </w:p>
        </w:tc>
        <w:tc>
          <w:tcPr>
            <w:tcW w:w="870" w:type="dxa"/>
            <w:vMerge w:val="continue"/>
            <w:tcBorders>
              <w:tl2br w:val="nil"/>
              <w:tr2bl w:val="nil"/>
            </w:tcBorders>
            <w:noWrap/>
            <w:vAlign w:val="center"/>
          </w:tcPr>
          <w:p w14:paraId="17079DCE">
            <w:pPr>
              <w:spacing w:line="360" w:lineRule="auto"/>
              <w:jc w:val="center"/>
              <w:rPr>
                <w:rFonts w:hint="eastAsia" w:ascii="宋体" w:hAnsi="宋体" w:cs="宋体"/>
                <w:color w:val="auto"/>
                <w:sz w:val="21"/>
                <w:szCs w:val="21"/>
                <w:highlight w:val="none"/>
              </w:rPr>
            </w:pPr>
          </w:p>
        </w:tc>
      </w:tr>
      <w:tr w14:paraId="67FE425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818C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4.5.3.59</w:t>
            </w:r>
          </w:p>
        </w:tc>
        <w:tc>
          <w:tcPr>
            <w:tcW w:w="6982" w:type="dxa"/>
            <w:tcBorders>
              <w:tl2br w:val="nil"/>
              <w:tr2bl w:val="nil"/>
            </w:tcBorders>
            <w:vAlign w:val="center"/>
          </w:tcPr>
          <w:p w14:paraId="055DFF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解锁退回操作可记录退回原因，方便质控整改</w:t>
            </w:r>
          </w:p>
        </w:tc>
        <w:tc>
          <w:tcPr>
            <w:tcW w:w="870" w:type="dxa"/>
            <w:vMerge w:val="continue"/>
            <w:tcBorders>
              <w:tl2br w:val="nil"/>
              <w:tr2bl w:val="nil"/>
            </w:tcBorders>
            <w:noWrap/>
            <w:vAlign w:val="center"/>
          </w:tcPr>
          <w:p w14:paraId="4AD3B2A1">
            <w:pPr>
              <w:spacing w:line="360" w:lineRule="auto"/>
              <w:jc w:val="center"/>
              <w:rPr>
                <w:rFonts w:hint="eastAsia" w:ascii="宋体" w:hAnsi="宋体" w:cs="宋体"/>
                <w:color w:val="auto"/>
                <w:sz w:val="21"/>
                <w:szCs w:val="21"/>
                <w:highlight w:val="none"/>
              </w:rPr>
            </w:pPr>
          </w:p>
        </w:tc>
      </w:tr>
      <w:tr w14:paraId="39F10FA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BCE7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4.5.3.60</w:t>
            </w:r>
          </w:p>
        </w:tc>
        <w:tc>
          <w:tcPr>
            <w:tcW w:w="6982" w:type="dxa"/>
            <w:tcBorders>
              <w:tl2br w:val="nil"/>
              <w:tr2bl w:val="nil"/>
            </w:tcBorders>
            <w:vAlign w:val="center"/>
          </w:tcPr>
          <w:p w14:paraId="03055D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支持总检完成后能够在电脑上进行预览报告总审</w:t>
            </w:r>
          </w:p>
        </w:tc>
        <w:tc>
          <w:tcPr>
            <w:tcW w:w="870" w:type="dxa"/>
            <w:vMerge w:val="continue"/>
            <w:tcBorders>
              <w:tl2br w:val="nil"/>
              <w:tr2bl w:val="nil"/>
            </w:tcBorders>
            <w:noWrap/>
            <w:vAlign w:val="center"/>
          </w:tcPr>
          <w:p w14:paraId="16968A7D">
            <w:pPr>
              <w:spacing w:line="360" w:lineRule="auto"/>
              <w:jc w:val="center"/>
              <w:rPr>
                <w:rFonts w:hint="eastAsia" w:ascii="宋体" w:hAnsi="宋体" w:cs="宋体"/>
                <w:color w:val="auto"/>
                <w:sz w:val="21"/>
                <w:szCs w:val="21"/>
                <w:highlight w:val="none"/>
              </w:rPr>
            </w:pPr>
          </w:p>
        </w:tc>
      </w:tr>
      <w:tr w14:paraId="439355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B13B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4.5.3.61</w:t>
            </w:r>
          </w:p>
        </w:tc>
        <w:tc>
          <w:tcPr>
            <w:tcW w:w="6982" w:type="dxa"/>
            <w:tcBorders>
              <w:tl2br w:val="nil"/>
              <w:tr2bl w:val="nil"/>
            </w:tcBorders>
            <w:vAlign w:val="center"/>
          </w:tcPr>
          <w:p w14:paraId="062A04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可查询总检退回的份数和原因，以便进行绩效的考核</w:t>
            </w:r>
          </w:p>
        </w:tc>
        <w:tc>
          <w:tcPr>
            <w:tcW w:w="870" w:type="dxa"/>
            <w:vMerge w:val="continue"/>
            <w:tcBorders>
              <w:tl2br w:val="nil"/>
              <w:tr2bl w:val="nil"/>
            </w:tcBorders>
            <w:noWrap/>
            <w:vAlign w:val="center"/>
          </w:tcPr>
          <w:p w14:paraId="57624D1B">
            <w:pPr>
              <w:spacing w:line="360" w:lineRule="auto"/>
              <w:jc w:val="center"/>
              <w:rPr>
                <w:rFonts w:hint="eastAsia" w:ascii="宋体" w:hAnsi="宋体" w:cs="宋体"/>
                <w:color w:val="auto"/>
                <w:sz w:val="21"/>
                <w:szCs w:val="21"/>
                <w:highlight w:val="none"/>
              </w:rPr>
            </w:pPr>
          </w:p>
        </w:tc>
      </w:tr>
      <w:tr w14:paraId="50A212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8ACA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4.5.3.62</w:t>
            </w:r>
          </w:p>
        </w:tc>
        <w:tc>
          <w:tcPr>
            <w:tcW w:w="6982" w:type="dxa"/>
            <w:tcBorders>
              <w:tl2br w:val="nil"/>
              <w:tr2bl w:val="nil"/>
            </w:tcBorders>
            <w:vAlign w:val="center"/>
          </w:tcPr>
          <w:p w14:paraId="0AD1DC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报告打印：支持按照个人、单位、日期条件批量打印体检报告</w:t>
            </w:r>
          </w:p>
        </w:tc>
        <w:tc>
          <w:tcPr>
            <w:tcW w:w="870" w:type="dxa"/>
            <w:vMerge w:val="continue"/>
            <w:tcBorders>
              <w:tl2br w:val="nil"/>
              <w:tr2bl w:val="nil"/>
            </w:tcBorders>
            <w:noWrap/>
            <w:vAlign w:val="center"/>
          </w:tcPr>
          <w:p w14:paraId="5C60668F">
            <w:pPr>
              <w:spacing w:line="360" w:lineRule="auto"/>
              <w:jc w:val="center"/>
              <w:rPr>
                <w:rFonts w:hint="eastAsia" w:ascii="宋体" w:hAnsi="宋体" w:cs="宋体"/>
                <w:color w:val="auto"/>
                <w:sz w:val="21"/>
                <w:szCs w:val="21"/>
                <w:highlight w:val="none"/>
              </w:rPr>
            </w:pPr>
          </w:p>
        </w:tc>
      </w:tr>
      <w:tr w14:paraId="3E95B3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D1A4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4.5.3.63</w:t>
            </w:r>
          </w:p>
        </w:tc>
        <w:tc>
          <w:tcPr>
            <w:tcW w:w="6982" w:type="dxa"/>
            <w:tcBorders>
              <w:tl2br w:val="nil"/>
              <w:tr2bl w:val="nil"/>
            </w:tcBorders>
            <w:vAlign w:val="center"/>
          </w:tcPr>
          <w:p w14:paraId="136CF4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报告通知：支持总检后自动发送短信通知（需提供短信接口）</w:t>
            </w:r>
          </w:p>
        </w:tc>
        <w:tc>
          <w:tcPr>
            <w:tcW w:w="870" w:type="dxa"/>
            <w:vMerge w:val="continue"/>
            <w:tcBorders>
              <w:tl2br w:val="nil"/>
              <w:tr2bl w:val="nil"/>
            </w:tcBorders>
            <w:noWrap/>
            <w:vAlign w:val="center"/>
          </w:tcPr>
          <w:p w14:paraId="5DCD07A6">
            <w:pPr>
              <w:spacing w:line="360" w:lineRule="auto"/>
              <w:jc w:val="center"/>
              <w:rPr>
                <w:rFonts w:hint="eastAsia" w:ascii="宋体" w:hAnsi="宋体" w:cs="宋体"/>
                <w:color w:val="auto"/>
                <w:sz w:val="21"/>
                <w:szCs w:val="21"/>
                <w:highlight w:val="none"/>
              </w:rPr>
            </w:pPr>
          </w:p>
        </w:tc>
      </w:tr>
      <w:tr w14:paraId="6C1CEF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7393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4.5.3.64</w:t>
            </w:r>
          </w:p>
        </w:tc>
        <w:tc>
          <w:tcPr>
            <w:tcW w:w="6982" w:type="dxa"/>
            <w:tcBorders>
              <w:tl2br w:val="nil"/>
              <w:tr2bl w:val="nil"/>
            </w:tcBorders>
            <w:vAlign w:val="center"/>
          </w:tcPr>
          <w:p w14:paraId="02EF5E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报告领取：支持个人体检报告的领取及代领（登记签字、备注）</w:t>
            </w:r>
          </w:p>
        </w:tc>
        <w:tc>
          <w:tcPr>
            <w:tcW w:w="870" w:type="dxa"/>
            <w:vMerge w:val="continue"/>
            <w:tcBorders>
              <w:tl2br w:val="nil"/>
              <w:tr2bl w:val="nil"/>
            </w:tcBorders>
            <w:noWrap/>
            <w:vAlign w:val="center"/>
          </w:tcPr>
          <w:p w14:paraId="03C07E75">
            <w:pPr>
              <w:spacing w:line="360" w:lineRule="auto"/>
              <w:jc w:val="center"/>
              <w:rPr>
                <w:rFonts w:hint="eastAsia" w:ascii="宋体" w:hAnsi="宋体" w:cs="宋体"/>
                <w:color w:val="auto"/>
                <w:sz w:val="21"/>
                <w:szCs w:val="21"/>
                <w:highlight w:val="none"/>
              </w:rPr>
            </w:pPr>
          </w:p>
        </w:tc>
      </w:tr>
      <w:tr w14:paraId="4220919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E31A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4.5.3.65</w:t>
            </w:r>
          </w:p>
        </w:tc>
        <w:tc>
          <w:tcPr>
            <w:tcW w:w="6982" w:type="dxa"/>
            <w:tcBorders>
              <w:tl2br w:val="nil"/>
              <w:tr2bl w:val="nil"/>
            </w:tcBorders>
            <w:vAlign w:val="center"/>
          </w:tcPr>
          <w:p w14:paraId="4C411B4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批量领取：支持单位体检报告的批量领取，打印出领取单签字</w:t>
            </w:r>
          </w:p>
        </w:tc>
        <w:tc>
          <w:tcPr>
            <w:tcW w:w="870" w:type="dxa"/>
            <w:vMerge w:val="continue"/>
            <w:tcBorders>
              <w:tl2br w:val="nil"/>
              <w:tr2bl w:val="nil"/>
            </w:tcBorders>
            <w:noWrap/>
            <w:vAlign w:val="center"/>
          </w:tcPr>
          <w:p w14:paraId="27719D64">
            <w:pPr>
              <w:spacing w:line="360" w:lineRule="auto"/>
              <w:jc w:val="center"/>
              <w:rPr>
                <w:rFonts w:hint="eastAsia" w:ascii="宋体" w:hAnsi="宋体" w:cs="宋体"/>
                <w:color w:val="auto"/>
                <w:sz w:val="21"/>
                <w:szCs w:val="21"/>
                <w:highlight w:val="none"/>
              </w:rPr>
            </w:pPr>
          </w:p>
        </w:tc>
      </w:tr>
      <w:tr w14:paraId="1A6F9B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EB18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4.5.3.66</w:t>
            </w:r>
          </w:p>
        </w:tc>
        <w:tc>
          <w:tcPr>
            <w:tcW w:w="6982" w:type="dxa"/>
            <w:tcBorders>
              <w:tl2br w:val="nil"/>
              <w:tr2bl w:val="nil"/>
            </w:tcBorders>
            <w:vAlign w:val="center"/>
          </w:tcPr>
          <w:p w14:paraId="3B6806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报告导出：支持单份报告或批量报告的导出（PDF 格式）</w:t>
            </w:r>
          </w:p>
        </w:tc>
        <w:tc>
          <w:tcPr>
            <w:tcW w:w="870" w:type="dxa"/>
            <w:vMerge w:val="continue"/>
            <w:tcBorders>
              <w:tl2br w:val="nil"/>
              <w:tr2bl w:val="nil"/>
            </w:tcBorders>
            <w:noWrap/>
            <w:vAlign w:val="center"/>
          </w:tcPr>
          <w:p w14:paraId="72A30662">
            <w:pPr>
              <w:spacing w:line="360" w:lineRule="auto"/>
              <w:jc w:val="center"/>
              <w:rPr>
                <w:rFonts w:hint="eastAsia" w:ascii="宋体" w:hAnsi="宋体" w:cs="宋体"/>
                <w:color w:val="auto"/>
                <w:sz w:val="21"/>
                <w:szCs w:val="21"/>
                <w:highlight w:val="none"/>
              </w:rPr>
            </w:pPr>
          </w:p>
        </w:tc>
      </w:tr>
      <w:tr w14:paraId="08A626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73DB9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4.5.3.67</w:t>
            </w:r>
          </w:p>
        </w:tc>
        <w:tc>
          <w:tcPr>
            <w:tcW w:w="6982" w:type="dxa"/>
            <w:tcBorders>
              <w:tl2br w:val="nil"/>
              <w:tr2bl w:val="nil"/>
            </w:tcBorders>
            <w:vAlign w:val="center"/>
          </w:tcPr>
          <w:p w14:paraId="5CC6BB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团队报告：能够汇集成带有目录的职工体检档案分析报告册</w:t>
            </w:r>
          </w:p>
        </w:tc>
        <w:tc>
          <w:tcPr>
            <w:tcW w:w="870" w:type="dxa"/>
            <w:vMerge w:val="continue"/>
            <w:tcBorders>
              <w:tl2br w:val="nil"/>
              <w:tr2bl w:val="nil"/>
            </w:tcBorders>
            <w:noWrap/>
            <w:vAlign w:val="center"/>
          </w:tcPr>
          <w:p w14:paraId="64DDB7B0">
            <w:pPr>
              <w:spacing w:line="360" w:lineRule="auto"/>
              <w:jc w:val="center"/>
              <w:rPr>
                <w:rFonts w:hint="eastAsia" w:ascii="宋体" w:hAnsi="宋体" w:cs="宋体"/>
                <w:color w:val="auto"/>
                <w:sz w:val="21"/>
                <w:szCs w:val="21"/>
                <w:highlight w:val="none"/>
              </w:rPr>
            </w:pPr>
          </w:p>
        </w:tc>
      </w:tr>
      <w:tr w14:paraId="61E8D2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48B7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4.5.3.68</w:t>
            </w:r>
          </w:p>
        </w:tc>
        <w:tc>
          <w:tcPr>
            <w:tcW w:w="6982" w:type="dxa"/>
            <w:tcBorders>
              <w:tl2br w:val="nil"/>
              <w:tr2bl w:val="nil"/>
            </w:tcBorders>
            <w:vAlign w:val="center"/>
          </w:tcPr>
          <w:p w14:paraId="59B85B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支持整体或单项的打折优惠操作（折扣、定额）</w:t>
            </w:r>
          </w:p>
        </w:tc>
        <w:tc>
          <w:tcPr>
            <w:tcW w:w="870" w:type="dxa"/>
            <w:vMerge w:val="continue"/>
            <w:tcBorders>
              <w:tl2br w:val="nil"/>
              <w:tr2bl w:val="nil"/>
            </w:tcBorders>
            <w:noWrap/>
            <w:vAlign w:val="center"/>
          </w:tcPr>
          <w:p w14:paraId="4674B835">
            <w:pPr>
              <w:spacing w:line="360" w:lineRule="auto"/>
              <w:jc w:val="center"/>
              <w:rPr>
                <w:rFonts w:hint="eastAsia" w:ascii="宋体" w:hAnsi="宋体" w:cs="宋体"/>
                <w:color w:val="auto"/>
                <w:sz w:val="21"/>
                <w:szCs w:val="21"/>
                <w:highlight w:val="none"/>
              </w:rPr>
            </w:pPr>
          </w:p>
        </w:tc>
      </w:tr>
      <w:tr w14:paraId="2595E9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90EA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4.5.3.69</w:t>
            </w:r>
          </w:p>
        </w:tc>
        <w:tc>
          <w:tcPr>
            <w:tcW w:w="6982" w:type="dxa"/>
            <w:tcBorders>
              <w:tl2br w:val="nil"/>
              <w:tr2bl w:val="nil"/>
            </w:tcBorders>
            <w:vAlign w:val="center"/>
          </w:tcPr>
          <w:p w14:paraId="0B3D84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支持记录不同支付方式（现金、银联、微信、支付宝）的收费信息</w:t>
            </w:r>
          </w:p>
        </w:tc>
        <w:tc>
          <w:tcPr>
            <w:tcW w:w="870" w:type="dxa"/>
            <w:vMerge w:val="continue"/>
            <w:tcBorders>
              <w:tl2br w:val="nil"/>
              <w:tr2bl w:val="nil"/>
            </w:tcBorders>
            <w:noWrap/>
            <w:vAlign w:val="center"/>
          </w:tcPr>
          <w:p w14:paraId="1148C835">
            <w:pPr>
              <w:spacing w:line="360" w:lineRule="auto"/>
              <w:jc w:val="center"/>
              <w:rPr>
                <w:rFonts w:hint="eastAsia" w:ascii="宋体" w:hAnsi="宋体" w:cs="宋体"/>
                <w:color w:val="auto"/>
                <w:sz w:val="21"/>
                <w:szCs w:val="21"/>
                <w:highlight w:val="none"/>
              </w:rPr>
            </w:pPr>
          </w:p>
        </w:tc>
      </w:tr>
      <w:tr w14:paraId="7C1773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4AE4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4.5.3.70</w:t>
            </w:r>
          </w:p>
        </w:tc>
        <w:tc>
          <w:tcPr>
            <w:tcW w:w="6982" w:type="dxa"/>
            <w:tcBorders>
              <w:tl2br w:val="nil"/>
              <w:tr2bl w:val="nil"/>
            </w:tcBorders>
            <w:vAlign w:val="center"/>
          </w:tcPr>
          <w:p w14:paraId="1B9714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支持单位体检的换项改项操作并可自动补差价，超出统收金额自动转自费</w:t>
            </w:r>
          </w:p>
        </w:tc>
        <w:tc>
          <w:tcPr>
            <w:tcW w:w="870" w:type="dxa"/>
            <w:vMerge w:val="continue"/>
            <w:tcBorders>
              <w:tl2br w:val="nil"/>
              <w:tr2bl w:val="nil"/>
            </w:tcBorders>
            <w:noWrap/>
            <w:vAlign w:val="center"/>
          </w:tcPr>
          <w:p w14:paraId="4F0C7A0F">
            <w:pPr>
              <w:spacing w:line="360" w:lineRule="auto"/>
              <w:jc w:val="center"/>
              <w:rPr>
                <w:rFonts w:hint="eastAsia" w:ascii="宋体" w:hAnsi="宋体" w:cs="宋体"/>
                <w:color w:val="auto"/>
                <w:sz w:val="21"/>
                <w:szCs w:val="21"/>
                <w:highlight w:val="none"/>
              </w:rPr>
            </w:pPr>
          </w:p>
        </w:tc>
      </w:tr>
      <w:tr w14:paraId="3630B1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FA0E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4.5.3.71</w:t>
            </w:r>
          </w:p>
        </w:tc>
        <w:tc>
          <w:tcPr>
            <w:tcW w:w="6982" w:type="dxa"/>
            <w:tcBorders>
              <w:tl2br w:val="nil"/>
              <w:tr2bl w:val="nil"/>
            </w:tcBorders>
            <w:vAlign w:val="center"/>
          </w:tcPr>
          <w:p w14:paraId="178550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退项、退费、增项、增费严格又灵活，能跟踪到责任人，杜绝团体结算漏洞，并具有完善的管理方式</w:t>
            </w:r>
          </w:p>
        </w:tc>
        <w:tc>
          <w:tcPr>
            <w:tcW w:w="870" w:type="dxa"/>
            <w:vMerge w:val="continue"/>
            <w:tcBorders>
              <w:tl2br w:val="nil"/>
              <w:tr2bl w:val="nil"/>
            </w:tcBorders>
            <w:noWrap/>
            <w:vAlign w:val="center"/>
          </w:tcPr>
          <w:p w14:paraId="719D11A0">
            <w:pPr>
              <w:spacing w:line="360" w:lineRule="auto"/>
              <w:jc w:val="center"/>
              <w:rPr>
                <w:rFonts w:hint="eastAsia" w:ascii="宋体" w:hAnsi="宋体" w:cs="宋体"/>
                <w:color w:val="auto"/>
                <w:sz w:val="21"/>
                <w:szCs w:val="21"/>
                <w:highlight w:val="none"/>
              </w:rPr>
            </w:pPr>
          </w:p>
        </w:tc>
      </w:tr>
      <w:tr w14:paraId="1E12169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A668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4.5.3.72</w:t>
            </w:r>
          </w:p>
        </w:tc>
        <w:tc>
          <w:tcPr>
            <w:tcW w:w="6982" w:type="dxa"/>
            <w:tcBorders>
              <w:tl2br w:val="nil"/>
              <w:tr2bl w:val="nil"/>
            </w:tcBorders>
            <w:vAlign w:val="center"/>
          </w:tcPr>
          <w:p w14:paraId="254B55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支持单位可按分组、按部门、按日期不同的筛选条件进行多次结算、预结算，结算后禁检操作，团体结算适应性强</w:t>
            </w:r>
          </w:p>
        </w:tc>
        <w:tc>
          <w:tcPr>
            <w:tcW w:w="870" w:type="dxa"/>
            <w:vMerge w:val="continue"/>
            <w:tcBorders>
              <w:tl2br w:val="nil"/>
              <w:tr2bl w:val="nil"/>
            </w:tcBorders>
            <w:noWrap/>
            <w:vAlign w:val="center"/>
          </w:tcPr>
          <w:p w14:paraId="4CBF2432">
            <w:pPr>
              <w:spacing w:line="360" w:lineRule="auto"/>
              <w:jc w:val="center"/>
              <w:rPr>
                <w:rFonts w:hint="eastAsia" w:ascii="宋体" w:hAnsi="宋体" w:cs="宋体"/>
                <w:color w:val="auto"/>
                <w:sz w:val="21"/>
                <w:szCs w:val="21"/>
                <w:highlight w:val="none"/>
              </w:rPr>
            </w:pPr>
          </w:p>
        </w:tc>
      </w:tr>
      <w:tr w14:paraId="68D763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3531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4.5.3.73</w:t>
            </w:r>
          </w:p>
        </w:tc>
        <w:tc>
          <w:tcPr>
            <w:tcW w:w="6982" w:type="dxa"/>
            <w:tcBorders>
              <w:tl2br w:val="nil"/>
              <w:tr2bl w:val="nil"/>
            </w:tcBorders>
            <w:vAlign w:val="center"/>
          </w:tcPr>
          <w:p w14:paraId="6988948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通过与检验 LIS 系统无缝连接，护士扫描指引单上条码在程序中处理检验项目、打印条码并粘贴，并为受检者进行采样。检验结果可直接回传到健康管理信息系统，最终总检自动汇总到报告上</w:t>
            </w:r>
          </w:p>
        </w:tc>
        <w:tc>
          <w:tcPr>
            <w:tcW w:w="870" w:type="dxa"/>
            <w:vMerge w:val="continue"/>
            <w:tcBorders>
              <w:tl2br w:val="nil"/>
              <w:tr2bl w:val="nil"/>
            </w:tcBorders>
            <w:noWrap/>
            <w:vAlign w:val="center"/>
          </w:tcPr>
          <w:p w14:paraId="18A6808F">
            <w:pPr>
              <w:spacing w:line="360" w:lineRule="auto"/>
              <w:jc w:val="center"/>
              <w:rPr>
                <w:rFonts w:hint="eastAsia" w:ascii="宋体" w:hAnsi="宋体" w:cs="宋体"/>
                <w:color w:val="auto"/>
                <w:sz w:val="21"/>
                <w:szCs w:val="21"/>
                <w:highlight w:val="none"/>
              </w:rPr>
            </w:pPr>
          </w:p>
        </w:tc>
      </w:tr>
      <w:tr w14:paraId="09EFAF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FCA1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4.5.3.74</w:t>
            </w:r>
          </w:p>
        </w:tc>
        <w:tc>
          <w:tcPr>
            <w:tcW w:w="6982" w:type="dxa"/>
            <w:tcBorders>
              <w:tl2br w:val="nil"/>
              <w:tr2bl w:val="nil"/>
            </w:tcBorders>
            <w:vAlign w:val="center"/>
          </w:tcPr>
          <w:p w14:paraId="5DA9BC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将体检者发送到中间表，科室医生只需刷体检号即可检查，检查后写完报告审核即可将文字小结和图片回传到健康管理信息系统</w:t>
            </w:r>
          </w:p>
        </w:tc>
        <w:tc>
          <w:tcPr>
            <w:tcW w:w="870" w:type="dxa"/>
            <w:vMerge w:val="continue"/>
            <w:tcBorders>
              <w:tl2br w:val="nil"/>
              <w:tr2bl w:val="nil"/>
            </w:tcBorders>
            <w:noWrap/>
            <w:vAlign w:val="center"/>
          </w:tcPr>
          <w:p w14:paraId="0384BFFA">
            <w:pPr>
              <w:spacing w:line="360" w:lineRule="auto"/>
              <w:jc w:val="center"/>
              <w:rPr>
                <w:rFonts w:hint="eastAsia" w:ascii="宋体" w:hAnsi="宋体" w:cs="宋体"/>
                <w:color w:val="auto"/>
                <w:sz w:val="21"/>
                <w:szCs w:val="21"/>
                <w:highlight w:val="none"/>
              </w:rPr>
            </w:pPr>
          </w:p>
        </w:tc>
      </w:tr>
      <w:tr w14:paraId="61C73F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20B2C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4.5.3.75</w:t>
            </w:r>
          </w:p>
        </w:tc>
        <w:tc>
          <w:tcPr>
            <w:tcW w:w="6982" w:type="dxa"/>
            <w:tcBorders>
              <w:tl2br w:val="nil"/>
              <w:tr2bl w:val="nil"/>
            </w:tcBorders>
            <w:vAlign w:val="center"/>
          </w:tcPr>
          <w:p w14:paraId="55E87A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通过与 PACS 系统无缝连接，体检者可直接凭指引单进行 X 线、超声、病理、内镜等影像科室的检查，无需再持各类申请单及收费单，同时医生只需要在影像系统录入体检报告（包括图文报告），审核完成后检查结果直接传到健康管理信息系统</w:t>
            </w:r>
          </w:p>
        </w:tc>
        <w:tc>
          <w:tcPr>
            <w:tcW w:w="870" w:type="dxa"/>
            <w:vMerge w:val="continue"/>
            <w:tcBorders>
              <w:tl2br w:val="nil"/>
              <w:tr2bl w:val="nil"/>
            </w:tcBorders>
            <w:noWrap/>
            <w:vAlign w:val="center"/>
          </w:tcPr>
          <w:p w14:paraId="4D5EF9EA">
            <w:pPr>
              <w:spacing w:line="360" w:lineRule="auto"/>
              <w:jc w:val="center"/>
              <w:rPr>
                <w:rFonts w:hint="eastAsia" w:ascii="宋体" w:hAnsi="宋体" w:cs="宋体"/>
                <w:color w:val="auto"/>
                <w:sz w:val="21"/>
                <w:szCs w:val="21"/>
                <w:highlight w:val="none"/>
              </w:rPr>
            </w:pPr>
          </w:p>
        </w:tc>
      </w:tr>
      <w:tr w14:paraId="65652F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3612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4.5.3.76</w:t>
            </w:r>
          </w:p>
        </w:tc>
        <w:tc>
          <w:tcPr>
            <w:tcW w:w="6982" w:type="dxa"/>
            <w:tcBorders>
              <w:tl2br w:val="nil"/>
              <w:tr2bl w:val="nil"/>
            </w:tcBorders>
            <w:vAlign w:val="center"/>
          </w:tcPr>
          <w:p w14:paraId="28BA51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体检可以通过健康管理信息系统与 HIS 接口实现数据的交互，可以实现院内转诊、就诊统计功能</w:t>
            </w:r>
          </w:p>
        </w:tc>
        <w:tc>
          <w:tcPr>
            <w:tcW w:w="870" w:type="dxa"/>
            <w:vMerge w:val="continue"/>
            <w:tcBorders>
              <w:tl2br w:val="nil"/>
              <w:tr2bl w:val="nil"/>
            </w:tcBorders>
            <w:noWrap/>
            <w:vAlign w:val="center"/>
          </w:tcPr>
          <w:p w14:paraId="10F7FBBD">
            <w:pPr>
              <w:spacing w:line="360" w:lineRule="auto"/>
              <w:jc w:val="center"/>
              <w:rPr>
                <w:rFonts w:hint="eastAsia" w:ascii="宋体" w:hAnsi="宋体" w:cs="宋体"/>
                <w:color w:val="auto"/>
                <w:sz w:val="21"/>
                <w:szCs w:val="21"/>
                <w:highlight w:val="none"/>
              </w:rPr>
            </w:pPr>
          </w:p>
        </w:tc>
      </w:tr>
      <w:tr w14:paraId="42A228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57B2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4.5.3.77</w:t>
            </w:r>
          </w:p>
        </w:tc>
        <w:tc>
          <w:tcPr>
            <w:tcW w:w="6982" w:type="dxa"/>
            <w:tcBorders>
              <w:tl2br w:val="nil"/>
              <w:tr2bl w:val="nil"/>
            </w:tcBorders>
            <w:vAlign w:val="center"/>
          </w:tcPr>
          <w:p w14:paraId="2D84903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主要实现图片报告传输到健康管理信息系统（科室内支持数据传输的现有设备），完成现有已对接的设备数据接口</w:t>
            </w:r>
          </w:p>
        </w:tc>
        <w:tc>
          <w:tcPr>
            <w:tcW w:w="870" w:type="dxa"/>
            <w:vMerge w:val="continue"/>
            <w:tcBorders>
              <w:tl2br w:val="nil"/>
              <w:tr2bl w:val="nil"/>
            </w:tcBorders>
            <w:noWrap/>
            <w:vAlign w:val="center"/>
          </w:tcPr>
          <w:p w14:paraId="5558B379">
            <w:pPr>
              <w:spacing w:line="360" w:lineRule="auto"/>
              <w:jc w:val="center"/>
              <w:rPr>
                <w:rFonts w:hint="eastAsia" w:ascii="宋体" w:hAnsi="宋体" w:cs="宋体"/>
                <w:color w:val="auto"/>
                <w:sz w:val="21"/>
                <w:szCs w:val="21"/>
                <w:highlight w:val="none"/>
              </w:rPr>
            </w:pPr>
          </w:p>
        </w:tc>
      </w:tr>
      <w:tr w14:paraId="1CFE7D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7A74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4.5.3.78</w:t>
            </w:r>
          </w:p>
        </w:tc>
        <w:tc>
          <w:tcPr>
            <w:tcW w:w="6982" w:type="dxa"/>
            <w:tcBorders>
              <w:tl2br w:val="nil"/>
              <w:tr2bl w:val="nil"/>
            </w:tcBorders>
            <w:vAlign w:val="center"/>
          </w:tcPr>
          <w:p w14:paraId="238407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个人数据查询能实现名字、编号、身份证、手机等信息查询个人所有记录，并有健康发展趋势分析</w:t>
            </w:r>
          </w:p>
        </w:tc>
        <w:tc>
          <w:tcPr>
            <w:tcW w:w="870" w:type="dxa"/>
            <w:vMerge w:val="continue"/>
            <w:tcBorders>
              <w:tl2br w:val="nil"/>
              <w:tr2bl w:val="nil"/>
            </w:tcBorders>
            <w:noWrap/>
            <w:vAlign w:val="center"/>
          </w:tcPr>
          <w:p w14:paraId="1CD4F7FF">
            <w:pPr>
              <w:spacing w:line="360" w:lineRule="auto"/>
              <w:jc w:val="center"/>
              <w:rPr>
                <w:rFonts w:hint="eastAsia" w:ascii="宋体" w:hAnsi="宋体" w:cs="宋体"/>
                <w:color w:val="auto"/>
                <w:sz w:val="21"/>
                <w:szCs w:val="21"/>
                <w:highlight w:val="none"/>
              </w:rPr>
            </w:pPr>
          </w:p>
        </w:tc>
      </w:tr>
      <w:tr w14:paraId="4E3256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FE11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4.5.3.79</w:t>
            </w:r>
          </w:p>
        </w:tc>
        <w:tc>
          <w:tcPr>
            <w:tcW w:w="6982" w:type="dxa"/>
            <w:tcBorders>
              <w:tl2br w:val="nil"/>
              <w:tr2bl w:val="nil"/>
            </w:tcBorders>
            <w:vAlign w:val="center"/>
          </w:tcPr>
          <w:p w14:paraId="26F5AA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能根据多种查询条件查询科室工作量、医生工作量、疾病统计信息等，用于中心管理、考核、科研</w:t>
            </w:r>
          </w:p>
        </w:tc>
        <w:tc>
          <w:tcPr>
            <w:tcW w:w="870" w:type="dxa"/>
            <w:vMerge w:val="continue"/>
            <w:tcBorders>
              <w:tl2br w:val="nil"/>
              <w:tr2bl w:val="nil"/>
            </w:tcBorders>
            <w:noWrap/>
            <w:vAlign w:val="center"/>
          </w:tcPr>
          <w:p w14:paraId="7A591EB2">
            <w:pPr>
              <w:spacing w:line="360" w:lineRule="auto"/>
              <w:jc w:val="center"/>
              <w:rPr>
                <w:rFonts w:hint="eastAsia" w:ascii="宋体" w:hAnsi="宋体" w:cs="宋体"/>
                <w:color w:val="auto"/>
                <w:sz w:val="21"/>
                <w:szCs w:val="21"/>
                <w:highlight w:val="none"/>
              </w:rPr>
            </w:pPr>
          </w:p>
        </w:tc>
      </w:tr>
      <w:tr w14:paraId="4C4739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582A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4.5.3.80</w:t>
            </w:r>
          </w:p>
        </w:tc>
        <w:tc>
          <w:tcPr>
            <w:tcW w:w="6982" w:type="dxa"/>
            <w:tcBorders>
              <w:tl2br w:val="nil"/>
              <w:tr2bl w:val="nil"/>
            </w:tcBorders>
            <w:vAlign w:val="center"/>
          </w:tcPr>
          <w:p w14:paraId="42F850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按时间段、科室、医师、体检项目类别等方式对建档和实际体检工作量查询统计</w:t>
            </w:r>
          </w:p>
        </w:tc>
        <w:tc>
          <w:tcPr>
            <w:tcW w:w="870" w:type="dxa"/>
            <w:vMerge w:val="continue"/>
            <w:tcBorders>
              <w:tl2br w:val="nil"/>
              <w:tr2bl w:val="nil"/>
            </w:tcBorders>
            <w:noWrap/>
            <w:vAlign w:val="center"/>
          </w:tcPr>
          <w:p w14:paraId="3D583D66">
            <w:pPr>
              <w:spacing w:line="360" w:lineRule="auto"/>
              <w:jc w:val="center"/>
              <w:rPr>
                <w:rFonts w:hint="eastAsia" w:ascii="宋体" w:hAnsi="宋体" w:cs="宋体"/>
                <w:color w:val="auto"/>
                <w:sz w:val="21"/>
                <w:szCs w:val="21"/>
                <w:highlight w:val="none"/>
              </w:rPr>
            </w:pPr>
          </w:p>
        </w:tc>
      </w:tr>
      <w:tr w14:paraId="7F1339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4560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4.5.3.81</w:t>
            </w:r>
          </w:p>
        </w:tc>
        <w:tc>
          <w:tcPr>
            <w:tcW w:w="6982" w:type="dxa"/>
            <w:tcBorders>
              <w:tl2br w:val="nil"/>
              <w:tr2bl w:val="nil"/>
            </w:tcBorders>
            <w:vAlign w:val="center"/>
          </w:tcPr>
          <w:p w14:paraId="5D5E91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维护体检中心的基础信息、比如体检类型、人员类型、各家医院的基础信息</w:t>
            </w:r>
          </w:p>
        </w:tc>
        <w:tc>
          <w:tcPr>
            <w:tcW w:w="870" w:type="dxa"/>
            <w:vMerge w:val="continue"/>
            <w:tcBorders>
              <w:tl2br w:val="nil"/>
              <w:tr2bl w:val="nil"/>
            </w:tcBorders>
            <w:noWrap/>
            <w:vAlign w:val="center"/>
          </w:tcPr>
          <w:p w14:paraId="627BB0ED">
            <w:pPr>
              <w:spacing w:line="360" w:lineRule="auto"/>
              <w:jc w:val="center"/>
              <w:rPr>
                <w:rFonts w:hint="eastAsia" w:ascii="宋体" w:hAnsi="宋体" w:cs="宋体"/>
                <w:color w:val="auto"/>
                <w:sz w:val="21"/>
                <w:szCs w:val="21"/>
                <w:highlight w:val="none"/>
              </w:rPr>
            </w:pPr>
          </w:p>
        </w:tc>
      </w:tr>
      <w:tr w14:paraId="6384185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8168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4.5.3.82</w:t>
            </w:r>
          </w:p>
        </w:tc>
        <w:tc>
          <w:tcPr>
            <w:tcW w:w="6982" w:type="dxa"/>
            <w:tcBorders>
              <w:tl2br w:val="nil"/>
              <w:tr2bl w:val="nil"/>
            </w:tcBorders>
            <w:vAlign w:val="center"/>
          </w:tcPr>
          <w:p w14:paraId="2EE4B0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维护员工的登录用户名和密码，每个人一个账户</w:t>
            </w:r>
          </w:p>
        </w:tc>
        <w:tc>
          <w:tcPr>
            <w:tcW w:w="870" w:type="dxa"/>
            <w:vMerge w:val="continue"/>
            <w:tcBorders>
              <w:tl2br w:val="nil"/>
              <w:tr2bl w:val="nil"/>
            </w:tcBorders>
            <w:noWrap/>
            <w:vAlign w:val="center"/>
          </w:tcPr>
          <w:p w14:paraId="58E2E96F">
            <w:pPr>
              <w:spacing w:line="360" w:lineRule="auto"/>
              <w:jc w:val="center"/>
              <w:rPr>
                <w:rFonts w:hint="eastAsia" w:ascii="宋体" w:hAnsi="宋体" w:cs="宋体"/>
                <w:color w:val="auto"/>
                <w:sz w:val="21"/>
                <w:szCs w:val="21"/>
                <w:highlight w:val="none"/>
              </w:rPr>
            </w:pPr>
          </w:p>
        </w:tc>
      </w:tr>
      <w:tr w14:paraId="0A1D39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DC62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4.5.3.83</w:t>
            </w:r>
          </w:p>
        </w:tc>
        <w:tc>
          <w:tcPr>
            <w:tcW w:w="6982" w:type="dxa"/>
            <w:tcBorders>
              <w:tl2br w:val="nil"/>
              <w:tr2bl w:val="nil"/>
            </w:tcBorders>
            <w:vAlign w:val="center"/>
          </w:tcPr>
          <w:p w14:paraId="71C623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维护体检中心的收费项目和相关设置，如收费项目属性、冲突项目</w:t>
            </w:r>
          </w:p>
        </w:tc>
        <w:tc>
          <w:tcPr>
            <w:tcW w:w="870" w:type="dxa"/>
            <w:vMerge w:val="continue"/>
            <w:tcBorders>
              <w:tl2br w:val="nil"/>
              <w:tr2bl w:val="nil"/>
            </w:tcBorders>
            <w:noWrap/>
            <w:vAlign w:val="center"/>
          </w:tcPr>
          <w:p w14:paraId="46A474BD">
            <w:pPr>
              <w:spacing w:line="360" w:lineRule="auto"/>
              <w:jc w:val="center"/>
              <w:rPr>
                <w:rFonts w:hint="eastAsia" w:ascii="宋体" w:hAnsi="宋体" w:cs="宋体"/>
                <w:color w:val="auto"/>
                <w:sz w:val="21"/>
                <w:szCs w:val="21"/>
                <w:highlight w:val="none"/>
              </w:rPr>
            </w:pPr>
          </w:p>
        </w:tc>
      </w:tr>
      <w:tr w14:paraId="49B949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7E07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4.5.3.84</w:t>
            </w:r>
          </w:p>
        </w:tc>
        <w:tc>
          <w:tcPr>
            <w:tcW w:w="6982" w:type="dxa"/>
            <w:tcBorders>
              <w:tl2br w:val="nil"/>
              <w:tr2bl w:val="nil"/>
            </w:tcBorders>
            <w:vAlign w:val="center"/>
          </w:tcPr>
          <w:p w14:paraId="4C6AA6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维护体检的分科、总检结论词条</w:t>
            </w:r>
          </w:p>
        </w:tc>
        <w:tc>
          <w:tcPr>
            <w:tcW w:w="870" w:type="dxa"/>
            <w:vMerge w:val="continue"/>
            <w:tcBorders>
              <w:tl2br w:val="nil"/>
              <w:tr2bl w:val="nil"/>
            </w:tcBorders>
            <w:noWrap/>
            <w:vAlign w:val="center"/>
          </w:tcPr>
          <w:p w14:paraId="347F6892">
            <w:pPr>
              <w:spacing w:line="360" w:lineRule="auto"/>
              <w:jc w:val="center"/>
              <w:rPr>
                <w:rFonts w:hint="eastAsia" w:ascii="宋体" w:hAnsi="宋体" w:cs="宋体"/>
                <w:color w:val="auto"/>
                <w:sz w:val="21"/>
                <w:szCs w:val="21"/>
                <w:highlight w:val="none"/>
              </w:rPr>
            </w:pPr>
          </w:p>
        </w:tc>
      </w:tr>
      <w:tr w14:paraId="35D9DE0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C8FD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4.5.3.85</w:t>
            </w:r>
          </w:p>
        </w:tc>
        <w:tc>
          <w:tcPr>
            <w:tcW w:w="6982" w:type="dxa"/>
            <w:tcBorders>
              <w:tl2br w:val="nil"/>
              <w:tr2bl w:val="nil"/>
            </w:tcBorders>
            <w:vAlign w:val="center"/>
          </w:tcPr>
          <w:p w14:paraId="7C0830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健康管理信息系统中其他相关的系统字典维护等</w:t>
            </w:r>
          </w:p>
        </w:tc>
        <w:tc>
          <w:tcPr>
            <w:tcW w:w="870" w:type="dxa"/>
            <w:vMerge w:val="continue"/>
            <w:tcBorders>
              <w:tl2br w:val="nil"/>
              <w:tr2bl w:val="nil"/>
            </w:tcBorders>
            <w:noWrap/>
            <w:vAlign w:val="center"/>
          </w:tcPr>
          <w:p w14:paraId="02C52A9F">
            <w:pPr>
              <w:spacing w:line="360" w:lineRule="auto"/>
              <w:jc w:val="center"/>
              <w:rPr>
                <w:rFonts w:hint="eastAsia" w:ascii="宋体" w:hAnsi="宋体" w:cs="宋体"/>
                <w:color w:val="auto"/>
                <w:sz w:val="21"/>
                <w:szCs w:val="21"/>
                <w:highlight w:val="none"/>
              </w:rPr>
            </w:pPr>
          </w:p>
        </w:tc>
      </w:tr>
      <w:tr w14:paraId="4D1AD0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E637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4.5.3.86</w:t>
            </w:r>
          </w:p>
        </w:tc>
        <w:tc>
          <w:tcPr>
            <w:tcW w:w="6982" w:type="dxa"/>
            <w:tcBorders>
              <w:tl2br w:val="nil"/>
              <w:tr2bl w:val="nil"/>
            </w:tcBorders>
            <w:vAlign w:val="center"/>
          </w:tcPr>
          <w:p w14:paraId="7000DB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以菜单界面控件及特殊权限分配，实现通用化权限及特殊化权限功能</w:t>
            </w:r>
          </w:p>
        </w:tc>
        <w:tc>
          <w:tcPr>
            <w:tcW w:w="870" w:type="dxa"/>
            <w:vMerge w:val="continue"/>
            <w:tcBorders>
              <w:tl2br w:val="nil"/>
              <w:tr2bl w:val="nil"/>
            </w:tcBorders>
            <w:noWrap/>
            <w:vAlign w:val="center"/>
          </w:tcPr>
          <w:p w14:paraId="3E3986FE">
            <w:pPr>
              <w:spacing w:line="360" w:lineRule="auto"/>
              <w:jc w:val="center"/>
              <w:rPr>
                <w:rFonts w:hint="eastAsia" w:ascii="宋体" w:hAnsi="宋体" w:cs="宋体"/>
                <w:color w:val="auto"/>
                <w:sz w:val="21"/>
                <w:szCs w:val="21"/>
                <w:highlight w:val="none"/>
              </w:rPr>
            </w:pPr>
          </w:p>
        </w:tc>
      </w:tr>
      <w:tr w14:paraId="324246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C809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4.5.3.87</w:t>
            </w:r>
          </w:p>
        </w:tc>
        <w:tc>
          <w:tcPr>
            <w:tcW w:w="6982" w:type="dxa"/>
            <w:tcBorders>
              <w:tl2br w:val="nil"/>
              <w:tr2bl w:val="nil"/>
            </w:tcBorders>
            <w:vAlign w:val="center"/>
          </w:tcPr>
          <w:p w14:paraId="600072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对各用户、各应用程序操作进行日志记录，并可按时间、身份证号、操作人等条件进行查阅（软件客户端时间以服务器时间为准，若时间不符合，系统给予提示）</w:t>
            </w:r>
          </w:p>
        </w:tc>
        <w:tc>
          <w:tcPr>
            <w:tcW w:w="870" w:type="dxa"/>
            <w:vMerge w:val="continue"/>
            <w:tcBorders>
              <w:tl2br w:val="nil"/>
              <w:tr2bl w:val="nil"/>
            </w:tcBorders>
            <w:noWrap/>
            <w:vAlign w:val="center"/>
          </w:tcPr>
          <w:p w14:paraId="449D49B2">
            <w:pPr>
              <w:spacing w:line="360" w:lineRule="auto"/>
              <w:jc w:val="center"/>
              <w:rPr>
                <w:rFonts w:hint="eastAsia" w:ascii="宋体" w:hAnsi="宋体" w:cs="宋体"/>
                <w:color w:val="auto"/>
                <w:sz w:val="21"/>
                <w:szCs w:val="21"/>
                <w:highlight w:val="none"/>
              </w:rPr>
            </w:pPr>
          </w:p>
        </w:tc>
      </w:tr>
      <w:tr w14:paraId="407C491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9941B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4.5.3.88</w:t>
            </w:r>
          </w:p>
        </w:tc>
        <w:tc>
          <w:tcPr>
            <w:tcW w:w="6982" w:type="dxa"/>
            <w:tcBorders>
              <w:tl2br w:val="nil"/>
              <w:tr2bl w:val="nil"/>
            </w:tcBorders>
            <w:vAlign w:val="center"/>
          </w:tcPr>
          <w:p w14:paraId="5A817D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根据体检日期、体检类型、团体名称等条件对体检者进行筛选并分配给相应的健康管理师进行回访</w:t>
            </w:r>
          </w:p>
        </w:tc>
        <w:tc>
          <w:tcPr>
            <w:tcW w:w="870" w:type="dxa"/>
            <w:vMerge w:val="continue"/>
            <w:tcBorders>
              <w:tl2br w:val="nil"/>
              <w:tr2bl w:val="nil"/>
            </w:tcBorders>
            <w:noWrap/>
            <w:vAlign w:val="center"/>
          </w:tcPr>
          <w:p w14:paraId="5BE87AF7">
            <w:pPr>
              <w:spacing w:line="360" w:lineRule="auto"/>
              <w:jc w:val="center"/>
              <w:rPr>
                <w:rFonts w:hint="eastAsia" w:ascii="宋体" w:hAnsi="宋体" w:cs="宋体"/>
                <w:color w:val="auto"/>
                <w:sz w:val="21"/>
                <w:szCs w:val="21"/>
                <w:highlight w:val="none"/>
              </w:rPr>
            </w:pPr>
          </w:p>
        </w:tc>
      </w:tr>
      <w:tr w14:paraId="5BF1D7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2432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4.5.3.89</w:t>
            </w:r>
          </w:p>
        </w:tc>
        <w:tc>
          <w:tcPr>
            <w:tcW w:w="6982" w:type="dxa"/>
            <w:tcBorders>
              <w:tl2br w:val="nil"/>
              <w:tr2bl w:val="nil"/>
            </w:tcBorders>
            <w:vAlign w:val="center"/>
          </w:tcPr>
          <w:p w14:paraId="3B3767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回访过程可记录回访的日期、回访事项、回访满意度</w:t>
            </w:r>
          </w:p>
        </w:tc>
        <w:tc>
          <w:tcPr>
            <w:tcW w:w="870" w:type="dxa"/>
            <w:vMerge w:val="continue"/>
            <w:tcBorders>
              <w:tl2br w:val="nil"/>
              <w:tr2bl w:val="nil"/>
            </w:tcBorders>
            <w:noWrap/>
            <w:vAlign w:val="center"/>
          </w:tcPr>
          <w:p w14:paraId="43E69647">
            <w:pPr>
              <w:spacing w:line="360" w:lineRule="auto"/>
              <w:jc w:val="center"/>
              <w:rPr>
                <w:rFonts w:hint="eastAsia" w:ascii="宋体" w:hAnsi="宋体" w:cs="宋体"/>
                <w:color w:val="auto"/>
                <w:sz w:val="21"/>
                <w:szCs w:val="21"/>
                <w:highlight w:val="none"/>
              </w:rPr>
            </w:pPr>
          </w:p>
        </w:tc>
      </w:tr>
      <w:tr w14:paraId="18ABB70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7169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4.5.3.90</w:t>
            </w:r>
          </w:p>
        </w:tc>
        <w:tc>
          <w:tcPr>
            <w:tcW w:w="6982" w:type="dxa"/>
            <w:tcBorders>
              <w:tl2br w:val="nil"/>
              <w:tr2bl w:val="nil"/>
            </w:tcBorders>
            <w:vAlign w:val="center"/>
          </w:tcPr>
          <w:p w14:paraId="5D0EBC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对于有二次追踪需求的体检者可设置下一次的追踪日期并自动提醒进行下一次的回访</w:t>
            </w:r>
          </w:p>
        </w:tc>
        <w:tc>
          <w:tcPr>
            <w:tcW w:w="870" w:type="dxa"/>
            <w:vMerge w:val="continue"/>
            <w:tcBorders>
              <w:tl2br w:val="nil"/>
              <w:tr2bl w:val="nil"/>
            </w:tcBorders>
            <w:noWrap/>
            <w:vAlign w:val="center"/>
          </w:tcPr>
          <w:p w14:paraId="66C976CD">
            <w:pPr>
              <w:spacing w:line="360" w:lineRule="auto"/>
              <w:jc w:val="center"/>
              <w:rPr>
                <w:rFonts w:hint="eastAsia" w:ascii="宋体" w:hAnsi="宋体" w:cs="宋体"/>
                <w:color w:val="auto"/>
                <w:sz w:val="21"/>
                <w:szCs w:val="21"/>
                <w:highlight w:val="none"/>
              </w:rPr>
            </w:pPr>
          </w:p>
        </w:tc>
      </w:tr>
      <w:tr w14:paraId="273462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FB43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4.5.3.91</w:t>
            </w:r>
          </w:p>
        </w:tc>
        <w:tc>
          <w:tcPr>
            <w:tcW w:w="6982" w:type="dxa"/>
            <w:tcBorders>
              <w:tl2br w:val="nil"/>
              <w:tr2bl w:val="nil"/>
            </w:tcBorders>
            <w:vAlign w:val="center"/>
          </w:tcPr>
          <w:p w14:paraId="3D9D09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可对随访结果进行统计分析，提供相关的分析报表</w:t>
            </w:r>
          </w:p>
        </w:tc>
        <w:tc>
          <w:tcPr>
            <w:tcW w:w="870" w:type="dxa"/>
            <w:vMerge w:val="continue"/>
            <w:tcBorders>
              <w:tl2br w:val="nil"/>
              <w:tr2bl w:val="nil"/>
            </w:tcBorders>
            <w:noWrap/>
            <w:vAlign w:val="center"/>
          </w:tcPr>
          <w:p w14:paraId="1469FB46">
            <w:pPr>
              <w:spacing w:line="360" w:lineRule="auto"/>
              <w:jc w:val="center"/>
              <w:rPr>
                <w:rFonts w:hint="eastAsia" w:ascii="宋体" w:hAnsi="宋体" w:cs="宋体"/>
                <w:color w:val="auto"/>
                <w:sz w:val="21"/>
                <w:szCs w:val="21"/>
                <w:highlight w:val="none"/>
              </w:rPr>
            </w:pPr>
          </w:p>
        </w:tc>
      </w:tr>
      <w:tr w14:paraId="1CA397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356B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4.5.3.92</w:t>
            </w:r>
          </w:p>
        </w:tc>
        <w:tc>
          <w:tcPr>
            <w:tcW w:w="6982" w:type="dxa"/>
            <w:tcBorders>
              <w:tl2br w:val="nil"/>
              <w:tr2bl w:val="nil"/>
            </w:tcBorders>
            <w:vAlign w:val="center"/>
          </w:tcPr>
          <w:p w14:paraId="5DD03F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重大疾病追踪建议增项检查结果，复查结果，诊断结果，诊断医院等一目了然，方便查阅和归档，也为科研提供宝贵的数据支持</w:t>
            </w:r>
          </w:p>
        </w:tc>
        <w:tc>
          <w:tcPr>
            <w:tcW w:w="870" w:type="dxa"/>
            <w:vMerge w:val="continue"/>
            <w:tcBorders>
              <w:tl2br w:val="nil"/>
              <w:tr2bl w:val="nil"/>
            </w:tcBorders>
            <w:noWrap/>
            <w:vAlign w:val="center"/>
          </w:tcPr>
          <w:p w14:paraId="69439D10">
            <w:pPr>
              <w:spacing w:line="360" w:lineRule="auto"/>
              <w:jc w:val="center"/>
              <w:rPr>
                <w:rFonts w:hint="eastAsia" w:ascii="宋体" w:hAnsi="宋体" w:cs="宋体"/>
                <w:color w:val="auto"/>
                <w:sz w:val="21"/>
                <w:szCs w:val="21"/>
                <w:highlight w:val="none"/>
              </w:rPr>
            </w:pPr>
          </w:p>
        </w:tc>
      </w:tr>
      <w:tr w14:paraId="1DA1210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C64E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4.5.3.93</w:t>
            </w:r>
          </w:p>
        </w:tc>
        <w:tc>
          <w:tcPr>
            <w:tcW w:w="6982" w:type="dxa"/>
            <w:tcBorders>
              <w:tl2br w:val="nil"/>
              <w:tr2bl w:val="nil"/>
            </w:tcBorders>
            <w:vAlign w:val="center"/>
          </w:tcPr>
          <w:p w14:paraId="0D195F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通过分科、总检、咨询等几大环节（有重大发现时可自动通知其他科室和总检等）；避免重大疾病漏诊、漏交接、漏通知，加强科室之间的协调配合，提高诊断率，增加客户的信任感和依从性</w:t>
            </w:r>
          </w:p>
        </w:tc>
        <w:tc>
          <w:tcPr>
            <w:tcW w:w="870" w:type="dxa"/>
            <w:vMerge w:val="continue"/>
            <w:tcBorders>
              <w:tl2br w:val="nil"/>
              <w:tr2bl w:val="nil"/>
            </w:tcBorders>
            <w:noWrap/>
            <w:vAlign w:val="center"/>
          </w:tcPr>
          <w:p w14:paraId="520C50CC">
            <w:pPr>
              <w:spacing w:line="360" w:lineRule="auto"/>
              <w:jc w:val="center"/>
              <w:rPr>
                <w:rFonts w:hint="eastAsia" w:ascii="宋体" w:hAnsi="宋体" w:cs="宋体"/>
                <w:color w:val="auto"/>
                <w:sz w:val="21"/>
                <w:szCs w:val="21"/>
                <w:highlight w:val="none"/>
              </w:rPr>
            </w:pPr>
          </w:p>
        </w:tc>
      </w:tr>
      <w:tr w14:paraId="5DE731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080D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w:t>
            </w:r>
          </w:p>
        </w:tc>
        <w:tc>
          <w:tcPr>
            <w:tcW w:w="6982" w:type="dxa"/>
            <w:tcBorders>
              <w:tl2br w:val="nil"/>
              <w:tr2bl w:val="nil"/>
            </w:tcBorders>
            <w:vAlign w:val="center"/>
          </w:tcPr>
          <w:p w14:paraId="51F4D6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职业病体检系统</w:t>
            </w:r>
          </w:p>
        </w:tc>
        <w:tc>
          <w:tcPr>
            <w:tcW w:w="870" w:type="dxa"/>
            <w:vMerge w:val="continue"/>
            <w:tcBorders>
              <w:tl2br w:val="nil"/>
              <w:tr2bl w:val="nil"/>
            </w:tcBorders>
            <w:noWrap/>
            <w:vAlign w:val="center"/>
          </w:tcPr>
          <w:p w14:paraId="52810AE1">
            <w:pPr>
              <w:spacing w:line="360" w:lineRule="auto"/>
              <w:jc w:val="center"/>
              <w:rPr>
                <w:rFonts w:hint="eastAsia" w:ascii="宋体" w:hAnsi="宋体" w:cs="宋体"/>
                <w:color w:val="auto"/>
                <w:sz w:val="21"/>
                <w:szCs w:val="21"/>
                <w:highlight w:val="none"/>
              </w:rPr>
            </w:pPr>
          </w:p>
        </w:tc>
      </w:tr>
      <w:tr w14:paraId="400454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ECF1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w:t>
            </w:r>
          </w:p>
        </w:tc>
        <w:tc>
          <w:tcPr>
            <w:tcW w:w="6982" w:type="dxa"/>
            <w:tcBorders>
              <w:tl2br w:val="nil"/>
              <w:tr2bl w:val="nil"/>
            </w:tcBorders>
            <w:vAlign w:val="center"/>
          </w:tcPr>
          <w:p w14:paraId="2672C7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在导入团体名单时，支持记录体检者的职业岗别、危害因素、工龄、以及总工龄等</w:t>
            </w:r>
          </w:p>
        </w:tc>
        <w:tc>
          <w:tcPr>
            <w:tcW w:w="870" w:type="dxa"/>
            <w:vMerge w:val="continue"/>
            <w:tcBorders>
              <w:tl2br w:val="nil"/>
              <w:tr2bl w:val="nil"/>
            </w:tcBorders>
            <w:noWrap/>
            <w:vAlign w:val="center"/>
          </w:tcPr>
          <w:p w14:paraId="18386045">
            <w:pPr>
              <w:spacing w:line="360" w:lineRule="auto"/>
              <w:jc w:val="center"/>
              <w:rPr>
                <w:rFonts w:hint="eastAsia" w:ascii="宋体" w:hAnsi="宋体" w:cs="宋体"/>
                <w:color w:val="auto"/>
                <w:sz w:val="21"/>
                <w:szCs w:val="21"/>
                <w:highlight w:val="none"/>
              </w:rPr>
            </w:pPr>
          </w:p>
        </w:tc>
      </w:tr>
      <w:tr w14:paraId="7CB854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A122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4.5.4.2</w:t>
            </w:r>
          </w:p>
        </w:tc>
        <w:tc>
          <w:tcPr>
            <w:tcW w:w="6982" w:type="dxa"/>
            <w:tcBorders>
              <w:tl2br w:val="nil"/>
              <w:tr2bl w:val="nil"/>
            </w:tcBorders>
            <w:vAlign w:val="center"/>
          </w:tcPr>
          <w:p w14:paraId="14299C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支持根据导入的信息显示出相应的危害因素及岗别和危害公龄</w:t>
            </w:r>
          </w:p>
        </w:tc>
        <w:tc>
          <w:tcPr>
            <w:tcW w:w="870" w:type="dxa"/>
            <w:vMerge w:val="continue"/>
            <w:tcBorders>
              <w:tl2br w:val="nil"/>
              <w:tr2bl w:val="nil"/>
            </w:tcBorders>
            <w:noWrap/>
            <w:vAlign w:val="center"/>
          </w:tcPr>
          <w:p w14:paraId="22B1DA5F">
            <w:pPr>
              <w:spacing w:line="360" w:lineRule="auto"/>
              <w:jc w:val="center"/>
              <w:rPr>
                <w:rFonts w:hint="eastAsia" w:ascii="宋体" w:hAnsi="宋体" w:cs="宋体"/>
                <w:color w:val="auto"/>
                <w:sz w:val="21"/>
                <w:szCs w:val="21"/>
                <w:highlight w:val="none"/>
              </w:rPr>
            </w:pPr>
          </w:p>
        </w:tc>
      </w:tr>
      <w:tr w14:paraId="41D3922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2C73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4.5.4.3</w:t>
            </w:r>
          </w:p>
        </w:tc>
        <w:tc>
          <w:tcPr>
            <w:tcW w:w="6982" w:type="dxa"/>
            <w:tcBorders>
              <w:tl2br w:val="nil"/>
              <w:tr2bl w:val="nil"/>
            </w:tcBorders>
            <w:vAlign w:val="center"/>
          </w:tcPr>
          <w:p w14:paraId="231A87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根据不同单位的职业危害因素维护不同的分组及体检套餐，然后导入单位的体检名单，生成相应的体检项目</w:t>
            </w:r>
          </w:p>
        </w:tc>
        <w:tc>
          <w:tcPr>
            <w:tcW w:w="870" w:type="dxa"/>
            <w:vMerge w:val="continue"/>
            <w:tcBorders>
              <w:tl2br w:val="nil"/>
              <w:tr2bl w:val="nil"/>
            </w:tcBorders>
            <w:noWrap/>
            <w:vAlign w:val="center"/>
          </w:tcPr>
          <w:p w14:paraId="1A709DC1">
            <w:pPr>
              <w:spacing w:line="360" w:lineRule="auto"/>
              <w:jc w:val="center"/>
              <w:rPr>
                <w:rFonts w:hint="eastAsia" w:ascii="宋体" w:hAnsi="宋体" w:cs="宋体"/>
                <w:color w:val="auto"/>
                <w:sz w:val="21"/>
                <w:szCs w:val="21"/>
                <w:highlight w:val="none"/>
              </w:rPr>
            </w:pPr>
          </w:p>
        </w:tc>
      </w:tr>
      <w:tr w14:paraId="3A48CC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E759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4.5.4.4</w:t>
            </w:r>
          </w:p>
        </w:tc>
        <w:tc>
          <w:tcPr>
            <w:tcW w:w="6982" w:type="dxa"/>
            <w:tcBorders>
              <w:tl2br w:val="nil"/>
              <w:tr2bl w:val="nil"/>
            </w:tcBorders>
            <w:vAlign w:val="center"/>
          </w:tcPr>
          <w:p w14:paraId="4BC366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维护好危害因素对应的套餐名称，及套餐相关检查项目</w:t>
            </w:r>
          </w:p>
        </w:tc>
        <w:tc>
          <w:tcPr>
            <w:tcW w:w="870" w:type="dxa"/>
            <w:vMerge w:val="continue"/>
            <w:tcBorders>
              <w:tl2br w:val="nil"/>
              <w:tr2bl w:val="nil"/>
            </w:tcBorders>
            <w:noWrap/>
            <w:vAlign w:val="center"/>
          </w:tcPr>
          <w:p w14:paraId="0655B409">
            <w:pPr>
              <w:spacing w:line="360" w:lineRule="auto"/>
              <w:jc w:val="center"/>
              <w:rPr>
                <w:rFonts w:hint="eastAsia" w:ascii="宋体" w:hAnsi="宋体" w:cs="宋体"/>
                <w:color w:val="auto"/>
                <w:sz w:val="21"/>
                <w:szCs w:val="21"/>
                <w:highlight w:val="none"/>
              </w:rPr>
            </w:pPr>
          </w:p>
        </w:tc>
      </w:tr>
      <w:tr w14:paraId="616033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B943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4.5.4.5</w:t>
            </w:r>
          </w:p>
        </w:tc>
        <w:tc>
          <w:tcPr>
            <w:tcW w:w="6982" w:type="dxa"/>
            <w:tcBorders>
              <w:tl2br w:val="nil"/>
              <w:tr2bl w:val="nil"/>
            </w:tcBorders>
            <w:vAlign w:val="center"/>
          </w:tcPr>
          <w:p w14:paraId="440031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在总检界面除了正常总检之外，职业病健康体检可以新增职业病结论模块</w:t>
            </w:r>
          </w:p>
        </w:tc>
        <w:tc>
          <w:tcPr>
            <w:tcW w:w="870" w:type="dxa"/>
            <w:vMerge w:val="continue"/>
            <w:tcBorders>
              <w:tl2br w:val="nil"/>
              <w:tr2bl w:val="nil"/>
            </w:tcBorders>
            <w:noWrap/>
            <w:vAlign w:val="center"/>
          </w:tcPr>
          <w:p w14:paraId="01ED27A8">
            <w:pPr>
              <w:spacing w:line="360" w:lineRule="auto"/>
              <w:jc w:val="center"/>
              <w:rPr>
                <w:rFonts w:hint="eastAsia" w:ascii="宋体" w:hAnsi="宋体" w:cs="宋体"/>
                <w:color w:val="auto"/>
                <w:sz w:val="21"/>
                <w:szCs w:val="21"/>
                <w:highlight w:val="none"/>
              </w:rPr>
            </w:pPr>
          </w:p>
        </w:tc>
      </w:tr>
      <w:tr w14:paraId="0A8F65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B50D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4.5.4.6</w:t>
            </w:r>
          </w:p>
        </w:tc>
        <w:tc>
          <w:tcPr>
            <w:tcW w:w="6982" w:type="dxa"/>
            <w:tcBorders>
              <w:tl2br w:val="nil"/>
              <w:tr2bl w:val="nil"/>
            </w:tcBorders>
            <w:vAlign w:val="center"/>
          </w:tcPr>
          <w:p w14:paraId="1A824E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职业病健康体检的职业相关结论，可在后台进行数据维护</w:t>
            </w:r>
          </w:p>
        </w:tc>
        <w:tc>
          <w:tcPr>
            <w:tcW w:w="870" w:type="dxa"/>
            <w:vMerge w:val="continue"/>
            <w:tcBorders>
              <w:tl2br w:val="nil"/>
              <w:tr2bl w:val="nil"/>
            </w:tcBorders>
            <w:noWrap/>
            <w:vAlign w:val="center"/>
          </w:tcPr>
          <w:p w14:paraId="76F878BA">
            <w:pPr>
              <w:spacing w:line="360" w:lineRule="auto"/>
              <w:jc w:val="center"/>
              <w:rPr>
                <w:rFonts w:hint="eastAsia" w:ascii="宋体" w:hAnsi="宋体" w:cs="宋体"/>
                <w:color w:val="auto"/>
                <w:sz w:val="21"/>
                <w:szCs w:val="21"/>
                <w:highlight w:val="none"/>
              </w:rPr>
            </w:pPr>
          </w:p>
        </w:tc>
      </w:tr>
      <w:tr w14:paraId="5CB85E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3AAD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4.5.4.7</w:t>
            </w:r>
          </w:p>
        </w:tc>
        <w:tc>
          <w:tcPr>
            <w:tcW w:w="6982" w:type="dxa"/>
            <w:tcBorders>
              <w:tl2br w:val="nil"/>
              <w:tr2bl w:val="nil"/>
            </w:tcBorders>
            <w:vAlign w:val="center"/>
          </w:tcPr>
          <w:p w14:paraId="1E04E5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支持统计职业健康体检单位体检结果及总检建议</w:t>
            </w:r>
          </w:p>
        </w:tc>
        <w:tc>
          <w:tcPr>
            <w:tcW w:w="870" w:type="dxa"/>
            <w:vMerge w:val="continue"/>
            <w:tcBorders>
              <w:tl2br w:val="nil"/>
              <w:tr2bl w:val="nil"/>
            </w:tcBorders>
            <w:noWrap/>
            <w:vAlign w:val="center"/>
          </w:tcPr>
          <w:p w14:paraId="58A89B36">
            <w:pPr>
              <w:spacing w:line="360" w:lineRule="auto"/>
              <w:jc w:val="center"/>
              <w:rPr>
                <w:rFonts w:hint="eastAsia" w:ascii="宋体" w:hAnsi="宋体" w:cs="宋体"/>
                <w:color w:val="auto"/>
                <w:sz w:val="21"/>
                <w:szCs w:val="21"/>
                <w:highlight w:val="none"/>
              </w:rPr>
            </w:pPr>
          </w:p>
        </w:tc>
      </w:tr>
      <w:tr w14:paraId="5742FB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DA10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4.5.4.8</w:t>
            </w:r>
          </w:p>
        </w:tc>
        <w:tc>
          <w:tcPr>
            <w:tcW w:w="6982" w:type="dxa"/>
            <w:tcBorders>
              <w:tl2br w:val="nil"/>
              <w:tr2bl w:val="nil"/>
            </w:tcBorders>
            <w:vAlign w:val="center"/>
          </w:tcPr>
          <w:p w14:paraId="44383B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支持职业病数据上报</w:t>
            </w:r>
          </w:p>
        </w:tc>
        <w:tc>
          <w:tcPr>
            <w:tcW w:w="870" w:type="dxa"/>
            <w:vMerge w:val="continue"/>
            <w:tcBorders>
              <w:tl2br w:val="nil"/>
              <w:tr2bl w:val="nil"/>
            </w:tcBorders>
            <w:noWrap/>
            <w:vAlign w:val="center"/>
          </w:tcPr>
          <w:p w14:paraId="56128D63">
            <w:pPr>
              <w:spacing w:line="360" w:lineRule="auto"/>
              <w:jc w:val="center"/>
              <w:rPr>
                <w:rFonts w:hint="eastAsia" w:ascii="宋体" w:hAnsi="宋体" w:cs="宋体"/>
                <w:color w:val="auto"/>
                <w:sz w:val="21"/>
                <w:szCs w:val="21"/>
                <w:highlight w:val="none"/>
              </w:rPr>
            </w:pPr>
          </w:p>
        </w:tc>
      </w:tr>
      <w:tr w14:paraId="1F25BB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1C1DC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4.5.4.9</w:t>
            </w:r>
          </w:p>
        </w:tc>
        <w:tc>
          <w:tcPr>
            <w:tcW w:w="6982" w:type="dxa"/>
            <w:tcBorders>
              <w:tl2br w:val="nil"/>
              <w:tr2bl w:val="nil"/>
            </w:tcBorders>
            <w:vAlign w:val="center"/>
          </w:tcPr>
          <w:p w14:paraId="2C626E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支持职业病结论维护</w:t>
            </w:r>
          </w:p>
        </w:tc>
        <w:tc>
          <w:tcPr>
            <w:tcW w:w="870" w:type="dxa"/>
            <w:vMerge w:val="continue"/>
            <w:tcBorders>
              <w:tl2br w:val="nil"/>
              <w:tr2bl w:val="nil"/>
            </w:tcBorders>
            <w:noWrap/>
            <w:vAlign w:val="center"/>
          </w:tcPr>
          <w:p w14:paraId="0D312233">
            <w:pPr>
              <w:spacing w:line="360" w:lineRule="auto"/>
              <w:jc w:val="center"/>
              <w:rPr>
                <w:rFonts w:hint="eastAsia" w:ascii="宋体" w:hAnsi="宋体" w:cs="宋体"/>
                <w:color w:val="auto"/>
                <w:sz w:val="21"/>
                <w:szCs w:val="21"/>
                <w:highlight w:val="none"/>
              </w:rPr>
            </w:pPr>
          </w:p>
        </w:tc>
      </w:tr>
      <w:tr w14:paraId="24BEA4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4B9C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4.5.4.10</w:t>
            </w:r>
          </w:p>
        </w:tc>
        <w:tc>
          <w:tcPr>
            <w:tcW w:w="6982" w:type="dxa"/>
            <w:tcBorders>
              <w:tl2br w:val="nil"/>
              <w:tr2bl w:val="nil"/>
            </w:tcBorders>
            <w:vAlign w:val="center"/>
          </w:tcPr>
          <w:p w14:paraId="56DE51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职业危害因素必须要再进行维护，才能将体检单位导入的职业未含印刷显示在开单界面以及总检和有需要显示的地方</w:t>
            </w:r>
          </w:p>
        </w:tc>
        <w:tc>
          <w:tcPr>
            <w:tcW w:w="870" w:type="dxa"/>
            <w:vMerge w:val="continue"/>
            <w:tcBorders>
              <w:tl2br w:val="nil"/>
              <w:tr2bl w:val="nil"/>
            </w:tcBorders>
            <w:noWrap/>
            <w:vAlign w:val="center"/>
          </w:tcPr>
          <w:p w14:paraId="1AC264E7">
            <w:pPr>
              <w:spacing w:line="360" w:lineRule="auto"/>
              <w:jc w:val="center"/>
              <w:rPr>
                <w:rFonts w:hint="eastAsia" w:ascii="宋体" w:hAnsi="宋体" w:cs="宋体"/>
                <w:color w:val="auto"/>
                <w:sz w:val="21"/>
                <w:szCs w:val="21"/>
                <w:highlight w:val="none"/>
              </w:rPr>
            </w:pPr>
          </w:p>
        </w:tc>
      </w:tr>
      <w:tr w14:paraId="71793B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79E5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4.5.4.11</w:t>
            </w:r>
          </w:p>
        </w:tc>
        <w:tc>
          <w:tcPr>
            <w:tcW w:w="6982" w:type="dxa"/>
            <w:tcBorders>
              <w:tl2br w:val="nil"/>
              <w:tr2bl w:val="nil"/>
            </w:tcBorders>
            <w:vAlign w:val="center"/>
          </w:tcPr>
          <w:p w14:paraId="0B3236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支持将体检单位所有检查结果显示出来及具体导出功能</w:t>
            </w:r>
          </w:p>
        </w:tc>
        <w:tc>
          <w:tcPr>
            <w:tcW w:w="870" w:type="dxa"/>
            <w:vMerge w:val="continue"/>
            <w:tcBorders>
              <w:tl2br w:val="nil"/>
              <w:tr2bl w:val="nil"/>
            </w:tcBorders>
            <w:noWrap/>
            <w:vAlign w:val="center"/>
          </w:tcPr>
          <w:p w14:paraId="5170B033">
            <w:pPr>
              <w:spacing w:line="360" w:lineRule="auto"/>
              <w:jc w:val="center"/>
              <w:rPr>
                <w:rFonts w:hint="eastAsia" w:ascii="宋体" w:hAnsi="宋体" w:cs="宋体"/>
                <w:color w:val="auto"/>
                <w:sz w:val="21"/>
                <w:szCs w:val="21"/>
                <w:highlight w:val="none"/>
              </w:rPr>
            </w:pPr>
          </w:p>
        </w:tc>
      </w:tr>
      <w:tr w14:paraId="73BA6B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CE691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4.5.4.12</w:t>
            </w:r>
          </w:p>
        </w:tc>
        <w:tc>
          <w:tcPr>
            <w:tcW w:w="6982" w:type="dxa"/>
            <w:tcBorders>
              <w:tl2br w:val="nil"/>
              <w:tr2bl w:val="nil"/>
            </w:tcBorders>
            <w:vAlign w:val="center"/>
          </w:tcPr>
          <w:p w14:paraId="23C761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支持导出的 word 可以根据医院的需求生成一份职业健康体检汇总报告</w:t>
            </w:r>
          </w:p>
        </w:tc>
        <w:tc>
          <w:tcPr>
            <w:tcW w:w="870" w:type="dxa"/>
            <w:vMerge w:val="continue"/>
            <w:tcBorders>
              <w:tl2br w:val="nil"/>
              <w:tr2bl w:val="nil"/>
            </w:tcBorders>
            <w:noWrap/>
            <w:vAlign w:val="center"/>
          </w:tcPr>
          <w:p w14:paraId="1AA0971E">
            <w:pPr>
              <w:spacing w:line="360" w:lineRule="auto"/>
              <w:jc w:val="center"/>
              <w:rPr>
                <w:rFonts w:hint="eastAsia" w:ascii="宋体" w:hAnsi="宋体" w:cs="宋体"/>
                <w:color w:val="auto"/>
                <w:sz w:val="21"/>
                <w:szCs w:val="21"/>
                <w:highlight w:val="none"/>
              </w:rPr>
            </w:pPr>
          </w:p>
        </w:tc>
      </w:tr>
      <w:tr w14:paraId="5F60CE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FDB9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4.5.4.13</w:t>
            </w:r>
          </w:p>
        </w:tc>
        <w:tc>
          <w:tcPr>
            <w:tcW w:w="6982" w:type="dxa"/>
            <w:tcBorders>
              <w:tl2br w:val="nil"/>
              <w:tr2bl w:val="nil"/>
            </w:tcBorders>
            <w:vAlign w:val="center"/>
          </w:tcPr>
          <w:p w14:paraId="634434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支持职业健康体检报告模板可以根据国家要求进行修改</w:t>
            </w:r>
          </w:p>
        </w:tc>
        <w:tc>
          <w:tcPr>
            <w:tcW w:w="870" w:type="dxa"/>
            <w:vMerge w:val="continue"/>
            <w:tcBorders>
              <w:tl2br w:val="nil"/>
              <w:tr2bl w:val="nil"/>
            </w:tcBorders>
            <w:noWrap/>
            <w:vAlign w:val="center"/>
          </w:tcPr>
          <w:p w14:paraId="1DED33D7">
            <w:pPr>
              <w:spacing w:line="360" w:lineRule="auto"/>
              <w:jc w:val="center"/>
              <w:rPr>
                <w:rFonts w:hint="eastAsia" w:ascii="宋体" w:hAnsi="宋体" w:cs="宋体"/>
                <w:color w:val="auto"/>
                <w:sz w:val="21"/>
                <w:szCs w:val="21"/>
                <w:highlight w:val="none"/>
              </w:rPr>
            </w:pPr>
          </w:p>
        </w:tc>
      </w:tr>
      <w:tr w14:paraId="0B1FBD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825A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4.5.4.14</w:t>
            </w:r>
          </w:p>
        </w:tc>
        <w:tc>
          <w:tcPr>
            <w:tcW w:w="6982" w:type="dxa"/>
            <w:tcBorders>
              <w:tl2br w:val="nil"/>
              <w:tr2bl w:val="nil"/>
            </w:tcBorders>
            <w:vAlign w:val="center"/>
          </w:tcPr>
          <w:p w14:paraId="4146F3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个人数据查询能实现名字、编号、身份证、收集等信息查询个人所有记录</w:t>
            </w:r>
          </w:p>
        </w:tc>
        <w:tc>
          <w:tcPr>
            <w:tcW w:w="870" w:type="dxa"/>
            <w:vMerge w:val="continue"/>
            <w:tcBorders>
              <w:tl2br w:val="nil"/>
              <w:tr2bl w:val="nil"/>
            </w:tcBorders>
            <w:noWrap/>
            <w:vAlign w:val="center"/>
          </w:tcPr>
          <w:p w14:paraId="4735968B">
            <w:pPr>
              <w:spacing w:line="360" w:lineRule="auto"/>
              <w:jc w:val="center"/>
              <w:rPr>
                <w:rFonts w:hint="eastAsia" w:ascii="宋体" w:hAnsi="宋体" w:cs="宋体"/>
                <w:color w:val="auto"/>
                <w:sz w:val="21"/>
                <w:szCs w:val="21"/>
                <w:highlight w:val="none"/>
              </w:rPr>
            </w:pPr>
          </w:p>
        </w:tc>
      </w:tr>
      <w:tr w14:paraId="00A11A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375EF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4.5.4.15</w:t>
            </w:r>
          </w:p>
        </w:tc>
        <w:tc>
          <w:tcPr>
            <w:tcW w:w="6982" w:type="dxa"/>
            <w:tcBorders>
              <w:tl2br w:val="nil"/>
              <w:tr2bl w:val="nil"/>
            </w:tcBorders>
            <w:vAlign w:val="center"/>
          </w:tcPr>
          <w:p w14:paraId="5DE168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能根据多种查询条件查询科室工作量、医生工作量、疾病统计信息等，用于中心管理、考核、科研</w:t>
            </w:r>
          </w:p>
        </w:tc>
        <w:tc>
          <w:tcPr>
            <w:tcW w:w="870" w:type="dxa"/>
            <w:vMerge w:val="continue"/>
            <w:tcBorders>
              <w:tl2br w:val="nil"/>
              <w:tr2bl w:val="nil"/>
            </w:tcBorders>
            <w:noWrap/>
            <w:vAlign w:val="center"/>
          </w:tcPr>
          <w:p w14:paraId="44A7A519">
            <w:pPr>
              <w:spacing w:line="360" w:lineRule="auto"/>
              <w:jc w:val="center"/>
              <w:rPr>
                <w:rFonts w:hint="eastAsia" w:ascii="宋体" w:hAnsi="宋体" w:cs="宋体"/>
                <w:color w:val="auto"/>
                <w:sz w:val="21"/>
                <w:szCs w:val="21"/>
                <w:highlight w:val="none"/>
              </w:rPr>
            </w:pPr>
          </w:p>
        </w:tc>
      </w:tr>
      <w:tr w14:paraId="28B85C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3042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4.5.4.16</w:t>
            </w:r>
          </w:p>
        </w:tc>
        <w:tc>
          <w:tcPr>
            <w:tcW w:w="6982" w:type="dxa"/>
            <w:tcBorders>
              <w:tl2br w:val="nil"/>
              <w:tr2bl w:val="nil"/>
            </w:tcBorders>
            <w:vAlign w:val="center"/>
          </w:tcPr>
          <w:p w14:paraId="47E536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职业病体检报告根据国家标准定制化体检报告模板</w:t>
            </w:r>
          </w:p>
        </w:tc>
        <w:tc>
          <w:tcPr>
            <w:tcW w:w="870" w:type="dxa"/>
            <w:vMerge w:val="continue"/>
            <w:tcBorders>
              <w:tl2br w:val="nil"/>
              <w:tr2bl w:val="nil"/>
            </w:tcBorders>
            <w:noWrap/>
            <w:vAlign w:val="center"/>
          </w:tcPr>
          <w:p w14:paraId="5B8768E4">
            <w:pPr>
              <w:spacing w:line="360" w:lineRule="auto"/>
              <w:jc w:val="center"/>
              <w:rPr>
                <w:rFonts w:hint="eastAsia" w:ascii="宋体" w:hAnsi="宋体" w:cs="宋体"/>
                <w:color w:val="auto"/>
                <w:sz w:val="21"/>
                <w:szCs w:val="21"/>
                <w:highlight w:val="none"/>
              </w:rPr>
            </w:pPr>
          </w:p>
        </w:tc>
      </w:tr>
      <w:tr w14:paraId="116F87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BDC5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4.5.4.17</w:t>
            </w:r>
          </w:p>
        </w:tc>
        <w:tc>
          <w:tcPr>
            <w:tcW w:w="6982" w:type="dxa"/>
            <w:tcBorders>
              <w:tl2br w:val="nil"/>
              <w:tr2bl w:val="nil"/>
            </w:tcBorders>
            <w:vAlign w:val="center"/>
          </w:tcPr>
          <w:p w14:paraId="7EE62B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自定义报表功能可灵活根据用户需求自行快速定义报表，报表可赋值权限给相关人员查询，可直接打印、查询导出数据</w:t>
            </w:r>
          </w:p>
        </w:tc>
        <w:tc>
          <w:tcPr>
            <w:tcW w:w="870" w:type="dxa"/>
            <w:vMerge w:val="continue"/>
            <w:tcBorders>
              <w:tl2br w:val="nil"/>
              <w:tr2bl w:val="nil"/>
            </w:tcBorders>
            <w:noWrap/>
            <w:vAlign w:val="center"/>
          </w:tcPr>
          <w:p w14:paraId="7CBD918B">
            <w:pPr>
              <w:spacing w:line="360" w:lineRule="auto"/>
              <w:jc w:val="center"/>
              <w:rPr>
                <w:rFonts w:hint="eastAsia" w:ascii="宋体" w:hAnsi="宋体" w:cs="宋体"/>
                <w:color w:val="auto"/>
                <w:sz w:val="21"/>
                <w:szCs w:val="21"/>
                <w:highlight w:val="none"/>
              </w:rPr>
            </w:pPr>
          </w:p>
        </w:tc>
      </w:tr>
      <w:tr w14:paraId="5E2B75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9E15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4.5.4.18</w:t>
            </w:r>
          </w:p>
        </w:tc>
        <w:tc>
          <w:tcPr>
            <w:tcW w:w="6982" w:type="dxa"/>
            <w:tcBorders>
              <w:tl2br w:val="nil"/>
              <w:tr2bl w:val="nil"/>
            </w:tcBorders>
            <w:vAlign w:val="center"/>
          </w:tcPr>
          <w:p w14:paraId="4C76E30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职业病健康体检软件要实现与现有的体检系统无缝对接，所产生的费用由供应商承担</w:t>
            </w:r>
          </w:p>
        </w:tc>
        <w:tc>
          <w:tcPr>
            <w:tcW w:w="870" w:type="dxa"/>
            <w:vMerge w:val="continue"/>
            <w:tcBorders>
              <w:tl2br w:val="nil"/>
              <w:tr2bl w:val="nil"/>
            </w:tcBorders>
            <w:noWrap/>
            <w:vAlign w:val="center"/>
          </w:tcPr>
          <w:p w14:paraId="421AEAEB">
            <w:pPr>
              <w:spacing w:line="360" w:lineRule="auto"/>
              <w:jc w:val="center"/>
              <w:rPr>
                <w:rFonts w:hint="eastAsia" w:ascii="宋体" w:hAnsi="宋体" w:cs="宋体"/>
                <w:color w:val="auto"/>
                <w:sz w:val="21"/>
                <w:szCs w:val="21"/>
                <w:highlight w:val="none"/>
              </w:rPr>
            </w:pPr>
          </w:p>
        </w:tc>
      </w:tr>
      <w:tr w14:paraId="56F892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2CCA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w:t>
            </w:r>
          </w:p>
        </w:tc>
        <w:tc>
          <w:tcPr>
            <w:tcW w:w="6982" w:type="dxa"/>
            <w:tcBorders>
              <w:tl2br w:val="nil"/>
              <w:tr2bl w:val="nil"/>
            </w:tcBorders>
            <w:vAlign w:val="center"/>
          </w:tcPr>
          <w:p w14:paraId="516625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全流程智导诊系统</w:t>
            </w:r>
          </w:p>
        </w:tc>
        <w:tc>
          <w:tcPr>
            <w:tcW w:w="870" w:type="dxa"/>
            <w:vMerge w:val="continue"/>
            <w:tcBorders>
              <w:tl2br w:val="nil"/>
              <w:tr2bl w:val="nil"/>
            </w:tcBorders>
            <w:noWrap/>
            <w:vAlign w:val="center"/>
          </w:tcPr>
          <w:p w14:paraId="51AD84DE">
            <w:pPr>
              <w:spacing w:line="360" w:lineRule="auto"/>
              <w:jc w:val="center"/>
              <w:rPr>
                <w:rFonts w:hint="eastAsia" w:ascii="宋体" w:hAnsi="宋体" w:cs="宋体"/>
                <w:color w:val="auto"/>
                <w:sz w:val="21"/>
                <w:szCs w:val="21"/>
                <w:highlight w:val="none"/>
              </w:rPr>
            </w:pPr>
          </w:p>
        </w:tc>
      </w:tr>
      <w:tr w14:paraId="6E982F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D05C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w:t>
            </w:r>
          </w:p>
        </w:tc>
        <w:tc>
          <w:tcPr>
            <w:tcW w:w="6982" w:type="dxa"/>
            <w:tcBorders>
              <w:tl2br w:val="nil"/>
              <w:tr2bl w:val="nil"/>
            </w:tcBorders>
            <w:vAlign w:val="center"/>
          </w:tcPr>
          <w:p w14:paraId="15E86B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排队权重算法：支持根据医院实际设置楼层、检区、项目时长、空腹等各类权重，以达到为体检者选择最优队列，对于多楼层多诊区导检算法有明显优势</w:t>
            </w:r>
          </w:p>
        </w:tc>
        <w:tc>
          <w:tcPr>
            <w:tcW w:w="870" w:type="dxa"/>
            <w:vMerge w:val="continue"/>
            <w:tcBorders>
              <w:tl2br w:val="nil"/>
              <w:tr2bl w:val="nil"/>
            </w:tcBorders>
            <w:noWrap/>
            <w:vAlign w:val="center"/>
          </w:tcPr>
          <w:p w14:paraId="49F75168">
            <w:pPr>
              <w:spacing w:line="360" w:lineRule="auto"/>
              <w:jc w:val="center"/>
              <w:rPr>
                <w:rFonts w:hint="eastAsia" w:ascii="宋体" w:hAnsi="宋体" w:cs="宋体"/>
                <w:color w:val="auto"/>
                <w:sz w:val="21"/>
                <w:szCs w:val="21"/>
                <w:highlight w:val="none"/>
              </w:rPr>
            </w:pPr>
          </w:p>
        </w:tc>
      </w:tr>
      <w:tr w14:paraId="383F90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765E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w:t>
            </w:r>
          </w:p>
        </w:tc>
        <w:tc>
          <w:tcPr>
            <w:tcW w:w="6982" w:type="dxa"/>
            <w:tcBorders>
              <w:tl2br w:val="nil"/>
              <w:tr2bl w:val="nil"/>
            </w:tcBorders>
            <w:vAlign w:val="center"/>
          </w:tcPr>
          <w:p w14:paraId="07DBBA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支持并行排队，保证客户先到先检，先到先出，体检中心人员最少</w:t>
            </w:r>
          </w:p>
        </w:tc>
        <w:tc>
          <w:tcPr>
            <w:tcW w:w="870" w:type="dxa"/>
            <w:vMerge w:val="continue"/>
            <w:tcBorders>
              <w:tl2br w:val="nil"/>
              <w:tr2bl w:val="nil"/>
            </w:tcBorders>
            <w:noWrap/>
            <w:vAlign w:val="center"/>
          </w:tcPr>
          <w:p w14:paraId="19C194B7">
            <w:pPr>
              <w:spacing w:line="360" w:lineRule="auto"/>
              <w:jc w:val="center"/>
              <w:rPr>
                <w:rFonts w:hint="eastAsia" w:ascii="宋体" w:hAnsi="宋体" w:cs="宋体"/>
                <w:color w:val="auto"/>
                <w:sz w:val="21"/>
                <w:szCs w:val="21"/>
                <w:highlight w:val="none"/>
              </w:rPr>
            </w:pPr>
          </w:p>
        </w:tc>
      </w:tr>
      <w:tr w14:paraId="636CE00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FC9C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w:t>
            </w:r>
          </w:p>
        </w:tc>
        <w:tc>
          <w:tcPr>
            <w:tcW w:w="6982" w:type="dxa"/>
            <w:tcBorders>
              <w:tl2br w:val="nil"/>
              <w:tr2bl w:val="nil"/>
            </w:tcBorders>
            <w:vAlign w:val="center"/>
          </w:tcPr>
          <w:p w14:paraId="549A4E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配合预约系统分时段预约，避免人员同时到检</w:t>
            </w:r>
          </w:p>
        </w:tc>
        <w:tc>
          <w:tcPr>
            <w:tcW w:w="870" w:type="dxa"/>
            <w:vMerge w:val="continue"/>
            <w:tcBorders>
              <w:tl2br w:val="nil"/>
              <w:tr2bl w:val="nil"/>
            </w:tcBorders>
            <w:noWrap/>
            <w:vAlign w:val="center"/>
          </w:tcPr>
          <w:p w14:paraId="686CEAB5">
            <w:pPr>
              <w:spacing w:line="360" w:lineRule="auto"/>
              <w:jc w:val="center"/>
              <w:rPr>
                <w:rFonts w:hint="eastAsia" w:ascii="宋体" w:hAnsi="宋体" w:cs="宋体"/>
                <w:color w:val="auto"/>
                <w:sz w:val="21"/>
                <w:szCs w:val="21"/>
                <w:highlight w:val="none"/>
              </w:rPr>
            </w:pPr>
          </w:p>
        </w:tc>
      </w:tr>
      <w:tr w14:paraId="391ADC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590EF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w:t>
            </w:r>
          </w:p>
        </w:tc>
        <w:tc>
          <w:tcPr>
            <w:tcW w:w="6982" w:type="dxa"/>
            <w:tcBorders>
              <w:tl2br w:val="nil"/>
              <w:tr2bl w:val="nil"/>
            </w:tcBorders>
            <w:vAlign w:val="center"/>
          </w:tcPr>
          <w:p w14:paraId="025C8F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自助系统：可自助一步登记并打印导检单、条码、登记排队，显示首检队列，查询排队情况</w:t>
            </w:r>
          </w:p>
        </w:tc>
        <w:tc>
          <w:tcPr>
            <w:tcW w:w="870" w:type="dxa"/>
            <w:vMerge w:val="continue"/>
            <w:tcBorders>
              <w:tl2br w:val="nil"/>
              <w:tr2bl w:val="nil"/>
            </w:tcBorders>
            <w:noWrap/>
            <w:vAlign w:val="center"/>
          </w:tcPr>
          <w:p w14:paraId="37441AEE">
            <w:pPr>
              <w:spacing w:line="360" w:lineRule="auto"/>
              <w:jc w:val="center"/>
              <w:rPr>
                <w:rFonts w:hint="eastAsia" w:ascii="宋体" w:hAnsi="宋体" w:cs="宋体"/>
                <w:color w:val="auto"/>
                <w:sz w:val="21"/>
                <w:szCs w:val="21"/>
                <w:highlight w:val="none"/>
              </w:rPr>
            </w:pPr>
          </w:p>
        </w:tc>
      </w:tr>
      <w:tr w14:paraId="044336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1032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w:t>
            </w:r>
          </w:p>
        </w:tc>
        <w:tc>
          <w:tcPr>
            <w:tcW w:w="6982" w:type="dxa"/>
            <w:tcBorders>
              <w:tl2br w:val="nil"/>
              <w:tr2bl w:val="nil"/>
            </w:tcBorders>
            <w:vAlign w:val="center"/>
          </w:tcPr>
          <w:p w14:paraId="6D9367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打印的二维码可使用微信扫一扫自动关注公众号并推送排队信息</w:t>
            </w:r>
          </w:p>
        </w:tc>
        <w:tc>
          <w:tcPr>
            <w:tcW w:w="870" w:type="dxa"/>
            <w:vMerge w:val="continue"/>
            <w:tcBorders>
              <w:tl2br w:val="nil"/>
              <w:tr2bl w:val="nil"/>
            </w:tcBorders>
            <w:noWrap/>
            <w:vAlign w:val="center"/>
          </w:tcPr>
          <w:p w14:paraId="11B69B00">
            <w:pPr>
              <w:spacing w:line="360" w:lineRule="auto"/>
              <w:jc w:val="center"/>
              <w:rPr>
                <w:rFonts w:hint="eastAsia" w:ascii="宋体" w:hAnsi="宋体" w:cs="宋体"/>
                <w:color w:val="auto"/>
                <w:sz w:val="21"/>
                <w:szCs w:val="21"/>
                <w:highlight w:val="none"/>
              </w:rPr>
            </w:pPr>
          </w:p>
        </w:tc>
      </w:tr>
      <w:tr w14:paraId="5733FD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559C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w:t>
            </w:r>
          </w:p>
        </w:tc>
        <w:tc>
          <w:tcPr>
            <w:tcW w:w="6982" w:type="dxa"/>
            <w:tcBorders>
              <w:tl2br w:val="nil"/>
              <w:tr2bl w:val="nil"/>
            </w:tcBorders>
            <w:vAlign w:val="center"/>
          </w:tcPr>
          <w:p w14:paraId="0ECB84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人机交互及界面明显优于竞争对手</w:t>
            </w:r>
          </w:p>
        </w:tc>
        <w:tc>
          <w:tcPr>
            <w:tcW w:w="870" w:type="dxa"/>
            <w:vMerge w:val="continue"/>
            <w:tcBorders>
              <w:tl2br w:val="nil"/>
              <w:tr2bl w:val="nil"/>
            </w:tcBorders>
            <w:noWrap/>
            <w:vAlign w:val="center"/>
          </w:tcPr>
          <w:p w14:paraId="3C56FDCB">
            <w:pPr>
              <w:spacing w:line="360" w:lineRule="auto"/>
              <w:jc w:val="center"/>
              <w:rPr>
                <w:rFonts w:hint="eastAsia" w:ascii="宋体" w:hAnsi="宋体" w:cs="宋体"/>
                <w:color w:val="auto"/>
                <w:sz w:val="21"/>
                <w:szCs w:val="21"/>
                <w:highlight w:val="none"/>
              </w:rPr>
            </w:pPr>
          </w:p>
        </w:tc>
      </w:tr>
      <w:tr w14:paraId="62D326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D828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w:t>
            </w:r>
          </w:p>
        </w:tc>
        <w:tc>
          <w:tcPr>
            <w:tcW w:w="6982" w:type="dxa"/>
            <w:tcBorders>
              <w:tl2br w:val="nil"/>
              <w:tr2bl w:val="nil"/>
            </w:tcBorders>
            <w:vAlign w:val="center"/>
          </w:tcPr>
          <w:p w14:paraId="0A8C5FA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支持桌面端、平板端、手机端，等多端部署</w:t>
            </w:r>
          </w:p>
        </w:tc>
        <w:tc>
          <w:tcPr>
            <w:tcW w:w="870" w:type="dxa"/>
            <w:vMerge w:val="continue"/>
            <w:tcBorders>
              <w:tl2br w:val="nil"/>
              <w:tr2bl w:val="nil"/>
            </w:tcBorders>
            <w:noWrap/>
            <w:vAlign w:val="center"/>
          </w:tcPr>
          <w:p w14:paraId="60957E82">
            <w:pPr>
              <w:spacing w:line="360" w:lineRule="auto"/>
              <w:jc w:val="center"/>
              <w:rPr>
                <w:rFonts w:hint="eastAsia" w:ascii="宋体" w:hAnsi="宋体" w:cs="宋体"/>
                <w:color w:val="auto"/>
                <w:sz w:val="21"/>
                <w:szCs w:val="21"/>
                <w:highlight w:val="none"/>
              </w:rPr>
            </w:pPr>
          </w:p>
        </w:tc>
      </w:tr>
      <w:tr w14:paraId="1F1BAF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C18D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w:t>
            </w:r>
          </w:p>
        </w:tc>
        <w:tc>
          <w:tcPr>
            <w:tcW w:w="6982" w:type="dxa"/>
            <w:tcBorders>
              <w:tl2br w:val="nil"/>
              <w:tr2bl w:val="nil"/>
            </w:tcBorders>
            <w:vAlign w:val="center"/>
          </w:tcPr>
          <w:p w14:paraId="3F432A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支持国际化多语言叫号</w:t>
            </w:r>
          </w:p>
        </w:tc>
        <w:tc>
          <w:tcPr>
            <w:tcW w:w="870" w:type="dxa"/>
            <w:vMerge w:val="continue"/>
            <w:tcBorders>
              <w:tl2br w:val="nil"/>
              <w:tr2bl w:val="nil"/>
            </w:tcBorders>
            <w:noWrap/>
            <w:vAlign w:val="center"/>
          </w:tcPr>
          <w:p w14:paraId="6427880A">
            <w:pPr>
              <w:spacing w:line="360" w:lineRule="auto"/>
              <w:jc w:val="center"/>
              <w:rPr>
                <w:rFonts w:hint="eastAsia" w:ascii="宋体" w:hAnsi="宋体" w:cs="宋体"/>
                <w:color w:val="auto"/>
                <w:sz w:val="21"/>
                <w:szCs w:val="21"/>
                <w:highlight w:val="none"/>
              </w:rPr>
            </w:pPr>
          </w:p>
        </w:tc>
      </w:tr>
      <w:tr w14:paraId="456763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EFAD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w:t>
            </w:r>
          </w:p>
        </w:tc>
        <w:tc>
          <w:tcPr>
            <w:tcW w:w="6982" w:type="dxa"/>
            <w:tcBorders>
              <w:tl2br w:val="nil"/>
              <w:tr2bl w:val="nil"/>
            </w:tcBorders>
            <w:vAlign w:val="center"/>
          </w:tcPr>
          <w:p w14:paraId="47E231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支持远程运维，更新，远处理相关问题</w:t>
            </w:r>
          </w:p>
        </w:tc>
        <w:tc>
          <w:tcPr>
            <w:tcW w:w="870" w:type="dxa"/>
            <w:vMerge w:val="continue"/>
            <w:tcBorders>
              <w:tl2br w:val="nil"/>
              <w:tr2bl w:val="nil"/>
            </w:tcBorders>
            <w:noWrap/>
            <w:vAlign w:val="center"/>
          </w:tcPr>
          <w:p w14:paraId="4C3E73BB">
            <w:pPr>
              <w:spacing w:line="360" w:lineRule="auto"/>
              <w:jc w:val="center"/>
              <w:rPr>
                <w:rFonts w:hint="eastAsia" w:ascii="宋体" w:hAnsi="宋体" w:cs="宋体"/>
                <w:color w:val="auto"/>
                <w:sz w:val="21"/>
                <w:szCs w:val="21"/>
                <w:highlight w:val="none"/>
              </w:rPr>
            </w:pPr>
          </w:p>
        </w:tc>
      </w:tr>
      <w:tr w14:paraId="10BBF3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97C6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4.5.5.10</w:t>
            </w:r>
          </w:p>
        </w:tc>
        <w:tc>
          <w:tcPr>
            <w:tcW w:w="6982" w:type="dxa"/>
            <w:tcBorders>
              <w:tl2br w:val="nil"/>
              <w:tr2bl w:val="nil"/>
            </w:tcBorders>
            <w:vAlign w:val="center"/>
          </w:tcPr>
          <w:p w14:paraId="0C83E0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支持快速部署，快速上线试运行</w:t>
            </w:r>
          </w:p>
        </w:tc>
        <w:tc>
          <w:tcPr>
            <w:tcW w:w="870" w:type="dxa"/>
            <w:vMerge w:val="continue"/>
            <w:tcBorders>
              <w:tl2br w:val="nil"/>
              <w:tr2bl w:val="nil"/>
            </w:tcBorders>
            <w:noWrap/>
            <w:vAlign w:val="center"/>
          </w:tcPr>
          <w:p w14:paraId="543B5FB4">
            <w:pPr>
              <w:spacing w:line="360" w:lineRule="auto"/>
              <w:jc w:val="center"/>
              <w:rPr>
                <w:rFonts w:hint="eastAsia" w:ascii="宋体" w:hAnsi="宋体" w:cs="宋体"/>
                <w:color w:val="auto"/>
                <w:sz w:val="21"/>
                <w:szCs w:val="21"/>
                <w:highlight w:val="none"/>
              </w:rPr>
            </w:pPr>
          </w:p>
        </w:tc>
      </w:tr>
      <w:tr w14:paraId="3C07AB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7F0F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4.5.5.11</w:t>
            </w:r>
          </w:p>
        </w:tc>
        <w:tc>
          <w:tcPr>
            <w:tcW w:w="6982" w:type="dxa"/>
            <w:tcBorders>
              <w:tl2br w:val="nil"/>
              <w:tr2bl w:val="nil"/>
            </w:tcBorders>
            <w:vAlign w:val="center"/>
          </w:tcPr>
          <w:p w14:paraId="21D217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可达到全程无人值守</w:t>
            </w:r>
          </w:p>
        </w:tc>
        <w:tc>
          <w:tcPr>
            <w:tcW w:w="870" w:type="dxa"/>
            <w:vMerge w:val="continue"/>
            <w:tcBorders>
              <w:tl2br w:val="nil"/>
              <w:tr2bl w:val="nil"/>
            </w:tcBorders>
            <w:noWrap/>
            <w:vAlign w:val="center"/>
          </w:tcPr>
          <w:p w14:paraId="4CEFC949">
            <w:pPr>
              <w:spacing w:line="360" w:lineRule="auto"/>
              <w:jc w:val="center"/>
              <w:rPr>
                <w:rFonts w:hint="eastAsia" w:ascii="宋体" w:hAnsi="宋体" w:cs="宋体"/>
                <w:color w:val="auto"/>
                <w:sz w:val="21"/>
                <w:szCs w:val="21"/>
                <w:highlight w:val="none"/>
              </w:rPr>
            </w:pPr>
          </w:p>
        </w:tc>
      </w:tr>
      <w:tr w14:paraId="77B17D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320F0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4.5.5.12</w:t>
            </w:r>
          </w:p>
        </w:tc>
        <w:tc>
          <w:tcPr>
            <w:tcW w:w="6982" w:type="dxa"/>
            <w:tcBorders>
              <w:tl2br w:val="nil"/>
              <w:tr2bl w:val="nil"/>
            </w:tcBorders>
            <w:vAlign w:val="center"/>
          </w:tcPr>
          <w:p w14:paraId="7F7972D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系统可根据多种排队模式进行智能排队，可根据医院情况调整，自动根据队列优先级、排队时间、楼层、项目优先度为客户选择最优队列，以达到客户体检及效率的平衡</w:t>
            </w:r>
          </w:p>
        </w:tc>
        <w:tc>
          <w:tcPr>
            <w:tcW w:w="870" w:type="dxa"/>
            <w:vMerge w:val="continue"/>
            <w:tcBorders>
              <w:tl2br w:val="nil"/>
              <w:tr2bl w:val="nil"/>
            </w:tcBorders>
            <w:noWrap/>
            <w:vAlign w:val="center"/>
          </w:tcPr>
          <w:p w14:paraId="729263EE">
            <w:pPr>
              <w:spacing w:line="360" w:lineRule="auto"/>
              <w:jc w:val="center"/>
              <w:rPr>
                <w:rFonts w:hint="eastAsia" w:ascii="宋体" w:hAnsi="宋体" w:cs="宋体"/>
                <w:color w:val="auto"/>
                <w:sz w:val="21"/>
                <w:szCs w:val="21"/>
                <w:highlight w:val="none"/>
              </w:rPr>
            </w:pPr>
          </w:p>
        </w:tc>
      </w:tr>
      <w:tr w14:paraId="4840E5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5B7C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4.5.5.13</w:t>
            </w:r>
          </w:p>
        </w:tc>
        <w:tc>
          <w:tcPr>
            <w:tcW w:w="6982" w:type="dxa"/>
            <w:tcBorders>
              <w:tl2br w:val="nil"/>
              <w:tr2bl w:val="nil"/>
            </w:tcBorders>
            <w:vAlign w:val="center"/>
          </w:tcPr>
          <w:p w14:paraId="07174D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支持自助机及手机查询排队情况</w:t>
            </w:r>
          </w:p>
        </w:tc>
        <w:tc>
          <w:tcPr>
            <w:tcW w:w="870" w:type="dxa"/>
            <w:vMerge w:val="continue"/>
            <w:tcBorders>
              <w:tl2br w:val="nil"/>
              <w:tr2bl w:val="nil"/>
            </w:tcBorders>
            <w:noWrap/>
            <w:vAlign w:val="center"/>
          </w:tcPr>
          <w:p w14:paraId="0FBE408C">
            <w:pPr>
              <w:spacing w:line="360" w:lineRule="auto"/>
              <w:jc w:val="center"/>
              <w:rPr>
                <w:rFonts w:hint="eastAsia" w:ascii="宋体" w:hAnsi="宋体" w:cs="宋体"/>
                <w:color w:val="auto"/>
                <w:sz w:val="21"/>
                <w:szCs w:val="21"/>
                <w:highlight w:val="none"/>
              </w:rPr>
            </w:pPr>
          </w:p>
        </w:tc>
      </w:tr>
      <w:tr w14:paraId="01EF586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F8568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4.5.5.14</w:t>
            </w:r>
          </w:p>
        </w:tc>
        <w:tc>
          <w:tcPr>
            <w:tcW w:w="6982" w:type="dxa"/>
            <w:tcBorders>
              <w:tl2br w:val="nil"/>
              <w:tr2bl w:val="nil"/>
            </w:tcBorders>
            <w:vAlign w:val="center"/>
          </w:tcPr>
          <w:p w14:paraId="22ACDA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支持各类项目优先体检，如空腹项目</w:t>
            </w:r>
          </w:p>
        </w:tc>
        <w:tc>
          <w:tcPr>
            <w:tcW w:w="870" w:type="dxa"/>
            <w:vMerge w:val="continue"/>
            <w:tcBorders>
              <w:tl2br w:val="nil"/>
              <w:tr2bl w:val="nil"/>
            </w:tcBorders>
            <w:noWrap/>
            <w:vAlign w:val="center"/>
          </w:tcPr>
          <w:p w14:paraId="655F1A81">
            <w:pPr>
              <w:spacing w:line="360" w:lineRule="auto"/>
              <w:jc w:val="center"/>
              <w:rPr>
                <w:rFonts w:hint="eastAsia" w:ascii="宋体" w:hAnsi="宋体" w:cs="宋体"/>
                <w:color w:val="auto"/>
                <w:sz w:val="21"/>
                <w:szCs w:val="21"/>
                <w:highlight w:val="none"/>
              </w:rPr>
            </w:pPr>
          </w:p>
        </w:tc>
      </w:tr>
      <w:tr w14:paraId="188813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C52E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4.5.5.15</w:t>
            </w:r>
          </w:p>
        </w:tc>
        <w:tc>
          <w:tcPr>
            <w:tcW w:w="6982" w:type="dxa"/>
            <w:tcBorders>
              <w:tl2br w:val="nil"/>
              <w:tr2bl w:val="nil"/>
            </w:tcBorders>
            <w:vAlign w:val="center"/>
          </w:tcPr>
          <w:p w14:paraId="555A7D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支持部分项目二次导检及呼叫（如 C13/C14）</w:t>
            </w:r>
          </w:p>
        </w:tc>
        <w:tc>
          <w:tcPr>
            <w:tcW w:w="870" w:type="dxa"/>
            <w:vMerge w:val="continue"/>
            <w:tcBorders>
              <w:tl2br w:val="nil"/>
              <w:tr2bl w:val="nil"/>
            </w:tcBorders>
            <w:noWrap/>
            <w:vAlign w:val="center"/>
          </w:tcPr>
          <w:p w14:paraId="305EDDA4">
            <w:pPr>
              <w:spacing w:line="360" w:lineRule="auto"/>
              <w:jc w:val="center"/>
              <w:rPr>
                <w:rFonts w:hint="eastAsia" w:ascii="宋体" w:hAnsi="宋体" w:cs="宋体"/>
                <w:color w:val="auto"/>
                <w:sz w:val="21"/>
                <w:szCs w:val="21"/>
                <w:highlight w:val="none"/>
              </w:rPr>
            </w:pPr>
          </w:p>
        </w:tc>
      </w:tr>
      <w:tr w14:paraId="064E63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D19A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4.5.5.16</w:t>
            </w:r>
          </w:p>
        </w:tc>
        <w:tc>
          <w:tcPr>
            <w:tcW w:w="6982" w:type="dxa"/>
            <w:tcBorders>
              <w:tl2br w:val="nil"/>
              <w:tr2bl w:val="nil"/>
            </w:tcBorders>
            <w:vAlign w:val="center"/>
          </w:tcPr>
          <w:p w14:paraId="213AC9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支持科室下部分队列实现项目排斥</w:t>
            </w:r>
          </w:p>
        </w:tc>
        <w:tc>
          <w:tcPr>
            <w:tcW w:w="870" w:type="dxa"/>
            <w:vMerge w:val="continue"/>
            <w:tcBorders>
              <w:tl2br w:val="nil"/>
              <w:tr2bl w:val="nil"/>
            </w:tcBorders>
            <w:noWrap/>
            <w:vAlign w:val="center"/>
          </w:tcPr>
          <w:p w14:paraId="7FF7E7A2">
            <w:pPr>
              <w:spacing w:line="360" w:lineRule="auto"/>
              <w:jc w:val="center"/>
              <w:rPr>
                <w:rFonts w:hint="eastAsia" w:ascii="宋体" w:hAnsi="宋体" w:cs="宋体"/>
                <w:color w:val="auto"/>
                <w:sz w:val="21"/>
                <w:szCs w:val="21"/>
                <w:highlight w:val="none"/>
              </w:rPr>
            </w:pPr>
          </w:p>
        </w:tc>
      </w:tr>
      <w:tr w14:paraId="448141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ECC2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4.5.5.17</w:t>
            </w:r>
          </w:p>
        </w:tc>
        <w:tc>
          <w:tcPr>
            <w:tcW w:w="6982" w:type="dxa"/>
            <w:tcBorders>
              <w:tl2br w:val="nil"/>
              <w:tr2bl w:val="nil"/>
            </w:tcBorders>
            <w:vAlign w:val="center"/>
          </w:tcPr>
          <w:p w14:paraId="1F70B0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支持减少对区域切换、楼层切换的设置</w:t>
            </w:r>
          </w:p>
        </w:tc>
        <w:tc>
          <w:tcPr>
            <w:tcW w:w="870" w:type="dxa"/>
            <w:vMerge w:val="continue"/>
            <w:tcBorders>
              <w:tl2br w:val="nil"/>
              <w:tr2bl w:val="nil"/>
            </w:tcBorders>
            <w:noWrap/>
            <w:vAlign w:val="center"/>
          </w:tcPr>
          <w:p w14:paraId="7699C2EB">
            <w:pPr>
              <w:spacing w:line="360" w:lineRule="auto"/>
              <w:jc w:val="center"/>
              <w:rPr>
                <w:rFonts w:hint="eastAsia" w:ascii="宋体" w:hAnsi="宋体" w:cs="宋体"/>
                <w:color w:val="auto"/>
                <w:sz w:val="21"/>
                <w:szCs w:val="21"/>
                <w:highlight w:val="none"/>
              </w:rPr>
            </w:pPr>
          </w:p>
        </w:tc>
      </w:tr>
      <w:tr w14:paraId="491170E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C18C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4.5.5.18</w:t>
            </w:r>
          </w:p>
        </w:tc>
        <w:tc>
          <w:tcPr>
            <w:tcW w:w="6982" w:type="dxa"/>
            <w:tcBorders>
              <w:tl2br w:val="nil"/>
              <w:tr2bl w:val="nil"/>
            </w:tcBorders>
            <w:vAlign w:val="center"/>
          </w:tcPr>
          <w:p w14:paraId="3904EAA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支持多个楼层及区域及相同体检项目，系统自动选择最优</w:t>
            </w:r>
          </w:p>
        </w:tc>
        <w:tc>
          <w:tcPr>
            <w:tcW w:w="870" w:type="dxa"/>
            <w:vMerge w:val="continue"/>
            <w:tcBorders>
              <w:tl2br w:val="nil"/>
              <w:tr2bl w:val="nil"/>
            </w:tcBorders>
            <w:noWrap/>
            <w:vAlign w:val="center"/>
          </w:tcPr>
          <w:p w14:paraId="65B98D43">
            <w:pPr>
              <w:spacing w:line="360" w:lineRule="auto"/>
              <w:jc w:val="center"/>
              <w:rPr>
                <w:rFonts w:hint="eastAsia" w:ascii="宋体" w:hAnsi="宋体" w:cs="宋体"/>
                <w:color w:val="auto"/>
                <w:sz w:val="21"/>
                <w:szCs w:val="21"/>
                <w:highlight w:val="none"/>
              </w:rPr>
            </w:pPr>
          </w:p>
        </w:tc>
      </w:tr>
      <w:tr w14:paraId="682EF7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C923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4.5.5.19</w:t>
            </w:r>
          </w:p>
        </w:tc>
        <w:tc>
          <w:tcPr>
            <w:tcW w:w="6982" w:type="dxa"/>
            <w:tcBorders>
              <w:tl2br w:val="nil"/>
              <w:tr2bl w:val="nil"/>
            </w:tcBorders>
            <w:vAlign w:val="center"/>
          </w:tcPr>
          <w:p w14:paraId="0F37CB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支持体检人员过号后自动返回及退位，退位的人数可配置；支持特殊原因锁定体检人员</w:t>
            </w:r>
          </w:p>
        </w:tc>
        <w:tc>
          <w:tcPr>
            <w:tcW w:w="870" w:type="dxa"/>
            <w:vMerge w:val="continue"/>
            <w:tcBorders>
              <w:tl2br w:val="nil"/>
              <w:tr2bl w:val="nil"/>
            </w:tcBorders>
            <w:noWrap/>
            <w:vAlign w:val="center"/>
          </w:tcPr>
          <w:p w14:paraId="496CFACD">
            <w:pPr>
              <w:spacing w:line="360" w:lineRule="auto"/>
              <w:jc w:val="center"/>
              <w:rPr>
                <w:rFonts w:hint="eastAsia" w:ascii="宋体" w:hAnsi="宋体" w:cs="宋体"/>
                <w:color w:val="auto"/>
                <w:sz w:val="21"/>
                <w:szCs w:val="21"/>
                <w:highlight w:val="none"/>
              </w:rPr>
            </w:pPr>
          </w:p>
        </w:tc>
      </w:tr>
      <w:tr w14:paraId="4C08D0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2840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4.5.5.20</w:t>
            </w:r>
          </w:p>
        </w:tc>
        <w:tc>
          <w:tcPr>
            <w:tcW w:w="6982" w:type="dxa"/>
            <w:tcBorders>
              <w:tl2br w:val="nil"/>
              <w:tr2bl w:val="nil"/>
            </w:tcBorders>
            <w:vAlign w:val="center"/>
          </w:tcPr>
          <w:p w14:paraId="1286EF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支持不同人群到指定不同区域体检，如 VIP 人群去 VIP 区，部分项目到公共区</w:t>
            </w:r>
          </w:p>
        </w:tc>
        <w:tc>
          <w:tcPr>
            <w:tcW w:w="870" w:type="dxa"/>
            <w:vMerge w:val="continue"/>
            <w:tcBorders>
              <w:tl2br w:val="nil"/>
              <w:tr2bl w:val="nil"/>
            </w:tcBorders>
            <w:noWrap/>
            <w:vAlign w:val="center"/>
          </w:tcPr>
          <w:p w14:paraId="288880E5">
            <w:pPr>
              <w:spacing w:line="360" w:lineRule="auto"/>
              <w:jc w:val="center"/>
              <w:rPr>
                <w:rFonts w:hint="eastAsia" w:ascii="宋体" w:hAnsi="宋体" w:cs="宋体"/>
                <w:color w:val="auto"/>
                <w:sz w:val="21"/>
                <w:szCs w:val="21"/>
                <w:highlight w:val="none"/>
              </w:rPr>
            </w:pPr>
          </w:p>
        </w:tc>
      </w:tr>
      <w:tr w14:paraId="7D4795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181B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4.5.5.21</w:t>
            </w:r>
          </w:p>
        </w:tc>
        <w:tc>
          <w:tcPr>
            <w:tcW w:w="6982" w:type="dxa"/>
            <w:tcBorders>
              <w:tl2br w:val="nil"/>
              <w:tr2bl w:val="nil"/>
            </w:tcBorders>
            <w:vAlign w:val="center"/>
          </w:tcPr>
          <w:p w14:paraId="508E33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支持并行排队策略</w:t>
            </w:r>
          </w:p>
        </w:tc>
        <w:tc>
          <w:tcPr>
            <w:tcW w:w="870" w:type="dxa"/>
            <w:vMerge w:val="continue"/>
            <w:tcBorders>
              <w:tl2br w:val="nil"/>
              <w:tr2bl w:val="nil"/>
            </w:tcBorders>
            <w:noWrap/>
            <w:vAlign w:val="center"/>
          </w:tcPr>
          <w:p w14:paraId="34E8673D">
            <w:pPr>
              <w:spacing w:line="360" w:lineRule="auto"/>
              <w:jc w:val="center"/>
              <w:rPr>
                <w:rFonts w:hint="eastAsia" w:ascii="宋体" w:hAnsi="宋体" w:cs="宋体"/>
                <w:color w:val="auto"/>
                <w:sz w:val="21"/>
                <w:szCs w:val="21"/>
                <w:highlight w:val="none"/>
              </w:rPr>
            </w:pPr>
          </w:p>
        </w:tc>
      </w:tr>
      <w:tr w14:paraId="04982A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10E93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4.5.5.22</w:t>
            </w:r>
          </w:p>
        </w:tc>
        <w:tc>
          <w:tcPr>
            <w:tcW w:w="6982" w:type="dxa"/>
            <w:tcBorders>
              <w:tl2br w:val="nil"/>
              <w:tr2bl w:val="nil"/>
            </w:tcBorders>
            <w:vAlign w:val="center"/>
          </w:tcPr>
          <w:p w14:paraId="759BAF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支持插队伪装成过号客户排队</w:t>
            </w:r>
          </w:p>
        </w:tc>
        <w:tc>
          <w:tcPr>
            <w:tcW w:w="870" w:type="dxa"/>
            <w:vMerge w:val="continue"/>
            <w:tcBorders>
              <w:tl2br w:val="nil"/>
              <w:tr2bl w:val="nil"/>
            </w:tcBorders>
            <w:noWrap/>
            <w:vAlign w:val="center"/>
          </w:tcPr>
          <w:p w14:paraId="44A0D606">
            <w:pPr>
              <w:spacing w:line="360" w:lineRule="auto"/>
              <w:jc w:val="center"/>
              <w:rPr>
                <w:rFonts w:hint="eastAsia" w:ascii="宋体" w:hAnsi="宋体" w:cs="宋体"/>
                <w:color w:val="auto"/>
                <w:sz w:val="21"/>
                <w:szCs w:val="21"/>
                <w:highlight w:val="none"/>
              </w:rPr>
            </w:pPr>
          </w:p>
        </w:tc>
      </w:tr>
      <w:tr w14:paraId="0D1CE0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3264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4.5.5.23</w:t>
            </w:r>
          </w:p>
        </w:tc>
        <w:tc>
          <w:tcPr>
            <w:tcW w:w="6982" w:type="dxa"/>
            <w:tcBorders>
              <w:tl2br w:val="nil"/>
              <w:tr2bl w:val="nil"/>
            </w:tcBorders>
            <w:vAlign w:val="center"/>
          </w:tcPr>
          <w:p w14:paraId="3C0694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支持按照签到序号排队体检，保证先到先出，人数最少，提高客户体检效果</w:t>
            </w:r>
          </w:p>
        </w:tc>
        <w:tc>
          <w:tcPr>
            <w:tcW w:w="870" w:type="dxa"/>
            <w:vMerge w:val="continue"/>
            <w:tcBorders>
              <w:tl2br w:val="nil"/>
              <w:tr2bl w:val="nil"/>
            </w:tcBorders>
            <w:noWrap/>
            <w:vAlign w:val="center"/>
          </w:tcPr>
          <w:p w14:paraId="7A601A1F">
            <w:pPr>
              <w:spacing w:line="360" w:lineRule="auto"/>
              <w:jc w:val="center"/>
              <w:rPr>
                <w:rFonts w:hint="eastAsia" w:ascii="宋体" w:hAnsi="宋体" w:cs="宋体"/>
                <w:color w:val="auto"/>
                <w:sz w:val="21"/>
                <w:szCs w:val="21"/>
                <w:highlight w:val="none"/>
              </w:rPr>
            </w:pPr>
          </w:p>
        </w:tc>
      </w:tr>
      <w:tr w14:paraId="495BE08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C2B3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4.5.5.24</w:t>
            </w:r>
          </w:p>
        </w:tc>
        <w:tc>
          <w:tcPr>
            <w:tcW w:w="6982" w:type="dxa"/>
            <w:tcBorders>
              <w:tl2br w:val="nil"/>
              <w:tr2bl w:val="nil"/>
            </w:tcBorders>
            <w:vAlign w:val="center"/>
          </w:tcPr>
          <w:p w14:paraId="5841AC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支持体检完成某一项目后必须体检另一项目的场景</w:t>
            </w:r>
          </w:p>
        </w:tc>
        <w:tc>
          <w:tcPr>
            <w:tcW w:w="870" w:type="dxa"/>
            <w:vMerge w:val="continue"/>
            <w:tcBorders>
              <w:tl2br w:val="nil"/>
              <w:tr2bl w:val="nil"/>
            </w:tcBorders>
            <w:noWrap/>
            <w:vAlign w:val="center"/>
          </w:tcPr>
          <w:p w14:paraId="43AA2C5B">
            <w:pPr>
              <w:spacing w:line="360" w:lineRule="auto"/>
              <w:jc w:val="center"/>
              <w:rPr>
                <w:rFonts w:hint="eastAsia" w:ascii="宋体" w:hAnsi="宋体" w:cs="宋体"/>
                <w:color w:val="auto"/>
                <w:sz w:val="21"/>
                <w:szCs w:val="21"/>
                <w:highlight w:val="none"/>
              </w:rPr>
            </w:pPr>
          </w:p>
        </w:tc>
      </w:tr>
      <w:tr w14:paraId="13F6BE4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DC50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4.5.5.25</w:t>
            </w:r>
          </w:p>
        </w:tc>
        <w:tc>
          <w:tcPr>
            <w:tcW w:w="6982" w:type="dxa"/>
            <w:tcBorders>
              <w:tl2br w:val="nil"/>
              <w:tr2bl w:val="nil"/>
            </w:tcBorders>
            <w:vAlign w:val="center"/>
          </w:tcPr>
          <w:p w14:paraId="05C062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VIP 直接排进上屏前的最前的位置</w:t>
            </w:r>
          </w:p>
        </w:tc>
        <w:tc>
          <w:tcPr>
            <w:tcW w:w="870" w:type="dxa"/>
            <w:vMerge w:val="continue"/>
            <w:tcBorders>
              <w:tl2br w:val="nil"/>
              <w:tr2bl w:val="nil"/>
            </w:tcBorders>
            <w:noWrap/>
            <w:vAlign w:val="center"/>
          </w:tcPr>
          <w:p w14:paraId="1A18ADD6">
            <w:pPr>
              <w:spacing w:line="360" w:lineRule="auto"/>
              <w:jc w:val="center"/>
              <w:rPr>
                <w:rFonts w:hint="eastAsia" w:ascii="宋体" w:hAnsi="宋体" w:cs="宋体"/>
                <w:color w:val="auto"/>
                <w:sz w:val="21"/>
                <w:szCs w:val="21"/>
                <w:highlight w:val="none"/>
              </w:rPr>
            </w:pPr>
          </w:p>
        </w:tc>
      </w:tr>
      <w:tr w14:paraId="666D1A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5527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4.5.5.26</w:t>
            </w:r>
          </w:p>
        </w:tc>
        <w:tc>
          <w:tcPr>
            <w:tcW w:w="6982" w:type="dxa"/>
            <w:tcBorders>
              <w:tl2br w:val="nil"/>
              <w:tr2bl w:val="nil"/>
            </w:tcBorders>
            <w:vAlign w:val="center"/>
          </w:tcPr>
          <w:p w14:paraId="1BB513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支持自动分析项目体检时间，以确定队列的权重更准确</w:t>
            </w:r>
          </w:p>
        </w:tc>
        <w:tc>
          <w:tcPr>
            <w:tcW w:w="870" w:type="dxa"/>
            <w:vMerge w:val="continue"/>
            <w:tcBorders>
              <w:tl2br w:val="nil"/>
              <w:tr2bl w:val="nil"/>
            </w:tcBorders>
            <w:noWrap/>
            <w:vAlign w:val="center"/>
          </w:tcPr>
          <w:p w14:paraId="0CB13A13">
            <w:pPr>
              <w:spacing w:line="360" w:lineRule="auto"/>
              <w:jc w:val="center"/>
              <w:rPr>
                <w:rFonts w:hint="eastAsia" w:ascii="宋体" w:hAnsi="宋体" w:cs="宋体"/>
                <w:color w:val="auto"/>
                <w:sz w:val="21"/>
                <w:szCs w:val="21"/>
                <w:highlight w:val="none"/>
              </w:rPr>
            </w:pPr>
          </w:p>
        </w:tc>
      </w:tr>
      <w:tr w14:paraId="57D6378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D754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4.5.5.27</w:t>
            </w:r>
          </w:p>
        </w:tc>
        <w:tc>
          <w:tcPr>
            <w:tcW w:w="6982" w:type="dxa"/>
            <w:tcBorders>
              <w:tl2br w:val="nil"/>
              <w:tr2bl w:val="nil"/>
            </w:tcBorders>
            <w:vAlign w:val="center"/>
          </w:tcPr>
          <w:p w14:paraId="6BC2C5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支持一键打散队列所有人员</w:t>
            </w:r>
          </w:p>
        </w:tc>
        <w:tc>
          <w:tcPr>
            <w:tcW w:w="870" w:type="dxa"/>
            <w:vMerge w:val="continue"/>
            <w:tcBorders>
              <w:tl2br w:val="nil"/>
              <w:tr2bl w:val="nil"/>
            </w:tcBorders>
            <w:noWrap/>
            <w:vAlign w:val="center"/>
          </w:tcPr>
          <w:p w14:paraId="1F782775">
            <w:pPr>
              <w:spacing w:line="360" w:lineRule="auto"/>
              <w:jc w:val="center"/>
              <w:rPr>
                <w:rFonts w:hint="eastAsia" w:ascii="宋体" w:hAnsi="宋体" w:cs="宋体"/>
                <w:color w:val="auto"/>
                <w:sz w:val="21"/>
                <w:szCs w:val="21"/>
                <w:highlight w:val="none"/>
              </w:rPr>
            </w:pPr>
          </w:p>
        </w:tc>
      </w:tr>
      <w:tr w14:paraId="04E5EB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7EC9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4.5.5.28</w:t>
            </w:r>
          </w:p>
        </w:tc>
        <w:tc>
          <w:tcPr>
            <w:tcW w:w="6982" w:type="dxa"/>
            <w:tcBorders>
              <w:tl2br w:val="nil"/>
              <w:tr2bl w:val="nil"/>
            </w:tcBorders>
            <w:vAlign w:val="center"/>
          </w:tcPr>
          <w:p w14:paraId="17587A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支持早餐项目排队</w:t>
            </w:r>
          </w:p>
        </w:tc>
        <w:tc>
          <w:tcPr>
            <w:tcW w:w="870" w:type="dxa"/>
            <w:vMerge w:val="continue"/>
            <w:tcBorders>
              <w:tl2br w:val="nil"/>
              <w:tr2bl w:val="nil"/>
            </w:tcBorders>
            <w:noWrap/>
            <w:vAlign w:val="center"/>
          </w:tcPr>
          <w:p w14:paraId="0AB688AE">
            <w:pPr>
              <w:spacing w:line="360" w:lineRule="auto"/>
              <w:jc w:val="center"/>
              <w:rPr>
                <w:rFonts w:hint="eastAsia" w:ascii="宋体" w:hAnsi="宋体" w:cs="宋体"/>
                <w:color w:val="auto"/>
                <w:sz w:val="21"/>
                <w:szCs w:val="21"/>
                <w:highlight w:val="none"/>
              </w:rPr>
            </w:pPr>
          </w:p>
        </w:tc>
      </w:tr>
      <w:tr w14:paraId="3D5B9F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1E58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4.5.5.29</w:t>
            </w:r>
          </w:p>
        </w:tc>
        <w:tc>
          <w:tcPr>
            <w:tcW w:w="6982" w:type="dxa"/>
            <w:tcBorders>
              <w:tl2br w:val="nil"/>
              <w:tr2bl w:val="nil"/>
            </w:tcBorders>
            <w:vAlign w:val="center"/>
          </w:tcPr>
          <w:p w14:paraId="716C07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支持对外检（门诊）项目排队</w:t>
            </w:r>
          </w:p>
        </w:tc>
        <w:tc>
          <w:tcPr>
            <w:tcW w:w="870" w:type="dxa"/>
            <w:vMerge w:val="continue"/>
            <w:tcBorders>
              <w:tl2br w:val="nil"/>
              <w:tr2bl w:val="nil"/>
            </w:tcBorders>
            <w:noWrap/>
            <w:vAlign w:val="center"/>
          </w:tcPr>
          <w:p w14:paraId="4A97BD9A">
            <w:pPr>
              <w:spacing w:line="360" w:lineRule="auto"/>
              <w:jc w:val="center"/>
              <w:rPr>
                <w:rFonts w:hint="eastAsia" w:ascii="宋体" w:hAnsi="宋体" w:cs="宋体"/>
                <w:color w:val="auto"/>
                <w:sz w:val="21"/>
                <w:szCs w:val="21"/>
                <w:highlight w:val="none"/>
              </w:rPr>
            </w:pPr>
          </w:p>
        </w:tc>
      </w:tr>
      <w:tr w14:paraId="487309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9FAF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4.5.5.30</w:t>
            </w:r>
          </w:p>
        </w:tc>
        <w:tc>
          <w:tcPr>
            <w:tcW w:w="6982" w:type="dxa"/>
            <w:tcBorders>
              <w:tl2br w:val="nil"/>
              <w:tr2bl w:val="nil"/>
            </w:tcBorders>
            <w:vAlign w:val="center"/>
          </w:tcPr>
          <w:p w14:paraId="1DE187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支持非排队队列直接完成项目</w:t>
            </w:r>
          </w:p>
        </w:tc>
        <w:tc>
          <w:tcPr>
            <w:tcW w:w="870" w:type="dxa"/>
            <w:vMerge w:val="continue"/>
            <w:tcBorders>
              <w:tl2br w:val="nil"/>
              <w:tr2bl w:val="nil"/>
            </w:tcBorders>
            <w:noWrap/>
            <w:vAlign w:val="center"/>
          </w:tcPr>
          <w:p w14:paraId="52FE1A4A">
            <w:pPr>
              <w:spacing w:line="360" w:lineRule="auto"/>
              <w:jc w:val="center"/>
              <w:rPr>
                <w:rFonts w:hint="eastAsia" w:ascii="宋体" w:hAnsi="宋体" w:cs="宋体"/>
                <w:color w:val="auto"/>
                <w:sz w:val="21"/>
                <w:szCs w:val="21"/>
                <w:highlight w:val="none"/>
              </w:rPr>
            </w:pPr>
          </w:p>
        </w:tc>
      </w:tr>
      <w:tr w14:paraId="2A425D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534C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4.5.5.31</w:t>
            </w:r>
          </w:p>
        </w:tc>
        <w:tc>
          <w:tcPr>
            <w:tcW w:w="6982" w:type="dxa"/>
            <w:tcBorders>
              <w:tl2br w:val="nil"/>
              <w:tr2bl w:val="nil"/>
            </w:tcBorders>
            <w:vAlign w:val="center"/>
          </w:tcPr>
          <w:p w14:paraId="030633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支持自动、手动将某一队列最后体检</w:t>
            </w:r>
          </w:p>
        </w:tc>
        <w:tc>
          <w:tcPr>
            <w:tcW w:w="870" w:type="dxa"/>
            <w:vMerge w:val="continue"/>
            <w:tcBorders>
              <w:tl2br w:val="nil"/>
              <w:tr2bl w:val="nil"/>
            </w:tcBorders>
            <w:noWrap/>
            <w:vAlign w:val="center"/>
          </w:tcPr>
          <w:p w14:paraId="172E56CC">
            <w:pPr>
              <w:spacing w:line="360" w:lineRule="auto"/>
              <w:jc w:val="center"/>
              <w:rPr>
                <w:rFonts w:hint="eastAsia" w:ascii="宋体" w:hAnsi="宋体" w:cs="宋体"/>
                <w:color w:val="auto"/>
                <w:sz w:val="21"/>
                <w:szCs w:val="21"/>
                <w:highlight w:val="none"/>
              </w:rPr>
            </w:pPr>
          </w:p>
        </w:tc>
      </w:tr>
      <w:tr w14:paraId="1C5000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3FBA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4.5.5.32</w:t>
            </w:r>
          </w:p>
        </w:tc>
        <w:tc>
          <w:tcPr>
            <w:tcW w:w="6982" w:type="dxa"/>
            <w:tcBorders>
              <w:tl2br w:val="nil"/>
              <w:tr2bl w:val="nil"/>
            </w:tcBorders>
            <w:vAlign w:val="center"/>
          </w:tcPr>
          <w:p w14:paraId="051790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支持特定队列不能做某些项目，如部分 B 超不能做阴超</w:t>
            </w:r>
          </w:p>
        </w:tc>
        <w:tc>
          <w:tcPr>
            <w:tcW w:w="870" w:type="dxa"/>
            <w:vMerge w:val="continue"/>
            <w:tcBorders>
              <w:tl2br w:val="nil"/>
              <w:tr2bl w:val="nil"/>
            </w:tcBorders>
            <w:noWrap/>
            <w:vAlign w:val="center"/>
          </w:tcPr>
          <w:p w14:paraId="0EDF576F">
            <w:pPr>
              <w:spacing w:line="360" w:lineRule="auto"/>
              <w:jc w:val="center"/>
              <w:rPr>
                <w:rFonts w:hint="eastAsia" w:ascii="宋体" w:hAnsi="宋体" w:cs="宋体"/>
                <w:color w:val="auto"/>
                <w:sz w:val="21"/>
                <w:szCs w:val="21"/>
                <w:highlight w:val="none"/>
              </w:rPr>
            </w:pPr>
          </w:p>
        </w:tc>
      </w:tr>
      <w:tr w14:paraId="5BCD02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69B5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4.5.5.33</w:t>
            </w:r>
          </w:p>
        </w:tc>
        <w:tc>
          <w:tcPr>
            <w:tcW w:w="6982" w:type="dxa"/>
            <w:tcBorders>
              <w:tl2br w:val="nil"/>
              <w:tr2bl w:val="nil"/>
            </w:tcBorders>
            <w:vAlign w:val="center"/>
          </w:tcPr>
          <w:p w14:paraId="78ED192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一个队列可对应多个诊室，多个队列也可对应一个诊室</w:t>
            </w:r>
          </w:p>
        </w:tc>
        <w:tc>
          <w:tcPr>
            <w:tcW w:w="870" w:type="dxa"/>
            <w:vMerge w:val="continue"/>
            <w:tcBorders>
              <w:tl2br w:val="nil"/>
              <w:tr2bl w:val="nil"/>
            </w:tcBorders>
            <w:noWrap/>
            <w:vAlign w:val="center"/>
          </w:tcPr>
          <w:p w14:paraId="3BB221E9">
            <w:pPr>
              <w:spacing w:line="360" w:lineRule="auto"/>
              <w:jc w:val="center"/>
              <w:rPr>
                <w:rFonts w:hint="eastAsia" w:ascii="宋体" w:hAnsi="宋体" w:cs="宋体"/>
                <w:color w:val="auto"/>
                <w:sz w:val="21"/>
                <w:szCs w:val="21"/>
                <w:highlight w:val="none"/>
              </w:rPr>
            </w:pPr>
          </w:p>
        </w:tc>
      </w:tr>
      <w:tr w14:paraId="023D7E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2DAC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4.5.5.34</w:t>
            </w:r>
          </w:p>
        </w:tc>
        <w:tc>
          <w:tcPr>
            <w:tcW w:w="6982" w:type="dxa"/>
            <w:tcBorders>
              <w:tl2br w:val="nil"/>
              <w:tr2bl w:val="nil"/>
            </w:tcBorders>
            <w:vAlign w:val="center"/>
          </w:tcPr>
          <w:p w14:paraId="77EE750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设置默认启动及显示队列</w:t>
            </w:r>
          </w:p>
        </w:tc>
        <w:tc>
          <w:tcPr>
            <w:tcW w:w="870" w:type="dxa"/>
            <w:vMerge w:val="continue"/>
            <w:tcBorders>
              <w:tl2br w:val="nil"/>
              <w:tr2bl w:val="nil"/>
            </w:tcBorders>
            <w:noWrap/>
            <w:vAlign w:val="center"/>
          </w:tcPr>
          <w:p w14:paraId="0B1CB046">
            <w:pPr>
              <w:spacing w:line="360" w:lineRule="auto"/>
              <w:jc w:val="center"/>
              <w:rPr>
                <w:rFonts w:hint="eastAsia" w:ascii="宋体" w:hAnsi="宋体" w:cs="宋体"/>
                <w:color w:val="auto"/>
                <w:sz w:val="21"/>
                <w:szCs w:val="21"/>
                <w:highlight w:val="none"/>
              </w:rPr>
            </w:pPr>
          </w:p>
        </w:tc>
      </w:tr>
      <w:tr w14:paraId="470936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7503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4.5.5.35</w:t>
            </w:r>
          </w:p>
        </w:tc>
        <w:tc>
          <w:tcPr>
            <w:tcW w:w="6982" w:type="dxa"/>
            <w:tcBorders>
              <w:tl2br w:val="nil"/>
              <w:tr2bl w:val="nil"/>
            </w:tcBorders>
            <w:vAlign w:val="center"/>
          </w:tcPr>
          <w:p w14:paraId="1AE97E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实时掌握各体检诊室队列情况；及医生到岗情况</w:t>
            </w:r>
          </w:p>
        </w:tc>
        <w:tc>
          <w:tcPr>
            <w:tcW w:w="870" w:type="dxa"/>
            <w:vMerge w:val="continue"/>
            <w:tcBorders>
              <w:tl2br w:val="nil"/>
              <w:tr2bl w:val="nil"/>
            </w:tcBorders>
            <w:noWrap/>
            <w:vAlign w:val="center"/>
          </w:tcPr>
          <w:p w14:paraId="65D6ABB2">
            <w:pPr>
              <w:spacing w:line="360" w:lineRule="auto"/>
              <w:jc w:val="center"/>
              <w:rPr>
                <w:rFonts w:hint="eastAsia" w:ascii="宋体" w:hAnsi="宋体" w:cs="宋体"/>
                <w:color w:val="auto"/>
                <w:sz w:val="21"/>
                <w:szCs w:val="21"/>
                <w:highlight w:val="none"/>
              </w:rPr>
            </w:pPr>
          </w:p>
        </w:tc>
      </w:tr>
      <w:tr w14:paraId="5059620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5856A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4.5.5.36</w:t>
            </w:r>
          </w:p>
        </w:tc>
        <w:tc>
          <w:tcPr>
            <w:tcW w:w="6982" w:type="dxa"/>
            <w:tcBorders>
              <w:tl2br w:val="nil"/>
              <w:tr2bl w:val="nil"/>
            </w:tcBorders>
            <w:vAlign w:val="center"/>
          </w:tcPr>
          <w:p w14:paraId="6E792D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支持手动调整队列顺序</w:t>
            </w:r>
          </w:p>
        </w:tc>
        <w:tc>
          <w:tcPr>
            <w:tcW w:w="870" w:type="dxa"/>
            <w:vMerge w:val="continue"/>
            <w:tcBorders>
              <w:tl2br w:val="nil"/>
              <w:tr2bl w:val="nil"/>
            </w:tcBorders>
            <w:noWrap/>
            <w:vAlign w:val="center"/>
          </w:tcPr>
          <w:p w14:paraId="3D6DF46A">
            <w:pPr>
              <w:spacing w:line="360" w:lineRule="auto"/>
              <w:jc w:val="center"/>
              <w:rPr>
                <w:rFonts w:hint="eastAsia" w:ascii="宋体" w:hAnsi="宋体" w:cs="宋体"/>
                <w:color w:val="auto"/>
                <w:sz w:val="21"/>
                <w:szCs w:val="21"/>
                <w:highlight w:val="none"/>
              </w:rPr>
            </w:pPr>
          </w:p>
        </w:tc>
      </w:tr>
      <w:tr w14:paraId="37C7F2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E760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4.5.5.37</w:t>
            </w:r>
          </w:p>
        </w:tc>
        <w:tc>
          <w:tcPr>
            <w:tcW w:w="6982" w:type="dxa"/>
            <w:tcBorders>
              <w:tl2br w:val="nil"/>
              <w:tr2bl w:val="nil"/>
            </w:tcBorders>
            <w:vAlign w:val="center"/>
          </w:tcPr>
          <w:p w14:paraId="5181DC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支持手动增加队列，停用队列，启用队列，合并队列，设置队列优先级</w:t>
            </w:r>
          </w:p>
        </w:tc>
        <w:tc>
          <w:tcPr>
            <w:tcW w:w="870" w:type="dxa"/>
            <w:vMerge w:val="continue"/>
            <w:tcBorders>
              <w:tl2br w:val="nil"/>
              <w:tr2bl w:val="nil"/>
            </w:tcBorders>
            <w:noWrap/>
            <w:vAlign w:val="center"/>
          </w:tcPr>
          <w:p w14:paraId="501AC4A8">
            <w:pPr>
              <w:spacing w:line="360" w:lineRule="auto"/>
              <w:jc w:val="center"/>
              <w:rPr>
                <w:rFonts w:hint="eastAsia" w:ascii="宋体" w:hAnsi="宋体" w:cs="宋体"/>
                <w:color w:val="auto"/>
                <w:sz w:val="21"/>
                <w:szCs w:val="21"/>
                <w:highlight w:val="none"/>
              </w:rPr>
            </w:pPr>
          </w:p>
        </w:tc>
      </w:tr>
      <w:tr w14:paraId="7752C0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4ADA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4.5.5.38</w:t>
            </w:r>
          </w:p>
        </w:tc>
        <w:tc>
          <w:tcPr>
            <w:tcW w:w="6982" w:type="dxa"/>
            <w:tcBorders>
              <w:tl2br w:val="nil"/>
              <w:tr2bl w:val="nil"/>
            </w:tcBorders>
            <w:vAlign w:val="center"/>
          </w:tcPr>
          <w:p w14:paraId="144735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支持多种方式登记，并打印排队小票、导检单、各类条码</w:t>
            </w:r>
          </w:p>
        </w:tc>
        <w:tc>
          <w:tcPr>
            <w:tcW w:w="870" w:type="dxa"/>
            <w:vMerge w:val="continue"/>
            <w:tcBorders>
              <w:tl2br w:val="nil"/>
              <w:tr2bl w:val="nil"/>
            </w:tcBorders>
            <w:noWrap/>
            <w:vAlign w:val="center"/>
          </w:tcPr>
          <w:p w14:paraId="5C023159">
            <w:pPr>
              <w:spacing w:line="360" w:lineRule="auto"/>
              <w:jc w:val="center"/>
              <w:rPr>
                <w:rFonts w:hint="eastAsia" w:ascii="宋体" w:hAnsi="宋体" w:cs="宋体"/>
                <w:color w:val="auto"/>
                <w:sz w:val="21"/>
                <w:szCs w:val="21"/>
                <w:highlight w:val="none"/>
              </w:rPr>
            </w:pPr>
          </w:p>
        </w:tc>
      </w:tr>
      <w:tr w14:paraId="19BE5E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86A3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4.5.5.39</w:t>
            </w:r>
          </w:p>
        </w:tc>
        <w:tc>
          <w:tcPr>
            <w:tcW w:w="6982" w:type="dxa"/>
            <w:tcBorders>
              <w:tl2br w:val="nil"/>
              <w:tr2bl w:val="nil"/>
            </w:tcBorders>
            <w:vAlign w:val="center"/>
          </w:tcPr>
          <w:p w14:paraId="3193B9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支持查看每个体检者体检情况；可完成某一科室体检、切换队列、弃检、收单、复检、锁定、解锁等操作</w:t>
            </w:r>
          </w:p>
        </w:tc>
        <w:tc>
          <w:tcPr>
            <w:tcW w:w="870" w:type="dxa"/>
            <w:vMerge w:val="continue"/>
            <w:tcBorders>
              <w:tl2br w:val="nil"/>
              <w:tr2bl w:val="nil"/>
            </w:tcBorders>
            <w:noWrap/>
            <w:vAlign w:val="center"/>
          </w:tcPr>
          <w:p w14:paraId="2E1733B0">
            <w:pPr>
              <w:spacing w:line="360" w:lineRule="auto"/>
              <w:jc w:val="center"/>
              <w:rPr>
                <w:rFonts w:hint="eastAsia" w:ascii="宋体" w:hAnsi="宋体" w:cs="宋体"/>
                <w:color w:val="auto"/>
                <w:sz w:val="21"/>
                <w:szCs w:val="21"/>
                <w:highlight w:val="none"/>
              </w:rPr>
            </w:pPr>
          </w:p>
        </w:tc>
      </w:tr>
      <w:tr w14:paraId="6FC562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3A47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4.5.5.40</w:t>
            </w:r>
          </w:p>
        </w:tc>
        <w:tc>
          <w:tcPr>
            <w:tcW w:w="6982" w:type="dxa"/>
            <w:tcBorders>
              <w:tl2br w:val="nil"/>
              <w:tr2bl w:val="nil"/>
            </w:tcBorders>
            <w:vAlign w:val="center"/>
          </w:tcPr>
          <w:p w14:paraId="1CB0CC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支持多种条件查询：体检编号、身份证、简拼搜索用户</w:t>
            </w:r>
          </w:p>
        </w:tc>
        <w:tc>
          <w:tcPr>
            <w:tcW w:w="870" w:type="dxa"/>
            <w:vMerge w:val="continue"/>
            <w:tcBorders>
              <w:tl2br w:val="nil"/>
              <w:tr2bl w:val="nil"/>
            </w:tcBorders>
            <w:noWrap/>
            <w:vAlign w:val="center"/>
          </w:tcPr>
          <w:p w14:paraId="689EBC90">
            <w:pPr>
              <w:spacing w:line="360" w:lineRule="auto"/>
              <w:jc w:val="center"/>
              <w:rPr>
                <w:rFonts w:hint="eastAsia" w:ascii="宋体" w:hAnsi="宋体" w:cs="宋体"/>
                <w:color w:val="auto"/>
                <w:sz w:val="21"/>
                <w:szCs w:val="21"/>
                <w:highlight w:val="none"/>
              </w:rPr>
            </w:pPr>
          </w:p>
        </w:tc>
      </w:tr>
      <w:tr w14:paraId="756015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C90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4.5.5.41</w:t>
            </w:r>
          </w:p>
        </w:tc>
        <w:tc>
          <w:tcPr>
            <w:tcW w:w="6982" w:type="dxa"/>
            <w:tcBorders>
              <w:tl2br w:val="nil"/>
              <w:tr2bl w:val="nil"/>
            </w:tcBorders>
            <w:vAlign w:val="center"/>
          </w:tcPr>
          <w:p w14:paraId="42B92D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支持统计各个诊室体检完成情况</w:t>
            </w:r>
          </w:p>
        </w:tc>
        <w:tc>
          <w:tcPr>
            <w:tcW w:w="870" w:type="dxa"/>
            <w:vMerge w:val="continue"/>
            <w:tcBorders>
              <w:tl2br w:val="nil"/>
              <w:tr2bl w:val="nil"/>
            </w:tcBorders>
            <w:noWrap/>
            <w:vAlign w:val="center"/>
          </w:tcPr>
          <w:p w14:paraId="1D648710">
            <w:pPr>
              <w:spacing w:line="360" w:lineRule="auto"/>
              <w:jc w:val="center"/>
              <w:rPr>
                <w:rFonts w:hint="eastAsia" w:ascii="宋体" w:hAnsi="宋体" w:cs="宋体"/>
                <w:color w:val="auto"/>
                <w:sz w:val="21"/>
                <w:szCs w:val="21"/>
                <w:highlight w:val="none"/>
              </w:rPr>
            </w:pPr>
          </w:p>
        </w:tc>
      </w:tr>
      <w:tr w14:paraId="239A82F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D8F8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4.5.5.42</w:t>
            </w:r>
          </w:p>
        </w:tc>
        <w:tc>
          <w:tcPr>
            <w:tcW w:w="6982" w:type="dxa"/>
            <w:tcBorders>
              <w:tl2br w:val="nil"/>
              <w:tr2bl w:val="nil"/>
            </w:tcBorders>
            <w:vAlign w:val="center"/>
          </w:tcPr>
          <w:p w14:paraId="4E75D1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支持查看当前人数及未检人数</w:t>
            </w:r>
          </w:p>
        </w:tc>
        <w:tc>
          <w:tcPr>
            <w:tcW w:w="870" w:type="dxa"/>
            <w:vMerge w:val="continue"/>
            <w:tcBorders>
              <w:tl2br w:val="nil"/>
              <w:tr2bl w:val="nil"/>
            </w:tcBorders>
            <w:noWrap/>
            <w:vAlign w:val="center"/>
          </w:tcPr>
          <w:p w14:paraId="71B6AFD9">
            <w:pPr>
              <w:spacing w:line="360" w:lineRule="auto"/>
              <w:jc w:val="center"/>
              <w:rPr>
                <w:rFonts w:hint="eastAsia" w:ascii="宋体" w:hAnsi="宋体" w:cs="宋体"/>
                <w:color w:val="auto"/>
                <w:sz w:val="21"/>
                <w:szCs w:val="21"/>
                <w:highlight w:val="none"/>
              </w:rPr>
            </w:pPr>
          </w:p>
        </w:tc>
      </w:tr>
      <w:tr w14:paraId="00E5D3F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F550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4.5.5.43</w:t>
            </w:r>
          </w:p>
        </w:tc>
        <w:tc>
          <w:tcPr>
            <w:tcW w:w="6982" w:type="dxa"/>
            <w:tcBorders>
              <w:tl2br w:val="nil"/>
              <w:tr2bl w:val="nil"/>
            </w:tcBorders>
            <w:vAlign w:val="center"/>
          </w:tcPr>
          <w:p w14:paraId="116CC3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支持执行固定流程项目插入</w:t>
            </w:r>
          </w:p>
        </w:tc>
        <w:tc>
          <w:tcPr>
            <w:tcW w:w="870" w:type="dxa"/>
            <w:vMerge w:val="continue"/>
            <w:tcBorders>
              <w:tl2br w:val="nil"/>
              <w:tr2bl w:val="nil"/>
            </w:tcBorders>
            <w:noWrap/>
            <w:vAlign w:val="center"/>
          </w:tcPr>
          <w:p w14:paraId="3F59EBF3">
            <w:pPr>
              <w:spacing w:line="360" w:lineRule="auto"/>
              <w:jc w:val="center"/>
              <w:rPr>
                <w:rFonts w:hint="eastAsia" w:ascii="宋体" w:hAnsi="宋体" w:cs="宋体"/>
                <w:color w:val="auto"/>
                <w:sz w:val="21"/>
                <w:szCs w:val="21"/>
                <w:highlight w:val="none"/>
              </w:rPr>
            </w:pPr>
          </w:p>
        </w:tc>
      </w:tr>
      <w:tr w14:paraId="7C146E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3A6B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4.5.5.44</w:t>
            </w:r>
          </w:p>
        </w:tc>
        <w:tc>
          <w:tcPr>
            <w:tcW w:w="6982" w:type="dxa"/>
            <w:tcBorders>
              <w:tl2br w:val="nil"/>
              <w:tr2bl w:val="nil"/>
            </w:tcBorders>
            <w:vAlign w:val="center"/>
          </w:tcPr>
          <w:p w14:paraId="004914C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支持所有科室停止、启动</w:t>
            </w:r>
          </w:p>
        </w:tc>
        <w:tc>
          <w:tcPr>
            <w:tcW w:w="870" w:type="dxa"/>
            <w:vMerge w:val="continue"/>
            <w:tcBorders>
              <w:tl2br w:val="nil"/>
              <w:tr2bl w:val="nil"/>
            </w:tcBorders>
            <w:noWrap/>
            <w:vAlign w:val="center"/>
          </w:tcPr>
          <w:p w14:paraId="716E56E6">
            <w:pPr>
              <w:spacing w:line="360" w:lineRule="auto"/>
              <w:jc w:val="center"/>
              <w:rPr>
                <w:rFonts w:hint="eastAsia" w:ascii="宋体" w:hAnsi="宋体" w:cs="宋体"/>
                <w:color w:val="auto"/>
                <w:sz w:val="21"/>
                <w:szCs w:val="21"/>
                <w:highlight w:val="none"/>
              </w:rPr>
            </w:pPr>
          </w:p>
        </w:tc>
      </w:tr>
      <w:tr w14:paraId="1C7AFE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BFEA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4.5.5.45</w:t>
            </w:r>
          </w:p>
        </w:tc>
        <w:tc>
          <w:tcPr>
            <w:tcW w:w="6982" w:type="dxa"/>
            <w:tcBorders>
              <w:tl2br w:val="nil"/>
              <w:tr2bl w:val="nil"/>
            </w:tcBorders>
            <w:vAlign w:val="center"/>
          </w:tcPr>
          <w:p w14:paraId="08EC6B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支持设置不同的客户类型，显示指定标签及颜色，显示队列中人员性别</w:t>
            </w:r>
          </w:p>
        </w:tc>
        <w:tc>
          <w:tcPr>
            <w:tcW w:w="870" w:type="dxa"/>
            <w:vMerge w:val="continue"/>
            <w:tcBorders>
              <w:tl2br w:val="nil"/>
              <w:tr2bl w:val="nil"/>
            </w:tcBorders>
            <w:noWrap/>
            <w:vAlign w:val="center"/>
          </w:tcPr>
          <w:p w14:paraId="09156619">
            <w:pPr>
              <w:spacing w:line="360" w:lineRule="auto"/>
              <w:jc w:val="center"/>
              <w:rPr>
                <w:rFonts w:hint="eastAsia" w:ascii="宋体" w:hAnsi="宋体" w:cs="宋体"/>
                <w:color w:val="auto"/>
                <w:sz w:val="21"/>
                <w:szCs w:val="21"/>
                <w:highlight w:val="none"/>
              </w:rPr>
            </w:pPr>
          </w:p>
        </w:tc>
      </w:tr>
      <w:tr w14:paraId="72EEC0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A90D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4.5.5.46</w:t>
            </w:r>
          </w:p>
        </w:tc>
        <w:tc>
          <w:tcPr>
            <w:tcW w:w="6982" w:type="dxa"/>
            <w:tcBorders>
              <w:tl2br w:val="nil"/>
              <w:tr2bl w:val="nil"/>
            </w:tcBorders>
            <w:vAlign w:val="center"/>
          </w:tcPr>
          <w:p w14:paraId="21E7F1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支持统计当前登记人数，并查看人员名单</w:t>
            </w:r>
          </w:p>
        </w:tc>
        <w:tc>
          <w:tcPr>
            <w:tcW w:w="870" w:type="dxa"/>
            <w:vMerge w:val="continue"/>
            <w:tcBorders>
              <w:tl2br w:val="nil"/>
              <w:tr2bl w:val="nil"/>
            </w:tcBorders>
            <w:noWrap/>
            <w:vAlign w:val="center"/>
          </w:tcPr>
          <w:p w14:paraId="2D4CF79E">
            <w:pPr>
              <w:spacing w:line="360" w:lineRule="auto"/>
              <w:jc w:val="center"/>
              <w:rPr>
                <w:rFonts w:hint="eastAsia" w:ascii="宋体" w:hAnsi="宋体" w:cs="宋体"/>
                <w:color w:val="auto"/>
                <w:sz w:val="21"/>
                <w:szCs w:val="21"/>
                <w:highlight w:val="none"/>
              </w:rPr>
            </w:pPr>
          </w:p>
        </w:tc>
      </w:tr>
      <w:tr w14:paraId="06ED0A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3AC5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4.5.5.47</w:t>
            </w:r>
          </w:p>
        </w:tc>
        <w:tc>
          <w:tcPr>
            <w:tcW w:w="6982" w:type="dxa"/>
            <w:tcBorders>
              <w:tl2br w:val="nil"/>
              <w:tr2bl w:val="nil"/>
            </w:tcBorders>
            <w:vAlign w:val="center"/>
          </w:tcPr>
          <w:p w14:paraId="1FF9BF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支持查询客户体检排队路径</w:t>
            </w:r>
          </w:p>
        </w:tc>
        <w:tc>
          <w:tcPr>
            <w:tcW w:w="870" w:type="dxa"/>
            <w:vMerge w:val="continue"/>
            <w:tcBorders>
              <w:tl2br w:val="nil"/>
              <w:tr2bl w:val="nil"/>
            </w:tcBorders>
            <w:noWrap/>
            <w:vAlign w:val="center"/>
          </w:tcPr>
          <w:p w14:paraId="179D74ED">
            <w:pPr>
              <w:spacing w:line="360" w:lineRule="auto"/>
              <w:jc w:val="center"/>
              <w:rPr>
                <w:rFonts w:hint="eastAsia" w:ascii="宋体" w:hAnsi="宋体" w:cs="宋体"/>
                <w:color w:val="auto"/>
                <w:sz w:val="21"/>
                <w:szCs w:val="21"/>
                <w:highlight w:val="none"/>
              </w:rPr>
            </w:pPr>
          </w:p>
        </w:tc>
      </w:tr>
      <w:tr w14:paraId="310533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B2C3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4.5.5.48</w:t>
            </w:r>
          </w:p>
        </w:tc>
        <w:tc>
          <w:tcPr>
            <w:tcW w:w="6982" w:type="dxa"/>
            <w:tcBorders>
              <w:tl2br w:val="nil"/>
              <w:tr2bl w:val="nil"/>
            </w:tcBorders>
            <w:vAlign w:val="center"/>
          </w:tcPr>
          <w:p w14:paraId="5C05CA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支持多种 VIP 排队操作</w:t>
            </w:r>
          </w:p>
        </w:tc>
        <w:tc>
          <w:tcPr>
            <w:tcW w:w="870" w:type="dxa"/>
            <w:vMerge w:val="continue"/>
            <w:tcBorders>
              <w:tl2br w:val="nil"/>
              <w:tr2bl w:val="nil"/>
            </w:tcBorders>
            <w:noWrap/>
            <w:vAlign w:val="center"/>
          </w:tcPr>
          <w:p w14:paraId="182CF595">
            <w:pPr>
              <w:spacing w:line="360" w:lineRule="auto"/>
              <w:jc w:val="center"/>
              <w:rPr>
                <w:rFonts w:hint="eastAsia" w:ascii="宋体" w:hAnsi="宋体" w:cs="宋体"/>
                <w:color w:val="auto"/>
                <w:sz w:val="21"/>
                <w:szCs w:val="21"/>
                <w:highlight w:val="none"/>
              </w:rPr>
            </w:pPr>
          </w:p>
        </w:tc>
      </w:tr>
      <w:tr w14:paraId="732172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5D6F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4.5.5.49</w:t>
            </w:r>
          </w:p>
        </w:tc>
        <w:tc>
          <w:tcPr>
            <w:tcW w:w="6982" w:type="dxa"/>
            <w:tcBorders>
              <w:tl2br w:val="nil"/>
              <w:tr2bl w:val="nil"/>
            </w:tcBorders>
            <w:vAlign w:val="center"/>
          </w:tcPr>
          <w:p w14:paraId="6DBFFB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支持通过录入体检用户人员信息，项目信息，直接在导检系统进行登记</w:t>
            </w:r>
          </w:p>
        </w:tc>
        <w:tc>
          <w:tcPr>
            <w:tcW w:w="870" w:type="dxa"/>
            <w:vMerge w:val="continue"/>
            <w:tcBorders>
              <w:tl2br w:val="nil"/>
              <w:tr2bl w:val="nil"/>
            </w:tcBorders>
            <w:noWrap/>
            <w:vAlign w:val="center"/>
          </w:tcPr>
          <w:p w14:paraId="1681FE7B">
            <w:pPr>
              <w:spacing w:line="360" w:lineRule="auto"/>
              <w:jc w:val="center"/>
              <w:rPr>
                <w:rFonts w:hint="eastAsia" w:ascii="宋体" w:hAnsi="宋体" w:cs="宋体"/>
                <w:color w:val="auto"/>
                <w:sz w:val="21"/>
                <w:szCs w:val="21"/>
                <w:highlight w:val="none"/>
              </w:rPr>
            </w:pPr>
          </w:p>
        </w:tc>
      </w:tr>
      <w:tr w14:paraId="2160F9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075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4.5.5.50</w:t>
            </w:r>
          </w:p>
        </w:tc>
        <w:tc>
          <w:tcPr>
            <w:tcW w:w="6982" w:type="dxa"/>
            <w:tcBorders>
              <w:tl2br w:val="nil"/>
              <w:tr2bl w:val="nil"/>
            </w:tcBorders>
            <w:vAlign w:val="center"/>
          </w:tcPr>
          <w:p w14:paraId="5E59AF8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支持通过查看操作日志，记录了各科室，前台的操作人以及操作记录</w:t>
            </w:r>
          </w:p>
        </w:tc>
        <w:tc>
          <w:tcPr>
            <w:tcW w:w="870" w:type="dxa"/>
            <w:vMerge w:val="continue"/>
            <w:tcBorders>
              <w:tl2br w:val="nil"/>
              <w:tr2bl w:val="nil"/>
            </w:tcBorders>
            <w:noWrap/>
            <w:vAlign w:val="center"/>
          </w:tcPr>
          <w:p w14:paraId="6663D53A">
            <w:pPr>
              <w:spacing w:line="360" w:lineRule="auto"/>
              <w:jc w:val="center"/>
              <w:rPr>
                <w:rFonts w:hint="eastAsia" w:ascii="宋体" w:hAnsi="宋体" w:cs="宋体"/>
                <w:color w:val="auto"/>
                <w:sz w:val="21"/>
                <w:szCs w:val="21"/>
                <w:highlight w:val="none"/>
              </w:rPr>
            </w:pPr>
          </w:p>
        </w:tc>
      </w:tr>
      <w:tr w14:paraId="79E04E7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6249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4.5.5.51</w:t>
            </w:r>
          </w:p>
        </w:tc>
        <w:tc>
          <w:tcPr>
            <w:tcW w:w="6982" w:type="dxa"/>
            <w:tcBorders>
              <w:tl2br w:val="nil"/>
              <w:tr2bl w:val="nil"/>
            </w:tcBorders>
            <w:vAlign w:val="center"/>
          </w:tcPr>
          <w:p w14:paraId="3E744C5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支持队列名称快速搜索定位</w:t>
            </w:r>
          </w:p>
        </w:tc>
        <w:tc>
          <w:tcPr>
            <w:tcW w:w="870" w:type="dxa"/>
            <w:vMerge w:val="continue"/>
            <w:tcBorders>
              <w:tl2br w:val="nil"/>
              <w:tr2bl w:val="nil"/>
            </w:tcBorders>
            <w:noWrap/>
            <w:vAlign w:val="center"/>
          </w:tcPr>
          <w:p w14:paraId="453659B2">
            <w:pPr>
              <w:spacing w:line="360" w:lineRule="auto"/>
              <w:jc w:val="center"/>
              <w:rPr>
                <w:rFonts w:hint="eastAsia" w:ascii="宋体" w:hAnsi="宋体" w:cs="宋体"/>
                <w:color w:val="auto"/>
                <w:sz w:val="21"/>
                <w:szCs w:val="21"/>
                <w:highlight w:val="none"/>
              </w:rPr>
            </w:pPr>
          </w:p>
        </w:tc>
      </w:tr>
      <w:tr w14:paraId="3AE4096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15B2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4.5.5.52</w:t>
            </w:r>
          </w:p>
        </w:tc>
        <w:tc>
          <w:tcPr>
            <w:tcW w:w="6982" w:type="dxa"/>
            <w:tcBorders>
              <w:tl2br w:val="nil"/>
              <w:tr2bl w:val="nil"/>
            </w:tcBorders>
            <w:vAlign w:val="center"/>
          </w:tcPr>
          <w:p w14:paraId="20CDBB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支持每日预留导检号，预留体检</w:t>
            </w:r>
          </w:p>
        </w:tc>
        <w:tc>
          <w:tcPr>
            <w:tcW w:w="870" w:type="dxa"/>
            <w:vMerge w:val="continue"/>
            <w:tcBorders>
              <w:tl2br w:val="nil"/>
              <w:tr2bl w:val="nil"/>
            </w:tcBorders>
            <w:noWrap/>
            <w:vAlign w:val="center"/>
          </w:tcPr>
          <w:p w14:paraId="5E7E7855">
            <w:pPr>
              <w:spacing w:line="360" w:lineRule="auto"/>
              <w:jc w:val="center"/>
              <w:rPr>
                <w:rFonts w:hint="eastAsia" w:ascii="宋体" w:hAnsi="宋体" w:cs="宋体"/>
                <w:color w:val="auto"/>
                <w:sz w:val="21"/>
                <w:szCs w:val="21"/>
                <w:highlight w:val="none"/>
              </w:rPr>
            </w:pPr>
          </w:p>
        </w:tc>
      </w:tr>
      <w:tr w14:paraId="416B14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AA026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4.5.5.53</w:t>
            </w:r>
          </w:p>
        </w:tc>
        <w:tc>
          <w:tcPr>
            <w:tcW w:w="6982" w:type="dxa"/>
            <w:tcBorders>
              <w:tl2br w:val="nil"/>
              <w:tr2bl w:val="nil"/>
            </w:tcBorders>
            <w:vAlign w:val="center"/>
          </w:tcPr>
          <w:p w14:paraId="43A733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支持直接拖动用户更换队列</w:t>
            </w:r>
          </w:p>
        </w:tc>
        <w:tc>
          <w:tcPr>
            <w:tcW w:w="870" w:type="dxa"/>
            <w:vMerge w:val="continue"/>
            <w:tcBorders>
              <w:tl2br w:val="nil"/>
              <w:tr2bl w:val="nil"/>
            </w:tcBorders>
            <w:noWrap/>
            <w:vAlign w:val="center"/>
          </w:tcPr>
          <w:p w14:paraId="202C175E">
            <w:pPr>
              <w:spacing w:line="360" w:lineRule="auto"/>
              <w:jc w:val="center"/>
              <w:rPr>
                <w:rFonts w:hint="eastAsia" w:ascii="宋体" w:hAnsi="宋体" w:cs="宋体"/>
                <w:color w:val="auto"/>
                <w:sz w:val="21"/>
                <w:szCs w:val="21"/>
                <w:highlight w:val="none"/>
              </w:rPr>
            </w:pPr>
          </w:p>
        </w:tc>
      </w:tr>
      <w:tr w14:paraId="4493CF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CDD8F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4.5.5.54</w:t>
            </w:r>
          </w:p>
        </w:tc>
        <w:tc>
          <w:tcPr>
            <w:tcW w:w="6982" w:type="dxa"/>
            <w:tcBorders>
              <w:tl2br w:val="nil"/>
              <w:tr2bl w:val="nil"/>
            </w:tcBorders>
            <w:vAlign w:val="center"/>
          </w:tcPr>
          <w:p w14:paraId="25FF6F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支持临时修改队列性别，灵活调控</w:t>
            </w:r>
          </w:p>
        </w:tc>
        <w:tc>
          <w:tcPr>
            <w:tcW w:w="870" w:type="dxa"/>
            <w:vMerge w:val="continue"/>
            <w:tcBorders>
              <w:tl2br w:val="nil"/>
              <w:tr2bl w:val="nil"/>
            </w:tcBorders>
            <w:noWrap/>
            <w:vAlign w:val="center"/>
          </w:tcPr>
          <w:p w14:paraId="52F4F8B1">
            <w:pPr>
              <w:spacing w:line="360" w:lineRule="auto"/>
              <w:jc w:val="center"/>
              <w:rPr>
                <w:rFonts w:hint="eastAsia" w:ascii="宋体" w:hAnsi="宋体" w:cs="宋体"/>
                <w:color w:val="auto"/>
                <w:sz w:val="21"/>
                <w:szCs w:val="21"/>
                <w:highlight w:val="none"/>
              </w:rPr>
            </w:pPr>
          </w:p>
        </w:tc>
      </w:tr>
      <w:tr w14:paraId="6B9459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8E85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4.5.5.55</w:t>
            </w:r>
          </w:p>
        </w:tc>
        <w:tc>
          <w:tcPr>
            <w:tcW w:w="6982" w:type="dxa"/>
            <w:tcBorders>
              <w:tl2br w:val="nil"/>
              <w:tr2bl w:val="nil"/>
            </w:tcBorders>
            <w:vAlign w:val="center"/>
          </w:tcPr>
          <w:p w14:paraId="116523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支持前台护士通过系统分配的账号进行登录</w:t>
            </w:r>
          </w:p>
        </w:tc>
        <w:tc>
          <w:tcPr>
            <w:tcW w:w="870" w:type="dxa"/>
            <w:vMerge w:val="continue"/>
            <w:tcBorders>
              <w:tl2br w:val="nil"/>
              <w:tr2bl w:val="nil"/>
            </w:tcBorders>
            <w:noWrap/>
            <w:vAlign w:val="center"/>
          </w:tcPr>
          <w:p w14:paraId="1AFA2905">
            <w:pPr>
              <w:spacing w:line="360" w:lineRule="auto"/>
              <w:jc w:val="center"/>
              <w:rPr>
                <w:rFonts w:hint="eastAsia" w:ascii="宋体" w:hAnsi="宋体" w:cs="宋体"/>
                <w:color w:val="auto"/>
                <w:sz w:val="21"/>
                <w:szCs w:val="21"/>
                <w:highlight w:val="none"/>
              </w:rPr>
            </w:pPr>
          </w:p>
        </w:tc>
      </w:tr>
      <w:tr w14:paraId="285AAB0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CF42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4.5.5.56</w:t>
            </w:r>
          </w:p>
        </w:tc>
        <w:tc>
          <w:tcPr>
            <w:tcW w:w="6982" w:type="dxa"/>
            <w:tcBorders>
              <w:tl2br w:val="nil"/>
              <w:tr2bl w:val="nil"/>
            </w:tcBorders>
            <w:vAlign w:val="center"/>
          </w:tcPr>
          <w:p w14:paraId="76DD7F1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支持通过网页地址直接访问导检台</w:t>
            </w:r>
          </w:p>
        </w:tc>
        <w:tc>
          <w:tcPr>
            <w:tcW w:w="870" w:type="dxa"/>
            <w:vMerge w:val="continue"/>
            <w:tcBorders>
              <w:tl2br w:val="nil"/>
              <w:tr2bl w:val="nil"/>
            </w:tcBorders>
            <w:noWrap/>
            <w:vAlign w:val="center"/>
          </w:tcPr>
          <w:p w14:paraId="37891DD5">
            <w:pPr>
              <w:spacing w:line="360" w:lineRule="auto"/>
              <w:jc w:val="center"/>
              <w:rPr>
                <w:rFonts w:hint="eastAsia" w:ascii="宋体" w:hAnsi="宋体" w:cs="宋体"/>
                <w:color w:val="auto"/>
                <w:sz w:val="21"/>
                <w:szCs w:val="21"/>
                <w:highlight w:val="none"/>
              </w:rPr>
            </w:pPr>
          </w:p>
        </w:tc>
      </w:tr>
      <w:tr w14:paraId="27C06A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B6E2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4.5.5.57</w:t>
            </w:r>
          </w:p>
        </w:tc>
        <w:tc>
          <w:tcPr>
            <w:tcW w:w="6982" w:type="dxa"/>
            <w:tcBorders>
              <w:tl2br w:val="nil"/>
              <w:tr2bl w:val="nil"/>
            </w:tcBorders>
            <w:vAlign w:val="center"/>
          </w:tcPr>
          <w:p w14:paraId="239613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医生端实时显示本科室最新的体检者队列信息</w:t>
            </w:r>
          </w:p>
        </w:tc>
        <w:tc>
          <w:tcPr>
            <w:tcW w:w="870" w:type="dxa"/>
            <w:vMerge w:val="continue"/>
            <w:tcBorders>
              <w:tl2br w:val="nil"/>
              <w:tr2bl w:val="nil"/>
            </w:tcBorders>
            <w:noWrap/>
            <w:vAlign w:val="center"/>
          </w:tcPr>
          <w:p w14:paraId="4DFD92D9">
            <w:pPr>
              <w:spacing w:line="360" w:lineRule="auto"/>
              <w:jc w:val="center"/>
              <w:rPr>
                <w:rFonts w:hint="eastAsia" w:ascii="宋体" w:hAnsi="宋体" w:cs="宋体"/>
                <w:color w:val="auto"/>
                <w:sz w:val="21"/>
                <w:szCs w:val="21"/>
                <w:highlight w:val="none"/>
              </w:rPr>
            </w:pPr>
          </w:p>
        </w:tc>
      </w:tr>
      <w:tr w14:paraId="30E108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F838B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4.5.5.58</w:t>
            </w:r>
          </w:p>
        </w:tc>
        <w:tc>
          <w:tcPr>
            <w:tcW w:w="6982" w:type="dxa"/>
            <w:tcBorders>
              <w:tl2br w:val="nil"/>
              <w:tr2bl w:val="nil"/>
            </w:tcBorders>
            <w:vAlign w:val="center"/>
          </w:tcPr>
          <w:p w14:paraId="5B4776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系统前端支持拖拽、自动隐藏功能，小工具窗，不同形式都会提示医生当前体检者，不影响医生对体检工作台的操作</w:t>
            </w:r>
          </w:p>
        </w:tc>
        <w:tc>
          <w:tcPr>
            <w:tcW w:w="870" w:type="dxa"/>
            <w:vMerge w:val="continue"/>
            <w:tcBorders>
              <w:tl2br w:val="nil"/>
              <w:tr2bl w:val="nil"/>
            </w:tcBorders>
            <w:noWrap/>
            <w:vAlign w:val="center"/>
          </w:tcPr>
          <w:p w14:paraId="6BB73ABD">
            <w:pPr>
              <w:spacing w:line="360" w:lineRule="auto"/>
              <w:jc w:val="center"/>
              <w:rPr>
                <w:rFonts w:hint="eastAsia" w:ascii="宋体" w:hAnsi="宋体" w:cs="宋体"/>
                <w:color w:val="auto"/>
                <w:sz w:val="21"/>
                <w:szCs w:val="21"/>
                <w:highlight w:val="none"/>
              </w:rPr>
            </w:pPr>
          </w:p>
        </w:tc>
      </w:tr>
      <w:tr w14:paraId="135A6F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C8BF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4.5.5.59</w:t>
            </w:r>
          </w:p>
        </w:tc>
        <w:tc>
          <w:tcPr>
            <w:tcW w:w="6982" w:type="dxa"/>
            <w:tcBorders>
              <w:tl2br w:val="nil"/>
              <w:tr2bl w:val="nil"/>
            </w:tcBorders>
            <w:vAlign w:val="center"/>
          </w:tcPr>
          <w:p w14:paraId="792191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支持自动呼叫、手动呼叫、重呼、暂停、过号、多呼、只呼指定性别等功能，可使用键盘快捷键或鼠标点击，要求快捷操作可自定义绑定和提示绑定信息</w:t>
            </w:r>
          </w:p>
        </w:tc>
        <w:tc>
          <w:tcPr>
            <w:tcW w:w="870" w:type="dxa"/>
            <w:vMerge w:val="continue"/>
            <w:tcBorders>
              <w:tl2br w:val="nil"/>
              <w:tr2bl w:val="nil"/>
            </w:tcBorders>
            <w:noWrap/>
            <w:vAlign w:val="center"/>
          </w:tcPr>
          <w:p w14:paraId="7F972D7A">
            <w:pPr>
              <w:spacing w:line="360" w:lineRule="auto"/>
              <w:jc w:val="center"/>
              <w:rPr>
                <w:rFonts w:hint="eastAsia" w:ascii="宋体" w:hAnsi="宋体" w:cs="宋体"/>
                <w:color w:val="auto"/>
                <w:sz w:val="21"/>
                <w:szCs w:val="21"/>
                <w:highlight w:val="none"/>
              </w:rPr>
            </w:pPr>
          </w:p>
        </w:tc>
      </w:tr>
      <w:tr w14:paraId="467C9EF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7E05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4.5.5.60</w:t>
            </w:r>
          </w:p>
        </w:tc>
        <w:tc>
          <w:tcPr>
            <w:tcW w:w="6982" w:type="dxa"/>
            <w:tcBorders>
              <w:tl2br w:val="nil"/>
              <w:tr2bl w:val="nil"/>
            </w:tcBorders>
            <w:vAlign w:val="center"/>
          </w:tcPr>
          <w:p w14:paraId="401F455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医生可通点击体检人员右边的选呼键实现对某位队列中的体检者的选呼功能</w:t>
            </w:r>
          </w:p>
        </w:tc>
        <w:tc>
          <w:tcPr>
            <w:tcW w:w="870" w:type="dxa"/>
            <w:vMerge w:val="continue"/>
            <w:tcBorders>
              <w:tl2br w:val="nil"/>
              <w:tr2bl w:val="nil"/>
            </w:tcBorders>
            <w:noWrap/>
            <w:vAlign w:val="center"/>
          </w:tcPr>
          <w:p w14:paraId="46D04FA8">
            <w:pPr>
              <w:spacing w:line="360" w:lineRule="auto"/>
              <w:jc w:val="center"/>
              <w:rPr>
                <w:rFonts w:hint="eastAsia" w:ascii="宋体" w:hAnsi="宋体" w:cs="宋体"/>
                <w:color w:val="auto"/>
                <w:sz w:val="21"/>
                <w:szCs w:val="21"/>
                <w:highlight w:val="none"/>
              </w:rPr>
            </w:pPr>
          </w:p>
        </w:tc>
      </w:tr>
      <w:tr w14:paraId="711CD0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357B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4.5.5.61</w:t>
            </w:r>
          </w:p>
        </w:tc>
        <w:tc>
          <w:tcPr>
            <w:tcW w:w="6982" w:type="dxa"/>
            <w:tcBorders>
              <w:tl2br w:val="nil"/>
              <w:tr2bl w:val="nil"/>
            </w:tcBorders>
            <w:vAlign w:val="center"/>
          </w:tcPr>
          <w:p w14:paraId="2EBD8A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体检者列表可显示 VIP、领导等标识</w:t>
            </w:r>
          </w:p>
        </w:tc>
        <w:tc>
          <w:tcPr>
            <w:tcW w:w="870" w:type="dxa"/>
            <w:vMerge w:val="continue"/>
            <w:tcBorders>
              <w:tl2br w:val="nil"/>
              <w:tr2bl w:val="nil"/>
            </w:tcBorders>
            <w:noWrap/>
            <w:vAlign w:val="center"/>
          </w:tcPr>
          <w:p w14:paraId="4E131A19">
            <w:pPr>
              <w:spacing w:line="360" w:lineRule="auto"/>
              <w:jc w:val="center"/>
              <w:rPr>
                <w:rFonts w:hint="eastAsia" w:ascii="宋体" w:hAnsi="宋体" w:cs="宋体"/>
                <w:color w:val="auto"/>
                <w:sz w:val="21"/>
                <w:szCs w:val="21"/>
                <w:highlight w:val="none"/>
              </w:rPr>
            </w:pPr>
          </w:p>
        </w:tc>
      </w:tr>
      <w:tr w14:paraId="64F62DB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18E54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4.5.5.62</w:t>
            </w:r>
          </w:p>
        </w:tc>
        <w:tc>
          <w:tcPr>
            <w:tcW w:w="6982" w:type="dxa"/>
            <w:tcBorders>
              <w:tl2br w:val="nil"/>
              <w:tr2bl w:val="nil"/>
            </w:tcBorders>
            <w:vAlign w:val="center"/>
          </w:tcPr>
          <w:p w14:paraId="1E9CA4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支持广播找人</w:t>
            </w:r>
          </w:p>
        </w:tc>
        <w:tc>
          <w:tcPr>
            <w:tcW w:w="870" w:type="dxa"/>
            <w:vMerge w:val="continue"/>
            <w:tcBorders>
              <w:tl2br w:val="nil"/>
              <w:tr2bl w:val="nil"/>
            </w:tcBorders>
            <w:noWrap/>
            <w:vAlign w:val="center"/>
          </w:tcPr>
          <w:p w14:paraId="1B87FF97">
            <w:pPr>
              <w:spacing w:line="360" w:lineRule="auto"/>
              <w:jc w:val="center"/>
              <w:rPr>
                <w:rFonts w:hint="eastAsia" w:ascii="宋体" w:hAnsi="宋体" w:cs="宋体"/>
                <w:color w:val="auto"/>
                <w:sz w:val="21"/>
                <w:szCs w:val="21"/>
                <w:highlight w:val="none"/>
              </w:rPr>
            </w:pPr>
          </w:p>
        </w:tc>
      </w:tr>
      <w:tr w14:paraId="46A646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A6B9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4.5.5.63</w:t>
            </w:r>
          </w:p>
        </w:tc>
        <w:tc>
          <w:tcPr>
            <w:tcW w:w="6982" w:type="dxa"/>
            <w:tcBorders>
              <w:tl2br w:val="nil"/>
              <w:tr2bl w:val="nil"/>
            </w:tcBorders>
            <w:vAlign w:val="center"/>
          </w:tcPr>
          <w:p w14:paraId="0685AD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支持复检操作、锁定、解锁操作</w:t>
            </w:r>
          </w:p>
        </w:tc>
        <w:tc>
          <w:tcPr>
            <w:tcW w:w="870" w:type="dxa"/>
            <w:vMerge w:val="continue"/>
            <w:tcBorders>
              <w:tl2br w:val="nil"/>
              <w:tr2bl w:val="nil"/>
            </w:tcBorders>
            <w:noWrap/>
            <w:vAlign w:val="center"/>
          </w:tcPr>
          <w:p w14:paraId="592A7D68">
            <w:pPr>
              <w:spacing w:line="360" w:lineRule="auto"/>
              <w:jc w:val="center"/>
              <w:rPr>
                <w:rFonts w:hint="eastAsia" w:ascii="宋体" w:hAnsi="宋体" w:cs="宋体"/>
                <w:color w:val="auto"/>
                <w:sz w:val="21"/>
                <w:szCs w:val="21"/>
                <w:highlight w:val="none"/>
              </w:rPr>
            </w:pPr>
          </w:p>
        </w:tc>
      </w:tr>
      <w:tr w14:paraId="30CA9D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BF12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4.5.5.64</w:t>
            </w:r>
          </w:p>
        </w:tc>
        <w:tc>
          <w:tcPr>
            <w:tcW w:w="6982" w:type="dxa"/>
            <w:tcBorders>
              <w:tl2br w:val="nil"/>
              <w:tr2bl w:val="nil"/>
            </w:tcBorders>
            <w:vAlign w:val="center"/>
          </w:tcPr>
          <w:p w14:paraId="55A008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支持设置同时体检人数、呼叫性别设置</w:t>
            </w:r>
          </w:p>
        </w:tc>
        <w:tc>
          <w:tcPr>
            <w:tcW w:w="870" w:type="dxa"/>
            <w:vMerge w:val="continue"/>
            <w:tcBorders>
              <w:tl2br w:val="nil"/>
              <w:tr2bl w:val="nil"/>
            </w:tcBorders>
            <w:noWrap/>
            <w:vAlign w:val="center"/>
          </w:tcPr>
          <w:p w14:paraId="1E77B6CE">
            <w:pPr>
              <w:spacing w:line="360" w:lineRule="auto"/>
              <w:jc w:val="center"/>
              <w:rPr>
                <w:rFonts w:hint="eastAsia" w:ascii="宋体" w:hAnsi="宋体" w:cs="宋体"/>
                <w:color w:val="auto"/>
                <w:sz w:val="21"/>
                <w:szCs w:val="21"/>
                <w:highlight w:val="none"/>
              </w:rPr>
            </w:pPr>
          </w:p>
        </w:tc>
      </w:tr>
      <w:tr w14:paraId="434A0D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DD47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4.5.5.65</w:t>
            </w:r>
          </w:p>
        </w:tc>
        <w:tc>
          <w:tcPr>
            <w:tcW w:w="6982" w:type="dxa"/>
            <w:tcBorders>
              <w:tl2br w:val="nil"/>
              <w:tr2bl w:val="nil"/>
            </w:tcBorders>
            <w:vAlign w:val="center"/>
          </w:tcPr>
          <w:p w14:paraId="51516D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支持扫码完成项目</w:t>
            </w:r>
          </w:p>
        </w:tc>
        <w:tc>
          <w:tcPr>
            <w:tcW w:w="870" w:type="dxa"/>
            <w:vMerge w:val="continue"/>
            <w:tcBorders>
              <w:tl2br w:val="nil"/>
              <w:tr2bl w:val="nil"/>
            </w:tcBorders>
            <w:noWrap/>
            <w:vAlign w:val="center"/>
          </w:tcPr>
          <w:p w14:paraId="2E782B30">
            <w:pPr>
              <w:spacing w:line="360" w:lineRule="auto"/>
              <w:jc w:val="center"/>
              <w:rPr>
                <w:rFonts w:hint="eastAsia" w:ascii="宋体" w:hAnsi="宋体" w:cs="宋体"/>
                <w:color w:val="auto"/>
                <w:sz w:val="21"/>
                <w:szCs w:val="21"/>
                <w:highlight w:val="none"/>
              </w:rPr>
            </w:pPr>
          </w:p>
        </w:tc>
      </w:tr>
      <w:tr w14:paraId="170BAB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1DD2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4.5.5.66</w:t>
            </w:r>
          </w:p>
        </w:tc>
        <w:tc>
          <w:tcPr>
            <w:tcW w:w="6982" w:type="dxa"/>
            <w:tcBorders>
              <w:tl2br w:val="nil"/>
              <w:tr2bl w:val="nil"/>
            </w:tcBorders>
            <w:vAlign w:val="center"/>
          </w:tcPr>
          <w:p w14:paraId="70E28A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支持显示排队人员信息、已检人员信息、未检人员信息，并显示不同类型状态</w:t>
            </w:r>
          </w:p>
        </w:tc>
        <w:tc>
          <w:tcPr>
            <w:tcW w:w="870" w:type="dxa"/>
            <w:vMerge w:val="continue"/>
            <w:tcBorders>
              <w:tl2br w:val="nil"/>
              <w:tr2bl w:val="nil"/>
            </w:tcBorders>
            <w:noWrap/>
            <w:vAlign w:val="center"/>
          </w:tcPr>
          <w:p w14:paraId="423AEC94">
            <w:pPr>
              <w:spacing w:line="360" w:lineRule="auto"/>
              <w:jc w:val="center"/>
              <w:rPr>
                <w:rFonts w:hint="eastAsia" w:ascii="宋体" w:hAnsi="宋体" w:cs="宋体"/>
                <w:color w:val="auto"/>
                <w:sz w:val="21"/>
                <w:szCs w:val="21"/>
                <w:highlight w:val="none"/>
              </w:rPr>
            </w:pPr>
          </w:p>
        </w:tc>
      </w:tr>
      <w:tr w14:paraId="788EBA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470F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4.5.5.67</w:t>
            </w:r>
          </w:p>
        </w:tc>
        <w:tc>
          <w:tcPr>
            <w:tcW w:w="6982" w:type="dxa"/>
            <w:tcBorders>
              <w:tl2br w:val="nil"/>
              <w:tr2bl w:val="nil"/>
            </w:tcBorders>
            <w:vAlign w:val="center"/>
          </w:tcPr>
          <w:p w14:paraId="5D920E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支持科室医生通过系统分配的账号进行登录</w:t>
            </w:r>
          </w:p>
        </w:tc>
        <w:tc>
          <w:tcPr>
            <w:tcW w:w="870" w:type="dxa"/>
            <w:vMerge w:val="continue"/>
            <w:tcBorders>
              <w:tl2br w:val="nil"/>
              <w:tr2bl w:val="nil"/>
            </w:tcBorders>
            <w:noWrap/>
            <w:vAlign w:val="center"/>
          </w:tcPr>
          <w:p w14:paraId="2EF06C33">
            <w:pPr>
              <w:spacing w:line="360" w:lineRule="auto"/>
              <w:jc w:val="center"/>
              <w:rPr>
                <w:rFonts w:hint="eastAsia" w:ascii="宋体" w:hAnsi="宋体" w:cs="宋体"/>
                <w:color w:val="auto"/>
                <w:sz w:val="21"/>
                <w:szCs w:val="21"/>
                <w:highlight w:val="none"/>
              </w:rPr>
            </w:pPr>
          </w:p>
        </w:tc>
      </w:tr>
      <w:tr w14:paraId="3767F6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DC10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4.5.5.68</w:t>
            </w:r>
          </w:p>
        </w:tc>
        <w:tc>
          <w:tcPr>
            <w:tcW w:w="6982" w:type="dxa"/>
            <w:tcBorders>
              <w:tl2br w:val="nil"/>
              <w:tr2bl w:val="nil"/>
            </w:tcBorders>
            <w:vAlign w:val="center"/>
          </w:tcPr>
          <w:p w14:paraId="72B572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支持医生端进行项目排斥，不能做的项目直接排除，不予叫号</w:t>
            </w:r>
          </w:p>
        </w:tc>
        <w:tc>
          <w:tcPr>
            <w:tcW w:w="870" w:type="dxa"/>
            <w:vMerge w:val="continue"/>
            <w:tcBorders>
              <w:tl2br w:val="nil"/>
              <w:tr2bl w:val="nil"/>
            </w:tcBorders>
            <w:noWrap/>
            <w:vAlign w:val="center"/>
          </w:tcPr>
          <w:p w14:paraId="3BE1A8CD">
            <w:pPr>
              <w:spacing w:line="360" w:lineRule="auto"/>
              <w:jc w:val="center"/>
              <w:rPr>
                <w:rFonts w:hint="eastAsia" w:ascii="宋体" w:hAnsi="宋体" w:cs="宋体"/>
                <w:color w:val="auto"/>
                <w:sz w:val="21"/>
                <w:szCs w:val="21"/>
                <w:highlight w:val="none"/>
              </w:rPr>
            </w:pPr>
          </w:p>
        </w:tc>
      </w:tr>
      <w:tr w14:paraId="76E9C4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FFEB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4.5.5.69</w:t>
            </w:r>
          </w:p>
        </w:tc>
        <w:tc>
          <w:tcPr>
            <w:tcW w:w="6982" w:type="dxa"/>
            <w:tcBorders>
              <w:tl2br w:val="nil"/>
              <w:tr2bl w:val="nil"/>
            </w:tcBorders>
            <w:vAlign w:val="center"/>
          </w:tcPr>
          <w:p w14:paraId="7EEEA37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支持一个客户端绑定多个诊位，同时叫号多个队列</w:t>
            </w:r>
          </w:p>
        </w:tc>
        <w:tc>
          <w:tcPr>
            <w:tcW w:w="870" w:type="dxa"/>
            <w:vMerge w:val="continue"/>
            <w:tcBorders>
              <w:tl2br w:val="nil"/>
              <w:tr2bl w:val="nil"/>
            </w:tcBorders>
            <w:noWrap/>
            <w:vAlign w:val="center"/>
          </w:tcPr>
          <w:p w14:paraId="629DED9C">
            <w:pPr>
              <w:spacing w:line="360" w:lineRule="auto"/>
              <w:jc w:val="center"/>
              <w:rPr>
                <w:rFonts w:hint="eastAsia" w:ascii="宋体" w:hAnsi="宋体" w:cs="宋体"/>
                <w:color w:val="auto"/>
                <w:sz w:val="21"/>
                <w:szCs w:val="21"/>
                <w:highlight w:val="none"/>
              </w:rPr>
            </w:pPr>
          </w:p>
        </w:tc>
      </w:tr>
      <w:tr w14:paraId="49A28E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21B64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4.5.5.70</w:t>
            </w:r>
          </w:p>
        </w:tc>
        <w:tc>
          <w:tcPr>
            <w:tcW w:w="6982" w:type="dxa"/>
            <w:tcBorders>
              <w:tl2br w:val="nil"/>
              <w:tr2bl w:val="nil"/>
            </w:tcBorders>
            <w:vAlign w:val="center"/>
          </w:tcPr>
          <w:p w14:paraId="362975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支持管理项目、科室、队列各类信息</w:t>
            </w:r>
          </w:p>
        </w:tc>
        <w:tc>
          <w:tcPr>
            <w:tcW w:w="870" w:type="dxa"/>
            <w:vMerge w:val="continue"/>
            <w:tcBorders>
              <w:tl2br w:val="nil"/>
              <w:tr2bl w:val="nil"/>
            </w:tcBorders>
            <w:noWrap/>
            <w:vAlign w:val="center"/>
          </w:tcPr>
          <w:p w14:paraId="023370C0">
            <w:pPr>
              <w:spacing w:line="360" w:lineRule="auto"/>
              <w:jc w:val="center"/>
              <w:rPr>
                <w:rFonts w:hint="eastAsia" w:ascii="宋体" w:hAnsi="宋体" w:cs="宋体"/>
                <w:color w:val="auto"/>
                <w:sz w:val="21"/>
                <w:szCs w:val="21"/>
                <w:highlight w:val="none"/>
              </w:rPr>
            </w:pPr>
          </w:p>
        </w:tc>
      </w:tr>
      <w:tr w14:paraId="765E33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0E47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4.5.5.71</w:t>
            </w:r>
          </w:p>
        </w:tc>
        <w:tc>
          <w:tcPr>
            <w:tcW w:w="6982" w:type="dxa"/>
            <w:tcBorders>
              <w:tl2br w:val="nil"/>
              <w:tr2bl w:val="nil"/>
            </w:tcBorders>
            <w:vAlign w:val="center"/>
          </w:tcPr>
          <w:p w14:paraId="7649484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支持管理各个屏幕显示模板及显示内容</w:t>
            </w:r>
          </w:p>
        </w:tc>
        <w:tc>
          <w:tcPr>
            <w:tcW w:w="870" w:type="dxa"/>
            <w:vMerge w:val="continue"/>
            <w:tcBorders>
              <w:tl2br w:val="nil"/>
              <w:tr2bl w:val="nil"/>
            </w:tcBorders>
            <w:noWrap/>
            <w:vAlign w:val="center"/>
          </w:tcPr>
          <w:p w14:paraId="2739216F">
            <w:pPr>
              <w:spacing w:line="360" w:lineRule="auto"/>
              <w:jc w:val="center"/>
              <w:rPr>
                <w:rFonts w:hint="eastAsia" w:ascii="宋体" w:hAnsi="宋体" w:cs="宋体"/>
                <w:color w:val="auto"/>
                <w:sz w:val="21"/>
                <w:szCs w:val="21"/>
                <w:highlight w:val="none"/>
              </w:rPr>
            </w:pPr>
          </w:p>
        </w:tc>
      </w:tr>
      <w:tr w14:paraId="1E5F0C7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4A93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4.5.5.72</w:t>
            </w:r>
          </w:p>
        </w:tc>
        <w:tc>
          <w:tcPr>
            <w:tcW w:w="6982" w:type="dxa"/>
            <w:tcBorders>
              <w:tl2br w:val="nil"/>
              <w:tr2bl w:val="nil"/>
            </w:tcBorders>
            <w:vAlign w:val="center"/>
          </w:tcPr>
          <w:p w14:paraId="696E00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支持对一体机、医生端、导检台的统一管理</w:t>
            </w:r>
          </w:p>
        </w:tc>
        <w:tc>
          <w:tcPr>
            <w:tcW w:w="870" w:type="dxa"/>
            <w:vMerge w:val="continue"/>
            <w:tcBorders>
              <w:tl2br w:val="nil"/>
              <w:tr2bl w:val="nil"/>
            </w:tcBorders>
            <w:noWrap/>
            <w:vAlign w:val="center"/>
          </w:tcPr>
          <w:p w14:paraId="0EDB5797">
            <w:pPr>
              <w:spacing w:line="360" w:lineRule="auto"/>
              <w:jc w:val="center"/>
              <w:rPr>
                <w:rFonts w:hint="eastAsia" w:ascii="宋体" w:hAnsi="宋体" w:cs="宋体"/>
                <w:color w:val="auto"/>
                <w:sz w:val="21"/>
                <w:szCs w:val="21"/>
                <w:highlight w:val="none"/>
              </w:rPr>
            </w:pPr>
          </w:p>
        </w:tc>
      </w:tr>
      <w:tr w14:paraId="1BDD9C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80F2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4.5.5.73</w:t>
            </w:r>
          </w:p>
        </w:tc>
        <w:tc>
          <w:tcPr>
            <w:tcW w:w="6982" w:type="dxa"/>
            <w:tcBorders>
              <w:tl2br w:val="nil"/>
              <w:tr2bl w:val="nil"/>
            </w:tcBorders>
            <w:vAlign w:val="center"/>
          </w:tcPr>
          <w:p w14:paraId="032B30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支持诊室、诊区、诊位的管理</w:t>
            </w:r>
          </w:p>
        </w:tc>
        <w:tc>
          <w:tcPr>
            <w:tcW w:w="870" w:type="dxa"/>
            <w:vMerge w:val="continue"/>
            <w:tcBorders>
              <w:tl2br w:val="nil"/>
              <w:tr2bl w:val="nil"/>
            </w:tcBorders>
            <w:noWrap/>
            <w:vAlign w:val="center"/>
          </w:tcPr>
          <w:p w14:paraId="27027797">
            <w:pPr>
              <w:spacing w:line="360" w:lineRule="auto"/>
              <w:jc w:val="center"/>
              <w:rPr>
                <w:rFonts w:hint="eastAsia" w:ascii="宋体" w:hAnsi="宋体" w:cs="宋体"/>
                <w:color w:val="auto"/>
                <w:sz w:val="21"/>
                <w:szCs w:val="21"/>
                <w:highlight w:val="none"/>
              </w:rPr>
            </w:pPr>
          </w:p>
        </w:tc>
      </w:tr>
      <w:tr w14:paraId="7A52F8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9784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4.5.5.74</w:t>
            </w:r>
          </w:p>
        </w:tc>
        <w:tc>
          <w:tcPr>
            <w:tcW w:w="6982" w:type="dxa"/>
            <w:tcBorders>
              <w:tl2br w:val="nil"/>
              <w:tr2bl w:val="nil"/>
            </w:tcBorders>
            <w:vAlign w:val="center"/>
          </w:tcPr>
          <w:p w14:paraId="7ABCEE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支持诊区权重管理</w:t>
            </w:r>
          </w:p>
        </w:tc>
        <w:tc>
          <w:tcPr>
            <w:tcW w:w="870" w:type="dxa"/>
            <w:vMerge w:val="continue"/>
            <w:tcBorders>
              <w:tl2br w:val="nil"/>
              <w:tr2bl w:val="nil"/>
            </w:tcBorders>
            <w:noWrap/>
            <w:vAlign w:val="center"/>
          </w:tcPr>
          <w:p w14:paraId="12B28D22">
            <w:pPr>
              <w:spacing w:line="360" w:lineRule="auto"/>
              <w:jc w:val="center"/>
              <w:rPr>
                <w:rFonts w:hint="eastAsia" w:ascii="宋体" w:hAnsi="宋体" w:cs="宋体"/>
                <w:color w:val="auto"/>
                <w:sz w:val="21"/>
                <w:szCs w:val="21"/>
                <w:highlight w:val="none"/>
              </w:rPr>
            </w:pPr>
          </w:p>
        </w:tc>
      </w:tr>
      <w:tr w14:paraId="5AD88A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DE27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4.5.5.75</w:t>
            </w:r>
          </w:p>
        </w:tc>
        <w:tc>
          <w:tcPr>
            <w:tcW w:w="6982" w:type="dxa"/>
            <w:tcBorders>
              <w:tl2br w:val="nil"/>
              <w:tr2bl w:val="nil"/>
            </w:tcBorders>
            <w:vAlign w:val="center"/>
          </w:tcPr>
          <w:p w14:paraId="4B985D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支持项目、队列的权重管理</w:t>
            </w:r>
          </w:p>
        </w:tc>
        <w:tc>
          <w:tcPr>
            <w:tcW w:w="870" w:type="dxa"/>
            <w:vMerge w:val="continue"/>
            <w:tcBorders>
              <w:tl2br w:val="nil"/>
              <w:tr2bl w:val="nil"/>
            </w:tcBorders>
            <w:noWrap/>
            <w:vAlign w:val="center"/>
          </w:tcPr>
          <w:p w14:paraId="6099A01C">
            <w:pPr>
              <w:spacing w:line="360" w:lineRule="auto"/>
              <w:jc w:val="center"/>
              <w:rPr>
                <w:rFonts w:hint="eastAsia" w:ascii="宋体" w:hAnsi="宋体" w:cs="宋体"/>
                <w:color w:val="auto"/>
                <w:sz w:val="21"/>
                <w:szCs w:val="21"/>
                <w:highlight w:val="none"/>
              </w:rPr>
            </w:pPr>
          </w:p>
        </w:tc>
      </w:tr>
      <w:tr w14:paraId="77C893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312E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4.5.5.76</w:t>
            </w:r>
          </w:p>
        </w:tc>
        <w:tc>
          <w:tcPr>
            <w:tcW w:w="6982" w:type="dxa"/>
            <w:tcBorders>
              <w:tl2br w:val="nil"/>
              <w:tr2bl w:val="nil"/>
            </w:tcBorders>
            <w:vAlign w:val="center"/>
          </w:tcPr>
          <w:p w14:paraId="4B49CB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支持导检国际化多语言类型叫号管理</w:t>
            </w:r>
          </w:p>
        </w:tc>
        <w:tc>
          <w:tcPr>
            <w:tcW w:w="870" w:type="dxa"/>
            <w:vMerge w:val="continue"/>
            <w:tcBorders>
              <w:tl2br w:val="nil"/>
              <w:tr2bl w:val="nil"/>
            </w:tcBorders>
            <w:noWrap/>
            <w:vAlign w:val="center"/>
          </w:tcPr>
          <w:p w14:paraId="6F76195C">
            <w:pPr>
              <w:spacing w:line="360" w:lineRule="auto"/>
              <w:jc w:val="center"/>
              <w:rPr>
                <w:rFonts w:hint="eastAsia" w:ascii="宋体" w:hAnsi="宋体" w:cs="宋体"/>
                <w:color w:val="auto"/>
                <w:sz w:val="21"/>
                <w:szCs w:val="21"/>
                <w:highlight w:val="none"/>
              </w:rPr>
            </w:pPr>
          </w:p>
        </w:tc>
      </w:tr>
      <w:tr w14:paraId="1B37AAD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577D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4.5.5.77</w:t>
            </w:r>
          </w:p>
        </w:tc>
        <w:tc>
          <w:tcPr>
            <w:tcW w:w="6982" w:type="dxa"/>
            <w:tcBorders>
              <w:tl2br w:val="nil"/>
              <w:tr2bl w:val="nil"/>
            </w:tcBorders>
            <w:vAlign w:val="center"/>
          </w:tcPr>
          <w:p w14:paraId="73F1B7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支持对医院各类信息设置</w:t>
            </w:r>
          </w:p>
        </w:tc>
        <w:tc>
          <w:tcPr>
            <w:tcW w:w="870" w:type="dxa"/>
            <w:vMerge w:val="continue"/>
            <w:tcBorders>
              <w:tl2br w:val="nil"/>
              <w:tr2bl w:val="nil"/>
            </w:tcBorders>
            <w:noWrap/>
            <w:vAlign w:val="center"/>
          </w:tcPr>
          <w:p w14:paraId="3BDE042A">
            <w:pPr>
              <w:spacing w:line="360" w:lineRule="auto"/>
              <w:jc w:val="center"/>
              <w:rPr>
                <w:rFonts w:hint="eastAsia" w:ascii="宋体" w:hAnsi="宋体" w:cs="宋体"/>
                <w:color w:val="auto"/>
                <w:sz w:val="21"/>
                <w:szCs w:val="21"/>
                <w:highlight w:val="none"/>
              </w:rPr>
            </w:pPr>
          </w:p>
        </w:tc>
      </w:tr>
      <w:tr w14:paraId="3627A69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9B28A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4.5.5.78</w:t>
            </w:r>
          </w:p>
        </w:tc>
        <w:tc>
          <w:tcPr>
            <w:tcW w:w="6982" w:type="dxa"/>
            <w:tcBorders>
              <w:tl2br w:val="nil"/>
              <w:tr2bl w:val="nil"/>
            </w:tcBorders>
            <w:vAlign w:val="center"/>
          </w:tcPr>
          <w:p w14:paraId="6FAAEA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支持用户多角色、多权限配置管理</w:t>
            </w:r>
          </w:p>
        </w:tc>
        <w:tc>
          <w:tcPr>
            <w:tcW w:w="870" w:type="dxa"/>
            <w:vMerge w:val="continue"/>
            <w:tcBorders>
              <w:tl2br w:val="nil"/>
              <w:tr2bl w:val="nil"/>
            </w:tcBorders>
            <w:noWrap/>
            <w:vAlign w:val="center"/>
          </w:tcPr>
          <w:p w14:paraId="25D16712">
            <w:pPr>
              <w:spacing w:line="360" w:lineRule="auto"/>
              <w:jc w:val="center"/>
              <w:rPr>
                <w:rFonts w:hint="eastAsia" w:ascii="宋体" w:hAnsi="宋体" w:cs="宋体"/>
                <w:color w:val="auto"/>
                <w:sz w:val="21"/>
                <w:szCs w:val="21"/>
                <w:highlight w:val="none"/>
              </w:rPr>
            </w:pPr>
          </w:p>
        </w:tc>
      </w:tr>
      <w:tr w14:paraId="0B5C2B2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92E3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4.5.5.79</w:t>
            </w:r>
          </w:p>
        </w:tc>
        <w:tc>
          <w:tcPr>
            <w:tcW w:w="6982" w:type="dxa"/>
            <w:tcBorders>
              <w:tl2br w:val="nil"/>
              <w:tr2bl w:val="nil"/>
            </w:tcBorders>
            <w:vAlign w:val="center"/>
          </w:tcPr>
          <w:p w14:paraId="401983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支持诊室屏、诊区屏、诊位屏、叫号屏、统计屏各类显示数据内容</w:t>
            </w:r>
          </w:p>
        </w:tc>
        <w:tc>
          <w:tcPr>
            <w:tcW w:w="870" w:type="dxa"/>
            <w:vMerge w:val="continue"/>
            <w:tcBorders>
              <w:tl2br w:val="nil"/>
              <w:tr2bl w:val="nil"/>
            </w:tcBorders>
            <w:noWrap/>
            <w:vAlign w:val="center"/>
          </w:tcPr>
          <w:p w14:paraId="26BD1576">
            <w:pPr>
              <w:spacing w:line="360" w:lineRule="auto"/>
              <w:jc w:val="center"/>
              <w:rPr>
                <w:rFonts w:hint="eastAsia" w:ascii="宋体" w:hAnsi="宋体" w:cs="宋体"/>
                <w:color w:val="auto"/>
                <w:sz w:val="21"/>
                <w:szCs w:val="21"/>
                <w:highlight w:val="none"/>
              </w:rPr>
            </w:pPr>
          </w:p>
        </w:tc>
      </w:tr>
      <w:tr w14:paraId="46717C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EE5A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4.5.5.80</w:t>
            </w:r>
          </w:p>
        </w:tc>
        <w:tc>
          <w:tcPr>
            <w:tcW w:w="6982" w:type="dxa"/>
            <w:tcBorders>
              <w:tl2br w:val="nil"/>
              <w:tr2bl w:val="nil"/>
            </w:tcBorders>
            <w:vAlign w:val="center"/>
          </w:tcPr>
          <w:p w14:paraId="641D7D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支持显示各类模板</w:t>
            </w:r>
          </w:p>
        </w:tc>
        <w:tc>
          <w:tcPr>
            <w:tcW w:w="870" w:type="dxa"/>
            <w:vMerge w:val="continue"/>
            <w:tcBorders>
              <w:tl2br w:val="nil"/>
              <w:tr2bl w:val="nil"/>
            </w:tcBorders>
            <w:noWrap/>
            <w:vAlign w:val="center"/>
          </w:tcPr>
          <w:p w14:paraId="34854A62">
            <w:pPr>
              <w:spacing w:line="360" w:lineRule="auto"/>
              <w:jc w:val="center"/>
              <w:rPr>
                <w:rFonts w:hint="eastAsia" w:ascii="宋体" w:hAnsi="宋体" w:cs="宋体"/>
                <w:color w:val="auto"/>
                <w:sz w:val="21"/>
                <w:szCs w:val="21"/>
                <w:highlight w:val="none"/>
              </w:rPr>
            </w:pPr>
          </w:p>
        </w:tc>
      </w:tr>
      <w:tr w14:paraId="73F7D0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DA5D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4.5.5.81</w:t>
            </w:r>
          </w:p>
        </w:tc>
        <w:tc>
          <w:tcPr>
            <w:tcW w:w="6982" w:type="dxa"/>
            <w:tcBorders>
              <w:tl2br w:val="nil"/>
              <w:tr2bl w:val="nil"/>
            </w:tcBorders>
            <w:vAlign w:val="center"/>
          </w:tcPr>
          <w:p w14:paraId="52E6B6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诊室屏支持显示正在体检、候诊、下一科室提示、过号锁定</w:t>
            </w:r>
          </w:p>
        </w:tc>
        <w:tc>
          <w:tcPr>
            <w:tcW w:w="870" w:type="dxa"/>
            <w:vMerge w:val="continue"/>
            <w:tcBorders>
              <w:tl2br w:val="nil"/>
              <w:tr2bl w:val="nil"/>
            </w:tcBorders>
            <w:noWrap/>
            <w:vAlign w:val="center"/>
          </w:tcPr>
          <w:p w14:paraId="57F0DE1D">
            <w:pPr>
              <w:spacing w:line="360" w:lineRule="auto"/>
              <w:jc w:val="center"/>
              <w:rPr>
                <w:rFonts w:hint="eastAsia" w:ascii="宋体" w:hAnsi="宋体" w:cs="宋体"/>
                <w:color w:val="auto"/>
                <w:sz w:val="21"/>
                <w:szCs w:val="21"/>
                <w:highlight w:val="none"/>
              </w:rPr>
            </w:pPr>
          </w:p>
        </w:tc>
      </w:tr>
      <w:tr w14:paraId="1913B3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A631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4.5.5.82</w:t>
            </w:r>
          </w:p>
        </w:tc>
        <w:tc>
          <w:tcPr>
            <w:tcW w:w="6982" w:type="dxa"/>
            <w:tcBorders>
              <w:tl2br w:val="nil"/>
              <w:tr2bl w:val="nil"/>
            </w:tcBorders>
            <w:vAlign w:val="center"/>
          </w:tcPr>
          <w:p w14:paraId="4FBBF1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诊区屏支持显示多个队列排队情况</w:t>
            </w:r>
          </w:p>
        </w:tc>
        <w:tc>
          <w:tcPr>
            <w:tcW w:w="870" w:type="dxa"/>
            <w:vMerge w:val="continue"/>
            <w:tcBorders>
              <w:tl2br w:val="nil"/>
              <w:tr2bl w:val="nil"/>
            </w:tcBorders>
            <w:noWrap/>
            <w:vAlign w:val="center"/>
          </w:tcPr>
          <w:p w14:paraId="42A8E57D">
            <w:pPr>
              <w:spacing w:line="360" w:lineRule="auto"/>
              <w:jc w:val="center"/>
              <w:rPr>
                <w:rFonts w:hint="eastAsia" w:ascii="宋体" w:hAnsi="宋体" w:cs="宋体"/>
                <w:color w:val="auto"/>
                <w:sz w:val="21"/>
                <w:szCs w:val="21"/>
                <w:highlight w:val="none"/>
              </w:rPr>
            </w:pPr>
          </w:p>
        </w:tc>
      </w:tr>
      <w:tr w14:paraId="42CBE3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6119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4.5.5.83</w:t>
            </w:r>
          </w:p>
        </w:tc>
        <w:tc>
          <w:tcPr>
            <w:tcW w:w="6982" w:type="dxa"/>
            <w:tcBorders>
              <w:tl2br w:val="nil"/>
              <w:tr2bl w:val="nil"/>
            </w:tcBorders>
            <w:vAlign w:val="center"/>
          </w:tcPr>
          <w:p w14:paraId="3639B8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支持每个屏显示不同的指示性信息</w:t>
            </w:r>
          </w:p>
        </w:tc>
        <w:tc>
          <w:tcPr>
            <w:tcW w:w="870" w:type="dxa"/>
            <w:vMerge w:val="continue"/>
            <w:tcBorders>
              <w:tl2br w:val="nil"/>
              <w:tr2bl w:val="nil"/>
            </w:tcBorders>
            <w:noWrap/>
            <w:vAlign w:val="center"/>
          </w:tcPr>
          <w:p w14:paraId="0F95755D">
            <w:pPr>
              <w:spacing w:line="360" w:lineRule="auto"/>
              <w:jc w:val="center"/>
              <w:rPr>
                <w:rFonts w:hint="eastAsia" w:ascii="宋体" w:hAnsi="宋体" w:cs="宋体"/>
                <w:color w:val="auto"/>
                <w:sz w:val="21"/>
                <w:szCs w:val="21"/>
                <w:highlight w:val="none"/>
              </w:rPr>
            </w:pPr>
          </w:p>
        </w:tc>
      </w:tr>
      <w:tr w14:paraId="605A17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DBE4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4.5.5.84</w:t>
            </w:r>
          </w:p>
        </w:tc>
        <w:tc>
          <w:tcPr>
            <w:tcW w:w="6982" w:type="dxa"/>
            <w:tcBorders>
              <w:tl2br w:val="nil"/>
              <w:tr2bl w:val="nil"/>
            </w:tcBorders>
            <w:vAlign w:val="center"/>
          </w:tcPr>
          <w:p w14:paraId="265DF1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支持临时文字及语音播报通知</w:t>
            </w:r>
          </w:p>
        </w:tc>
        <w:tc>
          <w:tcPr>
            <w:tcW w:w="870" w:type="dxa"/>
            <w:vMerge w:val="continue"/>
            <w:tcBorders>
              <w:tl2br w:val="nil"/>
              <w:tr2bl w:val="nil"/>
            </w:tcBorders>
            <w:noWrap/>
            <w:vAlign w:val="center"/>
          </w:tcPr>
          <w:p w14:paraId="4F1CC048">
            <w:pPr>
              <w:spacing w:line="360" w:lineRule="auto"/>
              <w:jc w:val="center"/>
              <w:rPr>
                <w:rFonts w:hint="eastAsia" w:ascii="宋体" w:hAnsi="宋体" w:cs="宋体"/>
                <w:color w:val="auto"/>
                <w:sz w:val="21"/>
                <w:szCs w:val="21"/>
                <w:highlight w:val="none"/>
              </w:rPr>
            </w:pPr>
          </w:p>
        </w:tc>
      </w:tr>
      <w:tr w14:paraId="414BA9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8C5C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4.5.5.85</w:t>
            </w:r>
          </w:p>
        </w:tc>
        <w:tc>
          <w:tcPr>
            <w:tcW w:w="6982" w:type="dxa"/>
            <w:tcBorders>
              <w:tl2br w:val="nil"/>
              <w:tr2bl w:val="nil"/>
            </w:tcBorders>
            <w:vAlign w:val="center"/>
          </w:tcPr>
          <w:p w14:paraId="79B0BA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支持语音叫号，并且可改变叫号音色</w:t>
            </w:r>
          </w:p>
        </w:tc>
        <w:tc>
          <w:tcPr>
            <w:tcW w:w="870" w:type="dxa"/>
            <w:vMerge w:val="continue"/>
            <w:tcBorders>
              <w:tl2br w:val="nil"/>
              <w:tr2bl w:val="nil"/>
            </w:tcBorders>
            <w:noWrap/>
            <w:vAlign w:val="center"/>
          </w:tcPr>
          <w:p w14:paraId="18FF4C0C">
            <w:pPr>
              <w:spacing w:line="360" w:lineRule="auto"/>
              <w:jc w:val="center"/>
              <w:rPr>
                <w:rFonts w:hint="eastAsia" w:ascii="宋体" w:hAnsi="宋体" w:cs="宋体"/>
                <w:color w:val="auto"/>
                <w:sz w:val="21"/>
                <w:szCs w:val="21"/>
                <w:highlight w:val="none"/>
              </w:rPr>
            </w:pPr>
          </w:p>
        </w:tc>
      </w:tr>
      <w:tr w14:paraId="6B0018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477D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4.5.5.86</w:t>
            </w:r>
          </w:p>
        </w:tc>
        <w:tc>
          <w:tcPr>
            <w:tcW w:w="6982" w:type="dxa"/>
            <w:tcBorders>
              <w:tl2br w:val="nil"/>
              <w:tr2bl w:val="nil"/>
            </w:tcBorders>
            <w:vAlign w:val="center"/>
          </w:tcPr>
          <w:p w14:paraId="08134D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支持中英文两种模式的模板显示</w:t>
            </w:r>
          </w:p>
        </w:tc>
        <w:tc>
          <w:tcPr>
            <w:tcW w:w="870" w:type="dxa"/>
            <w:vMerge w:val="continue"/>
            <w:tcBorders>
              <w:tl2br w:val="nil"/>
              <w:tr2bl w:val="nil"/>
            </w:tcBorders>
            <w:noWrap/>
            <w:vAlign w:val="center"/>
          </w:tcPr>
          <w:p w14:paraId="2CAB0B45">
            <w:pPr>
              <w:spacing w:line="360" w:lineRule="auto"/>
              <w:jc w:val="center"/>
              <w:rPr>
                <w:rFonts w:hint="eastAsia" w:ascii="宋体" w:hAnsi="宋体" w:cs="宋体"/>
                <w:color w:val="auto"/>
                <w:sz w:val="21"/>
                <w:szCs w:val="21"/>
                <w:highlight w:val="none"/>
              </w:rPr>
            </w:pPr>
          </w:p>
        </w:tc>
      </w:tr>
      <w:tr w14:paraId="0ADB26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26D7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4.5.5.87</w:t>
            </w:r>
          </w:p>
        </w:tc>
        <w:tc>
          <w:tcPr>
            <w:tcW w:w="6982" w:type="dxa"/>
            <w:tcBorders>
              <w:tl2br w:val="nil"/>
              <w:tr2bl w:val="nil"/>
            </w:tcBorders>
            <w:vAlign w:val="center"/>
          </w:tcPr>
          <w:p w14:paraId="1CF6C6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支持连接医其他语音系统</w:t>
            </w:r>
          </w:p>
        </w:tc>
        <w:tc>
          <w:tcPr>
            <w:tcW w:w="870" w:type="dxa"/>
            <w:vMerge w:val="continue"/>
            <w:tcBorders>
              <w:tl2br w:val="nil"/>
              <w:tr2bl w:val="nil"/>
            </w:tcBorders>
            <w:noWrap/>
            <w:vAlign w:val="center"/>
          </w:tcPr>
          <w:p w14:paraId="06EDEEB5">
            <w:pPr>
              <w:spacing w:line="360" w:lineRule="auto"/>
              <w:jc w:val="center"/>
              <w:rPr>
                <w:rFonts w:hint="eastAsia" w:ascii="宋体" w:hAnsi="宋体" w:cs="宋体"/>
                <w:color w:val="auto"/>
                <w:sz w:val="21"/>
                <w:szCs w:val="21"/>
                <w:highlight w:val="none"/>
              </w:rPr>
            </w:pPr>
          </w:p>
        </w:tc>
      </w:tr>
      <w:tr w14:paraId="041D9F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7C13C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4.5.5.88</w:t>
            </w:r>
          </w:p>
        </w:tc>
        <w:tc>
          <w:tcPr>
            <w:tcW w:w="6982" w:type="dxa"/>
            <w:tcBorders>
              <w:tl2br w:val="nil"/>
              <w:tr2bl w:val="nil"/>
            </w:tcBorders>
            <w:vAlign w:val="center"/>
          </w:tcPr>
          <w:p w14:paraId="5358C6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系统语音支持英语、普通话</w:t>
            </w:r>
          </w:p>
        </w:tc>
        <w:tc>
          <w:tcPr>
            <w:tcW w:w="870" w:type="dxa"/>
            <w:vMerge w:val="continue"/>
            <w:tcBorders>
              <w:tl2br w:val="nil"/>
              <w:tr2bl w:val="nil"/>
            </w:tcBorders>
            <w:noWrap/>
            <w:vAlign w:val="center"/>
          </w:tcPr>
          <w:p w14:paraId="47373D4E">
            <w:pPr>
              <w:spacing w:line="360" w:lineRule="auto"/>
              <w:jc w:val="center"/>
              <w:rPr>
                <w:rFonts w:hint="eastAsia" w:ascii="宋体" w:hAnsi="宋体" w:cs="宋体"/>
                <w:color w:val="auto"/>
                <w:sz w:val="21"/>
                <w:szCs w:val="21"/>
                <w:highlight w:val="none"/>
              </w:rPr>
            </w:pPr>
          </w:p>
        </w:tc>
      </w:tr>
      <w:tr w14:paraId="383CEF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6355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4.5.5.89</w:t>
            </w:r>
          </w:p>
        </w:tc>
        <w:tc>
          <w:tcPr>
            <w:tcW w:w="6982" w:type="dxa"/>
            <w:tcBorders>
              <w:tl2br w:val="nil"/>
              <w:tr2bl w:val="nil"/>
            </w:tcBorders>
            <w:vAlign w:val="center"/>
          </w:tcPr>
          <w:p w14:paraId="538E91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医生呼叫病人时，允许连接到多个环境语音系统，一个或者多个候诊区的音响系统同时播放</w:t>
            </w:r>
          </w:p>
        </w:tc>
        <w:tc>
          <w:tcPr>
            <w:tcW w:w="870" w:type="dxa"/>
            <w:vMerge w:val="continue"/>
            <w:tcBorders>
              <w:tl2br w:val="nil"/>
              <w:tr2bl w:val="nil"/>
            </w:tcBorders>
            <w:noWrap/>
            <w:vAlign w:val="center"/>
          </w:tcPr>
          <w:p w14:paraId="026C881F">
            <w:pPr>
              <w:spacing w:line="360" w:lineRule="auto"/>
              <w:jc w:val="center"/>
              <w:rPr>
                <w:rFonts w:hint="eastAsia" w:ascii="宋体" w:hAnsi="宋体" w:cs="宋体"/>
                <w:color w:val="auto"/>
                <w:sz w:val="21"/>
                <w:szCs w:val="21"/>
                <w:highlight w:val="none"/>
              </w:rPr>
            </w:pPr>
          </w:p>
        </w:tc>
      </w:tr>
      <w:tr w14:paraId="4DFF0E6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D333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4.5.5.90</w:t>
            </w:r>
          </w:p>
        </w:tc>
        <w:tc>
          <w:tcPr>
            <w:tcW w:w="6982" w:type="dxa"/>
            <w:tcBorders>
              <w:tl2br w:val="nil"/>
              <w:tr2bl w:val="nil"/>
            </w:tcBorders>
            <w:vAlign w:val="center"/>
          </w:tcPr>
          <w:p w14:paraId="3517F3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支持自定义编辑呼叫模板，呼叫文法</w:t>
            </w:r>
          </w:p>
        </w:tc>
        <w:tc>
          <w:tcPr>
            <w:tcW w:w="870" w:type="dxa"/>
            <w:vMerge w:val="continue"/>
            <w:tcBorders>
              <w:tl2br w:val="nil"/>
              <w:tr2bl w:val="nil"/>
            </w:tcBorders>
            <w:noWrap/>
            <w:vAlign w:val="center"/>
          </w:tcPr>
          <w:p w14:paraId="3CC9F9EA">
            <w:pPr>
              <w:spacing w:line="360" w:lineRule="auto"/>
              <w:jc w:val="center"/>
              <w:rPr>
                <w:rFonts w:hint="eastAsia" w:ascii="宋体" w:hAnsi="宋体" w:cs="宋体"/>
                <w:color w:val="auto"/>
                <w:sz w:val="21"/>
                <w:szCs w:val="21"/>
                <w:highlight w:val="none"/>
              </w:rPr>
            </w:pPr>
          </w:p>
        </w:tc>
      </w:tr>
      <w:tr w14:paraId="1F8C3E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B5A7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4.5.5.91</w:t>
            </w:r>
          </w:p>
        </w:tc>
        <w:tc>
          <w:tcPr>
            <w:tcW w:w="6982" w:type="dxa"/>
            <w:tcBorders>
              <w:tl2br w:val="nil"/>
              <w:tr2bl w:val="nil"/>
            </w:tcBorders>
            <w:vAlign w:val="center"/>
          </w:tcPr>
          <w:p w14:paraId="3CB9BD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支持自定义语音的语速、句间停顿、段落间停及多音色，多音字选择</w:t>
            </w:r>
          </w:p>
        </w:tc>
        <w:tc>
          <w:tcPr>
            <w:tcW w:w="870" w:type="dxa"/>
            <w:vMerge w:val="continue"/>
            <w:tcBorders>
              <w:tl2br w:val="nil"/>
              <w:tr2bl w:val="nil"/>
            </w:tcBorders>
            <w:noWrap/>
            <w:vAlign w:val="center"/>
          </w:tcPr>
          <w:p w14:paraId="2B6156F1">
            <w:pPr>
              <w:spacing w:line="360" w:lineRule="auto"/>
              <w:jc w:val="center"/>
              <w:rPr>
                <w:rFonts w:hint="eastAsia" w:ascii="宋体" w:hAnsi="宋体" w:cs="宋体"/>
                <w:color w:val="auto"/>
                <w:sz w:val="21"/>
                <w:szCs w:val="21"/>
                <w:highlight w:val="none"/>
              </w:rPr>
            </w:pPr>
          </w:p>
        </w:tc>
      </w:tr>
      <w:tr w14:paraId="08D10CE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5EEE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4.5.5.92</w:t>
            </w:r>
          </w:p>
        </w:tc>
        <w:tc>
          <w:tcPr>
            <w:tcW w:w="6982" w:type="dxa"/>
            <w:tcBorders>
              <w:tl2br w:val="nil"/>
              <w:tr2bl w:val="nil"/>
            </w:tcBorders>
            <w:vAlign w:val="center"/>
          </w:tcPr>
          <w:p w14:paraId="446F540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使用百度商业授权语音引擎，播报清晰柔和</w:t>
            </w:r>
          </w:p>
        </w:tc>
        <w:tc>
          <w:tcPr>
            <w:tcW w:w="870" w:type="dxa"/>
            <w:vMerge w:val="continue"/>
            <w:tcBorders>
              <w:tl2br w:val="nil"/>
              <w:tr2bl w:val="nil"/>
            </w:tcBorders>
            <w:noWrap/>
            <w:vAlign w:val="center"/>
          </w:tcPr>
          <w:p w14:paraId="222AF15A">
            <w:pPr>
              <w:spacing w:line="360" w:lineRule="auto"/>
              <w:jc w:val="center"/>
              <w:rPr>
                <w:rFonts w:hint="eastAsia" w:ascii="宋体" w:hAnsi="宋体" w:cs="宋体"/>
                <w:color w:val="auto"/>
                <w:sz w:val="21"/>
                <w:szCs w:val="21"/>
                <w:highlight w:val="none"/>
              </w:rPr>
            </w:pPr>
          </w:p>
        </w:tc>
      </w:tr>
      <w:tr w14:paraId="53A252D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5CF1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4.5.5.93</w:t>
            </w:r>
          </w:p>
        </w:tc>
        <w:tc>
          <w:tcPr>
            <w:tcW w:w="6982" w:type="dxa"/>
            <w:tcBorders>
              <w:tl2br w:val="nil"/>
              <w:tr2bl w:val="nil"/>
            </w:tcBorders>
            <w:vAlign w:val="center"/>
          </w:tcPr>
          <w:p w14:paraId="4D55C4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支持通过身份证及条码查询受检者信息</w:t>
            </w:r>
          </w:p>
        </w:tc>
        <w:tc>
          <w:tcPr>
            <w:tcW w:w="870" w:type="dxa"/>
            <w:vMerge w:val="continue"/>
            <w:tcBorders>
              <w:tl2br w:val="nil"/>
              <w:tr2bl w:val="nil"/>
            </w:tcBorders>
            <w:noWrap/>
            <w:vAlign w:val="center"/>
          </w:tcPr>
          <w:p w14:paraId="1148F2C5">
            <w:pPr>
              <w:spacing w:line="360" w:lineRule="auto"/>
              <w:jc w:val="center"/>
              <w:rPr>
                <w:rFonts w:hint="eastAsia" w:ascii="宋体" w:hAnsi="宋体" w:cs="宋体"/>
                <w:color w:val="auto"/>
                <w:sz w:val="21"/>
                <w:szCs w:val="21"/>
                <w:highlight w:val="none"/>
              </w:rPr>
            </w:pPr>
          </w:p>
        </w:tc>
      </w:tr>
      <w:tr w14:paraId="1939BF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E66A1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4.5.5.94</w:t>
            </w:r>
          </w:p>
        </w:tc>
        <w:tc>
          <w:tcPr>
            <w:tcW w:w="6982" w:type="dxa"/>
            <w:tcBorders>
              <w:tl2br w:val="nil"/>
              <w:tr2bl w:val="nil"/>
            </w:tcBorders>
            <w:vAlign w:val="center"/>
          </w:tcPr>
          <w:p w14:paraId="294798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支持受检者通过自助报到机体检登记及排队报到</w:t>
            </w:r>
          </w:p>
        </w:tc>
        <w:tc>
          <w:tcPr>
            <w:tcW w:w="870" w:type="dxa"/>
            <w:vMerge w:val="continue"/>
            <w:tcBorders>
              <w:tl2br w:val="nil"/>
              <w:tr2bl w:val="nil"/>
            </w:tcBorders>
            <w:noWrap/>
            <w:vAlign w:val="center"/>
          </w:tcPr>
          <w:p w14:paraId="161E5102">
            <w:pPr>
              <w:spacing w:line="360" w:lineRule="auto"/>
              <w:jc w:val="center"/>
              <w:rPr>
                <w:rFonts w:hint="eastAsia" w:ascii="宋体" w:hAnsi="宋体" w:cs="宋体"/>
                <w:color w:val="auto"/>
                <w:sz w:val="21"/>
                <w:szCs w:val="21"/>
                <w:highlight w:val="none"/>
              </w:rPr>
            </w:pPr>
          </w:p>
        </w:tc>
      </w:tr>
      <w:tr w14:paraId="182F2B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2760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4.5.5.95</w:t>
            </w:r>
          </w:p>
        </w:tc>
        <w:tc>
          <w:tcPr>
            <w:tcW w:w="6982" w:type="dxa"/>
            <w:tcBorders>
              <w:tl2br w:val="nil"/>
              <w:tr2bl w:val="nil"/>
            </w:tcBorders>
            <w:vAlign w:val="center"/>
          </w:tcPr>
          <w:p w14:paraId="16ABE0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支持自助打印导检单、体检条码</w:t>
            </w:r>
          </w:p>
        </w:tc>
        <w:tc>
          <w:tcPr>
            <w:tcW w:w="870" w:type="dxa"/>
            <w:vMerge w:val="continue"/>
            <w:tcBorders>
              <w:tl2br w:val="nil"/>
              <w:tr2bl w:val="nil"/>
            </w:tcBorders>
            <w:noWrap/>
            <w:vAlign w:val="center"/>
          </w:tcPr>
          <w:p w14:paraId="740C001F">
            <w:pPr>
              <w:spacing w:line="360" w:lineRule="auto"/>
              <w:jc w:val="center"/>
              <w:rPr>
                <w:rFonts w:hint="eastAsia" w:ascii="宋体" w:hAnsi="宋体" w:cs="宋体"/>
                <w:color w:val="auto"/>
                <w:sz w:val="21"/>
                <w:szCs w:val="21"/>
                <w:highlight w:val="none"/>
              </w:rPr>
            </w:pPr>
          </w:p>
        </w:tc>
      </w:tr>
      <w:tr w14:paraId="22461E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7690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4.5.5.96</w:t>
            </w:r>
          </w:p>
        </w:tc>
        <w:tc>
          <w:tcPr>
            <w:tcW w:w="6982" w:type="dxa"/>
            <w:tcBorders>
              <w:tl2br w:val="nil"/>
              <w:tr2bl w:val="nil"/>
            </w:tcBorders>
            <w:vAlign w:val="center"/>
          </w:tcPr>
          <w:p w14:paraId="60DF59A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用户微信扫码后可自动关注公众号并且直接获取队列信息的模板消息</w:t>
            </w:r>
          </w:p>
        </w:tc>
        <w:tc>
          <w:tcPr>
            <w:tcW w:w="870" w:type="dxa"/>
            <w:vMerge w:val="continue"/>
            <w:tcBorders>
              <w:tl2br w:val="nil"/>
              <w:tr2bl w:val="nil"/>
            </w:tcBorders>
            <w:noWrap/>
            <w:vAlign w:val="center"/>
          </w:tcPr>
          <w:p w14:paraId="5E3C1C21">
            <w:pPr>
              <w:spacing w:line="360" w:lineRule="auto"/>
              <w:jc w:val="center"/>
              <w:rPr>
                <w:rFonts w:hint="eastAsia" w:ascii="宋体" w:hAnsi="宋体" w:cs="宋体"/>
                <w:color w:val="auto"/>
                <w:sz w:val="21"/>
                <w:szCs w:val="21"/>
                <w:highlight w:val="none"/>
              </w:rPr>
            </w:pPr>
          </w:p>
        </w:tc>
      </w:tr>
      <w:tr w14:paraId="15B1A3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EAFF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4.5.5.97</w:t>
            </w:r>
          </w:p>
        </w:tc>
        <w:tc>
          <w:tcPr>
            <w:tcW w:w="6982" w:type="dxa"/>
            <w:tcBorders>
              <w:tl2br w:val="nil"/>
              <w:tr2bl w:val="nil"/>
            </w:tcBorders>
            <w:vAlign w:val="center"/>
          </w:tcPr>
          <w:p w14:paraId="760EF6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支持自动识别就诊科室，区别 VIP 号与普通号签到</w:t>
            </w:r>
          </w:p>
        </w:tc>
        <w:tc>
          <w:tcPr>
            <w:tcW w:w="870" w:type="dxa"/>
            <w:vMerge w:val="continue"/>
            <w:tcBorders>
              <w:tl2br w:val="nil"/>
              <w:tr2bl w:val="nil"/>
            </w:tcBorders>
            <w:noWrap/>
            <w:vAlign w:val="center"/>
          </w:tcPr>
          <w:p w14:paraId="5FB782D2">
            <w:pPr>
              <w:spacing w:line="360" w:lineRule="auto"/>
              <w:jc w:val="center"/>
              <w:rPr>
                <w:rFonts w:hint="eastAsia" w:ascii="宋体" w:hAnsi="宋体" w:cs="宋体"/>
                <w:color w:val="auto"/>
                <w:sz w:val="21"/>
                <w:szCs w:val="21"/>
                <w:highlight w:val="none"/>
              </w:rPr>
            </w:pPr>
          </w:p>
        </w:tc>
      </w:tr>
      <w:tr w14:paraId="57B4A1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FB74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4.5.5.98</w:t>
            </w:r>
          </w:p>
        </w:tc>
        <w:tc>
          <w:tcPr>
            <w:tcW w:w="6982" w:type="dxa"/>
            <w:tcBorders>
              <w:tl2br w:val="nil"/>
              <w:tr2bl w:val="nil"/>
            </w:tcBorders>
            <w:vAlign w:val="center"/>
          </w:tcPr>
          <w:p w14:paraId="1AD4E7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支持客户自助查询排队情况</w:t>
            </w:r>
          </w:p>
        </w:tc>
        <w:tc>
          <w:tcPr>
            <w:tcW w:w="870" w:type="dxa"/>
            <w:vMerge w:val="continue"/>
            <w:tcBorders>
              <w:tl2br w:val="nil"/>
              <w:tr2bl w:val="nil"/>
            </w:tcBorders>
            <w:noWrap/>
            <w:vAlign w:val="center"/>
          </w:tcPr>
          <w:p w14:paraId="32D4BD27">
            <w:pPr>
              <w:spacing w:line="360" w:lineRule="auto"/>
              <w:jc w:val="center"/>
              <w:rPr>
                <w:rFonts w:hint="eastAsia" w:ascii="宋体" w:hAnsi="宋体" w:cs="宋体"/>
                <w:color w:val="auto"/>
                <w:sz w:val="21"/>
                <w:szCs w:val="21"/>
                <w:highlight w:val="none"/>
              </w:rPr>
            </w:pPr>
          </w:p>
        </w:tc>
      </w:tr>
      <w:tr w14:paraId="49CBAF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1FBF8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4.5.5.99</w:t>
            </w:r>
          </w:p>
        </w:tc>
        <w:tc>
          <w:tcPr>
            <w:tcW w:w="6982" w:type="dxa"/>
            <w:tcBorders>
              <w:tl2br w:val="nil"/>
              <w:tr2bl w:val="nil"/>
            </w:tcBorders>
            <w:vAlign w:val="center"/>
          </w:tcPr>
          <w:p w14:paraId="073F16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支持可在自助终端报到，也可在分诊护士站由护士操作报到</w:t>
            </w:r>
          </w:p>
        </w:tc>
        <w:tc>
          <w:tcPr>
            <w:tcW w:w="870" w:type="dxa"/>
            <w:vMerge w:val="continue"/>
            <w:tcBorders>
              <w:tl2br w:val="nil"/>
              <w:tr2bl w:val="nil"/>
            </w:tcBorders>
            <w:noWrap/>
            <w:vAlign w:val="center"/>
          </w:tcPr>
          <w:p w14:paraId="3AED831C">
            <w:pPr>
              <w:spacing w:line="360" w:lineRule="auto"/>
              <w:jc w:val="center"/>
              <w:rPr>
                <w:rFonts w:hint="eastAsia" w:ascii="宋体" w:hAnsi="宋体" w:cs="宋体"/>
                <w:color w:val="auto"/>
                <w:sz w:val="21"/>
                <w:szCs w:val="21"/>
                <w:highlight w:val="none"/>
              </w:rPr>
            </w:pPr>
          </w:p>
        </w:tc>
      </w:tr>
      <w:tr w14:paraId="2AB52FD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A0EB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w:t>
            </w:r>
          </w:p>
        </w:tc>
        <w:tc>
          <w:tcPr>
            <w:tcW w:w="6982" w:type="dxa"/>
            <w:tcBorders>
              <w:tl2br w:val="nil"/>
              <w:tr2bl w:val="nil"/>
            </w:tcBorders>
            <w:vAlign w:val="center"/>
          </w:tcPr>
          <w:p w14:paraId="55D411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血透及腹透管理系统（重构）</w:t>
            </w:r>
          </w:p>
        </w:tc>
        <w:tc>
          <w:tcPr>
            <w:tcW w:w="870" w:type="dxa"/>
            <w:vMerge w:val="restart"/>
            <w:tcBorders>
              <w:tl2br w:val="nil"/>
              <w:tr2bl w:val="nil"/>
            </w:tcBorders>
            <w:noWrap/>
            <w:vAlign w:val="center"/>
          </w:tcPr>
          <w:p w14:paraId="14B3EB87">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83057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8C8D6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w:t>
            </w:r>
          </w:p>
        </w:tc>
        <w:tc>
          <w:tcPr>
            <w:tcW w:w="6982" w:type="dxa"/>
            <w:tcBorders>
              <w:tl2br w:val="nil"/>
              <w:tr2bl w:val="nil"/>
            </w:tcBorders>
            <w:vAlign w:val="center"/>
          </w:tcPr>
          <w:p w14:paraId="6DAD9A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针对现有系统技术架构落后、运行卡顿、功能覆盖不足等问题，精准匹配新医院搬迁后血透科室诊疗管理个性化需求。主要建设内容包括首页、病人管理、电子病历、排班管理、透析管理、通路管理、评估管理、感控管理、统计分析、科室管理、院外管理、系统管理、病人自助接诊系统、移动护理系统、移动医生查房系统、耗材管理系统、质控上报系统，全面完善诊疗全流程管控、医患高效互动、质控精准管理等核心场景功能，实现从患者建档、透析规划、治疗执行到数据统计、院外随访的全链条数字化升级</w:t>
            </w:r>
          </w:p>
        </w:tc>
        <w:tc>
          <w:tcPr>
            <w:tcW w:w="870" w:type="dxa"/>
            <w:vMerge w:val="continue"/>
            <w:tcBorders>
              <w:tl2br w:val="nil"/>
              <w:tr2bl w:val="nil"/>
            </w:tcBorders>
            <w:noWrap/>
            <w:vAlign w:val="center"/>
          </w:tcPr>
          <w:p w14:paraId="4F454FAA">
            <w:pPr>
              <w:spacing w:line="360" w:lineRule="auto"/>
              <w:jc w:val="center"/>
              <w:rPr>
                <w:rFonts w:hint="eastAsia" w:ascii="宋体" w:hAnsi="宋体" w:cs="宋体"/>
                <w:color w:val="auto"/>
                <w:sz w:val="21"/>
                <w:szCs w:val="21"/>
                <w:highlight w:val="none"/>
              </w:rPr>
            </w:pPr>
          </w:p>
        </w:tc>
      </w:tr>
      <w:tr w14:paraId="06F4BC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5CAB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w:t>
            </w:r>
          </w:p>
        </w:tc>
        <w:tc>
          <w:tcPr>
            <w:tcW w:w="6982" w:type="dxa"/>
            <w:tcBorders>
              <w:tl2br w:val="nil"/>
              <w:tr2bl w:val="nil"/>
            </w:tcBorders>
            <w:vAlign w:val="center"/>
          </w:tcPr>
          <w:p w14:paraId="1D7714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首页</w:t>
            </w:r>
          </w:p>
        </w:tc>
        <w:tc>
          <w:tcPr>
            <w:tcW w:w="870" w:type="dxa"/>
            <w:vMerge w:val="continue"/>
            <w:tcBorders>
              <w:tl2br w:val="nil"/>
              <w:tr2bl w:val="nil"/>
            </w:tcBorders>
            <w:noWrap/>
            <w:vAlign w:val="center"/>
          </w:tcPr>
          <w:p w14:paraId="25CB954C">
            <w:pPr>
              <w:spacing w:line="360" w:lineRule="auto"/>
              <w:jc w:val="center"/>
              <w:rPr>
                <w:rFonts w:hint="eastAsia" w:ascii="宋体" w:hAnsi="宋体" w:cs="宋体"/>
                <w:color w:val="auto"/>
                <w:sz w:val="21"/>
                <w:szCs w:val="21"/>
                <w:highlight w:val="none"/>
              </w:rPr>
            </w:pPr>
          </w:p>
        </w:tc>
      </w:tr>
      <w:tr w14:paraId="5C4C8AA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BE48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4.6.2.1</w:t>
            </w:r>
          </w:p>
        </w:tc>
        <w:tc>
          <w:tcPr>
            <w:tcW w:w="6982" w:type="dxa"/>
            <w:tcBorders>
              <w:tl2br w:val="nil"/>
              <w:tr2bl w:val="nil"/>
            </w:tcBorders>
            <w:vAlign w:val="center"/>
          </w:tcPr>
          <w:p w14:paraId="21B00D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护士角色：透析进程整体查看，包括未到、接诊、透析、结束人数。支持以卡片方式展示当前管辖的病人</w:t>
            </w:r>
          </w:p>
        </w:tc>
        <w:tc>
          <w:tcPr>
            <w:tcW w:w="870" w:type="dxa"/>
            <w:vMerge w:val="continue"/>
            <w:tcBorders>
              <w:tl2br w:val="nil"/>
              <w:tr2bl w:val="nil"/>
            </w:tcBorders>
            <w:noWrap/>
            <w:vAlign w:val="center"/>
          </w:tcPr>
          <w:p w14:paraId="477B5FE1">
            <w:pPr>
              <w:spacing w:line="360" w:lineRule="auto"/>
              <w:jc w:val="center"/>
              <w:rPr>
                <w:rFonts w:hint="eastAsia" w:ascii="宋体" w:hAnsi="宋体" w:cs="宋体"/>
                <w:color w:val="auto"/>
                <w:sz w:val="21"/>
                <w:szCs w:val="21"/>
                <w:highlight w:val="none"/>
              </w:rPr>
            </w:pPr>
          </w:p>
        </w:tc>
      </w:tr>
      <w:tr w14:paraId="16327F5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9A7E2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4.6.2.2</w:t>
            </w:r>
          </w:p>
        </w:tc>
        <w:tc>
          <w:tcPr>
            <w:tcW w:w="6982" w:type="dxa"/>
            <w:tcBorders>
              <w:tl2br w:val="nil"/>
              <w:tr2bl w:val="nil"/>
            </w:tcBorders>
            <w:vAlign w:val="center"/>
          </w:tcPr>
          <w:p w14:paraId="539A85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医生角色：透析进程整体查看，包括接诊、透析、查房、结束各阶段透析病人情况。支持以卡片的形式展示当前待查房的病人。支持直接查看 / 编辑病人的医嘱、透析处方、病历等功能</w:t>
            </w:r>
          </w:p>
        </w:tc>
        <w:tc>
          <w:tcPr>
            <w:tcW w:w="870" w:type="dxa"/>
            <w:vMerge w:val="continue"/>
            <w:tcBorders>
              <w:tl2br w:val="nil"/>
              <w:tr2bl w:val="nil"/>
            </w:tcBorders>
            <w:noWrap/>
            <w:vAlign w:val="center"/>
          </w:tcPr>
          <w:p w14:paraId="4D132175">
            <w:pPr>
              <w:spacing w:line="360" w:lineRule="auto"/>
              <w:jc w:val="center"/>
              <w:rPr>
                <w:rFonts w:hint="eastAsia" w:ascii="宋体" w:hAnsi="宋体" w:cs="宋体"/>
                <w:color w:val="auto"/>
                <w:sz w:val="21"/>
                <w:szCs w:val="21"/>
                <w:highlight w:val="none"/>
              </w:rPr>
            </w:pPr>
          </w:p>
        </w:tc>
      </w:tr>
      <w:tr w14:paraId="22A8C5A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C8A3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4.6.2.3</w:t>
            </w:r>
          </w:p>
        </w:tc>
        <w:tc>
          <w:tcPr>
            <w:tcW w:w="6982" w:type="dxa"/>
            <w:tcBorders>
              <w:tl2br w:val="nil"/>
              <w:tr2bl w:val="nil"/>
            </w:tcBorders>
            <w:vAlign w:val="center"/>
          </w:tcPr>
          <w:p w14:paraId="7E99C0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管理角色：血透中心管理数据的集中展示，方便透析中心的管理者简便快速了解透析中心的整体运行情况。包括透析总体情况、病人总体情况分析、设备情况分析、质控达标情况分析等维度</w:t>
            </w:r>
          </w:p>
        </w:tc>
        <w:tc>
          <w:tcPr>
            <w:tcW w:w="870" w:type="dxa"/>
            <w:vMerge w:val="continue"/>
            <w:tcBorders>
              <w:tl2br w:val="nil"/>
              <w:tr2bl w:val="nil"/>
            </w:tcBorders>
            <w:noWrap/>
            <w:vAlign w:val="center"/>
          </w:tcPr>
          <w:p w14:paraId="3DDC6458">
            <w:pPr>
              <w:spacing w:line="360" w:lineRule="auto"/>
              <w:jc w:val="center"/>
              <w:rPr>
                <w:rFonts w:hint="eastAsia" w:ascii="宋体" w:hAnsi="宋体" w:cs="宋体"/>
                <w:color w:val="auto"/>
                <w:sz w:val="21"/>
                <w:szCs w:val="21"/>
                <w:highlight w:val="none"/>
              </w:rPr>
            </w:pPr>
          </w:p>
        </w:tc>
      </w:tr>
      <w:tr w14:paraId="62EEF9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D639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4.6.2.4</w:t>
            </w:r>
          </w:p>
        </w:tc>
        <w:tc>
          <w:tcPr>
            <w:tcW w:w="6982" w:type="dxa"/>
            <w:tcBorders>
              <w:tl2br w:val="nil"/>
              <w:tr2bl w:val="nil"/>
            </w:tcBorders>
            <w:vAlign w:val="center"/>
          </w:tcPr>
          <w:p w14:paraId="6F0D81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科室白板：系统首页支持血透中心重要事项的登记查看功能。支持按日期、班别进行提醒。提醒内容支持自定义颜色显示。支持长期固定显示提醒</w:t>
            </w:r>
          </w:p>
        </w:tc>
        <w:tc>
          <w:tcPr>
            <w:tcW w:w="870" w:type="dxa"/>
            <w:vMerge w:val="continue"/>
            <w:tcBorders>
              <w:tl2br w:val="nil"/>
              <w:tr2bl w:val="nil"/>
            </w:tcBorders>
            <w:noWrap/>
            <w:vAlign w:val="center"/>
          </w:tcPr>
          <w:p w14:paraId="792FF57F">
            <w:pPr>
              <w:spacing w:line="360" w:lineRule="auto"/>
              <w:jc w:val="center"/>
              <w:rPr>
                <w:rFonts w:hint="eastAsia" w:ascii="宋体" w:hAnsi="宋体" w:cs="宋体"/>
                <w:color w:val="auto"/>
                <w:sz w:val="21"/>
                <w:szCs w:val="21"/>
                <w:highlight w:val="none"/>
              </w:rPr>
            </w:pPr>
          </w:p>
        </w:tc>
      </w:tr>
      <w:tr w14:paraId="6F348D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A212C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4.6.2.5</w:t>
            </w:r>
          </w:p>
        </w:tc>
        <w:tc>
          <w:tcPr>
            <w:tcW w:w="6982" w:type="dxa"/>
            <w:tcBorders>
              <w:tl2br w:val="nil"/>
              <w:tr2bl w:val="nil"/>
            </w:tcBorders>
            <w:vAlign w:val="center"/>
          </w:tcPr>
          <w:p w14:paraId="497587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待办提醒：对当班透析病人中的待办事项、待查检验项目、待执行医嘱、危急值、待评估、排班调整、阳转阴、阴转阳等各类事项进行提醒。支持分级处理，设置提醒级别，自定义排序值</w:t>
            </w:r>
          </w:p>
        </w:tc>
        <w:tc>
          <w:tcPr>
            <w:tcW w:w="870" w:type="dxa"/>
            <w:vMerge w:val="continue"/>
            <w:tcBorders>
              <w:tl2br w:val="nil"/>
              <w:tr2bl w:val="nil"/>
            </w:tcBorders>
            <w:noWrap/>
            <w:vAlign w:val="center"/>
          </w:tcPr>
          <w:p w14:paraId="5A5ADC92">
            <w:pPr>
              <w:spacing w:line="360" w:lineRule="auto"/>
              <w:jc w:val="center"/>
              <w:rPr>
                <w:rFonts w:hint="eastAsia" w:ascii="宋体" w:hAnsi="宋体" w:cs="宋体"/>
                <w:color w:val="auto"/>
                <w:sz w:val="21"/>
                <w:szCs w:val="21"/>
                <w:highlight w:val="none"/>
              </w:rPr>
            </w:pPr>
          </w:p>
        </w:tc>
      </w:tr>
      <w:tr w14:paraId="41BD6B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4594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w:t>
            </w:r>
          </w:p>
        </w:tc>
        <w:tc>
          <w:tcPr>
            <w:tcW w:w="6982" w:type="dxa"/>
            <w:tcBorders>
              <w:tl2br w:val="nil"/>
              <w:tr2bl w:val="nil"/>
            </w:tcBorders>
            <w:vAlign w:val="center"/>
          </w:tcPr>
          <w:p w14:paraId="22A578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病人管理</w:t>
            </w:r>
          </w:p>
        </w:tc>
        <w:tc>
          <w:tcPr>
            <w:tcW w:w="870" w:type="dxa"/>
            <w:vMerge w:val="continue"/>
            <w:tcBorders>
              <w:tl2br w:val="nil"/>
              <w:tr2bl w:val="nil"/>
            </w:tcBorders>
            <w:noWrap/>
            <w:vAlign w:val="center"/>
          </w:tcPr>
          <w:p w14:paraId="0722BEE1">
            <w:pPr>
              <w:spacing w:line="360" w:lineRule="auto"/>
              <w:jc w:val="center"/>
              <w:rPr>
                <w:rFonts w:hint="eastAsia" w:ascii="宋体" w:hAnsi="宋体" w:cs="宋体"/>
                <w:color w:val="auto"/>
                <w:sz w:val="21"/>
                <w:szCs w:val="21"/>
                <w:highlight w:val="none"/>
              </w:rPr>
            </w:pPr>
          </w:p>
        </w:tc>
      </w:tr>
      <w:tr w14:paraId="4DAE84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1A13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4.6.3.1</w:t>
            </w:r>
          </w:p>
        </w:tc>
        <w:tc>
          <w:tcPr>
            <w:tcW w:w="6982" w:type="dxa"/>
            <w:tcBorders>
              <w:tl2br w:val="nil"/>
              <w:tr2bl w:val="nil"/>
            </w:tcBorders>
            <w:vAlign w:val="center"/>
          </w:tcPr>
          <w:p w14:paraId="134E9B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患者登记：为患者建立透析档案，支持与 HIS 系统对接并从 HIS 系统中导入患者的基本信息。支持病人照片信息上传和下载</w:t>
            </w:r>
          </w:p>
        </w:tc>
        <w:tc>
          <w:tcPr>
            <w:tcW w:w="870" w:type="dxa"/>
            <w:vMerge w:val="continue"/>
            <w:tcBorders>
              <w:tl2br w:val="nil"/>
              <w:tr2bl w:val="nil"/>
            </w:tcBorders>
            <w:noWrap/>
            <w:vAlign w:val="center"/>
          </w:tcPr>
          <w:p w14:paraId="780CFA7E">
            <w:pPr>
              <w:spacing w:line="360" w:lineRule="auto"/>
              <w:jc w:val="center"/>
              <w:rPr>
                <w:rFonts w:hint="eastAsia" w:ascii="宋体" w:hAnsi="宋体" w:cs="宋体"/>
                <w:color w:val="auto"/>
                <w:sz w:val="21"/>
                <w:szCs w:val="21"/>
                <w:highlight w:val="none"/>
              </w:rPr>
            </w:pPr>
          </w:p>
        </w:tc>
      </w:tr>
      <w:tr w14:paraId="4B6188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1594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4.6.3.2</w:t>
            </w:r>
          </w:p>
        </w:tc>
        <w:tc>
          <w:tcPr>
            <w:tcW w:w="6982" w:type="dxa"/>
            <w:tcBorders>
              <w:tl2br w:val="nil"/>
              <w:tr2bl w:val="nil"/>
            </w:tcBorders>
            <w:vAlign w:val="center"/>
          </w:tcPr>
          <w:p w14:paraId="519E4F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患者入科：为患者开始透析做好各项准备工作，包括血管通路，诊断记录，透析处方等。支持多个通路共存，支持多个处方共存。支持透析液配方模板导入</w:t>
            </w:r>
          </w:p>
        </w:tc>
        <w:tc>
          <w:tcPr>
            <w:tcW w:w="870" w:type="dxa"/>
            <w:vMerge w:val="continue"/>
            <w:tcBorders>
              <w:tl2br w:val="nil"/>
              <w:tr2bl w:val="nil"/>
            </w:tcBorders>
            <w:noWrap/>
            <w:vAlign w:val="center"/>
          </w:tcPr>
          <w:p w14:paraId="5225CA94">
            <w:pPr>
              <w:spacing w:line="360" w:lineRule="auto"/>
              <w:jc w:val="center"/>
              <w:rPr>
                <w:rFonts w:hint="eastAsia" w:ascii="宋体" w:hAnsi="宋体" w:cs="宋体"/>
                <w:color w:val="auto"/>
                <w:sz w:val="21"/>
                <w:szCs w:val="21"/>
                <w:highlight w:val="none"/>
              </w:rPr>
            </w:pPr>
          </w:p>
        </w:tc>
      </w:tr>
      <w:tr w14:paraId="0656518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0716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4.6.3.3</w:t>
            </w:r>
          </w:p>
        </w:tc>
        <w:tc>
          <w:tcPr>
            <w:tcW w:w="6982" w:type="dxa"/>
            <w:tcBorders>
              <w:tl2br w:val="nil"/>
              <w:tr2bl w:val="nil"/>
            </w:tcBorders>
            <w:vAlign w:val="center"/>
          </w:tcPr>
          <w:p w14:paraId="006E90A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透析处方：支持透析方案的建立日期，病人分期、透析方式、频率制定、干体重制定。支持复合方式的透析处方，支持 HDHP 等特殊透析模式</w:t>
            </w:r>
          </w:p>
        </w:tc>
        <w:tc>
          <w:tcPr>
            <w:tcW w:w="870" w:type="dxa"/>
            <w:vMerge w:val="continue"/>
            <w:tcBorders>
              <w:tl2br w:val="nil"/>
              <w:tr2bl w:val="nil"/>
            </w:tcBorders>
            <w:noWrap/>
            <w:vAlign w:val="center"/>
          </w:tcPr>
          <w:p w14:paraId="0635C26D">
            <w:pPr>
              <w:spacing w:line="360" w:lineRule="auto"/>
              <w:jc w:val="center"/>
              <w:rPr>
                <w:rFonts w:hint="eastAsia" w:ascii="宋体" w:hAnsi="宋体" w:cs="宋体"/>
                <w:color w:val="auto"/>
                <w:sz w:val="21"/>
                <w:szCs w:val="21"/>
                <w:highlight w:val="none"/>
              </w:rPr>
            </w:pPr>
          </w:p>
        </w:tc>
      </w:tr>
      <w:tr w14:paraId="6FE4E20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D0A3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4.6.3.4</w:t>
            </w:r>
          </w:p>
        </w:tc>
        <w:tc>
          <w:tcPr>
            <w:tcW w:w="6982" w:type="dxa"/>
            <w:tcBorders>
              <w:tl2br w:val="nil"/>
              <w:tr2bl w:val="nil"/>
            </w:tcBorders>
            <w:vAlign w:val="center"/>
          </w:tcPr>
          <w:p w14:paraId="17593E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病人中心：集中展示患者的基本信息和治疗信息</w:t>
            </w:r>
          </w:p>
        </w:tc>
        <w:tc>
          <w:tcPr>
            <w:tcW w:w="870" w:type="dxa"/>
            <w:vMerge w:val="continue"/>
            <w:tcBorders>
              <w:tl2br w:val="nil"/>
              <w:tr2bl w:val="nil"/>
            </w:tcBorders>
            <w:noWrap/>
            <w:vAlign w:val="center"/>
          </w:tcPr>
          <w:p w14:paraId="7D01ADC3">
            <w:pPr>
              <w:spacing w:line="360" w:lineRule="auto"/>
              <w:jc w:val="center"/>
              <w:rPr>
                <w:rFonts w:hint="eastAsia" w:ascii="宋体" w:hAnsi="宋体" w:cs="宋体"/>
                <w:color w:val="auto"/>
                <w:sz w:val="21"/>
                <w:szCs w:val="21"/>
                <w:highlight w:val="none"/>
              </w:rPr>
            </w:pPr>
          </w:p>
        </w:tc>
      </w:tr>
      <w:tr w14:paraId="22E762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CC02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4.6.3.5</w:t>
            </w:r>
          </w:p>
        </w:tc>
        <w:tc>
          <w:tcPr>
            <w:tcW w:w="6982" w:type="dxa"/>
            <w:tcBorders>
              <w:tl2br w:val="nil"/>
              <w:tr2bl w:val="nil"/>
            </w:tcBorders>
            <w:vAlign w:val="center"/>
          </w:tcPr>
          <w:p w14:paraId="33477A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病人列表：对患者的具体信息进行查阅，支持按姓名或拼音首字母进行查询，支持按患者状态和治疗区域进行过滤</w:t>
            </w:r>
          </w:p>
        </w:tc>
        <w:tc>
          <w:tcPr>
            <w:tcW w:w="870" w:type="dxa"/>
            <w:vMerge w:val="continue"/>
            <w:tcBorders>
              <w:tl2br w:val="nil"/>
              <w:tr2bl w:val="nil"/>
            </w:tcBorders>
            <w:noWrap/>
            <w:vAlign w:val="center"/>
          </w:tcPr>
          <w:p w14:paraId="016064A9">
            <w:pPr>
              <w:spacing w:line="360" w:lineRule="auto"/>
              <w:jc w:val="center"/>
              <w:rPr>
                <w:rFonts w:hint="eastAsia" w:ascii="宋体" w:hAnsi="宋体" w:cs="宋体"/>
                <w:color w:val="auto"/>
                <w:sz w:val="21"/>
                <w:szCs w:val="21"/>
                <w:highlight w:val="none"/>
              </w:rPr>
            </w:pPr>
          </w:p>
        </w:tc>
      </w:tr>
      <w:tr w14:paraId="205D6E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B0CB5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4.6.3.6</w:t>
            </w:r>
          </w:p>
        </w:tc>
        <w:tc>
          <w:tcPr>
            <w:tcW w:w="6982" w:type="dxa"/>
            <w:tcBorders>
              <w:tl2br w:val="nil"/>
              <w:tr2bl w:val="nil"/>
            </w:tcBorders>
            <w:vAlign w:val="center"/>
          </w:tcPr>
          <w:p w14:paraId="3DC1D7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血管通路：血管通路记录，包括通路信息、通路列表，支持多条通路并存</w:t>
            </w:r>
          </w:p>
        </w:tc>
        <w:tc>
          <w:tcPr>
            <w:tcW w:w="870" w:type="dxa"/>
            <w:vMerge w:val="continue"/>
            <w:tcBorders>
              <w:tl2br w:val="nil"/>
              <w:tr2bl w:val="nil"/>
            </w:tcBorders>
            <w:noWrap/>
            <w:vAlign w:val="center"/>
          </w:tcPr>
          <w:p w14:paraId="2BF14950">
            <w:pPr>
              <w:spacing w:line="360" w:lineRule="auto"/>
              <w:jc w:val="center"/>
              <w:rPr>
                <w:rFonts w:hint="eastAsia" w:ascii="宋体" w:hAnsi="宋体" w:cs="宋体"/>
                <w:color w:val="auto"/>
                <w:sz w:val="21"/>
                <w:szCs w:val="21"/>
                <w:highlight w:val="none"/>
              </w:rPr>
            </w:pPr>
          </w:p>
        </w:tc>
      </w:tr>
      <w:tr w14:paraId="391300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49A3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4.6.3.7</w:t>
            </w:r>
          </w:p>
        </w:tc>
        <w:tc>
          <w:tcPr>
            <w:tcW w:w="6982" w:type="dxa"/>
            <w:tcBorders>
              <w:tl2br w:val="nil"/>
              <w:tr2bl w:val="nil"/>
            </w:tcBorders>
            <w:vAlign w:val="center"/>
          </w:tcPr>
          <w:p w14:paraId="1BB067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检验报告：从 LIS 系统导入化验数据，支持手工录入化验数据</w:t>
            </w:r>
          </w:p>
        </w:tc>
        <w:tc>
          <w:tcPr>
            <w:tcW w:w="870" w:type="dxa"/>
            <w:vMerge w:val="continue"/>
            <w:tcBorders>
              <w:tl2br w:val="nil"/>
              <w:tr2bl w:val="nil"/>
            </w:tcBorders>
            <w:noWrap/>
            <w:vAlign w:val="center"/>
          </w:tcPr>
          <w:p w14:paraId="028FE39F">
            <w:pPr>
              <w:spacing w:line="360" w:lineRule="auto"/>
              <w:jc w:val="center"/>
              <w:rPr>
                <w:rFonts w:hint="eastAsia" w:ascii="宋体" w:hAnsi="宋体" w:cs="宋体"/>
                <w:color w:val="auto"/>
                <w:sz w:val="21"/>
                <w:szCs w:val="21"/>
                <w:highlight w:val="none"/>
              </w:rPr>
            </w:pPr>
          </w:p>
        </w:tc>
      </w:tr>
      <w:tr w14:paraId="3DF6EF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BB399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4.6.3.8</w:t>
            </w:r>
          </w:p>
        </w:tc>
        <w:tc>
          <w:tcPr>
            <w:tcW w:w="6982" w:type="dxa"/>
            <w:tcBorders>
              <w:tl2br w:val="nil"/>
              <w:tr2bl w:val="nil"/>
            </w:tcBorders>
            <w:vAlign w:val="center"/>
          </w:tcPr>
          <w:p w14:paraId="0997F2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检查报告：从 RIS 系统中导入检查报告，支持手工录入检查数据</w:t>
            </w:r>
          </w:p>
        </w:tc>
        <w:tc>
          <w:tcPr>
            <w:tcW w:w="870" w:type="dxa"/>
            <w:vMerge w:val="continue"/>
            <w:tcBorders>
              <w:tl2br w:val="nil"/>
              <w:tr2bl w:val="nil"/>
            </w:tcBorders>
            <w:noWrap/>
            <w:vAlign w:val="center"/>
          </w:tcPr>
          <w:p w14:paraId="5A0967D7">
            <w:pPr>
              <w:spacing w:line="360" w:lineRule="auto"/>
              <w:jc w:val="center"/>
              <w:rPr>
                <w:rFonts w:hint="eastAsia" w:ascii="宋体" w:hAnsi="宋体" w:cs="宋体"/>
                <w:color w:val="auto"/>
                <w:sz w:val="21"/>
                <w:szCs w:val="21"/>
                <w:highlight w:val="none"/>
              </w:rPr>
            </w:pPr>
          </w:p>
        </w:tc>
      </w:tr>
      <w:tr w14:paraId="53CEBA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74557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4.6.3.9</w:t>
            </w:r>
          </w:p>
        </w:tc>
        <w:tc>
          <w:tcPr>
            <w:tcW w:w="6982" w:type="dxa"/>
            <w:tcBorders>
              <w:tl2br w:val="nil"/>
              <w:tr2bl w:val="nil"/>
            </w:tcBorders>
            <w:vAlign w:val="center"/>
          </w:tcPr>
          <w:p w14:paraId="519D6E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转归管理：主要包括患者的转入和转出记录及转入转出原因，包括死亡原因</w:t>
            </w:r>
          </w:p>
        </w:tc>
        <w:tc>
          <w:tcPr>
            <w:tcW w:w="870" w:type="dxa"/>
            <w:vMerge w:val="continue"/>
            <w:tcBorders>
              <w:tl2br w:val="nil"/>
              <w:tr2bl w:val="nil"/>
            </w:tcBorders>
            <w:noWrap/>
            <w:vAlign w:val="center"/>
          </w:tcPr>
          <w:p w14:paraId="43668548">
            <w:pPr>
              <w:spacing w:line="360" w:lineRule="auto"/>
              <w:jc w:val="center"/>
              <w:rPr>
                <w:rFonts w:hint="eastAsia" w:ascii="宋体" w:hAnsi="宋体" w:cs="宋体"/>
                <w:color w:val="auto"/>
                <w:sz w:val="21"/>
                <w:szCs w:val="21"/>
                <w:highlight w:val="none"/>
              </w:rPr>
            </w:pPr>
          </w:p>
        </w:tc>
      </w:tr>
      <w:tr w14:paraId="24CAB3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BF2B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4.6.3.10</w:t>
            </w:r>
          </w:p>
        </w:tc>
        <w:tc>
          <w:tcPr>
            <w:tcW w:w="6982" w:type="dxa"/>
            <w:tcBorders>
              <w:tl2br w:val="nil"/>
              <w:tr2bl w:val="nil"/>
            </w:tcBorders>
            <w:vAlign w:val="center"/>
          </w:tcPr>
          <w:p w14:paraId="582B0E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指标变化：反映每个患者的检验指标的变化趋势，并以图表的方式呈现</w:t>
            </w:r>
          </w:p>
        </w:tc>
        <w:tc>
          <w:tcPr>
            <w:tcW w:w="870" w:type="dxa"/>
            <w:vMerge w:val="continue"/>
            <w:tcBorders>
              <w:tl2br w:val="nil"/>
              <w:tr2bl w:val="nil"/>
            </w:tcBorders>
            <w:noWrap/>
            <w:vAlign w:val="center"/>
          </w:tcPr>
          <w:p w14:paraId="21A10CB3">
            <w:pPr>
              <w:spacing w:line="360" w:lineRule="auto"/>
              <w:jc w:val="center"/>
              <w:rPr>
                <w:rFonts w:hint="eastAsia" w:ascii="宋体" w:hAnsi="宋体" w:cs="宋体"/>
                <w:color w:val="auto"/>
                <w:sz w:val="21"/>
                <w:szCs w:val="21"/>
                <w:highlight w:val="none"/>
              </w:rPr>
            </w:pPr>
          </w:p>
        </w:tc>
      </w:tr>
      <w:tr w14:paraId="4051AF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F2BD7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4.6.3.11</w:t>
            </w:r>
          </w:p>
        </w:tc>
        <w:tc>
          <w:tcPr>
            <w:tcW w:w="6982" w:type="dxa"/>
            <w:tcBorders>
              <w:tl2br w:val="nil"/>
              <w:tr2bl w:val="nil"/>
            </w:tcBorders>
            <w:vAlign w:val="center"/>
          </w:tcPr>
          <w:p w14:paraId="260359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批量替换责任人：支持批量替换责任医生、责任护士</w:t>
            </w:r>
          </w:p>
        </w:tc>
        <w:tc>
          <w:tcPr>
            <w:tcW w:w="870" w:type="dxa"/>
            <w:vMerge w:val="continue"/>
            <w:tcBorders>
              <w:tl2br w:val="nil"/>
              <w:tr2bl w:val="nil"/>
            </w:tcBorders>
            <w:noWrap/>
            <w:vAlign w:val="center"/>
          </w:tcPr>
          <w:p w14:paraId="7E298FEC">
            <w:pPr>
              <w:spacing w:line="360" w:lineRule="auto"/>
              <w:jc w:val="center"/>
              <w:rPr>
                <w:rFonts w:hint="eastAsia" w:ascii="宋体" w:hAnsi="宋体" w:cs="宋体"/>
                <w:color w:val="auto"/>
                <w:sz w:val="21"/>
                <w:szCs w:val="21"/>
                <w:highlight w:val="none"/>
              </w:rPr>
            </w:pPr>
          </w:p>
        </w:tc>
      </w:tr>
      <w:tr w14:paraId="0051111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C5B3E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w:t>
            </w:r>
          </w:p>
        </w:tc>
        <w:tc>
          <w:tcPr>
            <w:tcW w:w="6982" w:type="dxa"/>
            <w:tcBorders>
              <w:tl2br w:val="nil"/>
              <w:tr2bl w:val="nil"/>
            </w:tcBorders>
            <w:vAlign w:val="center"/>
          </w:tcPr>
          <w:p w14:paraId="222254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血透电子病历</w:t>
            </w:r>
          </w:p>
        </w:tc>
        <w:tc>
          <w:tcPr>
            <w:tcW w:w="870" w:type="dxa"/>
            <w:vMerge w:val="continue"/>
            <w:tcBorders>
              <w:tl2br w:val="nil"/>
              <w:tr2bl w:val="nil"/>
            </w:tcBorders>
            <w:noWrap/>
            <w:vAlign w:val="center"/>
          </w:tcPr>
          <w:p w14:paraId="31593D78">
            <w:pPr>
              <w:spacing w:line="360" w:lineRule="auto"/>
              <w:jc w:val="center"/>
              <w:rPr>
                <w:rFonts w:hint="eastAsia" w:ascii="宋体" w:hAnsi="宋体" w:cs="宋体"/>
                <w:color w:val="auto"/>
                <w:sz w:val="21"/>
                <w:szCs w:val="21"/>
                <w:highlight w:val="none"/>
              </w:rPr>
            </w:pPr>
          </w:p>
        </w:tc>
      </w:tr>
      <w:tr w14:paraId="3FB9F1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63FD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4.6.4.1</w:t>
            </w:r>
          </w:p>
        </w:tc>
        <w:tc>
          <w:tcPr>
            <w:tcW w:w="6982" w:type="dxa"/>
            <w:tcBorders>
              <w:tl2br w:val="nil"/>
              <w:tr2bl w:val="nil"/>
            </w:tcBorders>
            <w:vAlign w:val="center"/>
          </w:tcPr>
          <w:p w14:paraId="5F961E5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病历模板：便捷的文本编辑操作，丰富的基础组件，强大的数据组件集成，灵活的填写频率设置，完善的缺失提醒功能</w:t>
            </w:r>
          </w:p>
        </w:tc>
        <w:tc>
          <w:tcPr>
            <w:tcW w:w="870" w:type="dxa"/>
            <w:vMerge w:val="continue"/>
            <w:tcBorders>
              <w:tl2br w:val="nil"/>
              <w:tr2bl w:val="nil"/>
            </w:tcBorders>
            <w:noWrap/>
            <w:vAlign w:val="center"/>
          </w:tcPr>
          <w:p w14:paraId="3915264D">
            <w:pPr>
              <w:spacing w:line="360" w:lineRule="auto"/>
              <w:jc w:val="center"/>
              <w:rPr>
                <w:rFonts w:hint="eastAsia" w:ascii="宋体" w:hAnsi="宋体" w:cs="宋体"/>
                <w:color w:val="auto"/>
                <w:sz w:val="21"/>
                <w:szCs w:val="21"/>
                <w:highlight w:val="none"/>
              </w:rPr>
            </w:pPr>
          </w:p>
        </w:tc>
      </w:tr>
      <w:tr w14:paraId="679942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0F83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4.6.4.2</w:t>
            </w:r>
          </w:p>
        </w:tc>
        <w:tc>
          <w:tcPr>
            <w:tcW w:w="6982" w:type="dxa"/>
            <w:tcBorders>
              <w:tl2br w:val="nil"/>
              <w:tr2bl w:val="nil"/>
            </w:tcBorders>
            <w:vAlign w:val="center"/>
          </w:tcPr>
          <w:p w14:paraId="663A54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病历夹：提供病人病历夹功能，支持同时查看不同病人的病历夹</w:t>
            </w:r>
          </w:p>
        </w:tc>
        <w:tc>
          <w:tcPr>
            <w:tcW w:w="870" w:type="dxa"/>
            <w:vMerge w:val="continue"/>
            <w:tcBorders>
              <w:tl2br w:val="nil"/>
              <w:tr2bl w:val="nil"/>
            </w:tcBorders>
            <w:noWrap/>
            <w:vAlign w:val="center"/>
          </w:tcPr>
          <w:p w14:paraId="308421BF">
            <w:pPr>
              <w:spacing w:line="360" w:lineRule="auto"/>
              <w:jc w:val="center"/>
              <w:rPr>
                <w:rFonts w:hint="eastAsia" w:ascii="宋体" w:hAnsi="宋体" w:cs="宋体"/>
                <w:color w:val="auto"/>
                <w:sz w:val="21"/>
                <w:szCs w:val="21"/>
                <w:highlight w:val="none"/>
              </w:rPr>
            </w:pPr>
          </w:p>
        </w:tc>
      </w:tr>
      <w:tr w14:paraId="36C40E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6D46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4.6.4.3</w:t>
            </w:r>
          </w:p>
        </w:tc>
        <w:tc>
          <w:tcPr>
            <w:tcW w:w="6982" w:type="dxa"/>
            <w:tcBorders>
              <w:tl2br w:val="nil"/>
              <w:tr2bl w:val="nil"/>
            </w:tcBorders>
            <w:vAlign w:val="center"/>
          </w:tcPr>
          <w:p w14:paraId="450D4A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入院大病历：包括患者主诉、现病史、既往史、个人史、婚育史、家族史、体格检查等章节</w:t>
            </w:r>
          </w:p>
        </w:tc>
        <w:tc>
          <w:tcPr>
            <w:tcW w:w="870" w:type="dxa"/>
            <w:vMerge w:val="continue"/>
            <w:tcBorders>
              <w:tl2br w:val="nil"/>
              <w:tr2bl w:val="nil"/>
            </w:tcBorders>
            <w:noWrap/>
            <w:vAlign w:val="center"/>
          </w:tcPr>
          <w:p w14:paraId="581650E5">
            <w:pPr>
              <w:spacing w:line="360" w:lineRule="auto"/>
              <w:jc w:val="center"/>
              <w:rPr>
                <w:rFonts w:hint="eastAsia" w:ascii="宋体" w:hAnsi="宋体" w:cs="宋体"/>
                <w:color w:val="auto"/>
                <w:sz w:val="21"/>
                <w:szCs w:val="21"/>
                <w:highlight w:val="none"/>
              </w:rPr>
            </w:pPr>
          </w:p>
        </w:tc>
      </w:tr>
      <w:tr w14:paraId="0E27BF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130E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4.6.4.4</w:t>
            </w:r>
          </w:p>
        </w:tc>
        <w:tc>
          <w:tcPr>
            <w:tcW w:w="6982" w:type="dxa"/>
            <w:tcBorders>
              <w:tl2br w:val="nil"/>
              <w:tr2bl w:val="nil"/>
            </w:tcBorders>
            <w:vAlign w:val="center"/>
          </w:tcPr>
          <w:p w14:paraId="0830BD1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首次病程：包括患者主诉，既往病史，体格检查，病历文本，化验检查等内容</w:t>
            </w:r>
          </w:p>
        </w:tc>
        <w:tc>
          <w:tcPr>
            <w:tcW w:w="870" w:type="dxa"/>
            <w:vMerge w:val="continue"/>
            <w:tcBorders>
              <w:tl2br w:val="nil"/>
              <w:tr2bl w:val="nil"/>
            </w:tcBorders>
            <w:noWrap/>
            <w:vAlign w:val="center"/>
          </w:tcPr>
          <w:p w14:paraId="4E20D201">
            <w:pPr>
              <w:spacing w:line="360" w:lineRule="auto"/>
              <w:jc w:val="center"/>
              <w:rPr>
                <w:rFonts w:hint="eastAsia" w:ascii="宋体" w:hAnsi="宋体" w:cs="宋体"/>
                <w:color w:val="auto"/>
                <w:sz w:val="21"/>
                <w:szCs w:val="21"/>
                <w:highlight w:val="none"/>
              </w:rPr>
            </w:pPr>
          </w:p>
        </w:tc>
      </w:tr>
      <w:tr w14:paraId="6E7E7A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AC98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4.6.4.5</w:t>
            </w:r>
          </w:p>
        </w:tc>
        <w:tc>
          <w:tcPr>
            <w:tcW w:w="6982" w:type="dxa"/>
            <w:tcBorders>
              <w:tl2br w:val="nil"/>
              <w:tr2bl w:val="nil"/>
            </w:tcBorders>
            <w:vAlign w:val="center"/>
          </w:tcPr>
          <w:p w14:paraId="531BEB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病程记录：对患者病情和诊疗过程所进行的连续性记录</w:t>
            </w:r>
          </w:p>
        </w:tc>
        <w:tc>
          <w:tcPr>
            <w:tcW w:w="870" w:type="dxa"/>
            <w:vMerge w:val="continue"/>
            <w:tcBorders>
              <w:tl2br w:val="nil"/>
              <w:tr2bl w:val="nil"/>
            </w:tcBorders>
            <w:noWrap/>
            <w:vAlign w:val="center"/>
          </w:tcPr>
          <w:p w14:paraId="35A08914">
            <w:pPr>
              <w:spacing w:line="360" w:lineRule="auto"/>
              <w:jc w:val="center"/>
              <w:rPr>
                <w:rFonts w:hint="eastAsia" w:ascii="宋体" w:hAnsi="宋体" w:cs="宋体"/>
                <w:color w:val="auto"/>
                <w:sz w:val="21"/>
                <w:szCs w:val="21"/>
                <w:highlight w:val="none"/>
              </w:rPr>
            </w:pPr>
          </w:p>
        </w:tc>
      </w:tr>
      <w:tr w14:paraId="66187C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99F9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4.6.4.6</w:t>
            </w:r>
          </w:p>
        </w:tc>
        <w:tc>
          <w:tcPr>
            <w:tcW w:w="6982" w:type="dxa"/>
            <w:tcBorders>
              <w:tl2br w:val="nil"/>
              <w:tr2bl w:val="nil"/>
            </w:tcBorders>
            <w:vAlign w:val="center"/>
          </w:tcPr>
          <w:p w14:paraId="59EE5B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知情同意书：患者的各类知情同意书，支持从模板调入，支持平板手写签名</w:t>
            </w:r>
          </w:p>
        </w:tc>
        <w:tc>
          <w:tcPr>
            <w:tcW w:w="870" w:type="dxa"/>
            <w:vMerge w:val="continue"/>
            <w:tcBorders>
              <w:tl2br w:val="nil"/>
              <w:tr2bl w:val="nil"/>
            </w:tcBorders>
            <w:noWrap/>
            <w:vAlign w:val="center"/>
          </w:tcPr>
          <w:p w14:paraId="20668524">
            <w:pPr>
              <w:spacing w:line="360" w:lineRule="auto"/>
              <w:jc w:val="center"/>
              <w:rPr>
                <w:rFonts w:hint="eastAsia" w:ascii="宋体" w:hAnsi="宋体" w:cs="宋体"/>
                <w:color w:val="auto"/>
                <w:sz w:val="21"/>
                <w:szCs w:val="21"/>
                <w:highlight w:val="none"/>
              </w:rPr>
            </w:pPr>
          </w:p>
        </w:tc>
      </w:tr>
      <w:tr w14:paraId="3D4CCB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0474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4.6.4.7</w:t>
            </w:r>
          </w:p>
        </w:tc>
        <w:tc>
          <w:tcPr>
            <w:tcW w:w="6982" w:type="dxa"/>
            <w:tcBorders>
              <w:tl2br w:val="nil"/>
              <w:tr2bl w:val="nil"/>
            </w:tcBorders>
            <w:vAlign w:val="center"/>
          </w:tcPr>
          <w:p w14:paraId="77D11B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健康宣教：对患者的健康宣教记录，支持各类主题的宣教模板调入</w:t>
            </w:r>
          </w:p>
        </w:tc>
        <w:tc>
          <w:tcPr>
            <w:tcW w:w="870" w:type="dxa"/>
            <w:vMerge w:val="continue"/>
            <w:tcBorders>
              <w:tl2br w:val="nil"/>
              <w:tr2bl w:val="nil"/>
            </w:tcBorders>
            <w:noWrap/>
            <w:vAlign w:val="center"/>
          </w:tcPr>
          <w:p w14:paraId="2EB5A869">
            <w:pPr>
              <w:spacing w:line="360" w:lineRule="auto"/>
              <w:jc w:val="center"/>
              <w:rPr>
                <w:rFonts w:hint="eastAsia" w:ascii="宋体" w:hAnsi="宋体" w:cs="宋体"/>
                <w:color w:val="auto"/>
                <w:sz w:val="21"/>
                <w:szCs w:val="21"/>
                <w:highlight w:val="none"/>
              </w:rPr>
            </w:pPr>
          </w:p>
        </w:tc>
      </w:tr>
      <w:tr w14:paraId="7682471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5287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4.6.4.8</w:t>
            </w:r>
          </w:p>
        </w:tc>
        <w:tc>
          <w:tcPr>
            <w:tcW w:w="6982" w:type="dxa"/>
            <w:tcBorders>
              <w:tl2br w:val="nil"/>
              <w:tr2bl w:val="nil"/>
            </w:tcBorders>
            <w:vAlign w:val="center"/>
          </w:tcPr>
          <w:p w14:paraId="09A2BE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住院记录：出入院记录是完整病历的缩影</w:t>
            </w:r>
          </w:p>
        </w:tc>
        <w:tc>
          <w:tcPr>
            <w:tcW w:w="870" w:type="dxa"/>
            <w:vMerge w:val="continue"/>
            <w:tcBorders>
              <w:tl2br w:val="nil"/>
              <w:tr2bl w:val="nil"/>
            </w:tcBorders>
            <w:noWrap/>
            <w:vAlign w:val="center"/>
          </w:tcPr>
          <w:p w14:paraId="241987D0">
            <w:pPr>
              <w:spacing w:line="360" w:lineRule="auto"/>
              <w:jc w:val="center"/>
              <w:rPr>
                <w:rFonts w:hint="eastAsia" w:ascii="宋体" w:hAnsi="宋体" w:cs="宋体"/>
                <w:color w:val="auto"/>
                <w:sz w:val="21"/>
                <w:szCs w:val="21"/>
                <w:highlight w:val="none"/>
              </w:rPr>
            </w:pPr>
          </w:p>
        </w:tc>
      </w:tr>
      <w:tr w14:paraId="599935D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99D0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4.6.4.9</w:t>
            </w:r>
          </w:p>
        </w:tc>
        <w:tc>
          <w:tcPr>
            <w:tcW w:w="6982" w:type="dxa"/>
            <w:tcBorders>
              <w:tl2br w:val="nil"/>
              <w:tr2bl w:val="nil"/>
            </w:tcBorders>
            <w:vAlign w:val="center"/>
          </w:tcPr>
          <w:p w14:paraId="2F05F8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手术记录：门诊手术记录，包括内瘘手术记录及中心静脉置管手术记录等</w:t>
            </w:r>
          </w:p>
        </w:tc>
        <w:tc>
          <w:tcPr>
            <w:tcW w:w="870" w:type="dxa"/>
            <w:vMerge w:val="continue"/>
            <w:tcBorders>
              <w:tl2br w:val="nil"/>
              <w:tr2bl w:val="nil"/>
            </w:tcBorders>
            <w:noWrap/>
            <w:vAlign w:val="center"/>
          </w:tcPr>
          <w:p w14:paraId="0CCCFE4C">
            <w:pPr>
              <w:spacing w:line="360" w:lineRule="auto"/>
              <w:jc w:val="center"/>
              <w:rPr>
                <w:rFonts w:hint="eastAsia" w:ascii="宋体" w:hAnsi="宋体" w:cs="宋体"/>
                <w:color w:val="auto"/>
                <w:sz w:val="21"/>
                <w:szCs w:val="21"/>
                <w:highlight w:val="none"/>
              </w:rPr>
            </w:pPr>
          </w:p>
        </w:tc>
      </w:tr>
      <w:tr w14:paraId="57915C4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CC9F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4.6.4.10</w:t>
            </w:r>
          </w:p>
        </w:tc>
        <w:tc>
          <w:tcPr>
            <w:tcW w:w="6982" w:type="dxa"/>
            <w:tcBorders>
              <w:tl2br w:val="nil"/>
              <w:tr2bl w:val="nil"/>
            </w:tcBorders>
            <w:vAlign w:val="center"/>
          </w:tcPr>
          <w:p w14:paraId="347689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阶段小结：可按月度 / 季度生成患者的阶段小结</w:t>
            </w:r>
          </w:p>
        </w:tc>
        <w:tc>
          <w:tcPr>
            <w:tcW w:w="870" w:type="dxa"/>
            <w:vMerge w:val="continue"/>
            <w:tcBorders>
              <w:tl2br w:val="nil"/>
              <w:tr2bl w:val="nil"/>
            </w:tcBorders>
            <w:noWrap/>
            <w:vAlign w:val="center"/>
          </w:tcPr>
          <w:p w14:paraId="1D362BFC">
            <w:pPr>
              <w:spacing w:line="360" w:lineRule="auto"/>
              <w:jc w:val="center"/>
              <w:rPr>
                <w:rFonts w:hint="eastAsia" w:ascii="宋体" w:hAnsi="宋体" w:cs="宋体"/>
                <w:color w:val="auto"/>
                <w:sz w:val="21"/>
                <w:szCs w:val="21"/>
                <w:highlight w:val="none"/>
              </w:rPr>
            </w:pPr>
          </w:p>
        </w:tc>
      </w:tr>
      <w:tr w14:paraId="67B93BB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D90E4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4.6.4.11</w:t>
            </w:r>
          </w:p>
        </w:tc>
        <w:tc>
          <w:tcPr>
            <w:tcW w:w="6982" w:type="dxa"/>
            <w:tcBorders>
              <w:tl2br w:val="nil"/>
              <w:tr2bl w:val="nil"/>
            </w:tcBorders>
            <w:vAlign w:val="center"/>
          </w:tcPr>
          <w:p w14:paraId="15BC19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死亡记录：患者的死亡记录，包括死亡时间，主要原因，次要原因，死亡讨论等内容</w:t>
            </w:r>
          </w:p>
        </w:tc>
        <w:tc>
          <w:tcPr>
            <w:tcW w:w="870" w:type="dxa"/>
            <w:vMerge w:val="continue"/>
            <w:tcBorders>
              <w:tl2br w:val="nil"/>
              <w:tr2bl w:val="nil"/>
            </w:tcBorders>
            <w:noWrap/>
            <w:vAlign w:val="center"/>
          </w:tcPr>
          <w:p w14:paraId="616DA6BC">
            <w:pPr>
              <w:spacing w:line="360" w:lineRule="auto"/>
              <w:jc w:val="center"/>
              <w:rPr>
                <w:rFonts w:hint="eastAsia" w:ascii="宋体" w:hAnsi="宋体" w:cs="宋体"/>
                <w:color w:val="auto"/>
                <w:sz w:val="21"/>
                <w:szCs w:val="21"/>
                <w:highlight w:val="none"/>
              </w:rPr>
            </w:pPr>
          </w:p>
        </w:tc>
      </w:tr>
      <w:tr w14:paraId="32039E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CF09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4.6.4.12</w:t>
            </w:r>
          </w:p>
        </w:tc>
        <w:tc>
          <w:tcPr>
            <w:tcW w:w="6982" w:type="dxa"/>
            <w:tcBorders>
              <w:tl2br w:val="nil"/>
              <w:tr2bl w:val="nil"/>
            </w:tcBorders>
            <w:vAlign w:val="center"/>
          </w:tcPr>
          <w:p w14:paraId="1AFAB6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死亡病例讨论记录：患者的死亡病例讨论记录，包括讨论时间、地点、参与讨论人等</w:t>
            </w:r>
          </w:p>
        </w:tc>
        <w:tc>
          <w:tcPr>
            <w:tcW w:w="870" w:type="dxa"/>
            <w:vMerge w:val="continue"/>
            <w:tcBorders>
              <w:tl2br w:val="nil"/>
              <w:tr2bl w:val="nil"/>
            </w:tcBorders>
            <w:noWrap/>
            <w:vAlign w:val="center"/>
          </w:tcPr>
          <w:p w14:paraId="7E57ADEB">
            <w:pPr>
              <w:spacing w:line="360" w:lineRule="auto"/>
              <w:jc w:val="center"/>
              <w:rPr>
                <w:rFonts w:hint="eastAsia" w:ascii="宋体" w:hAnsi="宋体" w:cs="宋体"/>
                <w:color w:val="auto"/>
                <w:sz w:val="21"/>
                <w:szCs w:val="21"/>
                <w:highlight w:val="none"/>
              </w:rPr>
            </w:pPr>
          </w:p>
        </w:tc>
      </w:tr>
      <w:tr w14:paraId="758B82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67A16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4.6.5</w:t>
            </w:r>
          </w:p>
        </w:tc>
        <w:tc>
          <w:tcPr>
            <w:tcW w:w="6982" w:type="dxa"/>
            <w:tcBorders>
              <w:tl2br w:val="nil"/>
              <w:tr2bl w:val="nil"/>
            </w:tcBorders>
            <w:vAlign w:val="center"/>
          </w:tcPr>
          <w:p w14:paraId="6C1A12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排班管理</w:t>
            </w:r>
          </w:p>
        </w:tc>
        <w:tc>
          <w:tcPr>
            <w:tcW w:w="870" w:type="dxa"/>
            <w:vMerge w:val="continue"/>
            <w:tcBorders>
              <w:tl2br w:val="nil"/>
              <w:tr2bl w:val="nil"/>
            </w:tcBorders>
            <w:noWrap/>
            <w:vAlign w:val="center"/>
          </w:tcPr>
          <w:p w14:paraId="37D4FFB4">
            <w:pPr>
              <w:spacing w:line="360" w:lineRule="auto"/>
              <w:jc w:val="center"/>
              <w:rPr>
                <w:rFonts w:hint="eastAsia" w:ascii="宋体" w:hAnsi="宋体" w:cs="宋体"/>
                <w:color w:val="auto"/>
                <w:sz w:val="21"/>
                <w:szCs w:val="21"/>
                <w:highlight w:val="none"/>
              </w:rPr>
            </w:pPr>
          </w:p>
        </w:tc>
      </w:tr>
      <w:tr w14:paraId="1850D2A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F42B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4.6.5.1</w:t>
            </w:r>
          </w:p>
        </w:tc>
        <w:tc>
          <w:tcPr>
            <w:tcW w:w="6982" w:type="dxa"/>
            <w:tcBorders>
              <w:tl2br w:val="nil"/>
              <w:tr2bl w:val="nil"/>
            </w:tcBorders>
            <w:vAlign w:val="center"/>
          </w:tcPr>
          <w:p w14:paraId="51565D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排班方案：护士为透析患者制定排班计划，支持按单周、双周、四周等不同频率排班</w:t>
            </w:r>
          </w:p>
        </w:tc>
        <w:tc>
          <w:tcPr>
            <w:tcW w:w="870" w:type="dxa"/>
            <w:vMerge w:val="continue"/>
            <w:tcBorders>
              <w:tl2br w:val="nil"/>
              <w:tr2bl w:val="nil"/>
            </w:tcBorders>
            <w:noWrap/>
            <w:vAlign w:val="center"/>
          </w:tcPr>
          <w:p w14:paraId="6F145C09">
            <w:pPr>
              <w:spacing w:line="360" w:lineRule="auto"/>
              <w:jc w:val="center"/>
              <w:rPr>
                <w:rFonts w:hint="eastAsia" w:ascii="宋体" w:hAnsi="宋体" w:cs="宋体"/>
                <w:color w:val="auto"/>
                <w:sz w:val="21"/>
                <w:szCs w:val="21"/>
                <w:highlight w:val="none"/>
              </w:rPr>
            </w:pPr>
          </w:p>
        </w:tc>
      </w:tr>
      <w:tr w14:paraId="04BDCAE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36B7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4.6.5.2</w:t>
            </w:r>
          </w:p>
        </w:tc>
        <w:tc>
          <w:tcPr>
            <w:tcW w:w="6982" w:type="dxa"/>
            <w:tcBorders>
              <w:tl2br w:val="nil"/>
              <w:tr2bl w:val="nil"/>
            </w:tcBorders>
            <w:vAlign w:val="center"/>
          </w:tcPr>
          <w:p w14:paraId="515287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智能排班：提供详尽的床位资料呈现，丰富的病人信息集成，智能的数据审查机制，多样的处方设置方式，自定义透析方式颜色</w:t>
            </w:r>
          </w:p>
        </w:tc>
        <w:tc>
          <w:tcPr>
            <w:tcW w:w="870" w:type="dxa"/>
            <w:vMerge w:val="continue"/>
            <w:tcBorders>
              <w:tl2br w:val="nil"/>
              <w:tr2bl w:val="nil"/>
            </w:tcBorders>
            <w:noWrap/>
            <w:vAlign w:val="center"/>
          </w:tcPr>
          <w:p w14:paraId="5DBA9A50">
            <w:pPr>
              <w:spacing w:line="360" w:lineRule="auto"/>
              <w:jc w:val="center"/>
              <w:rPr>
                <w:rFonts w:hint="eastAsia" w:ascii="宋体" w:hAnsi="宋体" w:cs="宋体"/>
                <w:color w:val="auto"/>
                <w:sz w:val="21"/>
                <w:szCs w:val="21"/>
                <w:highlight w:val="none"/>
              </w:rPr>
            </w:pPr>
          </w:p>
        </w:tc>
      </w:tr>
      <w:tr w14:paraId="3C7937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E2230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4.6.5.3</w:t>
            </w:r>
          </w:p>
        </w:tc>
        <w:tc>
          <w:tcPr>
            <w:tcW w:w="6982" w:type="dxa"/>
            <w:tcBorders>
              <w:tl2br w:val="nil"/>
              <w:tr2bl w:val="nil"/>
            </w:tcBorders>
            <w:vAlign w:val="center"/>
          </w:tcPr>
          <w:p w14:paraId="0DE6BD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排班查询：分析按病人、按床位、按操作对本月的排班情况进行查询</w:t>
            </w:r>
          </w:p>
        </w:tc>
        <w:tc>
          <w:tcPr>
            <w:tcW w:w="870" w:type="dxa"/>
            <w:vMerge w:val="continue"/>
            <w:tcBorders>
              <w:tl2br w:val="nil"/>
              <w:tr2bl w:val="nil"/>
            </w:tcBorders>
            <w:noWrap/>
            <w:vAlign w:val="center"/>
          </w:tcPr>
          <w:p w14:paraId="67C1123E">
            <w:pPr>
              <w:spacing w:line="360" w:lineRule="auto"/>
              <w:jc w:val="center"/>
              <w:rPr>
                <w:rFonts w:hint="eastAsia" w:ascii="宋体" w:hAnsi="宋体" w:cs="宋体"/>
                <w:color w:val="auto"/>
                <w:sz w:val="21"/>
                <w:szCs w:val="21"/>
                <w:highlight w:val="none"/>
              </w:rPr>
            </w:pPr>
          </w:p>
        </w:tc>
      </w:tr>
      <w:tr w14:paraId="6867DE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2C1D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4.6.5.4</w:t>
            </w:r>
          </w:p>
        </w:tc>
        <w:tc>
          <w:tcPr>
            <w:tcW w:w="6982" w:type="dxa"/>
            <w:tcBorders>
              <w:tl2br w:val="nil"/>
              <w:tr2bl w:val="nil"/>
            </w:tcBorders>
            <w:vAlign w:val="center"/>
          </w:tcPr>
          <w:p w14:paraId="00E0B0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临时排班：支持临时透析病人的排班，包括急诊病人、加透病人的排班处理</w:t>
            </w:r>
          </w:p>
        </w:tc>
        <w:tc>
          <w:tcPr>
            <w:tcW w:w="870" w:type="dxa"/>
            <w:vMerge w:val="continue"/>
            <w:tcBorders>
              <w:tl2br w:val="nil"/>
              <w:tr2bl w:val="nil"/>
            </w:tcBorders>
            <w:noWrap/>
            <w:vAlign w:val="center"/>
          </w:tcPr>
          <w:p w14:paraId="37BB3496">
            <w:pPr>
              <w:spacing w:line="360" w:lineRule="auto"/>
              <w:jc w:val="center"/>
              <w:rPr>
                <w:rFonts w:hint="eastAsia" w:ascii="宋体" w:hAnsi="宋体" w:cs="宋体"/>
                <w:color w:val="auto"/>
                <w:sz w:val="21"/>
                <w:szCs w:val="21"/>
                <w:highlight w:val="none"/>
              </w:rPr>
            </w:pPr>
          </w:p>
        </w:tc>
      </w:tr>
      <w:tr w14:paraId="27E4D7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C769E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w:t>
            </w:r>
          </w:p>
        </w:tc>
        <w:tc>
          <w:tcPr>
            <w:tcW w:w="6982" w:type="dxa"/>
            <w:tcBorders>
              <w:tl2br w:val="nil"/>
              <w:tr2bl w:val="nil"/>
            </w:tcBorders>
            <w:vAlign w:val="center"/>
          </w:tcPr>
          <w:p w14:paraId="5EC7009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透析管理</w:t>
            </w:r>
          </w:p>
        </w:tc>
        <w:tc>
          <w:tcPr>
            <w:tcW w:w="870" w:type="dxa"/>
            <w:vMerge w:val="continue"/>
            <w:tcBorders>
              <w:tl2br w:val="nil"/>
              <w:tr2bl w:val="nil"/>
            </w:tcBorders>
            <w:noWrap/>
            <w:vAlign w:val="center"/>
          </w:tcPr>
          <w:p w14:paraId="333F7808">
            <w:pPr>
              <w:spacing w:line="360" w:lineRule="auto"/>
              <w:jc w:val="center"/>
              <w:rPr>
                <w:rFonts w:hint="eastAsia" w:ascii="宋体" w:hAnsi="宋体" w:cs="宋体"/>
                <w:color w:val="auto"/>
                <w:sz w:val="21"/>
                <w:szCs w:val="21"/>
                <w:highlight w:val="none"/>
              </w:rPr>
            </w:pPr>
          </w:p>
        </w:tc>
      </w:tr>
      <w:tr w14:paraId="525FC8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1661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4.6.6.1</w:t>
            </w:r>
          </w:p>
        </w:tc>
        <w:tc>
          <w:tcPr>
            <w:tcW w:w="6982" w:type="dxa"/>
            <w:tcBorders>
              <w:tl2br w:val="nil"/>
              <w:tr2bl w:val="nil"/>
            </w:tcBorders>
            <w:vAlign w:val="center"/>
          </w:tcPr>
          <w:p w14:paraId="4C5DFD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透前准备：根据日期 / 班次 / 区域筛选查看对应班次和区域患者所涉及到的耗材 / 药品</w:t>
            </w:r>
          </w:p>
        </w:tc>
        <w:tc>
          <w:tcPr>
            <w:tcW w:w="870" w:type="dxa"/>
            <w:vMerge w:val="continue"/>
            <w:tcBorders>
              <w:tl2br w:val="nil"/>
              <w:tr2bl w:val="nil"/>
            </w:tcBorders>
            <w:noWrap/>
            <w:vAlign w:val="center"/>
          </w:tcPr>
          <w:p w14:paraId="1605AA44">
            <w:pPr>
              <w:spacing w:line="360" w:lineRule="auto"/>
              <w:jc w:val="center"/>
              <w:rPr>
                <w:rFonts w:hint="eastAsia" w:ascii="宋体" w:hAnsi="宋体" w:cs="宋体"/>
                <w:color w:val="auto"/>
                <w:sz w:val="21"/>
                <w:szCs w:val="21"/>
                <w:highlight w:val="none"/>
              </w:rPr>
            </w:pPr>
          </w:p>
        </w:tc>
      </w:tr>
      <w:tr w14:paraId="7E14D7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DC49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4.6.6.2</w:t>
            </w:r>
          </w:p>
        </w:tc>
        <w:tc>
          <w:tcPr>
            <w:tcW w:w="6982" w:type="dxa"/>
            <w:tcBorders>
              <w:tl2br w:val="nil"/>
              <w:tr2bl w:val="nil"/>
            </w:tcBorders>
            <w:vAlign w:val="center"/>
          </w:tcPr>
          <w:p w14:paraId="2A080E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病人分配：支持按时间、班别、区域显示当班所有患者，支持拖拽完成换床操作</w:t>
            </w:r>
          </w:p>
        </w:tc>
        <w:tc>
          <w:tcPr>
            <w:tcW w:w="870" w:type="dxa"/>
            <w:vMerge w:val="continue"/>
            <w:tcBorders>
              <w:tl2br w:val="nil"/>
              <w:tr2bl w:val="nil"/>
            </w:tcBorders>
            <w:noWrap/>
            <w:vAlign w:val="center"/>
          </w:tcPr>
          <w:p w14:paraId="4DCE8FD1">
            <w:pPr>
              <w:spacing w:line="360" w:lineRule="auto"/>
              <w:jc w:val="center"/>
              <w:rPr>
                <w:rFonts w:hint="eastAsia" w:ascii="宋体" w:hAnsi="宋体" w:cs="宋体"/>
                <w:color w:val="auto"/>
                <w:sz w:val="21"/>
                <w:szCs w:val="21"/>
                <w:highlight w:val="none"/>
              </w:rPr>
            </w:pPr>
          </w:p>
        </w:tc>
      </w:tr>
      <w:tr w14:paraId="6D72D2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B2C5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4.6.6.3</w:t>
            </w:r>
          </w:p>
        </w:tc>
        <w:tc>
          <w:tcPr>
            <w:tcW w:w="6982" w:type="dxa"/>
            <w:tcBorders>
              <w:tl2br w:val="nil"/>
              <w:tr2bl w:val="nil"/>
            </w:tcBorders>
            <w:vAlign w:val="center"/>
          </w:tcPr>
          <w:p w14:paraId="73A509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病人接诊：支持医生手动接诊，支持接诊时智能提醒</w:t>
            </w:r>
          </w:p>
        </w:tc>
        <w:tc>
          <w:tcPr>
            <w:tcW w:w="870" w:type="dxa"/>
            <w:vMerge w:val="continue"/>
            <w:tcBorders>
              <w:tl2br w:val="nil"/>
              <w:tr2bl w:val="nil"/>
            </w:tcBorders>
            <w:noWrap/>
            <w:vAlign w:val="center"/>
          </w:tcPr>
          <w:p w14:paraId="77554E7E">
            <w:pPr>
              <w:spacing w:line="360" w:lineRule="auto"/>
              <w:jc w:val="center"/>
              <w:rPr>
                <w:rFonts w:hint="eastAsia" w:ascii="宋体" w:hAnsi="宋体" w:cs="宋体"/>
                <w:color w:val="auto"/>
                <w:sz w:val="21"/>
                <w:szCs w:val="21"/>
                <w:highlight w:val="none"/>
              </w:rPr>
            </w:pPr>
          </w:p>
        </w:tc>
      </w:tr>
      <w:tr w14:paraId="35F845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B636B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4.6.6.4</w:t>
            </w:r>
          </w:p>
        </w:tc>
        <w:tc>
          <w:tcPr>
            <w:tcW w:w="6982" w:type="dxa"/>
            <w:tcBorders>
              <w:tl2br w:val="nil"/>
              <w:tr2bl w:val="nil"/>
            </w:tcBorders>
            <w:vAlign w:val="center"/>
          </w:tcPr>
          <w:p w14:paraId="49D88E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医生查房：支持连续查房，透前参数设置，透析历史查看，医嘱录入，干体重变化曲线查看</w:t>
            </w:r>
          </w:p>
        </w:tc>
        <w:tc>
          <w:tcPr>
            <w:tcW w:w="870" w:type="dxa"/>
            <w:vMerge w:val="continue"/>
            <w:tcBorders>
              <w:tl2br w:val="nil"/>
              <w:tr2bl w:val="nil"/>
            </w:tcBorders>
            <w:noWrap/>
            <w:vAlign w:val="center"/>
          </w:tcPr>
          <w:p w14:paraId="7BF19E4F">
            <w:pPr>
              <w:spacing w:line="360" w:lineRule="auto"/>
              <w:jc w:val="center"/>
              <w:rPr>
                <w:rFonts w:hint="eastAsia" w:ascii="宋体" w:hAnsi="宋体" w:cs="宋体"/>
                <w:color w:val="auto"/>
                <w:sz w:val="21"/>
                <w:szCs w:val="21"/>
                <w:highlight w:val="none"/>
              </w:rPr>
            </w:pPr>
          </w:p>
        </w:tc>
      </w:tr>
      <w:tr w14:paraId="0B8E3F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557B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4.6.6.5</w:t>
            </w:r>
          </w:p>
        </w:tc>
        <w:tc>
          <w:tcPr>
            <w:tcW w:w="6982" w:type="dxa"/>
            <w:tcBorders>
              <w:tl2br w:val="nil"/>
              <w:tr2bl w:val="nil"/>
            </w:tcBorders>
            <w:vAlign w:val="center"/>
          </w:tcPr>
          <w:p w14:paraId="5FDD8E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透析治疗：以床头卡的方式展示患者的信息，透析过程中自动收集治疗数据</w:t>
            </w:r>
          </w:p>
        </w:tc>
        <w:tc>
          <w:tcPr>
            <w:tcW w:w="870" w:type="dxa"/>
            <w:vMerge w:val="continue"/>
            <w:tcBorders>
              <w:tl2br w:val="nil"/>
              <w:tr2bl w:val="nil"/>
            </w:tcBorders>
            <w:noWrap/>
            <w:vAlign w:val="center"/>
          </w:tcPr>
          <w:p w14:paraId="7F2670B6">
            <w:pPr>
              <w:spacing w:line="360" w:lineRule="auto"/>
              <w:jc w:val="center"/>
              <w:rPr>
                <w:rFonts w:hint="eastAsia" w:ascii="宋体" w:hAnsi="宋体" w:cs="宋体"/>
                <w:color w:val="auto"/>
                <w:sz w:val="21"/>
                <w:szCs w:val="21"/>
                <w:highlight w:val="none"/>
              </w:rPr>
            </w:pPr>
          </w:p>
        </w:tc>
      </w:tr>
      <w:tr w14:paraId="780199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26707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4.6.6.6</w:t>
            </w:r>
          </w:p>
        </w:tc>
        <w:tc>
          <w:tcPr>
            <w:tcW w:w="6982" w:type="dxa"/>
            <w:tcBorders>
              <w:tl2br w:val="nil"/>
              <w:tr2bl w:val="nil"/>
            </w:tcBorders>
            <w:vAlign w:val="center"/>
          </w:tcPr>
          <w:p w14:paraId="243E9C4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医嘱提交：支持按时间、区域、班别同步 HIS 开立的医嘱，自动生成领药单</w:t>
            </w:r>
          </w:p>
        </w:tc>
        <w:tc>
          <w:tcPr>
            <w:tcW w:w="870" w:type="dxa"/>
            <w:vMerge w:val="continue"/>
            <w:tcBorders>
              <w:tl2br w:val="nil"/>
              <w:tr2bl w:val="nil"/>
            </w:tcBorders>
            <w:noWrap/>
            <w:vAlign w:val="center"/>
          </w:tcPr>
          <w:p w14:paraId="48466CB8">
            <w:pPr>
              <w:spacing w:line="360" w:lineRule="auto"/>
              <w:jc w:val="center"/>
              <w:rPr>
                <w:rFonts w:hint="eastAsia" w:ascii="宋体" w:hAnsi="宋体" w:cs="宋体"/>
                <w:color w:val="auto"/>
                <w:sz w:val="21"/>
                <w:szCs w:val="21"/>
                <w:highlight w:val="none"/>
              </w:rPr>
            </w:pPr>
          </w:p>
        </w:tc>
      </w:tr>
      <w:tr w14:paraId="7729DA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7A20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4.6.6.7</w:t>
            </w:r>
          </w:p>
        </w:tc>
        <w:tc>
          <w:tcPr>
            <w:tcW w:w="6982" w:type="dxa"/>
            <w:tcBorders>
              <w:tl2br w:val="nil"/>
              <w:tr2bl w:val="nil"/>
            </w:tcBorders>
            <w:vAlign w:val="center"/>
          </w:tcPr>
          <w:p w14:paraId="437558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透析复核：支持透前、透中、透后信息的审核，支持自定义透前复核项目</w:t>
            </w:r>
          </w:p>
        </w:tc>
        <w:tc>
          <w:tcPr>
            <w:tcW w:w="870" w:type="dxa"/>
            <w:vMerge w:val="continue"/>
            <w:tcBorders>
              <w:tl2br w:val="nil"/>
              <w:tr2bl w:val="nil"/>
            </w:tcBorders>
            <w:noWrap/>
            <w:vAlign w:val="center"/>
          </w:tcPr>
          <w:p w14:paraId="28777F0B">
            <w:pPr>
              <w:spacing w:line="360" w:lineRule="auto"/>
              <w:jc w:val="center"/>
              <w:rPr>
                <w:rFonts w:hint="eastAsia" w:ascii="宋体" w:hAnsi="宋体" w:cs="宋体"/>
                <w:color w:val="auto"/>
                <w:sz w:val="21"/>
                <w:szCs w:val="21"/>
                <w:highlight w:val="none"/>
              </w:rPr>
            </w:pPr>
          </w:p>
        </w:tc>
      </w:tr>
      <w:tr w14:paraId="2C2BA2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5FC31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4.6.6.8</w:t>
            </w:r>
          </w:p>
        </w:tc>
        <w:tc>
          <w:tcPr>
            <w:tcW w:w="6982" w:type="dxa"/>
            <w:tcBorders>
              <w:tl2br w:val="nil"/>
              <w:tr2bl w:val="nil"/>
            </w:tcBorders>
            <w:vAlign w:val="center"/>
          </w:tcPr>
          <w:p w14:paraId="752BB0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排班病人查询化验数据：医生可查看排班患者的各项检验检查指标</w:t>
            </w:r>
          </w:p>
        </w:tc>
        <w:tc>
          <w:tcPr>
            <w:tcW w:w="870" w:type="dxa"/>
            <w:vMerge w:val="continue"/>
            <w:tcBorders>
              <w:tl2br w:val="nil"/>
              <w:tr2bl w:val="nil"/>
            </w:tcBorders>
            <w:noWrap/>
            <w:vAlign w:val="center"/>
          </w:tcPr>
          <w:p w14:paraId="21BEE197">
            <w:pPr>
              <w:spacing w:line="360" w:lineRule="auto"/>
              <w:jc w:val="center"/>
              <w:rPr>
                <w:rFonts w:hint="eastAsia" w:ascii="宋体" w:hAnsi="宋体" w:cs="宋体"/>
                <w:color w:val="auto"/>
                <w:sz w:val="21"/>
                <w:szCs w:val="21"/>
                <w:highlight w:val="none"/>
              </w:rPr>
            </w:pPr>
          </w:p>
        </w:tc>
      </w:tr>
      <w:tr w14:paraId="687ABF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1AECC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4.6.6.9</w:t>
            </w:r>
          </w:p>
        </w:tc>
        <w:tc>
          <w:tcPr>
            <w:tcW w:w="6982" w:type="dxa"/>
            <w:tcBorders>
              <w:tl2br w:val="nil"/>
              <w:tr2bl w:val="nil"/>
            </w:tcBorders>
            <w:vAlign w:val="center"/>
          </w:tcPr>
          <w:p w14:paraId="079657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自定义透析报告：透析记录单格式可自定义，支持批量打印</w:t>
            </w:r>
          </w:p>
        </w:tc>
        <w:tc>
          <w:tcPr>
            <w:tcW w:w="870" w:type="dxa"/>
            <w:vMerge w:val="continue"/>
            <w:tcBorders>
              <w:tl2br w:val="nil"/>
              <w:tr2bl w:val="nil"/>
            </w:tcBorders>
            <w:noWrap/>
            <w:vAlign w:val="center"/>
          </w:tcPr>
          <w:p w14:paraId="47F783D0">
            <w:pPr>
              <w:spacing w:line="360" w:lineRule="auto"/>
              <w:jc w:val="center"/>
              <w:rPr>
                <w:rFonts w:hint="eastAsia" w:ascii="宋体" w:hAnsi="宋体" w:cs="宋体"/>
                <w:color w:val="auto"/>
                <w:sz w:val="21"/>
                <w:szCs w:val="21"/>
                <w:highlight w:val="none"/>
              </w:rPr>
            </w:pPr>
          </w:p>
        </w:tc>
      </w:tr>
      <w:tr w14:paraId="4B3189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1337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4.6.6.10</w:t>
            </w:r>
          </w:p>
        </w:tc>
        <w:tc>
          <w:tcPr>
            <w:tcW w:w="6982" w:type="dxa"/>
            <w:tcBorders>
              <w:tl2br w:val="nil"/>
              <w:tr2bl w:val="nil"/>
            </w:tcBorders>
            <w:vAlign w:val="center"/>
          </w:tcPr>
          <w:p w14:paraId="33559E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交接班：包括交班和接班，支持一键提交生成交班记录</w:t>
            </w:r>
          </w:p>
        </w:tc>
        <w:tc>
          <w:tcPr>
            <w:tcW w:w="870" w:type="dxa"/>
            <w:vMerge w:val="continue"/>
            <w:tcBorders>
              <w:tl2br w:val="nil"/>
              <w:tr2bl w:val="nil"/>
            </w:tcBorders>
            <w:noWrap/>
            <w:vAlign w:val="center"/>
          </w:tcPr>
          <w:p w14:paraId="376A429E">
            <w:pPr>
              <w:spacing w:line="360" w:lineRule="auto"/>
              <w:jc w:val="center"/>
              <w:rPr>
                <w:rFonts w:hint="eastAsia" w:ascii="宋体" w:hAnsi="宋体" w:cs="宋体"/>
                <w:color w:val="auto"/>
                <w:sz w:val="21"/>
                <w:szCs w:val="21"/>
                <w:highlight w:val="none"/>
              </w:rPr>
            </w:pPr>
          </w:p>
        </w:tc>
      </w:tr>
      <w:tr w14:paraId="5B62885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65DB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4.6.6.11</w:t>
            </w:r>
          </w:p>
        </w:tc>
        <w:tc>
          <w:tcPr>
            <w:tcW w:w="6982" w:type="dxa"/>
            <w:tcBorders>
              <w:tl2br w:val="nil"/>
              <w:tr2bl w:val="nil"/>
            </w:tcBorders>
            <w:vAlign w:val="center"/>
          </w:tcPr>
          <w:p w14:paraId="031676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标签打印：支持透析卡片、医嘱卡片等各类标签打印功能</w:t>
            </w:r>
          </w:p>
        </w:tc>
        <w:tc>
          <w:tcPr>
            <w:tcW w:w="870" w:type="dxa"/>
            <w:vMerge w:val="continue"/>
            <w:tcBorders>
              <w:tl2br w:val="nil"/>
              <w:tr2bl w:val="nil"/>
            </w:tcBorders>
            <w:noWrap/>
            <w:vAlign w:val="center"/>
          </w:tcPr>
          <w:p w14:paraId="0A39E2ED">
            <w:pPr>
              <w:spacing w:line="360" w:lineRule="auto"/>
              <w:jc w:val="center"/>
              <w:rPr>
                <w:rFonts w:hint="eastAsia" w:ascii="宋体" w:hAnsi="宋体" w:cs="宋体"/>
                <w:color w:val="auto"/>
                <w:sz w:val="21"/>
                <w:szCs w:val="21"/>
                <w:highlight w:val="none"/>
              </w:rPr>
            </w:pPr>
          </w:p>
        </w:tc>
      </w:tr>
      <w:tr w14:paraId="11DB933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2E89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4.6.6.12</w:t>
            </w:r>
          </w:p>
        </w:tc>
        <w:tc>
          <w:tcPr>
            <w:tcW w:w="6982" w:type="dxa"/>
            <w:tcBorders>
              <w:tl2br w:val="nil"/>
              <w:tr2bl w:val="nil"/>
            </w:tcBorders>
            <w:vAlign w:val="center"/>
          </w:tcPr>
          <w:p w14:paraId="72EC06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透析单查询：支持查看患者的历次透析单，可进行批量打印</w:t>
            </w:r>
          </w:p>
        </w:tc>
        <w:tc>
          <w:tcPr>
            <w:tcW w:w="870" w:type="dxa"/>
            <w:vMerge w:val="continue"/>
            <w:tcBorders>
              <w:tl2br w:val="nil"/>
              <w:tr2bl w:val="nil"/>
            </w:tcBorders>
            <w:noWrap/>
            <w:vAlign w:val="center"/>
          </w:tcPr>
          <w:p w14:paraId="21E03188">
            <w:pPr>
              <w:spacing w:line="360" w:lineRule="auto"/>
              <w:jc w:val="center"/>
              <w:rPr>
                <w:rFonts w:hint="eastAsia" w:ascii="宋体" w:hAnsi="宋体" w:cs="宋体"/>
                <w:color w:val="auto"/>
                <w:sz w:val="21"/>
                <w:szCs w:val="21"/>
                <w:highlight w:val="none"/>
              </w:rPr>
            </w:pPr>
          </w:p>
        </w:tc>
      </w:tr>
      <w:tr w14:paraId="51AC5B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6975A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4.6.6.13</w:t>
            </w:r>
          </w:p>
        </w:tc>
        <w:tc>
          <w:tcPr>
            <w:tcW w:w="6982" w:type="dxa"/>
            <w:tcBorders>
              <w:tl2br w:val="nil"/>
              <w:tr2bl w:val="nil"/>
            </w:tcBorders>
            <w:vAlign w:val="center"/>
          </w:tcPr>
          <w:p w14:paraId="36400B5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历史痕迹追溯：系统对患者的透析处方、透析治疗单等关键业务支持历史修改痕迹追溯</w:t>
            </w:r>
          </w:p>
        </w:tc>
        <w:tc>
          <w:tcPr>
            <w:tcW w:w="870" w:type="dxa"/>
            <w:vMerge w:val="continue"/>
            <w:tcBorders>
              <w:tl2br w:val="nil"/>
              <w:tr2bl w:val="nil"/>
            </w:tcBorders>
            <w:noWrap/>
            <w:vAlign w:val="center"/>
          </w:tcPr>
          <w:p w14:paraId="6345A263">
            <w:pPr>
              <w:spacing w:line="360" w:lineRule="auto"/>
              <w:jc w:val="center"/>
              <w:rPr>
                <w:rFonts w:hint="eastAsia" w:ascii="宋体" w:hAnsi="宋体" w:cs="宋体"/>
                <w:color w:val="auto"/>
                <w:sz w:val="21"/>
                <w:szCs w:val="21"/>
                <w:highlight w:val="none"/>
              </w:rPr>
            </w:pPr>
          </w:p>
        </w:tc>
      </w:tr>
      <w:tr w14:paraId="17D496E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B615E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4.6.7</w:t>
            </w:r>
          </w:p>
        </w:tc>
        <w:tc>
          <w:tcPr>
            <w:tcW w:w="6982" w:type="dxa"/>
            <w:tcBorders>
              <w:tl2br w:val="nil"/>
              <w:tr2bl w:val="nil"/>
            </w:tcBorders>
            <w:vAlign w:val="center"/>
          </w:tcPr>
          <w:p w14:paraId="19846F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通路管理</w:t>
            </w:r>
          </w:p>
        </w:tc>
        <w:tc>
          <w:tcPr>
            <w:tcW w:w="870" w:type="dxa"/>
            <w:vMerge w:val="continue"/>
            <w:tcBorders>
              <w:tl2br w:val="nil"/>
              <w:tr2bl w:val="nil"/>
            </w:tcBorders>
            <w:noWrap/>
            <w:vAlign w:val="center"/>
          </w:tcPr>
          <w:p w14:paraId="7774069B">
            <w:pPr>
              <w:spacing w:line="360" w:lineRule="auto"/>
              <w:jc w:val="center"/>
              <w:rPr>
                <w:rFonts w:hint="eastAsia" w:ascii="宋体" w:hAnsi="宋体" w:cs="宋体"/>
                <w:color w:val="auto"/>
                <w:sz w:val="21"/>
                <w:szCs w:val="21"/>
                <w:highlight w:val="none"/>
              </w:rPr>
            </w:pPr>
          </w:p>
        </w:tc>
      </w:tr>
      <w:tr w14:paraId="3365E63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460C9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4.6.7.1</w:t>
            </w:r>
          </w:p>
        </w:tc>
        <w:tc>
          <w:tcPr>
            <w:tcW w:w="6982" w:type="dxa"/>
            <w:tcBorders>
              <w:tl2br w:val="nil"/>
              <w:tr2bl w:val="nil"/>
            </w:tcBorders>
            <w:vAlign w:val="center"/>
          </w:tcPr>
          <w:p w14:paraId="68F621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通路登记：登记记录病人的通路信息，支持多条通路并存</w:t>
            </w:r>
          </w:p>
        </w:tc>
        <w:tc>
          <w:tcPr>
            <w:tcW w:w="870" w:type="dxa"/>
            <w:vMerge w:val="continue"/>
            <w:tcBorders>
              <w:tl2br w:val="nil"/>
              <w:tr2bl w:val="nil"/>
            </w:tcBorders>
            <w:noWrap/>
            <w:vAlign w:val="center"/>
          </w:tcPr>
          <w:p w14:paraId="7639856D">
            <w:pPr>
              <w:spacing w:line="360" w:lineRule="auto"/>
              <w:jc w:val="center"/>
              <w:rPr>
                <w:rFonts w:hint="eastAsia" w:ascii="宋体" w:hAnsi="宋体" w:cs="宋体"/>
                <w:color w:val="auto"/>
                <w:sz w:val="21"/>
                <w:szCs w:val="21"/>
                <w:highlight w:val="none"/>
              </w:rPr>
            </w:pPr>
          </w:p>
        </w:tc>
      </w:tr>
      <w:tr w14:paraId="7DE3734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6868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4.6.7.2</w:t>
            </w:r>
          </w:p>
        </w:tc>
        <w:tc>
          <w:tcPr>
            <w:tcW w:w="6982" w:type="dxa"/>
            <w:tcBorders>
              <w:tl2br w:val="nil"/>
              <w:tr2bl w:val="nil"/>
            </w:tcBorders>
            <w:vAlign w:val="center"/>
          </w:tcPr>
          <w:p w14:paraId="252CFB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通路照片编辑：随访时可上传病人通路照片，支持自由编辑</w:t>
            </w:r>
          </w:p>
        </w:tc>
        <w:tc>
          <w:tcPr>
            <w:tcW w:w="870" w:type="dxa"/>
            <w:vMerge w:val="continue"/>
            <w:tcBorders>
              <w:tl2br w:val="nil"/>
              <w:tr2bl w:val="nil"/>
            </w:tcBorders>
            <w:noWrap/>
            <w:vAlign w:val="center"/>
          </w:tcPr>
          <w:p w14:paraId="754311DF">
            <w:pPr>
              <w:spacing w:line="360" w:lineRule="auto"/>
              <w:jc w:val="center"/>
              <w:rPr>
                <w:rFonts w:hint="eastAsia" w:ascii="宋体" w:hAnsi="宋体" w:cs="宋体"/>
                <w:color w:val="auto"/>
                <w:sz w:val="21"/>
                <w:szCs w:val="21"/>
                <w:highlight w:val="none"/>
              </w:rPr>
            </w:pPr>
          </w:p>
        </w:tc>
      </w:tr>
      <w:tr w14:paraId="1F829B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3C099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4.6.7.3</w:t>
            </w:r>
          </w:p>
        </w:tc>
        <w:tc>
          <w:tcPr>
            <w:tcW w:w="6982" w:type="dxa"/>
            <w:tcBorders>
              <w:tl2br w:val="nil"/>
              <w:tr2bl w:val="nil"/>
            </w:tcBorders>
            <w:vAlign w:val="center"/>
          </w:tcPr>
          <w:p w14:paraId="1AE9CCC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通路事件：通路事件支持通路照片上传和实时拍照功能</w:t>
            </w:r>
          </w:p>
        </w:tc>
        <w:tc>
          <w:tcPr>
            <w:tcW w:w="870" w:type="dxa"/>
            <w:vMerge w:val="continue"/>
            <w:tcBorders>
              <w:tl2br w:val="nil"/>
              <w:tr2bl w:val="nil"/>
            </w:tcBorders>
            <w:noWrap/>
            <w:vAlign w:val="center"/>
          </w:tcPr>
          <w:p w14:paraId="0CEA5F34">
            <w:pPr>
              <w:spacing w:line="360" w:lineRule="auto"/>
              <w:jc w:val="center"/>
              <w:rPr>
                <w:rFonts w:hint="eastAsia" w:ascii="宋体" w:hAnsi="宋体" w:cs="宋体"/>
                <w:color w:val="auto"/>
                <w:sz w:val="21"/>
                <w:szCs w:val="21"/>
                <w:highlight w:val="none"/>
              </w:rPr>
            </w:pPr>
          </w:p>
        </w:tc>
      </w:tr>
      <w:tr w14:paraId="4437EB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E4A9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4.6.7.4</w:t>
            </w:r>
          </w:p>
        </w:tc>
        <w:tc>
          <w:tcPr>
            <w:tcW w:w="6982" w:type="dxa"/>
            <w:tcBorders>
              <w:tl2br w:val="nil"/>
              <w:tr2bl w:val="nil"/>
            </w:tcBorders>
            <w:vAlign w:val="center"/>
          </w:tcPr>
          <w:p w14:paraId="393B612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通路评估：包括 CVC、PICC 维护核查表、内瘘血管评估等</w:t>
            </w:r>
          </w:p>
        </w:tc>
        <w:tc>
          <w:tcPr>
            <w:tcW w:w="870" w:type="dxa"/>
            <w:vMerge w:val="continue"/>
            <w:tcBorders>
              <w:tl2br w:val="nil"/>
              <w:tr2bl w:val="nil"/>
            </w:tcBorders>
            <w:noWrap/>
            <w:vAlign w:val="center"/>
          </w:tcPr>
          <w:p w14:paraId="32E50465">
            <w:pPr>
              <w:spacing w:line="360" w:lineRule="auto"/>
              <w:jc w:val="center"/>
              <w:rPr>
                <w:rFonts w:hint="eastAsia" w:ascii="宋体" w:hAnsi="宋体" w:cs="宋体"/>
                <w:color w:val="auto"/>
                <w:sz w:val="21"/>
                <w:szCs w:val="21"/>
                <w:highlight w:val="none"/>
              </w:rPr>
            </w:pPr>
          </w:p>
        </w:tc>
      </w:tr>
      <w:tr w14:paraId="2F7C76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EADF2F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4.6.8</w:t>
            </w:r>
          </w:p>
        </w:tc>
        <w:tc>
          <w:tcPr>
            <w:tcW w:w="6982" w:type="dxa"/>
            <w:tcBorders>
              <w:tl2br w:val="nil"/>
              <w:tr2bl w:val="nil"/>
            </w:tcBorders>
            <w:vAlign w:val="center"/>
          </w:tcPr>
          <w:p w14:paraId="084458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评估管理</w:t>
            </w:r>
          </w:p>
        </w:tc>
        <w:tc>
          <w:tcPr>
            <w:tcW w:w="870" w:type="dxa"/>
            <w:vMerge w:val="continue"/>
            <w:tcBorders>
              <w:tl2br w:val="nil"/>
              <w:tr2bl w:val="nil"/>
            </w:tcBorders>
            <w:noWrap/>
            <w:vAlign w:val="center"/>
          </w:tcPr>
          <w:p w14:paraId="1D3CD520">
            <w:pPr>
              <w:spacing w:line="360" w:lineRule="auto"/>
              <w:jc w:val="center"/>
              <w:rPr>
                <w:rFonts w:hint="eastAsia" w:ascii="宋体" w:hAnsi="宋体" w:cs="宋体"/>
                <w:color w:val="auto"/>
                <w:sz w:val="21"/>
                <w:szCs w:val="21"/>
                <w:highlight w:val="none"/>
              </w:rPr>
            </w:pPr>
          </w:p>
        </w:tc>
      </w:tr>
      <w:tr w14:paraId="4CF407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71BF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4.6.8.1</w:t>
            </w:r>
          </w:p>
        </w:tc>
        <w:tc>
          <w:tcPr>
            <w:tcW w:w="6982" w:type="dxa"/>
            <w:tcBorders>
              <w:tl2br w:val="nil"/>
              <w:tr2bl w:val="nil"/>
            </w:tcBorders>
            <w:vAlign w:val="center"/>
          </w:tcPr>
          <w:p w14:paraId="407DB5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前评估、护理评估、内瘘闭塞评估、跌倒坠床评估、压疮评估、疼痛评估、导管护理评估、营养评估、健康宣教评估、营养风险评估、艾森克评估、症状自评量表、生活质量评估、握力评估、生物阻抗评估、内瘘血管评估</w:t>
            </w:r>
          </w:p>
        </w:tc>
        <w:tc>
          <w:tcPr>
            <w:tcW w:w="870" w:type="dxa"/>
            <w:vMerge w:val="continue"/>
            <w:tcBorders>
              <w:tl2br w:val="nil"/>
              <w:tr2bl w:val="nil"/>
            </w:tcBorders>
            <w:noWrap/>
            <w:vAlign w:val="center"/>
          </w:tcPr>
          <w:p w14:paraId="2DBDD24C">
            <w:pPr>
              <w:spacing w:line="360" w:lineRule="auto"/>
              <w:jc w:val="center"/>
              <w:rPr>
                <w:rFonts w:hint="eastAsia" w:ascii="宋体" w:hAnsi="宋体" w:cs="宋体"/>
                <w:color w:val="auto"/>
                <w:sz w:val="21"/>
                <w:szCs w:val="21"/>
                <w:highlight w:val="none"/>
              </w:rPr>
            </w:pPr>
          </w:p>
        </w:tc>
      </w:tr>
      <w:tr w14:paraId="7220E5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6355F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4.6.8.2</w:t>
            </w:r>
          </w:p>
        </w:tc>
        <w:tc>
          <w:tcPr>
            <w:tcW w:w="6982" w:type="dxa"/>
            <w:tcBorders>
              <w:tl2br w:val="nil"/>
              <w:tr2bl w:val="nil"/>
            </w:tcBorders>
            <w:vAlign w:val="center"/>
          </w:tcPr>
          <w:p w14:paraId="423CC2C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健康宣教：提供宣教资料库，支持自定义维护宣教资料内容</w:t>
            </w:r>
          </w:p>
        </w:tc>
        <w:tc>
          <w:tcPr>
            <w:tcW w:w="870" w:type="dxa"/>
            <w:vMerge w:val="continue"/>
            <w:tcBorders>
              <w:tl2br w:val="nil"/>
              <w:tr2bl w:val="nil"/>
            </w:tcBorders>
            <w:noWrap/>
            <w:vAlign w:val="center"/>
          </w:tcPr>
          <w:p w14:paraId="7915C6FB">
            <w:pPr>
              <w:spacing w:line="360" w:lineRule="auto"/>
              <w:jc w:val="center"/>
              <w:rPr>
                <w:rFonts w:hint="eastAsia" w:ascii="宋体" w:hAnsi="宋体" w:cs="宋体"/>
                <w:color w:val="auto"/>
                <w:sz w:val="21"/>
                <w:szCs w:val="21"/>
                <w:highlight w:val="none"/>
              </w:rPr>
            </w:pPr>
          </w:p>
        </w:tc>
      </w:tr>
      <w:tr w14:paraId="3E1A0AD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8B482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4.6.9</w:t>
            </w:r>
          </w:p>
        </w:tc>
        <w:tc>
          <w:tcPr>
            <w:tcW w:w="6982" w:type="dxa"/>
            <w:tcBorders>
              <w:tl2br w:val="nil"/>
              <w:tr2bl w:val="nil"/>
            </w:tcBorders>
            <w:vAlign w:val="center"/>
          </w:tcPr>
          <w:p w14:paraId="333628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感控管理</w:t>
            </w:r>
          </w:p>
        </w:tc>
        <w:tc>
          <w:tcPr>
            <w:tcW w:w="870" w:type="dxa"/>
            <w:vMerge w:val="continue"/>
            <w:tcBorders>
              <w:tl2br w:val="nil"/>
              <w:tr2bl w:val="nil"/>
            </w:tcBorders>
            <w:noWrap/>
            <w:vAlign w:val="center"/>
          </w:tcPr>
          <w:p w14:paraId="23ACF651">
            <w:pPr>
              <w:spacing w:line="360" w:lineRule="auto"/>
              <w:jc w:val="center"/>
              <w:rPr>
                <w:rFonts w:hint="eastAsia" w:ascii="宋体" w:hAnsi="宋体" w:cs="宋体"/>
                <w:color w:val="auto"/>
                <w:sz w:val="21"/>
                <w:szCs w:val="21"/>
                <w:highlight w:val="none"/>
              </w:rPr>
            </w:pPr>
          </w:p>
        </w:tc>
      </w:tr>
      <w:tr w14:paraId="49B5D4F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BFE2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4.6.9.1</w:t>
            </w:r>
          </w:p>
        </w:tc>
        <w:tc>
          <w:tcPr>
            <w:tcW w:w="6982" w:type="dxa"/>
            <w:tcBorders>
              <w:tl2br w:val="nil"/>
              <w:tr2bl w:val="nil"/>
            </w:tcBorders>
            <w:vAlign w:val="center"/>
          </w:tcPr>
          <w:p w14:paraId="2CFC8C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感控管理：根据 SOP 要求对感染类指标进行管理，对新入科血液透析患者提供血源性传染病检验报告</w:t>
            </w:r>
          </w:p>
        </w:tc>
        <w:tc>
          <w:tcPr>
            <w:tcW w:w="870" w:type="dxa"/>
            <w:vMerge w:val="continue"/>
            <w:tcBorders>
              <w:tl2br w:val="nil"/>
              <w:tr2bl w:val="nil"/>
            </w:tcBorders>
            <w:noWrap/>
            <w:vAlign w:val="center"/>
          </w:tcPr>
          <w:p w14:paraId="39133BD4">
            <w:pPr>
              <w:spacing w:line="360" w:lineRule="auto"/>
              <w:jc w:val="center"/>
              <w:rPr>
                <w:rFonts w:hint="eastAsia" w:ascii="宋体" w:hAnsi="宋体" w:cs="宋体"/>
                <w:color w:val="auto"/>
                <w:sz w:val="21"/>
                <w:szCs w:val="21"/>
                <w:highlight w:val="none"/>
              </w:rPr>
            </w:pPr>
          </w:p>
        </w:tc>
      </w:tr>
      <w:tr w14:paraId="0EC2DD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5C188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4.6.9.2</w:t>
            </w:r>
          </w:p>
        </w:tc>
        <w:tc>
          <w:tcPr>
            <w:tcW w:w="6982" w:type="dxa"/>
            <w:tcBorders>
              <w:tl2br w:val="nil"/>
              <w:tr2bl w:val="nil"/>
            </w:tcBorders>
            <w:vAlign w:val="center"/>
          </w:tcPr>
          <w:p w14:paraId="1E4763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感控提醒功能：对于超过 6 个月未完成血源性传染病标志物检验的患者进行提醒</w:t>
            </w:r>
          </w:p>
        </w:tc>
        <w:tc>
          <w:tcPr>
            <w:tcW w:w="870" w:type="dxa"/>
            <w:vMerge w:val="continue"/>
            <w:tcBorders>
              <w:tl2br w:val="nil"/>
              <w:tr2bl w:val="nil"/>
            </w:tcBorders>
            <w:noWrap/>
            <w:vAlign w:val="center"/>
          </w:tcPr>
          <w:p w14:paraId="429522AE">
            <w:pPr>
              <w:spacing w:line="360" w:lineRule="auto"/>
              <w:jc w:val="center"/>
              <w:rPr>
                <w:rFonts w:hint="eastAsia" w:ascii="宋体" w:hAnsi="宋体" w:cs="宋体"/>
                <w:color w:val="auto"/>
                <w:sz w:val="21"/>
                <w:szCs w:val="21"/>
                <w:highlight w:val="none"/>
              </w:rPr>
            </w:pPr>
          </w:p>
        </w:tc>
      </w:tr>
      <w:tr w14:paraId="7A12184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8A18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4.6.9.3</w:t>
            </w:r>
          </w:p>
        </w:tc>
        <w:tc>
          <w:tcPr>
            <w:tcW w:w="6982" w:type="dxa"/>
            <w:tcBorders>
              <w:tl2br w:val="nil"/>
              <w:tr2bl w:val="nil"/>
            </w:tcBorders>
            <w:vAlign w:val="center"/>
          </w:tcPr>
          <w:p w14:paraId="6F802D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感控统计：提供感染类指标的管理，统计检验完成率</w:t>
            </w:r>
          </w:p>
        </w:tc>
        <w:tc>
          <w:tcPr>
            <w:tcW w:w="870" w:type="dxa"/>
            <w:vMerge w:val="continue"/>
            <w:tcBorders>
              <w:tl2br w:val="nil"/>
              <w:tr2bl w:val="nil"/>
            </w:tcBorders>
            <w:noWrap/>
            <w:vAlign w:val="center"/>
          </w:tcPr>
          <w:p w14:paraId="79A0B59D">
            <w:pPr>
              <w:spacing w:line="360" w:lineRule="auto"/>
              <w:jc w:val="center"/>
              <w:rPr>
                <w:rFonts w:hint="eastAsia" w:ascii="宋体" w:hAnsi="宋体" w:cs="宋体"/>
                <w:color w:val="auto"/>
                <w:sz w:val="21"/>
                <w:szCs w:val="21"/>
                <w:highlight w:val="none"/>
              </w:rPr>
            </w:pPr>
          </w:p>
        </w:tc>
      </w:tr>
      <w:tr w14:paraId="20BDF2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5CC6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w:t>
            </w:r>
          </w:p>
        </w:tc>
        <w:tc>
          <w:tcPr>
            <w:tcW w:w="6982" w:type="dxa"/>
            <w:tcBorders>
              <w:tl2br w:val="nil"/>
              <w:tr2bl w:val="nil"/>
            </w:tcBorders>
            <w:vAlign w:val="center"/>
          </w:tcPr>
          <w:p w14:paraId="146447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统计分析</w:t>
            </w:r>
          </w:p>
        </w:tc>
        <w:tc>
          <w:tcPr>
            <w:tcW w:w="870" w:type="dxa"/>
            <w:vMerge w:val="continue"/>
            <w:tcBorders>
              <w:tl2br w:val="nil"/>
              <w:tr2bl w:val="nil"/>
            </w:tcBorders>
            <w:noWrap/>
            <w:vAlign w:val="center"/>
          </w:tcPr>
          <w:p w14:paraId="0273DBA1">
            <w:pPr>
              <w:spacing w:line="360" w:lineRule="auto"/>
              <w:jc w:val="center"/>
              <w:rPr>
                <w:rFonts w:hint="eastAsia" w:ascii="宋体" w:hAnsi="宋体" w:cs="宋体"/>
                <w:color w:val="auto"/>
                <w:sz w:val="21"/>
                <w:szCs w:val="21"/>
                <w:highlight w:val="none"/>
              </w:rPr>
            </w:pPr>
          </w:p>
        </w:tc>
      </w:tr>
      <w:tr w14:paraId="3458342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1764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4.6.10.1</w:t>
            </w:r>
          </w:p>
        </w:tc>
        <w:tc>
          <w:tcPr>
            <w:tcW w:w="6982" w:type="dxa"/>
            <w:tcBorders>
              <w:tl2br w:val="nil"/>
              <w:tr2bl w:val="nil"/>
            </w:tcBorders>
            <w:vAlign w:val="center"/>
          </w:tcPr>
          <w:p w14:paraId="321D6E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自定义查询与统计：具有自定义学术分析功能，支持导出下载查询结果</w:t>
            </w:r>
          </w:p>
        </w:tc>
        <w:tc>
          <w:tcPr>
            <w:tcW w:w="870" w:type="dxa"/>
            <w:vMerge w:val="continue"/>
            <w:tcBorders>
              <w:tl2br w:val="nil"/>
              <w:tr2bl w:val="nil"/>
            </w:tcBorders>
            <w:noWrap/>
            <w:vAlign w:val="center"/>
          </w:tcPr>
          <w:p w14:paraId="096134FA">
            <w:pPr>
              <w:spacing w:line="360" w:lineRule="auto"/>
              <w:jc w:val="center"/>
              <w:rPr>
                <w:rFonts w:hint="eastAsia" w:ascii="宋体" w:hAnsi="宋体" w:cs="宋体"/>
                <w:color w:val="auto"/>
                <w:sz w:val="21"/>
                <w:szCs w:val="21"/>
                <w:highlight w:val="none"/>
              </w:rPr>
            </w:pPr>
          </w:p>
        </w:tc>
      </w:tr>
      <w:tr w14:paraId="2C275A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4C75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4.6.10.2</w:t>
            </w:r>
          </w:p>
        </w:tc>
        <w:tc>
          <w:tcPr>
            <w:tcW w:w="6982" w:type="dxa"/>
            <w:tcBorders>
              <w:tl2br w:val="nil"/>
              <w:tr2bl w:val="nil"/>
            </w:tcBorders>
            <w:vAlign w:val="center"/>
          </w:tcPr>
          <w:p w14:paraId="35C9EA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患者分析：包括所有患者的基础数据统计，支持按自定义条件过滤</w:t>
            </w:r>
          </w:p>
        </w:tc>
        <w:tc>
          <w:tcPr>
            <w:tcW w:w="870" w:type="dxa"/>
            <w:vMerge w:val="continue"/>
            <w:tcBorders>
              <w:tl2br w:val="nil"/>
              <w:tr2bl w:val="nil"/>
            </w:tcBorders>
            <w:noWrap/>
            <w:vAlign w:val="center"/>
          </w:tcPr>
          <w:p w14:paraId="5745FD9A">
            <w:pPr>
              <w:spacing w:line="360" w:lineRule="auto"/>
              <w:jc w:val="center"/>
              <w:rPr>
                <w:rFonts w:hint="eastAsia" w:ascii="宋体" w:hAnsi="宋体" w:cs="宋体"/>
                <w:color w:val="auto"/>
                <w:sz w:val="21"/>
                <w:szCs w:val="21"/>
                <w:highlight w:val="none"/>
              </w:rPr>
            </w:pPr>
          </w:p>
        </w:tc>
      </w:tr>
      <w:tr w14:paraId="176C93B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3778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4.6.10.3</w:t>
            </w:r>
          </w:p>
        </w:tc>
        <w:tc>
          <w:tcPr>
            <w:tcW w:w="6982" w:type="dxa"/>
            <w:tcBorders>
              <w:tl2br w:val="nil"/>
              <w:tr2bl w:val="nil"/>
            </w:tcBorders>
            <w:vAlign w:val="center"/>
          </w:tcPr>
          <w:p w14:paraId="372F63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透析统计：对科室的透析情况进行统计，为医护人员提供数据支持</w:t>
            </w:r>
          </w:p>
        </w:tc>
        <w:tc>
          <w:tcPr>
            <w:tcW w:w="870" w:type="dxa"/>
            <w:vMerge w:val="continue"/>
            <w:tcBorders>
              <w:tl2br w:val="nil"/>
              <w:tr2bl w:val="nil"/>
            </w:tcBorders>
            <w:noWrap/>
            <w:vAlign w:val="center"/>
          </w:tcPr>
          <w:p w14:paraId="6D92961D">
            <w:pPr>
              <w:spacing w:line="360" w:lineRule="auto"/>
              <w:jc w:val="center"/>
              <w:rPr>
                <w:rFonts w:hint="eastAsia" w:ascii="宋体" w:hAnsi="宋体" w:cs="宋体"/>
                <w:color w:val="auto"/>
                <w:sz w:val="21"/>
                <w:szCs w:val="21"/>
                <w:highlight w:val="none"/>
              </w:rPr>
            </w:pPr>
          </w:p>
        </w:tc>
      </w:tr>
      <w:tr w14:paraId="2AED25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C4391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4.6.10.4</w:t>
            </w:r>
          </w:p>
        </w:tc>
        <w:tc>
          <w:tcPr>
            <w:tcW w:w="6982" w:type="dxa"/>
            <w:tcBorders>
              <w:tl2br w:val="nil"/>
              <w:tr2bl w:val="nil"/>
            </w:tcBorders>
            <w:vAlign w:val="center"/>
          </w:tcPr>
          <w:p w14:paraId="188CEB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工作量统计：对科室工作量进行统计分析，包括护士工作量统计、手术统计、消毒统计等</w:t>
            </w:r>
          </w:p>
        </w:tc>
        <w:tc>
          <w:tcPr>
            <w:tcW w:w="870" w:type="dxa"/>
            <w:vMerge w:val="continue"/>
            <w:tcBorders>
              <w:tl2br w:val="nil"/>
              <w:tr2bl w:val="nil"/>
            </w:tcBorders>
            <w:noWrap/>
            <w:vAlign w:val="center"/>
          </w:tcPr>
          <w:p w14:paraId="6F7B6058">
            <w:pPr>
              <w:spacing w:line="360" w:lineRule="auto"/>
              <w:jc w:val="center"/>
              <w:rPr>
                <w:rFonts w:hint="eastAsia" w:ascii="宋体" w:hAnsi="宋体" w:cs="宋体"/>
                <w:color w:val="auto"/>
                <w:sz w:val="21"/>
                <w:szCs w:val="21"/>
                <w:highlight w:val="none"/>
              </w:rPr>
            </w:pPr>
          </w:p>
        </w:tc>
      </w:tr>
      <w:tr w14:paraId="75AF32B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E1E8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4.6.10.5</w:t>
            </w:r>
          </w:p>
        </w:tc>
        <w:tc>
          <w:tcPr>
            <w:tcW w:w="6982" w:type="dxa"/>
            <w:tcBorders>
              <w:tl2br w:val="nil"/>
              <w:tr2bl w:val="nil"/>
            </w:tcBorders>
            <w:vAlign w:val="center"/>
          </w:tcPr>
          <w:p w14:paraId="313A41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质控报表：提供高度自由定义的质控报表，支持自定义统计周期、数据择取统计方式、检验关键指标选择、检验项目归并、项目自定义区间设置、数据下钻查看明细功能</w:t>
            </w:r>
          </w:p>
        </w:tc>
        <w:tc>
          <w:tcPr>
            <w:tcW w:w="870" w:type="dxa"/>
            <w:vMerge w:val="continue"/>
            <w:tcBorders>
              <w:tl2br w:val="nil"/>
              <w:tr2bl w:val="nil"/>
            </w:tcBorders>
            <w:noWrap/>
            <w:vAlign w:val="center"/>
          </w:tcPr>
          <w:p w14:paraId="3CA33894">
            <w:pPr>
              <w:spacing w:line="360" w:lineRule="auto"/>
              <w:jc w:val="center"/>
              <w:rPr>
                <w:rFonts w:hint="eastAsia" w:ascii="宋体" w:hAnsi="宋体" w:cs="宋体"/>
                <w:color w:val="auto"/>
                <w:sz w:val="21"/>
                <w:szCs w:val="21"/>
                <w:highlight w:val="none"/>
              </w:rPr>
            </w:pPr>
          </w:p>
        </w:tc>
      </w:tr>
      <w:tr w14:paraId="34B39C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7307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4.6.11</w:t>
            </w:r>
          </w:p>
        </w:tc>
        <w:tc>
          <w:tcPr>
            <w:tcW w:w="6982" w:type="dxa"/>
            <w:tcBorders>
              <w:tl2br w:val="nil"/>
              <w:tr2bl w:val="nil"/>
            </w:tcBorders>
            <w:vAlign w:val="center"/>
          </w:tcPr>
          <w:p w14:paraId="5804F7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科室管理</w:t>
            </w:r>
          </w:p>
        </w:tc>
        <w:tc>
          <w:tcPr>
            <w:tcW w:w="870" w:type="dxa"/>
            <w:vMerge w:val="continue"/>
            <w:tcBorders>
              <w:tl2br w:val="nil"/>
              <w:tr2bl w:val="nil"/>
            </w:tcBorders>
            <w:noWrap/>
            <w:vAlign w:val="center"/>
          </w:tcPr>
          <w:p w14:paraId="2145E124">
            <w:pPr>
              <w:spacing w:line="360" w:lineRule="auto"/>
              <w:jc w:val="center"/>
              <w:rPr>
                <w:rFonts w:hint="eastAsia" w:ascii="宋体" w:hAnsi="宋体" w:cs="宋体"/>
                <w:color w:val="auto"/>
                <w:sz w:val="21"/>
                <w:szCs w:val="21"/>
                <w:highlight w:val="none"/>
              </w:rPr>
            </w:pPr>
          </w:p>
        </w:tc>
      </w:tr>
      <w:tr w14:paraId="397929A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9D3C1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4.6.11.1</w:t>
            </w:r>
          </w:p>
        </w:tc>
        <w:tc>
          <w:tcPr>
            <w:tcW w:w="6982" w:type="dxa"/>
            <w:tcBorders>
              <w:tl2br w:val="nil"/>
              <w:tr2bl w:val="nil"/>
            </w:tcBorders>
            <w:vAlign w:val="center"/>
          </w:tcPr>
          <w:p w14:paraId="30A0A6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医生排班、护士排班、科室员工、业务登记、规章制度</w:t>
            </w:r>
          </w:p>
        </w:tc>
        <w:tc>
          <w:tcPr>
            <w:tcW w:w="870" w:type="dxa"/>
            <w:vMerge w:val="continue"/>
            <w:tcBorders>
              <w:tl2br w:val="nil"/>
              <w:tr2bl w:val="nil"/>
            </w:tcBorders>
            <w:noWrap/>
            <w:vAlign w:val="center"/>
          </w:tcPr>
          <w:p w14:paraId="3C89F32F">
            <w:pPr>
              <w:spacing w:line="360" w:lineRule="auto"/>
              <w:jc w:val="center"/>
              <w:rPr>
                <w:rFonts w:hint="eastAsia" w:ascii="宋体" w:hAnsi="宋体" w:cs="宋体"/>
                <w:color w:val="auto"/>
                <w:sz w:val="21"/>
                <w:szCs w:val="21"/>
                <w:highlight w:val="none"/>
              </w:rPr>
            </w:pPr>
          </w:p>
        </w:tc>
      </w:tr>
      <w:tr w14:paraId="35EDD5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6E13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4.6.12</w:t>
            </w:r>
          </w:p>
        </w:tc>
        <w:tc>
          <w:tcPr>
            <w:tcW w:w="6982" w:type="dxa"/>
            <w:tcBorders>
              <w:tl2br w:val="nil"/>
              <w:tr2bl w:val="nil"/>
            </w:tcBorders>
            <w:vAlign w:val="center"/>
          </w:tcPr>
          <w:p w14:paraId="0B6CFD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院外管理</w:t>
            </w:r>
          </w:p>
        </w:tc>
        <w:tc>
          <w:tcPr>
            <w:tcW w:w="870" w:type="dxa"/>
            <w:vMerge w:val="continue"/>
            <w:tcBorders>
              <w:tl2br w:val="nil"/>
              <w:tr2bl w:val="nil"/>
            </w:tcBorders>
            <w:noWrap/>
            <w:vAlign w:val="center"/>
          </w:tcPr>
          <w:p w14:paraId="2B137F20">
            <w:pPr>
              <w:spacing w:line="360" w:lineRule="auto"/>
              <w:jc w:val="center"/>
              <w:rPr>
                <w:rFonts w:hint="eastAsia" w:ascii="宋体" w:hAnsi="宋体" w:cs="宋体"/>
                <w:color w:val="auto"/>
                <w:sz w:val="21"/>
                <w:szCs w:val="21"/>
                <w:highlight w:val="none"/>
              </w:rPr>
            </w:pPr>
          </w:p>
        </w:tc>
      </w:tr>
      <w:tr w14:paraId="6D50F4D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B7F9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4.6.12.1</w:t>
            </w:r>
          </w:p>
        </w:tc>
        <w:tc>
          <w:tcPr>
            <w:tcW w:w="6982" w:type="dxa"/>
            <w:tcBorders>
              <w:tl2br w:val="nil"/>
              <w:tr2bl w:val="nil"/>
            </w:tcBorders>
            <w:vAlign w:val="center"/>
          </w:tcPr>
          <w:p w14:paraId="6FFA3BE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考核管理：可考患者、医护，自定义考试试卷，支持 APP 小程序推送</w:t>
            </w:r>
          </w:p>
        </w:tc>
        <w:tc>
          <w:tcPr>
            <w:tcW w:w="870" w:type="dxa"/>
            <w:vMerge w:val="continue"/>
            <w:tcBorders>
              <w:tl2br w:val="nil"/>
              <w:tr2bl w:val="nil"/>
            </w:tcBorders>
            <w:noWrap/>
            <w:vAlign w:val="center"/>
          </w:tcPr>
          <w:p w14:paraId="3CA31D7C">
            <w:pPr>
              <w:spacing w:line="360" w:lineRule="auto"/>
              <w:jc w:val="center"/>
              <w:rPr>
                <w:rFonts w:hint="eastAsia" w:ascii="宋体" w:hAnsi="宋体" w:cs="宋体"/>
                <w:color w:val="auto"/>
                <w:sz w:val="21"/>
                <w:szCs w:val="21"/>
                <w:highlight w:val="none"/>
              </w:rPr>
            </w:pPr>
          </w:p>
        </w:tc>
      </w:tr>
      <w:tr w14:paraId="5F3C46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E2C1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4.6.12.2</w:t>
            </w:r>
          </w:p>
        </w:tc>
        <w:tc>
          <w:tcPr>
            <w:tcW w:w="6982" w:type="dxa"/>
            <w:tcBorders>
              <w:tl2br w:val="nil"/>
              <w:tr2bl w:val="nil"/>
            </w:tcBorders>
            <w:vAlign w:val="center"/>
          </w:tcPr>
          <w:p w14:paraId="2D0407A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通知管理：发布通知，可选择发送给所有患者或者指定患者</w:t>
            </w:r>
          </w:p>
        </w:tc>
        <w:tc>
          <w:tcPr>
            <w:tcW w:w="870" w:type="dxa"/>
            <w:vMerge w:val="continue"/>
            <w:tcBorders>
              <w:tl2br w:val="nil"/>
              <w:tr2bl w:val="nil"/>
            </w:tcBorders>
            <w:noWrap/>
            <w:vAlign w:val="center"/>
          </w:tcPr>
          <w:p w14:paraId="12DB7741">
            <w:pPr>
              <w:spacing w:line="360" w:lineRule="auto"/>
              <w:jc w:val="center"/>
              <w:rPr>
                <w:rFonts w:hint="eastAsia" w:ascii="宋体" w:hAnsi="宋体" w:cs="宋体"/>
                <w:color w:val="auto"/>
                <w:sz w:val="21"/>
                <w:szCs w:val="21"/>
                <w:highlight w:val="none"/>
              </w:rPr>
            </w:pPr>
          </w:p>
        </w:tc>
      </w:tr>
      <w:tr w14:paraId="1B732B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FFAC1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4.6.12.3</w:t>
            </w:r>
          </w:p>
        </w:tc>
        <w:tc>
          <w:tcPr>
            <w:tcW w:w="6982" w:type="dxa"/>
            <w:tcBorders>
              <w:tl2br w:val="nil"/>
              <w:tr2bl w:val="nil"/>
            </w:tcBorders>
            <w:vAlign w:val="center"/>
          </w:tcPr>
          <w:p w14:paraId="39368D7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居家信息：查看患者居家录入的各种信息，包括血压、尿量、体温等</w:t>
            </w:r>
          </w:p>
        </w:tc>
        <w:tc>
          <w:tcPr>
            <w:tcW w:w="870" w:type="dxa"/>
            <w:vMerge w:val="continue"/>
            <w:tcBorders>
              <w:tl2br w:val="nil"/>
              <w:tr2bl w:val="nil"/>
            </w:tcBorders>
            <w:noWrap/>
            <w:vAlign w:val="center"/>
          </w:tcPr>
          <w:p w14:paraId="4BEDA359">
            <w:pPr>
              <w:spacing w:line="360" w:lineRule="auto"/>
              <w:jc w:val="center"/>
              <w:rPr>
                <w:rFonts w:hint="eastAsia" w:ascii="宋体" w:hAnsi="宋体" w:cs="宋体"/>
                <w:color w:val="auto"/>
                <w:sz w:val="21"/>
                <w:szCs w:val="21"/>
                <w:highlight w:val="none"/>
              </w:rPr>
            </w:pPr>
          </w:p>
        </w:tc>
      </w:tr>
      <w:tr w14:paraId="7279A5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388A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4.6.12.4</w:t>
            </w:r>
          </w:p>
        </w:tc>
        <w:tc>
          <w:tcPr>
            <w:tcW w:w="6982" w:type="dxa"/>
            <w:tcBorders>
              <w:tl2br w:val="nil"/>
              <w:tr2bl w:val="nil"/>
            </w:tcBorders>
            <w:vAlign w:val="center"/>
          </w:tcPr>
          <w:p w14:paraId="393D67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医患互动：查看医患互动的信息</w:t>
            </w:r>
          </w:p>
        </w:tc>
        <w:tc>
          <w:tcPr>
            <w:tcW w:w="870" w:type="dxa"/>
            <w:vMerge w:val="continue"/>
            <w:tcBorders>
              <w:tl2br w:val="nil"/>
              <w:tr2bl w:val="nil"/>
            </w:tcBorders>
            <w:noWrap/>
            <w:vAlign w:val="center"/>
          </w:tcPr>
          <w:p w14:paraId="43FE2B1B">
            <w:pPr>
              <w:spacing w:line="360" w:lineRule="auto"/>
              <w:jc w:val="center"/>
              <w:rPr>
                <w:rFonts w:hint="eastAsia" w:ascii="宋体" w:hAnsi="宋体" w:cs="宋体"/>
                <w:color w:val="auto"/>
                <w:sz w:val="21"/>
                <w:szCs w:val="21"/>
                <w:highlight w:val="none"/>
              </w:rPr>
            </w:pPr>
          </w:p>
        </w:tc>
      </w:tr>
      <w:tr w14:paraId="68545F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5635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4.6.13</w:t>
            </w:r>
          </w:p>
        </w:tc>
        <w:tc>
          <w:tcPr>
            <w:tcW w:w="6982" w:type="dxa"/>
            <w:tcBorders>
              <w:tl2br w:val="nil"/>
              <w:tr2bl w:val="nil"/>
            </w:tcBorders>
            <w:vAlign w:val="center"/>
          </w:tcPr>
          <w:p w14:paraId="57374B2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系统管理</w:t>
            </w:r>
          </w:p>
        </w:tc>
        <w:tc>
          <w:tcPr>
            <w:tcW w:w="870" w:type="dxa"/>
            <w:vMerge w:val="continue"/>
            <w:tcBorders>
              <w:tl2br w:val="nil"/>
              <w:tr2bl w:val="nil"/>
            </w:tcBorders>
            <w:noWrap/>
            <w:vAlign w:val="center"/>
          </w:tcPr>
          <w:p w14:paraId="15ED9165">
            <w:pPr>
              <w:spacing w:line="360" w:lineRule="auto"/>
              <w:jc w:val="center"/>
              <w:rPr>
                <w:rFonts w:hint="eastAsia" w:ascii="宋体" w:hAnsi="宋体" w:cs="宋体"/>
                <w:color w:val="auto"/>
                <w:sz w:val="21"/>
                <w:szCs w:val="21"/>
                <w:highlight w:val="none"/>
              </w:rPr>
            </w:pPr>
          </w:p>
        </w:tc>
      </w:tr>
      <w:tr w14:paraId="74829D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1B570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4.6.13.1</w:t>
            </w:r>
          </w:p>
        </w:tc>
        <w:tc>
          <w:tcPr>
            <w:tcW w:w="6982" w:type="dxa"/>
            <w:tcBorders>
              <w:tl2br w:val="nil"/>
              <w:tr2bl w:val="nil"/>
            </w:tcBorders>
            <w:vAlign w:val="center"/>
          </w:tcPr>
          <w:p w14:paraId="41D72F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用户管理、菜单管理、角色管理、权限管理、字典管理、系统设置</w:t>
            </w:r>
          </w:p>
        </w:tc>
        <w:tc>
          <w:tcPr>
            <w:tcW w:w="870" w:type="dxa"/>
            <w:vMerge w:val="continue"/>
            <w:tcBorders>
              <w:tl2br w:val="nil"/>
              <w:tr2bl w:val="nil"/>
            </w:tcBorders>
            <w:noWrap/>
            <w:vAlign w:val="center"/>
          </w:tcPr>
          <w:p w14:paraId="7AF303B6">
            <w:pPr>
              <w:spacing w:line="360" w:lineRule="auto"/>
              <w:jc w:val="center"/>
              <w:rPr>
                <w:rFonts w:hint="eastAsia" w:ascii="宋体" w:hAnsi="宋体" w:cs="宋体"/>
                <w:color w:val="auto"/>
                <w:sz w:val="21"/>
                <w:szCs w:val="21"/>
                <w:highlight w:val="none"/>
              </w:rPr>
            </w:pPr>
          </w:p>
        </w:tc>
      </w:tr>
      <w:tr w14:paraId="39FF59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46FF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w:t>
            </w:r>
          </w:p>
        </w:tc>
        <w:tc>
          <w:tcPr>
            <w:tcW w:w="6982" w:type="dxa"/>
            <w:tcBorders>
              <w:tl2br w:val="nil"/>
              <w:tr2bl w:val="nil"/>
            </w:tcBorders>
            <w:vAlign w:val="center"/>
          </w:tcPr>
          <w:p w14:paraId="18F28EB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病人自助接诊系统</w:t>
            </w:r>
          </w:p>
        </w:tc>
        <w:tc>
          <w:tcPr>
            <w:tcW w:w="870" w:type="dxa"/>
            <w:vMerge w:val="continue"/>
            <w:tcBorders>
              <w:tl2br w:val="nil"/>
              <w:tr2bl w:val="nil"/>
            </w:tcBorders>
            <w:noWrap/>
            <w:vAlign w:val="center"/>
          </w:tcPr>
          <w:p w14:paraId="13B9957B">
            <w:pPr>
              <w:spacing w:line="360" w:lineRule="auto"/>
              <w:jc w:val="center"/>
              <w:rPr>
                <w:rFonts w:hint="eastAsia" w:ascii="宋体" w:hAnsi="宋体" w:cs="宋体"/>
                <w:color w:val="auto"/>
                <w:sz w:val="21"/>
                <w:szCs w:val="21"/>
                <w:highlight w:val="none"/>
              </w:rPr>
            </w:pPr>
          </w:p>
        </w:tc>
      </w:tr>
      <w:tr w14:paraId="4A60D7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F029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4.6.14.1</w:t>
            </w:r>
          </w:p>
        </w:tc>
        <w:tc>
          <w:tcPr>
            <w:tcW w:w="6982" w:type="dxa"/>
            <w:tcBorders>
              <w:tl2br w:val="nil"/>
              <w:tr2bl w:val="nil"/>
            </w:tcBorders>
            <w:vAlign w:val="center"/>
          </w:tcPr>
          <w:p w14:paraId="7F03B8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患者识别：支持通过血透卡、二维码等方式识别患者，支持语音播报</w:t>
            </w:r>
          </w:p>
        </w:tc>
        <w:tc>
          <w:tcPr>
            <w:tcW w:w="870" w:type="dxa"/>
            <w:vMerge w:val="continue"/>
            <w:tcBorders>
              <w:tl2br w:val="nil"/>
              <w:tr2bl w:val="nil"/>
            </w:tcBorders>
            <w:noWrap/>
            <w:vAlign w:val="center"/>
          </w:tcPr>
          <w:p w14:paraId="119FE340">
            <w:pPr>
              <w:spacing w:line="360" w:lineRule="auto"/>
              <w:jc w:val="center"/>
              <w:rPr>
                <w:rFonts w:hint="eastAsia" w:ascii="宋体" w:hAnsi="宋体" w:cs="宋体"/>
                <w:color w:val="auto"/>
                <w:sz w:val="21"/>
                <w:szCs w:val="21"/>
                <w:highlight w:val="none"/>
              </w:rPr>
            </w:pPr>
          </w:p>
        </w:tc>
      </w:tr>
      <w:tr w14:paraId="158666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6F1E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4.6.14.2</w:t>
            </w:r>
          </w:p>
        </w:tc>
        <w:tc>
          <w:tcPr>
            <w:tcW w:w="6982" w:type="dxa"/>
            <w:tcBorders>
              <w:tl2br w:val="nil"/>
              <w:tr2bl w:val="nil"/>
            </w:tcBorders>
            <w:vAlign w:val="center"/>
          </w:tcPr>
          <w:p w14:paraId="4DFD9D3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自助接诊：与体重秤对接，患者自助称体重，自动记录数据，支持小票打印</w:t>
            </w:r>
          </w:p>
        </w:tc>
        <w:tc>
          <w:tcPr>
            <w:tcW w:w="870" w:type="dxa"/>
            <w:vMerge w:val="continue"/>
            <w:tcBorders>
              <w:tl2br w:val="nil"/>
              <w:tr2bl w:val="nil"/>
            </w:tcBorders>
            <w:noWrap/>
            <w:vAlign w:val="center"/>
          </w:tcPr>
          <w:p w14:paraId="00FC563D">
            <w:pPr>
              <w:spacing w:line="360" w:lineRule="auto"/>
              <w:jc w:val="center"/>
              <w:rPr>
                <w:rFonts w:hint="eastAsia" w:ascii="宋体" w:hAnsi="宋体" w:cs="宋体"/>
                <w:color w:val="auto"/>
                <w:sz w:val="21"/>
                <w:szCs w:val="21"/>
                <w:highlight w:val="none"/>
              </w:rPr>
            </w:pPr>
          </w:p>
        </w:tc>
      </w:tr>
      <w:tr w14:paraId="7AEA93C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877B8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4.6.14.3</w:t>
            </w:r>
          </w:p>
        </w:tc>
        <w:tc>
          <w:tcPr>
            <w:tcW w:w="6982" w:type="dxa"/>
            <w:tcBorders>
              <w:tl2br w:val="nil"/>
              <w:tr2bl w:val="nil"/>
            </w:tcBorders>
            <w:vAlign w:val="center"/>
          </w:tcPr>
          <w:p w14:paraId="6AA9DD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自助测压：与血压计对接，患者自助测量血压，自动记录数据</w:t>
            </w:r>
          </w:p>
        </w:tc>
        <w:tc>
          <w:tcPr>
            <w:tcW w:w="870" w:type="dxa"/>
            <w:vMerge w:val="continue"/>
            <w:tcBorders>
              <w:tl2br w:val="nil"/>
              <w:tr2bl w:val="nil"/>
            </w:tcBorders>
            <w:noWrap/>
            <w:vAlign w:val="center"/>
          </w:tcPr>
          <w:p w14:paraId="5EC05A42">
            <w:pPr>
              <w:spacing w:line="360" w:lineRule="auto"/>
              <w:jc w:val="center"/>
              <w:rPr>
                <w:rFonts w:hint="eastAsia" w:ascii="宋体" w:hAnsi="宋体" w:cs="宋体"/>
                <w:color w:val="auto"/>
                <w:sz w:val="21"/>
                <w:szCs w:val="21"/>
                <w:highlight w:val="none"/>
              </w:rPr>
            </w:pPr>
          </w:p>
        </w:tc>
      </w:tr>
      <w:tr w14:paraId="39F0659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33EDE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4.6.14.4</w:t>
            </w:r>
          </w:p>
        </w:tc>
        <w:tc>
          <w:tcPr>
            <w:tcW w:w="6982" w:type="dxa"/>
            <w:tcBorders>
              <w:tl2br w:val="nil"/>
              <w:tr2bl w:val="nil"/>
            </w:tcBorders>
            <w:vAlign w:val="center"/>
          </w:tcPr>
          <w:p w14:paraId="691BB03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当班透析显示：根据系统设置，显示患者的排班信息和透析进程</w:t>
            </w:r>
          </w:p>
        </w:tc>
        <w:tc>
          <w:tcPr>
            <w:tcW w:w="870" w:type="dxa"/>
            <w:vMerge w:val="continue"/>
            <w:tcBorders>
              <w:tl2br w:val="nil"/>
              <w:tr2bl w:val="nil"/>
            </w:tcBorders>
            <w:noWrap/>
            <w:vAlign w:val="center"/>
          </w:tcPr>
          <w:p w14:paraId="4ACD2854">
            <w:pPr>
              <w:spacing w:line="360" w:lineRule="auto"/>
              <w:jc w:val="center"/>
              <w:rPr>
                <w:rFonts w:hint="eastAsia" w:ascii="宋体" w:hAnsi="宋体" w:cs="宋体"/>
                <w:color w:val="auto"/>
                <w:sz w:val="21"/>
                <w:szCs w:val="21"/>
                <w:highlight w:val="none"/>
              </w:rPr>
            </w:pPr>
          </w:p>
        </w:tc>
      </w:tr>
      <w:tr w14:paraId="099482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71A84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4.6.14.5</w:t>
            </w:r>
          </w:p>
        </w:tc>
        <w:tc>
          <w:tcPr>
            <w:tcW w:w="6982" w:type="dxa"/>
            <w:tcBorders>
              <w:tl2br w:val="nil"/>
              <w:tr2bl w:val="nil"/>
            </w:tcBorders>
            <w:vAlign w:val="center"/>
          </w:tcPr>
          <w:p w14:paraId="34DF70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呼叫：通过移动平板、护士工作站实现医护人员远程呼叫患者</w:t>
            </w:r>
          </w:p>
        </w:tc>
        <w:tc>
          <w:tcPr>
            <w:tcW w:w="870" w:type="dxa"/>
            <w:vMerge w:val="continue"/>
            <w:tcBorders>
              <w:tl2br w:val="nil"/>
              <w:tr2bl w:val="nil"/>
            </w:tcBorders>
            <w:noWrap/>
            <w:vAlign w:val="center"/>
          </w:tcPr>
          <w:p w14:paraId="24AB9B29">
            <w:pPr>
              <w:spacing w:line="360" w:lineRule="auto"/>
              <w:jc w:val="center"/>
              <w:rPr>
                <w:rFonts w:hint="eastAsia" w:ascii="宋体" w:hAnsi="宋体" w:cs="宋体"/>
                <w:color w:val="auto"/>
                <w:sz w:val="21"/>
                <w:szCs w:val="21"/>
                <w:highlight w:val="none"/>
              </w:rPr>
            </w:pPr>
          </w:p>
        </w:tc>
      </w:tr>
      <w:tr w14:paraId="7B02484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7E61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4.6.14.6</w:t>
            </w:r>
          </w:p>
        </w:tc>
        <w:tc>
          <w:tcPr>
            <w:tcW w:w="6982" w:type="dxa"/>
            <w:tcBorders>
              <w:tl2br w:val="nil"/>
              <w:tr2bl w:val="nil"/>
            </w:tcBorders>
            <w:vAlign w:val="center"/>
          </w:tcPr>
          <w:p w14:paraId="19FDAB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健康宣教：在等候区大屏电视上播放宣教内容，支持视频与图片</w:t>
            </w:r>
          </w:p>
        </w:tc>
        <w:tc>
          <w:tcPr>
            <w:tcW w:w="870" w:type="dxa"/>
            <w:vMerge w:val="continue"/>
            <w:tcBorders>
              <w:tl2br w:val="nil"/>
              <w:tr2bl w:val="nil"/>
            </w:tcBorders>
            <w:noWrap/>
            <w:vAlign w:val="center"/>
          </w:tcPr>
          <w:p w14:paraId="0838ECD0">
            <w:pPr>
              <w:spacing w:line="360" w:lineRule="auto"/>
              <w:jc w:val="center"/>
              <w:rPr>
                <w:rFonts w:hint="eastAsia" w:ascii="宋体" w:hAnsi="宋体" w:cs="宋体"/>
                <w:color w:val="auto"/>
                <w:sz w:val="21"/>
                <w:szCs w:val="21"/>
                <w:highlight w:val="none"/>
              </w:rPr>
            </w:pPr>
          </w:p>
        </w:tc>
      </w:tr>
      <w:tr w14:paraId="1742010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D8A7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4.6.15</w:t>
            </w:r>
          </w:p>
        </w:tc>
        <w:tc>
          <w:tcPr>
            <w:tcW w:w="6982" w:type="dxa"/>
            <w:tcBorders>
              <w:tl2br w:val="nil"/>
              <w:tr2bl w:val="nil"/>
            </w:tcBorders>
            <w:vAlign w:val="center"/>
          </w:tcPr>
          <w:p w14:paraId="4848EA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移动护理系统</w:t>
            </w:r>
          </w:p>
        </w:tc>
        <w:tc>
          <w:tcPr>
            <w:tcW w:w="870" w:type="dxa"/>
            <w:vMerge w:val="continue"/>
            <w:tcBorders>
              <w:tl2br w:val="nil"/>
              <w:tr2bl w:val="nil"/>
            </w:tcBorders>
            <w:noWrap/>
            <w:vAlign w:val="center"/>
          </w:tcPr>
          <w:p w14:paraId="1820E8C4">
            <w:pPr>
              <w:spacing w:line="360" w:lineRule="auto"/>
              <w:jc w:val="center"/>
              <w:rPr>
                <w:rFonts w:hint="eastAsia" w:ascii="宋体" w:hAnsi="宋体" w:cs="宋体"/>
                <w:color w:val="auto"/>
                <w:sz w:val="21"/>
                <w:szCs w:val="21"/>
                <w:highlight w:val="none"/>
              </w:rPr>
            </w:pPr>
          </w:p>
        </w:tc>
      </w:tr>
      <w:tr w14:paraId="175D96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04448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4.6.15.1</w:t>
            </w:r>
          </w:p>
        </w:tc>
        <w:tc>
          <w:tcPr>
            <w:tcW w:w="6982" w:type="dxa"/>
            <w:tcBorders>
              <w:tl2br w:val="nil"/>
              <w:tr2bl w:val="nil"/>
            </w:tcBorders>
            <w:vAlign w:val="center"/>
          </w:tcPr>
          <w:p w14:paraId="60B97F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通过平板应用、透析过程核对、病人评估、生命体征录入、医嘱执行、复核、双签、耗材费用核对功能</w:t>
            </w:r>
          </w:p>
        </w:tc>
        <w:tc>
          <w:tcPr>
            <w:tcW w:w="870" w:type="dxa"/>
            <w:vMerge w:val="continue"/>
            <w:tcBorders>
              <w:tl2br w:val="nil"/>
              <w:tr2bl w:val="nil"/>
            </w:tcBorders>
            <w:noWrap/>
            <w:vAlign w:val="center"/>
          </w:tcPr>
          <w:p w14:paraId="2D12864A">
            <w:pPr>
              <w:spacing w:line="360" w:lineRule="auto"/>
              <w:jc w:val="center"/>
              <w:rPr>
                <w:rFonts w:hint="eastAsia" w:ascii="宋体" w:hAnsi="宋体" w:cs="宋体"/>
                <w:color w:val="auto"/>
                <w:sz w:val="21"/>
                <w:szCs w:val="21"/>
                <w:highlight w:val="none"/>
              </w:rPr>
            </w:pPr>
          </w:p>
        </w:tc>
      </w:tr>
      <w:tr w14:paraId="674E9F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1DE6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4.6.16</w:t>
            </w:r>
          </w:p>
        </w:tc>
        <w:tc>
          <w:tcPr>
            <w:tcW w:w="6982" w:type="dxa"/>
            <w:tcBorders>
              <w:tl2br w:val="nil"/>
              <w:tr2bl w:val="nil"/>
            </w:tcBorders>
            <w:vAlign w:val="center"/>
          </w:tcPr>
          <w:p w14:paraId="0892C7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移动医生查房系统</w:t>
            </w:r>
          </w:p>
        </w:tc>
        <w:tc>
          <w:tcPr>
            <w:tcW w:w="870" w:type="dxa"/>
            <w:vMerge w:val="continue"/>
            <w:tcBorders>
              <w:tl2br w:val="nil"/>
              <w:tr2bl w:val="nil"/>
            </w:tcBorders>
            <w:noWrap/>
            <w:vAlign w:val="center"/>
          </w:tcPr>
          <w:p w14:paraId="03D6A20E">
            <w:pPr>
              <w:spacing w:line="360" w:lineRule="auto"/>
              <w:jc w:val="center"/>
              <w:rPr>
                <w:rFonts w:hint="eastAsia" w:ascii="宋体" w:hAnsi="宋体" w:cs="宋体"/>
                <w:color w:val="auto"/>
                <w:sz w:val="21"/>
                <w:szCs w:val="21"/>
                <w:highlight w:val="none"/>
              </w:rPr>
            </w:pPr>
          </w:p>
        </w:tc>
      </w:tr>
      <w:tr w14:paraId="7ABE94C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A684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4.6.16.1</w:t>
            </w:r>
          </w:p>
        </w:tc>
        <w:tc>
          <w:tcPr>
            <w:tcW w:w="6982" w:type="dxa"/>
            <w:tcBorders>
              <w:tl2br w:val="nil"/>
              <w:tr2bl w:val="nil"/>
            </w:tcBorders>
            <w:vAlign w:val="center"/>
          </w:tcPr>
          <w:p w14:paraId="431270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医生移动查房，实现透析处方查房调整、用药记录、化验检查明细的查看，实现无纸化查房</w:t>
            </w:r>
          </w:p>
        </w:tc>
        <w:tc>
          <w:tcPr>
            <w:tcW w:w="870" w:type="dxa"/>
            <w:vMerge w:val="continue"/>
            <w:tcBorders>
              <w:tl2br w:val="nil"/>
              <w:tr2bl w:val="nil"/>
            </w:tcBorders>
            <w:noWrap/>
            <w:vAlign w:val="center"/>
          </w:tcPr>
          <w:p w14:paraId="1BECE983">
            <w:pPr>
              <w:spacing w:line="360" w:lineRule="auto"/>
              <w:jc w:val="center"/>
              <w:rPr>
                <w:rFonts w:hint="eastAsia" w:ascii="宋体" w:hAnsi="宋体" w:cs="宋体"/>
                <w:color w:val="auto"/>
                <w:sz w:val="21"/>
                <w:szCs w:val="21"/>
                <w:highlight w:val="none"/>
              </w:rPr>
            </w:pPr>
          </w:p>
        </w:tc>
      </w:tr>
      <w:tr w14:paraId="1B23252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A0F8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4.6.17</w:t>
            </w:r>
          </w:p>
        </w:tc>
        <w:tc>
          <w:tcPr>
            <w:tcW w:w="6982" w:type="dxa"/>
            <w:tcBorders>
              <w:tl2br w:val="nil"/>
              <w:tr2bl w:val="nil"/>
            </w:tcBorders>
            <w:vAlign w:val="center"/>
          </w:tcPr>
          <w:p w14:paraId="6747FA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耗材管理系统</w:t>
            </w:r>
          </w:p>
        </w:tc>
        <w:tc>
          <w:tcPr>
            <w:tcW w:w="870" w:type="dxa"/>
            <w:vMerge w:val="continue"/>
            <w:tcBorders>
              <w:tl2br w:val="nil"/>
              <w:tr2bl w:val="nil"/>
            </w:tcBorders>
            <w:noWrap/>
            <w:vAlign w:val="center"/>
          </w:tcPr>
          <w:p w14:paraId="577CF029">
            <w:pPr>
              <w:spacing w:line="360" w:lineRule="auto"/>
              <w:jc w:val="center"/>
              <w:rPr>
                <w:rFonts w:hint="eastAsia" w:ascii="宋体" w:hAnsi="宋体" w:cs="宋体"/>
                <w:color w:val="auto"/>
                <w:sz w:val="21"/>
                <w:szCs w:val="21"/>
                <w:highlight w:val="none"/>
              </w:rPr>
            </w:pPr>
          </w:p>
        </w:tc>
      </w:tr>
      <w:tr w14:paraId="45E09F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4CB9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4.6.17.1</w:t>
            </w:r>
          </w:p>
        </w:tc>
        <w:tc>
          <w:tcPr>
            <w:tcW w:w="6982" w:type="dxa"/>
            <w:tcBorders>
              <w:tl2br w:val="nil"/>
              <w:tr2bl w:val="nil"/>
            </w:tcBorders>
            <w:vAlign w:val="center"/>
          </w:tcPr>
          <w:p w14:paraId="407967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耗材基本信息维护、耗材出入库管理、耗材库存查询、耗材盘点、耗材月结、耗材月报、透析器批量替换</w:t>
            </w:r>
          </w:p>
        </w:tc>
        <w:tc>
          <w:tcPr>
            <w:tcW w:w="870" w:type="dxa"/>
            <w:vMerge w:val="continue"/>
            <w:tcBorders>
              <w:tl2br w:val="nil"/>
              <w:tr2bl w:val="nil"/>
            </w:tcBorders>
            <w:noWrap/>
            <w:vAlign w:val="center"/>
          </w:tcPr>
          <w:p w14:paraId="1DC553CE">
            <w:pPr>
              <w:spacing w:line="360" w:lineRule="auto"/>
              <w:jc w:val="center"/>
              <w:rPr>
                <w:rFonts w:hint="eastAsia" w:ascii="宋体" w:hAnsi="宋体" w:cs="宋体"/>
                <w:color w:val="auto"/>
                <w:sz w:val="21"/>
                <w:szCs w:val="21"/>
                <w:highlight w:val="none"/>
              </w:rPr>
            </w:pPr>
          </w:p>
        </w:tc>
      </w:tr>
      <w:tr w14:paraId="482B57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833C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4.6.18</w:t>
            </w:r>
          </w:p>
        </w:tc>
        <w:tc>
          <w:tcPr>
            <w:tcW w:w="6982" w:type="dxa"/>
            <w:tcBorders>
              <w:tl2br w:val="nil"/>
              <w:tr2bl w:val="nil"/>
            </w:tcBorders>
            <w:vAlign w:val="center"/>
          </w:tcPr>
          <w:p w14:paraId="1EC8F9B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质控上报系统</w:t>
            </w:r>
          </w:p>
        </w:tc>
        <w:tc>
          <w:tcPr>
            <w:tcW w:w="870" w:type="dxa"/>
            <w:vMerge w:val="continue"/>
            <w:tcBorders>
              <w:tl2br w:val="nil"/>
              <w:tr2bl w:val="nil"/>
            </w:tcBorders>
            <w:noWrap/>
            <w:vAlign w:val="center"/>
          </w:tcPr>
          <w:p w14:paraId="73B5C341">
            <w:pPr>
              <w:spacing w:line="360" w:lineRule="auto"/>
              <w:jc w:val="center"/>
              <w:rPr>
                <w:rFonts w:hint="eastAsia" w:ascii="宋体" w:hAnsi="宋体" w:cs="宋体"/>
                <w:color w:val="auto"/>
                <w:sz w:val="21"/>
                <w:szCs w:val="21"/>
                <w:highlight w:val="none"/>
              </w:rPr>
            </w:pPr>
          </w:p>
        </w:tc>
      </w:tr>
      <w:tr w14:paraId="39F2F59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AF8D0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4.6.18.1</w:t>
            </w:r>
          </w:p>
        </w:tc>
        <w:tc>
          <w:tcPr>
            <w:tcW w:w="6982" w:type="dxa"/>
            <w:tcBorders>
              <w:tl2br w:val="nil"/>
              <w:tr2bl w:val="nil"/>
            </w:tcBorders>
            <w:vAlign w:val="center"/>
          </w:tcPr>
          <w:p w14:paraId="5ADD21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质控上报：支持把透析业务数据通过接口直接上传到省级质控中心平台，具备上传数据质量校验功能</w:t>
            </w:r>
          </w:p>
        </w:tc>
        <w:tc>
          <w:tcPr>
            <w:tcW w:w="870" w:type="dxa"/>
            <w:vMerge w:val="continue"/>
            <w:tcBorders>
              <w:tl2br w:val="nil"/>
              <w:tr2bl w:val="nil"/>
            </w:tcBorders>
            <w:noWrap/>
            <w:vAlign w:val="center"/>
          </w:tcPr>
          <w:p w14:paraId="1042022D">
            <w:pPr>
              <w:spacing w:line="360" w:lineRule="auto"/>
              <w:jc w:val="center"/>
              <w:rPr>
                <w:rFonts w:hint="eastAsia" w:ascii="宋体" w:hAnsi="宋体" w:cs="宋体"/>
                <w:color w:val="auto"/>
                <w:sz w:val="21"/>
                <w:szCs w:val="21"/>
                <w:highlight w:val="none"/>
              </w:rPr>
            </w:pPr>
          </w:p>
        </w:tc>
      </w:tr>
      <w:tr w14:paraId="64CFADD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A6D70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4.6.18.2</w:t>
            </w:r>
          </w:p>
        </w:tc>
        <w:tc>
          <w:tcPr>
            <w:tcW w:w="6982" w:type="dxa"/>
            <w:tcBorders>
              <w:tl2br w:val="nil"/>
              <w:tr2bl w:val="nil"/>
            </w:tcBorders>
            <w:vAlign w:val="center"/>
          </w:tcPr>
          <w:p w14:paraId="3A1B52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缺项分析：支持根据质控上报规则，自动分析上报缺项</w:t>
            </w:r>
          </w:p>
        </w:tc>
        <w:tc>
          <w:tcPr>
            <w:tcW w:w="870" w:type="dxa"/>
            <w:vMerge w:val="continue"/>
            <w:tcBorders>
              <w:tl2br w:val="nil"/>
              <w:tr2bl w:val="nil"/>
            </w:tcBorders>
            <w:noWrap/>
            <w:vAlign w:val="center"/>
          </w:tcPr>
          <w:p w14:paraId="1BEBC758">
            <w:pPr>
              <w:spacing w:line="360" w:lineRule="auto"/>
              <w:jc w:val="center"/>
              <w:rPr>
                <w:rFonts w:hint="eastAsia" w:ascii="宋体" w:hAnsi="宋体" w:cs="宋体"/>
                <w:color w:val="auto"/>
                <w:sz w:val="21"/>
                <w:szCs w:val="21"/>
                <w:highlight w:val="none"/>
              </w:rPr>
            </w:pPr>
          </w:p>
        </w:tc>
      </w:tr>
      <w:tr w14:paraId="72033D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FED0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4.6.18.3</w:t>
            </w:r>
          </w:p>
        </w:tc>
        <w:tc>
          <w:tcPr>
            <w:tcW w:w="6982" w:type="dxa"/>
            <w:tcBorders>
              <w:tl2br w:val="nil"/>
              <w:tr2bl w:val="nil"/>
            </w:tcBorders>
            <w:vAlign w:val="center"/>
          </w:tcPr>
          <w:p w14:paraId="528C2A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待查提醒：支持根据质控上报规则，自动生成检验检查项目的待查提醒</w:t>
            </w:r>
          </w:p>
        </w:tc>
        <w:tc>
          <w:tcPr>
            <w:tcW w:w="870" w:type="dxa"/>
            <w:vMerge w:val="continue"/>
            <w:tcBorders>
              <w:tl2br w:val="nil"/>
              <w:tr2bl w:val="nil"/>
            </w:tcBorders>
            <w:noWrap/>
            <w:vAlign w:val="center"/>
          </w:tcPr>
          <w:p w14:paraId="7B06B88C">
            <w:pPr>
              <w:spacing w:line="360" w:lineRule="auto"/>
              <w:jc w:val="center"/>
              <w:rPr>
                <w:rFonts w:hint="eastAsia" w:ascii="宋体" w:hAnsi="宋体" w:cs="宋体"/>
                <w:color w:val="auto"/>
                <w:sz w:val="21"/>
                <w:szCs w:val="21"/>
                <w:highlight w:val="none"/>
              </w:rPr>
            </w:pPr>
          </w:p>
        </w:tc>
      </w:tr>
      <w:tr w14:paraId="653245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5B0F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w:t>
            </w:r>
          </w:p>
        </w:tc>
        <w:tc>
          <w:tcPr>
            <w:tcW w:w="6982" w:type="dxa"/>
            <w:tcBorders>
              <w:tl2br w:val="nil"/>
              <w:tr2bl w:val="nil"/>
            </w:tcBorders>
            <w:vAlign w:val="center"/>
          </w:tcPr>
          <w:p w14:paraId="096EAE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LIS 系统（升级）</w:t>
            </w:r>
          </w:p>
        </w:tc>
        <w:tc>
          <w:tcPr>
            <w:tcW w:w="870" w:type="dxa"/>
            <w:vMerge w:val="restart"/>
            <w:tcBorders>
              <w:tl2br w:val="nil"/>
              <w:tr2bl w:val="nil"/>
            </w:tcBorders>
            <w:noWrap/>
            <w:vAlign w:val="center"/>
          </w:tcPr>
          <w:p w14:paraId="05B08B1D">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2918F8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943C5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w:t>
            </w:r>
          </w:p>
        </w:tc>
        <w:tc>
          <w:tcPr>
            <w:tcW w:w="6982" w:type="dxa"/>
            <w:tcBorders>
              <w:tl2br w:val="nil"/>
              <w:tr2bl w:val="nil"/>
            </w:tcBorders>
            <w:vAlign w:val="center"/>
          </w:tcPr>
          <w:p w14:paraId="26A31A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为适配新院区业务发展需求，需对现有 LIS 系统进行全面升级改造，优化检测全流程，完成新增仪器对接，保障检测数据实时同步、准确传输</w:t>
            </w:r>
          </w:p>
        </w:tc>
        <w:tc>
          <w:tcPr>
            <w:tcW w:w="870" w:type="dxa"/>
            <w:vMerge w:val="continue"/>
            <w:tcBorders>
              <w:tl2br w:val="nil"/>
              <w:tr2bl w:val="nil"/>
            </w:tcBorders>
            <w:noWrap/>
            <w:vAlign w:val="center"/>
          </w:tcPr>
          <w:p w14:paraId="7B347ECF">
            <w:pPr>
              <w:spacing w:line="360" w:lineRule="auto"/>
              <w:jc w:val="center"/>
              <w:rPr>
                <w:rFonts w:hint="eastAsia" w:ascii="宋体" w:hAnsi="宋体" w:cs="宋体"/>
                <w:color w:val="auto"/>
                <w:sz w:val="21"/>
                <w:szCs w:val="21"/>
                <w:highlight w:val="none"/>
              </w:rPr>
            </w:pPr>
          </w:p>
        </w:tc>
      </w:tr>
      <w:tr w14:paraId="29441A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3182B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4.7.2</w:t>
            </w:r>
          </w:p>
        </w:tc>
        <w:tc>
          <w:tcPr>
            <w:tcW w:w="6982" w:type="dxa"/>
            <w:tcBorders>
              <w:tl2br w:val="nil"/>
              <w:tr2bl w:val="nil"/>
            </w:tcBorders>
            <w:vAlign w:val="center"/>
          </w:tcPr>
          <w:p w14:paraId="3D40E3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检验中台</w:t>
            </w:r>
          </w:p>
        </w:tc>
        <w:tc>
          <w:tcPr>
            <w:tcW w:w="870" w:type="dxa"/>
            <w:vMerge w:val="continue"/>
            <w:tcBorders>
              <w:tl2br w:val="nil"/>
              <w:tr2bl w:val="nil"/>
            </w:tcBorders>
            <w:noWrap/>
            <w:vAlign w:val="center"/>
          </w:tcPr>
          <w:p w14:paraId="554D206F">
            <w:pPr>
              <w:spacing w:line="360" w:lineRule="auto"/>
              <w:jc w:val="center"/>
              <w:rPr>
                <w:rFonts w:hint="eastAsia" w:ascii="宋体" w:hAnsi="宋体" w:cs="宋体"/>
                <w:color w:val="auto"/>
                <w:sz w:val="21"/>
                <w:szCs w:val="21"/>
                <w:highlight w:val="none"/>
              </w:rPr>
            </w:pPr>
          </w:p>
        </w:tc>
      </w:tr>
      <w:tr w14:paraId="7F400A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7B01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4.7.2.1</w:t>
            </w:r>
          </w:p>
        </w:tc>
        <w:tc>
          <w:tcPr>
            <w:tcW w:w="6982" w:type="dxa"/>
            <w:tcBorders>
              <w:tl2br w:val="nil"/>
              <w:tr2bl w:val="nil"/>
            </w:tcBorders>
            <w:vAlign w:val="center"/>
          </w:tcPr>
          <w:p w14:paraId="1D599C9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通过工作中台实现集中统一登录，支持平台模块分类管理，集中显示实验室事务、待办事务、异常样本，支持个性化设定、即时通讯、集成资料文档、定义快速入口</w:t>
            </w:r>
          </w:p>
        </w:tc>
        <w:tc>
          <w:tcPr>
            <w:tcW w:w="870" w:type="dxa"/>
            <w:vMerge w:val="continue"/>
            <w:tcBorders>
              <w:tl2br w:val="nil"/>
              <w:tr2bl w:val="nil"/>
            </w:tcBorders>
            <w:noWrap/>
            <w:vAlign w:val="center"/>
          </w:tcPr>
          <w:p w14:paraId="14821018">
            <w:pPr>
              <w:spacing w:line="360" w:lineRule="auto"/>
              <w:jc w:val="center"/>
              <w:rPr>
                <w:rFonts w:hint="eastAsia" w:ascii="宋体" w:hAnsi="宋体" w:cs="宋体"/>
                <w:color w:val="auto"/>
                <w:sz w:val="21"/>
                <w:szCs w:val="21"/>
                <w:highlight w:val="none"/>
              </w:rPr>
            </w:pPr>
          </w:p>
        </w:tc>
      </w:tr>
      <w:tr w14:paraId="7B446E7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71B2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4.7.3</w:t>
            </w:r>
          </w:p>
        </w:tc>
        <w:tc>
          <w:tcPr>
            <w:tcW w:w="6982" w:type="dxa"/>
            <w:tcBorders>
              <w:tl2br w:val="nil"/>
              <w:tr2bl w:val="nil"/>
            </w:tcBorders>
            <w:vAlign w:val="center"/>
          </w:tcPr>
          <w:p w14:paraId="07BC44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系统环境参数配置</w:t>
            </w:r>
          </w:p>
        </w:tc>
        <w:tc>
          <w:tcPr>
            <w:tcW w:w="870" w:type="dxa"/>
            <w:vMerge w:val="continue"/>
            <w:tcBorders>
              <w:tl2br w:val="nil"/>
              <w:tr2bl w:val="nil"/>
            </w:tcBorders>
            <w:noWrap/>
            <w:vAlign w:val="center"/>
          </w:tcPr>
          <w:p w14:paraId="730F576C">
            <w:pPr>
              <w:spacing w:line="360" w:lineRule="auto"/>
              <w:jc w:val="center"/>
              <w:rPr>
                <w:rFonts w:hint="eastAsia" w:ascii="宋体" w:hAnsi="宋体" w:cs="宋体"/>
                <w:color w:val="auto"/>
                <w:sz w:val="21"/>
                <w:szCs w:val="21"/>
                <w:highlight w:val="none"/>
              </w:rPr>
            </w:pPr>
          </w:p>
        </w:tc>
      </w:tr>
      <w:tr w14:paraId="15F6E09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4B16A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4.7.3.1</w:t>
            </w:r>
          </w:p>
        </w:tc>
        <w:tc>
          <w:tcPr>
            <w:tcW w:w="6982" w:type="dxa"/>
            <w:tcBorders>
              <w:tl2br w:val="nil"/>
              <w:tr2bl w:val="nil"/>
            </w:tcBorders>
            <w:vAlign w:val="center"/>
          </w:tcPr>
          <w:p w14:paraId="2554D0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按照机构、检验科室、检验专业组分层级统一管理，包括组织机构、人员、检验项目、分析项目、标本种类等数据</w:t>
            </w:r>
          </w:p>
        </w:tc>
        <w:tc>
          <w:tcPr>
            <w:tcW w:w="870" w:type="dxa"/>
            <w:vMerge w:val="continue"/>
            <w:tcBorders>
              <w:tl2br w:val="nil"/>
              <w:tr2bl w:val="nil"/>
            </w:tcBorders>
            <w:noWrap/>
            <w:vAlign w:val="center"/>
          </w:tcPr>
          <w:p w14:paraId="2020991E">
            <w:pPr>
              <w:spacing w:line="360" w:lineRule="auto"/>
              <w:jc w:val="center"/>
              <w:rPr>
                <w:rFonts w:hint="eastAsia" w:ascii="宋体" w:hAnsi="宋体" w:cs="宋体"/>
                <w:color w:val="auto"/>
                <w:sz w:val="21"/>
                <w:szCs w:val="21"/>
                <w:highlight w:val="none"/>
              </w:rPr>
            </w:pPr>
          </w:p>
        </w:tc>
      </w:tr>
      <w:tr w14:paraId="08348B8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312D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4.7.3.2</w:t>
            </w:r>
          </w:p>
        </w:tc>
        <w:tc>
          <w:tcPr>
            <w:tcW w:w="6982" w:type="dxa"/>
            <w:tcBorders>
              <w:tl2br w:val="nil"/>
              <w:tr2bl w:val="nil"/>
            </w:tcBorders>
            <w:vAlign w:val="center"/>
          </w:tcPr>
          <w:p w14:paraId="1AEC6AE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检验项目可多维度个性化定义，实现检验全过程智能化调度和精准服务</w:t>
            </w:r>
          </w:p>
        </w:tc>
        <w:tc>
          <w:tcPr>
            <w:tcW w:w="870" w:type="dxa"/>
            <w:vMerge w:val="continue"/>
            <w:tcBorders>
              <w:tl2br w:val="nil"/>
              <w:tr2bl w:val="nil"/>
            </w:tcBorders>
            <w:noWrap/>
            <w:vAlign w:val="center"/>
          </w:tcPr>
          <w:p w14:paraId="6C551CCB">
            <w:pPr>
              <w:spacing w:line="360" w:lineRule="auto"/>
              <w:jc w:val="center"/>
              <w:rPr>
                <w:rFonts w:hint="eastAsia" w:ascii="宋体" w:hAnsi="宋体" w:cs="宋体"/>
                <w:color w:val="auto"/>
                <w:sz w:val="21"/>
                <w:szCs w:val="21"/>
                <w:highlight w:val="none"/>
              </w:rPr>
            </w:pPr>
          </w:p>
        </w:tc>
      </w:tr>
      <w:tr w14:paraId="02FF13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0BAD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4.7.3.3</w:t>
            </w:r>
          </w:p>
        </w:tc>
        <w:tc>
          <w:tcPr>
            <w:tcW w:w="6982" w:type="dxa"/>
            <w:tcBorders>
              <w:tl2br w:val="nil"/>
              <w:tr2bl w:val="nil"/>
            </w:tcBorders>
            <w:vAlign w:val="center"/>
          </w:tcPr>
          <w:p w14:paraId="60F9F3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分析项目具备完整属性，支持自定义计算公式、检测属性、质量属性</w:t>
            </w:r>
          </w:p>
        </w:tc>
        <w:tc>
          <w:tcPr>
            <w:tcW w:w="870" w:type="dxa"/>
            <w:vMerge w:val="continue"/>
            <w:tcBorders>
              <w:tl2br w:val="nil"/>
              <w:tr2bl w:val="nil"/>
            </w:tcBorders>
            <w:noWrap/>
            <w:vAlign w:val="center"/>
          </w:tcPr>
          <w:p w14:paraId="0B003DAD">
            <w:pPr>
              <w:spacing w:line="360" w:lineRule="auto"/>
              <w:jc w:val="center"/>
              <w:rPr>
                <w:rFonts w:hint="eastAsia" w:ascii="宋体" w:hAnsi="宋体" w:cs="宋体"/>
                <w:color w:val="auto"/>
                <w:sz w:val="21"/>
                <w:szCs w:val="21"/>
                <w:highlight w:val="none"/>
              </w:rPr>
            </w:pPr>
          </w:p>
        </w:tc>
      </w:tr>
      <w:tr w14:paraId="3AF71E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9CD3D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4.7.4</w:t>
            </w:r>
          </w:p>
        </w:tc>
        <w:tc>
          <w:tcPr>
            <w:tcW w:w="6982" w:type="dxa"/>
            <w:tcBorders>
              <w:tl2br w:val="nil"/>
              <w:tr2bl w:val="nil"/>
            </w:tcBorders>
            <w:vAlign w:val="center"/>
          </w:tcPr>
          <w:p w14:paraId="617F5F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智能检验护士站</w:t>
            </w:r>
          </w:p>
        </w:tc>
        <w:tc>
          <w:tcPr>
            <w:tcW w:w="870" w:type="dxa"/>
            <w:vMerge w:val="continue"/>
            <w:tcBorders>
              <w:tl2br w:val="nil"/>
              <w:tr2bl w:val="nil"/>
            </w:tcBorders>
            <w:noWrap/>
            <w:vAlign w:val="center"/>
          </w:tcPr>
          <w:p w14:paraId="77383591">
            <w:pPr>
              <w:spacing w:line="360" w:lineRule="auto"/>
              <w:jc w:val="center"/>
              <w:rPr>
                <w:rFonts w:hint="eastAsia" w:ascii="宋体" w:hAnsi="宋体" w:cs="宋体"/>
                <w:color w:val="auto"/>
                <w:sz w:val="21"/>
                <w:szCs w:val="21"/>
                <w:highlight w:val="none"/>
              </w:rPr>
            </w:pPr>
          </w:p>
        </w:tc>
      </w:tr>
      <w:tr w14:paraId="2B43CEE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60CD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4.7.4.1</w:t>
            </w:r>
          </w:p>
        </w:tc>
        <w:tc>
          <w:tcPr>
            <w:tcW w:w="6982" w:type="dxa"/>
            <w:tcBorders>
              <w:tl2br w:val="nil"/>
              <w:tr2bl w:val="nil"/>
            </w:tcBorders>
            <w:vAlign w:val="center"/>
          </w:tcPr>
          <w:p w14:paraId="16D9C5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提供第三方调用的临床护士样本采集页面，涵盖医嘱获取、标签打印、样本采集、归集、不合格样本处置、危急值接报、报告确认、报告浏览等</w:t>
            </w:r>
          </w:p>
        </w:tc>
        <w:tc>
          <w:tcPr>
            <w:tcW w:w="870" w:type="dxa"/>
            <w:vMerge w:val="continue"/>
            <w:tcBorders>
              <w:tl2br w:val="nil"/>
              <w:tr2bl w:val="nil"/>
            </w:tcBorders>
            <w:noWrap/>
            <w:vAlign w:val="center"/>
          </w:tcPr>
          <w:p w14:paraId="54028816">
            <w:pPr>
              <w:spacing w:line="360" w:lineRule="auto"/>
              <w:jc w:val="center"/>
              <w:rPr>
                <w:rFonts w:hint="eastAsia" w:ascii="宋体" w:hAnsi="宋体" w:cs="宋体"/>
                <w:color w:val="auto"/>
                <w:sz w:val="21"/>
                <w:szCs w:val="21"/>
                <w:highlight w:val="none"/>
              </w:rPr>
            </w:pPr>
          </w:p>
        </w:tc>
      </w:tr>
      <w:tr w14:paraId="27A095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35EF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4.7.4.2</w:t>
            </w:r>
          </w:p>
        </w:tc>
        <w:tc>
          <w:tcPr>
            <w:tcW w:w="6982" w:type="dxa"/>
            <w:tcBorders>
              <w:tl2br w:val="nil"/>
              <w:tr2bl w:val="nil"/>
            </w:tcBorders>
            <w:vAlign w:val="center"/>
          </w:tcPr>
          <w:p w14:paraId="686653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智能化控制：申请自动拆分合并、开单信息校验、临床辅助提醒、标本与容器错误控制、采集时间控制、采血费与试管费自动计算、自动产生实验室内部编号</w:t>
            </w:r>
          </w:p>
        </w:tc>
        <w:tc>
          <w:tcPr>
            <w:tcW w:w="870" w:type="dxa"/>
            <w:vMerge w:val="continue"/>
            <w:tcBorders>
              <w:tl2br w:val="nil"/>
              <w:tr2bl w:val="nil"/>
            </w:tcBorders>
            <w:noWrap/>
            <w:vAlign w:val="center"/>
          </w:tcPr>
          <w:p w14:paraId="4D22DB68">
            <w:pPr>
              <w:spacing w:line="360" w:lineRule="auto"/>
              <w:jc w:val="center"/>
              <w:rPr>
                <w:rFonts w:hint="eastAsia" w:ascii="宋体" w:hAnsi="宋体" w:cs="宋体"/>
                <w:color w:val="auto"/>
                <w:sz w:val="21"/>
                <w:szCs w:val="21"/>
                <w:highlight w:val="none"/>
              </w:rPr>
            </w:pPr>
          </w:p>
        </w:tc>
      </w:tr>
      <w:tr w14:paraId="7E08452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ACEFD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4.7.5</w:t>
            </w:r>
          </w:p>
        </w:tc>
        <w:tc>
          <w:tcPr>
            <w:tcW w:w="6982" w:type="dxa"/>
            <w:tcBorders>
              <w:tl2br w:val="nil"/>
              <w:tr2bl w:val="nil"/>
            </w:tcBorders>
            <w:vAlign w:val="center"/>
          </w:tcPr>
          <w:p w14:paraId="2880FA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智能检验报告浏览器</w:t>
            </w:r>
          </w:p>
        </w:tc>
        <w:tc>
          <w:tcPr>
            <w:tcW w:w="870" w:type="dxa"/>
            <w:vMerge w:val="continue"/>
            <w:tcBorders>
              <w:tl2br w:val="nil"/>
              <w:tr2bl w:val="nil"/>
            </w:tcBorders>
            <w:noWrap/>
            <w:vAlign w:val="center"/>
          </w:tcPr>
          <w:p w14:paraId="4633BC93">
            <w:pPr>
              <w:spacing w:line="360" w:lineRule="auto"/>
              <w:jc w:val="center"/>
              <w:rPr>
                <w:rFonts w:hint="eastAsia" w:ascii="宋体" w:hAnsi="宋体" w:cs="宋体"/>
                <w:color w:val="auto"/>
                <w:sz w:val="21"/>
                <w:szCs w:val="21"/>
                <w:highlight w:val="none"/>
              </w:rPr>
            </w:pPr>
          </w:p>
        </w:tc>
      </w:tr>
      <w:tr w14:paraId="1E4ECFB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F9D0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4.7.5.1</w:t>
            </w:r>
          </w:p>
        </w:tc>
        <w:tc>
          <w:tcPr>
            <w:tcW w:w="6982" w:type="dxa"/>
            <w:tcBorders>
              <w:tl2br w:val="nil"/>
              <w:tr2bl w:val="nil"/>
            </w:tcBorders>
            <w:vAlign w:val="center"/>
          </w:tcPr>
          <w:p w14:paraId="183D37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提供第三方调用的检验报告浏览器，支持浏览、阅读、引用、打印、分析所有种类检验报告，支持历史结果分析、时间轴展示全过程</w:t>
            </w:r>
          </w:p>
        </w:tc>
        <w:tc>
          <w:tcPr>
            <w:tcW w:w="870" w:type="dxa"/>
            <w:vMerge w:val="continue"/>
            <w:tcBorders>
              <w:tl2br w:val="nil"/>
              <w:tr2bl w:val="nil"/>
            </w:tcBorders>
            <w:noWrap/>
            <w:vAlign w:val="center"/>
          </w:tcPr>
          <w:p w14:paraId="3695D869">
            <w:pPr>
              <w:spacing w:line="360" w:lineRule="auto"/>
              <w:jc w:val="center"/>
              <w:rPr>
                <w:rFonts w:hint="eastAsia" w:ascii="宋体" w:hAnsi="宋体" w:cs="宋体"/>
                <w:color w:val="auto"/>
                <w:sz w:val="21"/>
                <w:szCs w:val="21"/>
                <w:highlight w:val="none"/>
              </w:rPr>
            </w:pPr>
          </w:p>
        </w:tc>
      </w:tr>
      <w:tr w14:paraId="7466FE2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FF25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4.7.6</w:t>
            </w:r>
          </w:p>
        </w:tc>
        <w:tc>
          <w:tcPr>
            <w:tcW w:w="6982" w:type="dxa"/>
            <w:tcBorders>
              <w:tl2br w:val="nil"/>
              <w:tr2bl w:val="nil"/>
            </w:tcBorders>
            <w:vAlign w:val="center"/>
          </w:tcPr>
          <w:p w14:paraId="4209AA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智能采集工作站</w:t>
            </w:r>
          </w:p>
        </w:tc>
        <w:tc>
          <w:tcPr>
            <w:tcW w:w="870" w:type="dxa"/>
            <w:vMerge w:val="continue"/>
            <w:tcBorders>
              <w:tl2br w:val="nil"/>
              <w:tr2bl w:val="nil"/>
            </w:tcBorders>
            <w:noWrap/>
            <w:vAlign w:val="center"/>
          </w:tcPr>
          <w:p w14:paraId="3D2A4903">
            <w:pPr>
              <w:spacing w:line="360" w:lineRule="auto"/>
              <w:jc w:val="center"/>
              <w:rPr>
                <w:rFonts w:hint="eastAsia" w:ascii="宋体" w:hAnsi="宋体" w:cs="宋体"/>
                <w:color w:val="auto"/>
                <w:sz w:val="21"/>
                <w:szCs w:val="21"/>
                <w:highlight w:val="none"/>
              </w:rPr>
            </w:pPr>
          </w:p>
        </w:tc>
      </w:tr>
      <w:tr w14:paraId="126558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5EE4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4.7.6.1</w:t>
            </w:r>
          </w:p>
        </w:tc>
        <w:tc>
          <w:tcPr>
            <w:tcW w:w="6982" w:type="dxa"/>
            <w:tcBorders>
              <w:tl2br w:val="nil"/>
              <w:tr2bl w:val="nil"/>
            </w:tcBorders>
            <w:vAlign w:val="center"/>
          </w:tcPr>
          <w:p w14:paraId="53AF97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要功能：获取门诊检验申请信息生成条形码标签、采集前患者信息与样本规则校验、标本容器提醒、采集顺序提示、患者特殊标识提示、多采集单元部署、窗口采集个性化定义、记录采集信息、采集场景图像获取</w:t>
            </w:r>
          </w:p>
        </w:tc>
        <w:tc>
          <w:tcPr>
            <w:tcW w:w="870" w:type="dxa"/>
            <w:vMerge w:val="continue"/>
            <w:tcBorders>
              <w:tl2br w:val="nil"/>
              <w:tr2bl w:val="nil"/>
            </w:tcBorders>
            <w:noWrap/>
            <w:vAlign w:val="center"/>
          </w:tcPr>
          <w:p w14:paraId="100C677D">
            <w:pPr>
              <w:spacing w:line="360" w:lineRule="auto"/>
              <w:jc w:val="center"/>
              <w:rPr>
                <w:rFonts w:hint="eastAsia" w:ascii="宋体" w:hAnsi="宋体" w:cs="宋体"/>
                <w:color w:val="auto"/>
                <w:sz w:val="21"/>
                <w:szCs w:val="21"/>
                <w:highlight w:val="none"/>
              </w:rPr>
            </w:pPr>
          </w:p>
        </w:tc>
      </w:tr>
      <w:tr w14:paraId="14D516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80A2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4.7.6.2</w:t>
            </w:r>
          </w:p>
        </w:tc>
        <w:tc>
          <w:tcPr>
            <w:tcW w:w="6982" w:type="dxa"/>
            <w:tcBorders>
              <w:tl2br w:val="nil"/>
              <w:tr2bl w:val="nil"/>
            </w:tcBorders>
            <w:vAlign w:val="center"/>
          </w:tcPr>
          <w:p w14:paraId="108F2C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支持样本封包送出、样本闭环操作、智能化控制</w:t>
            </w:r>
          </w:p>
        </w:tc>
        <w:tc>
          <w:tcPr>
            <w:tcW w:w="870" w:type="dxa"/>
            <w:vMerge w:val="continue"/>
            <w:tcBorders>
              <w:tl2br w:val="nil"/>
              <w:tr2bl w:val="nil"/>
            </w:tcBorders>
            <w:noWrap/>
            <w:vAlign w:val="center"/>
          </w:tcPr>
          <w:p w14:paraId="70792377">
            <w:pPr>
              <w:spacing w:line="360" w:lineRule="auto"/>
              <w:jc w:val="center"/>
              <w:rPr>
                <w:rFonts w:hint="eastAsia" w:ascii="宋体" w:hAnsi="宋体" w:cs="宋体"/>
                <w:color w:val="auto"/>
                <w:sz w:val="21"/>
                <w:szCs w:val="21"/>
                <w:highlight w:val="none"/>
              </w:rPr>
            </w:pPr>
          </w:p>
        </w:tc>
      </w:tr>
      <w:tr w14:paraId="244D3A5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67D22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4.7.7</w:t>
            </w:r>
          </w:p>
        </w:tc>
        <w:tc>
          <w:tcPr>
            <w:tcW w:w="6982" w:type="dxa"/>
            <w:tcBorders>
              <w:tl2br w:val="nil"/>
              <w:tr2bl w:val="nil"/>
            </w:tcBorders>
            <w:vAlign w:val="center"/>
          </w:tcPr>
          <w:p w14:paraId="018527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智能采血排队叫号</w:t>
            </w:r>
          </w:p>
        </w:tc>
        <w:tc>
          <w:tcPr>
            <w:tcW w:w="870" w:type="dxa"/>
            <w:vMerge w:val="continue"/>
            <w:tcBorders>
              <w:tl2br w:val="nil"/>
              <w:tr2bl w:val="nil"/>
            </w:tcBorders>
            <w:noWrap/>
            <w:vAlign w:val="center"/>
          </w:tcPr>
          <w:p w14:paraId="4A462B0A">
            <w:pPr>
              <w:spacing w:line="360" w:lineRule="auto"/>
              <w:jc w:val="center"/>
              <w:rPr>
                <w:rFonts w:hint="eastAsia" w:ascii="宋体" w:hAnsi="宋体" w:cs="宋体"/>
                <w:color w:val="auto"/>
                <w:sz w:val="21"/>
                <w:szCs w:val="21"/>
                <w:highlight w:val="none"/>
              </w:rPr>
            </w:pPr>
          </w:p>
        </w:tc>
      </w:tr>
      <w:tr w14:paraId="1656AAF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D626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4.7.7.1</w:t>
            </w:r>
          </w:p>
        </w:tc>
        <w:tc>
          <w:tcPr>
            <w:tcW w:w="6982" w:type="dxa"/>
            <w:tcBorders>
              <w:tl2br w:val="nil"/>
              <w:tr2bl w:val="nil"/>
            </w:tcBorders>
            <w:vAlign w:val="center"/>
          </w:tcPr>
          <w:p w14:paraId="0D8D613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支持多院区、多采血点部署，多种取号方式，人性化提醒，自定义叫号队列，特殊处理，硬件设备集成，提供第三方系统调用接口</w:t>
            </w:r>
          </w:p>
        </w:tc>
        <w:tc>
          <w:tcPr>
            <w:tcW w:w="870" w:type="dxa"/>
            <w:vMerge w:val="continue"/>
            <w:tcBorders>
              <w:tl2br w:val="nil"/>
              <w:tr2bl w:val="nil"/>
            </w:tcBorders>
            <w:noWrap/>
            <w:vAlign w:val="center"/>
          </w:tcPr>
          <w:p w14:paraId="2105B687">
            <w:pPr>
              <w:spacing w:line="360" w:lineRule="auto"/>
              <w:jc w:val="center"/>
              <w:rPr>
                <w:rFonts w:hint="eastAsia" w:ascii="宋体" w:hAnsi="宋体" w:cs="宋体"/>
                <w:color w:val="auto"/>
                <w:sz w:val="21"/>
                <w:szCs w:val="21"/>
                <w:highlight w:val="none"/>
              </w:rPr>
            </w:pPr>
          </w:p>
        </w:tc>
      </w:tr>
      <w:tr w14:paraId="51B7FC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F86CE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4.7.8</w:t>
            </w:r>
          </w:p>
        </w:tc>
        <w:tc>
          <w:tcPr>
            <w:tcW w:w="6982" w:type="dxa"/>
            <w:tcBorders>
              <w:tl2br w:val="nil"/>
              <w:tr2bl w:val="nil"/>
            </w:tcBorders>
            <w:vAlign w:val="center"/>
          </w:tcPr>
          <w:p w14:paraId="7F55E10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自助报告</w:t>
            </w:r>
          </w:p>
        </w:tc>
        <w:tc>
          <w:tcPr>
            <w:tcW w:w="870" w:type="dxa"/>
            <w:vMerge w:val="continue"/>
            <w:tcBorders>
              <w:tl2br w:val="nil"/>
              <w:tr2bl w:val="nil"/>
            </w:tcBorders>
            <w:noWrap/>
            <w:vAlign w:val="center"/>
          </w:tcPr>
          <w:p w14:paraId="1AAB5E0C">
            <w:pPr>
              <w:spacing w:line="360" w:lineRule="auto"/>
              <w:jc w:val="center"/>
              <w:rPr>
                <w:rFonts w:hint="eastAsia" w:ascii="宋体" w:hAnsi="宋体" w:cs="宋体"/>
                <w:color w:val="auto"/>
                <w:sz w:val="21"/>
                <w:szCs w:val="21"/>
                <w:highlight w:val="none"/>
              </w:rPr>
            </w:pPr>
          </w:p>
        </w:tc>
      </w:tr>
      <w:tr w14:paraId="49E79D2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A2D7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4.7.8.1</w:t>
            </w:r>
          </w:p>
        </w:tc>
        <w:tc>
          <w:tcPr>
            <w:tcW w:w="6982" w:type="dxa"/>
            <w:tcBorders>
              <w:tl2br w:val="nil"/>
              <w:tr2bl w:val="nil"/>
            </w:tcBorders>
            <w:vAlign w:val="center"/>
          </w:tcPr>
          <w:p w14:paraId="39EB6C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支持界面集成与数据集成，独立自助打印，支持多种检索方式，自定义界面，依据 IP/MAC 自定义查询条件，外接大屏幕显示，支持与现有自助设备系统接口互联</w:t>
            </w:r>
          </w:p>
        </w:tc>
        <w:tc>
          <w:tcPr>
            <w:tcW w:w="870" w:type="dxa"/>
            <w:vMerge w:val="continue"/>
            <w:tcBorders>
              <w:tl2br w:val="nil"/>
              <w:tr2bl w:val="nil"/>
            </w:tcBorders>
            <w:noWrap/>
            <w:vAlign w:val="center"/>
          </w:tcPr>
          <w:p w14:paraId="767E1FF2">
            <w:pPr>
              <w:spacing w:line="360" w:lineRule="auto"/>
              <w:jc w:val="center"/>
              <w:rPr>
                <w:rFonts w:hint="eastAsia" w:ascii="宋体" w:hAnsi="宋体" w:cs="宋体"/>
                <w:color w:val="auto"/>
                <w:sz w:val="21"/>
                <w:szCs w:val="21"/>
                <w:highlight w:val="none"/>
              </w:rPr>
            </w:pPr>
          </w:p>
        </w:tc>
      </w:tr>
      <w:tr w14:paraId="0CAB3B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F6247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4.7.9</w:t>
            </w:r>
          </w:p>
        </w:tc>
        <w:tc>
          <w:tcPr>
            <w:tcW w:w="6982" w:type="dxa"/>
            <w:tcBorders>
              <w:tl2br w:val="nil"/>
              <w:tr2bl w:val="nil"/>
            </w:tcBorders>
            <w:vAlign w:val="center"/>
          </w:tcPr>
          <w:p w14:paraId="10C788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护工工作站（收集、送达）</w:t>
            </w:r>
          </w:p>
        </w:tc>
        <w:tc>
          <w:tcPr>
            <w:tcW w:w="870" w:type="dxa"/>
            <w:vMerge w:val="continue"/>
            <w:tcBorders>
              <w:tl2br w:val="nil"/>
              <w:tr2bl w:val="nil"/>
            </w:tcBorders>
            <w:noWrap/>
            <w:vAlign w:val="center"/>
          </w:tcPr>
          <w:p w14:paraId="1C26363F">
            <w:pPr>
              <w:spacing w:line="360" w:lineRule="auto"/>
              <w:jc w:val="center"/>
              <w:rPr>
                <w:rFonts w:hint="eastAsia" w:ascii="宋体" w:hAnsi="宋体" w:cs="宋体"/>
                <w:color w:val="auto"/>
                <w:sz w:val="21"/>
                <w:szCs w:val="21"/>
                <w:highlight w:val="none"/>
              </w:rPr>
            </w:pPr>
          </w:p>
        </w:tc>
      </w:tr>
      <w:tr w14:paraId="270187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DF519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4.7.9.1</w:t>
            </w:r>
          </w:p>
        </w:tc>
        <w:tc>
          <w:tcPr>
            <w:tcW w:w="6982" w:type="dxa"/>
            <w:tcBorders>
              <w:tl2br w:val="nil"/>
              <w:tr2bl w:val="nil"/>
            </w:tcBorders>
            <w:vAlign w:val="center"/>
          </w:tcPr>
          <w:p w14:paraId="48F44B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支持护工标本收集、送达管理，控制标本流向，TAT 送检预警及报警，护工工作量统计分析</w:t>
            </w:r>
          </w:p>
        </w:tc>
        <w:tc>
          <w:tcPr>
            <w:tcW w:w="870" w:type="dxa"/>
            <w:vMerge w:val="continue"/>
            <w:tcBorders>
              <w:tl2br w:val="nil"/>
              <w:tr2bl w:val="nil"/>
            </w:tcBorders>
            <w:noWrap/>
            <w:vAlign w:val="center"/>
          </w:tcPr>
          <w:p w14:paraId="66D4F80D">
            <w:pPr>
              <w:spacing w:line="360" w:lineRule="auto"/>
              <w:jc w:val="center"/>
              <w:rPr>
                <w:rFonts w:hint="eastAsia" w:ascii="宋体" w:hAnsi="宋体" w:cs="宋体"/>
                <w:color w:val="auto"/>
                <w:sz w:val="21"/>
                <w:szCs w:val="21"/>
                <w:highlight w:val="none"/>
              </w:rPr>
            </w:pPr>
          </w:p>
        </w:tc>
      </w:tr>
      <w:tr w14:paraId="1448CD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B21E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4.7.10</w:t>
            </w:r>
          </w:p>
        </w:tc>
        <w:tc>
          <w:tcPr>
            <w:tcW w:w="6982" w:type="dxa"/>
            <w:tcBorders>
              <w:tl2br w:val="nil"/>
              <w:tr2bl w:val="nil"/>
            </w:tcBorders>
            <w:vAlign w:val="center"/>
          </w:tcPr>
          <w:p w14:paraId="0BD68F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智能前处理工作站</w:t>
            </w:r>
          </w:p>
        </w:tc>
        <w:tc>
          <w:tcPr>
            <w:tcW w:w="870" w:type="dxa"/>
            <w:vMerge w:val="continue"/>
            <w:tcBorders>
              <w:tl2br w:val="nil"/>
              <w:tr2bl w:val="nil"/>
            </w:tcBorders>
            <w:noWrap/>
            <w:vAlign w:val="center"/>
          </w:tcPr>
          <w:p w14:paraId="1048863B">
            <w:pPr>
              <w:spacing w:line="360" w:lineRule="auto"/>
              <w:jc w:val="center"/>
              <w:rPr>
                <w:rFonts w:hint="eastAsia" w:ascii="宋体" w:hAnsi="宋体" w:cs="宋体"/>
                <w:color w:val="auto"/>
                <w:sz w:val="21"/>
                <w:szCs w:val="21"/>
                <w:highlight w:val="none"/>
              </w:rPr>
            </w:pPr>
          </w:p>
        </w:tc>
      </w:tr>
      <w:tr w14:paraId="4DD26B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365B2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4.7.10.1</w:t>
            </w:r>
          </w:p>
        </w:tc>
        <w:tc>
          <w:tcPr>
            <w:tcW w:w="6982" w:type="dxa"/>
            <w:tcBorders>
              <w:tl2br w:val="nil"/>
              <w:tr2bl w:val="nil"/>
            </w:tcBorders>
            <w:vAlign w:val="center"/>
          </w:tcPr>
          <w:p w14:paraId="54E91E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支持接收单元管理，扫描核收标本，不合格标本登记、拒收、退回互动，智能分配分类分样编号，自定义样本核查内容，时间轴展示全过程</w:t>
            </w:r>
          </w:p>
        </w:tc>
        <w:tc>
          <w:tcPr>
            <w:tcW w:w="870" w:type="dxa"/>
            <w:vMerge w:val="continue"/>
            <w:tcBorders>
              <w:tl2br w:val="nil"/>
              <w:tr2bl w:val="nil"/>
            </w:tcBorders>
            <w:noWrap/>
            <w:vAlign w:val="center"/>
          </w:tcPr>
          <w:p w14:paraId="562D6BD7">
            <w:pPr>
              <w:spacing w:line="360" w:lineRule="auto"/>
              <w:jc w:val="center"/>
              <w:rPr>
                <w:rFonts w:hint="eastAsia" w:ascii="宋体" w:hAnsi="宋体" w:cs="宋体"/>
                <w:color w:val="auto"/>
                <w:sz w:val="21"/>
                <w:szCs w:val="21"/>
                <w:highlight w:val="none"/>
              </w:rPr>
            </w:pPr>
          </w:p>
        </w:tc>
      </w:tr>
      <w:tr w14:paraId="2705DE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4582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4.7.11</w:t>
            </w:r>
          </w:p>
        </w:tc>
        <w:tc>
          <w:tcPr>
            <w:tcW w:w="6982" w:type="dxa"/>
            <w:tcBorders>
              <w:tl2br w:val="nil"/>
              <w:tr2bl w:val="nil"/>
            </w:tcBorders>
            <w:vAlign w:val="center"/>
          </w:tcPr>
          <w:p w14:paraId="1026A6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智能常规检验工作平台</w:t>
            </w:r>
          </w:p>
        </w:tc>
        <w:tc>
          <w:tcPr>
            <w:tcW w:w="870" w:type="dxa"/>
            <w:vMerge w:val="continue"/>
            <w:tcBorders>
              <w:tl2br w:val="nil"/>
              <w:tr2bl w:val="nil"/>
            </w:tcBorders>
            <w:noWrap/>
            <w:vAlign w:val="center"/>
          </w:tcPr>
          <w:p w14:paraId="00676C22">
            <w:pPr>
              <w:spacing w:line="360" w:lineRule="auto"/>
              <w:jc w:val="center"/>
              <w:rPr>
                <w:rFonts w:hint="eastAsia" w:ascii="宋体" w:hAnsi="宋体" w:cs="宋体"/>
                <w:color w:val="auto"/>
                <w:sz w:val="21"/>
                <w:szCs w:val="21"/>
                <w:highlight w:val="none"/>
              </w:rPr>
            </w:pPr>
          </w:p>
        </w:tc>
      </w:tr>
      <w:tr w14:paraId="255E6F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DB7DA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4.7.11.1</w:t>
            </w:r>
          </w:p>
        </w:tc>
        <w:tc>
          <w:tcPr>
            <w:tcW w:w="6982" w:type="dxa"/>
            <w:tcBorders>
              <w:tl2br w:val="nil"/>
              <w:tr2bl w:val="nil"/>
            </w:tcBorders>
            <w:vAlign w:val="center"/>
          </w:tcPr>
          <w:p w14:paraId="7E8220B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支持个性化设置、快速切换、信息录入 &amp; 编号、分析结果接收及手工数据录入、数据处理、个体样本与分组警示信息、数据分析及信息浏览、审核及报告、自动稀释及自动复查、流程管理、查询及单据</w:t>
            </w:r>
          </w:p>
        </w:tc>
        <w:tc>
          <w:tcPr>
            <w:tcW w:w="870" w:type="dxa"/>
            <w:vMerge w:val="continue"/>
            <w:tcBorders>
              <w:tl2br w:val="nil"/>
              <w:tr2bl w:val="nil"/>
            </w:tcBorders>
            <w:noWrap/>
            <w:vAlign w:val="center"/>
          </w:tcPr>
          <w:p w14:paraId="0A84BB05">
            <w:pPr>
              <w:spacing w:line="360" w:lineRule="auto"/>
              <w:jc w:val="center"/>
              <w:rPr>
                <w:rFonts w:hint="eastAsia" w:ascii="宋体" w:hAnsi="宋体" w:cs="宋体"/>
                <w:color w:val="auto"/>
                <w:sz w:val="21"/>
                <w:szCs w:val="21"/>
                <w:highlight w:val="none"/>
              </w:rPr>
            </w:pPr>
          </w:p>
        </w:tc>
      </w:tr>
      <w:tr w14:paraId="3A27FE9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542F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4.7.12</w:t>
            </w:r>
          </w:p>
        </w:tc>
        <w:tc>
          <w:tcPr>
            <w:tcW w:w="6982" w:type="dxa"/>
            <w:tcBorders>
              <w:tl2br w:val="nil"/>
              <w:tr2bl w:val="nil"/>
            </w:tcBorders>
            <w:vAlign w:val="center"/>
          </w:tcPr>
          <w:p w14:paraId="5EA8762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智能审核</w:t>
            </w:r>
          </w:p>
        </w:tc>
        <w:tc>
          <w:tcPr>
            <w:tcW w:w="870" w:type="dxa"/>
            <w:vMerge w:val="continue"/>
            <w:tcBorders>
              <w:tl2br w:val="nil"/>
              <w:tr2bl w:val="nil"/>
            </w:tcBorders>
            <w:noWrap/>
            <w:vAlign w:val="center"/>
          </w:tcPr>
          <w:p w14:paraId="3EF6067E">
            <w:pPr>
              <w:spacing w:line="360" w:lineRule="auto"/>
              <w:jc w:val="center"/>
              <w:rPr>
                <w:rFonts w:hint="eastAsia" w:ascii="宋体" w:hAnsi="宋体" w:cs="宋体"/>
                <w:color w:val="auto"/>
                <w:sz w:val="21"/>
                <w:szCs w:val="21"/>
                <w:highlight w:val="none"/>
              </w:rPr>
            </w:pPr>
          </w:p>
        </w:tc>
      </w:tr>
      <w:tr w14:paraId="506782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831BA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4.7.12.1</w:t>
            </w:r>
          </w:p>
        </w:tc>
        <w:tc>
          <w:tcPr>
            <w:tcW w:w="6982" w:type="dxa"/>
            <w:tcBorders>
              <w:tl2br w:val="nil"/>
              <w:tr2bl w:val="nil"/>
            </w:tcBorders>
            <w:vAlign w:val="center"/>
          </w:tcPr>
          <w:p w14:paraId="690134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通过管理页面统一管理检验审核规则，实现检验信息与规则自动匹配计算，形成自动拦截和提示</w:t>
            </w:r>
          </w:p>
        </w:tc>
        <w:tc>
          <w:tcPr>
            <w:tcW w:w="870" w:type="dxa"/>
            <w:vMerge w:val="continue"/>
            <w:tcBorders>
              <w:tl2br w:val="nil"/>
              <w:tr2bl w:val="nil"/>
            </w:tcBorders>
            <w:noWrap/>
            <w:vAlign w:val="center"/>
          </w:tcPr>
          <w:p w14:paraId="170D55A2">
            <w:pPr>
              <w:spacing w:line="360" w:lineRule="auto"/>
              <w:jc w:val="center"/>
              <w:rPr>
                <w:rFonts w:hint="eastAsia" w:ascii="宋体" w:hAnsi="宋体" w:cs="宋体"/>
                <w:color w:val="auto"/>
                <w:sz w:val="21"/>
                <w:szCs w:val="21"/>
                <w:highlight w:val="none"/>
              </w:rPr>
            </w:pPr>
          </w:p>
        </w:tc>
      </w:tr>
      <w:tr w14:paraId="0F97938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EDA95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4.7.13</w:t>
            </w:r>
          </w:p>
        </w:tc>
        <w:tc>
          <w:tcPr>
            <w:tcW w:w="6982" w:type="dxa"/>
            <w:tcBorders>
              <w:tl2br w:val="nil"/>
              <w:tr2bl w:val="nil"/>
            </w:tcBorders>
            <w:vAlign w:val="center"/>
          </w:tcPr>
          <w:p w14:paraId="340454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智能常规质控工作站</w:t>
            </w:r>
          </w:p>
        </w:tc>
        <w:tc>
          <w:tcPr>
            <w:tcW w:w="870" w:type="dxa"/>
            <w:vMerge w:val="continue"/>
            <w:tcBorders>
              <w:tl2br w:val="nil"/>
              <w:tr2bl w:val="nil"/>
            </w:tcBorders>
            <w:noWrap/>
            <w:vAlign w:val="center"/>
          </w:tcPr>
          <w:p w14:paraId="26693BBA">
            <w:pPr>
              <w:spacing w:line="360" w:lineRule="auto"/>
              <w:jc w:val="center"/>
              <w:rPr>
                <w:rFonts w:hint="eastAsia" w:ascii="宋体" w:hAnsi="宋体" w:cs="宋体"/>
                <w:color w:val="auto"/>
                <w:sz w:val="21"/>
                <w:szCs w:val="21"/>
                <w:highlight w:val="none"/>
              </w:rPr>
            </w:pPr>
          </w:p>
        </w:tc>
      </w:tr>
      <w:tr w14:paraId="2C0713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24380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4.7.13.1</w:t>
            </w:r>
          </w:p>
        </w:tc>
        <w:tc>
          <w:tcPr>
            <w:tcW w:w="6982" w:type="dxa"/>
            <w:tcBorders>
              <w:tl2br w:val="nil"/>
              <w:tr2bl w:val="nil"/>
            </w:tcBorders>
            <w:vAlign w:val="center"/>
          </w:tcPr>
          <w:p w14:paraId="35CA0C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支持平行试验、失控处理、质控报告流程化管理，支持多类质控、多种质控图、完整管理功能、常用质控报表、西格玛性能验证图、常用与自定义质控规则</w:t>
            </w:r>
          </w:p>
        </w:tc>
        <w:tc>
          <w:tcPr>
            <w:tcW w:w="870" w:type="dxa"/>
            <w:vMerge w:val="continue"/>
            <w:tcBorders>
              <w:tl2br w:val="nil"/>
              <w:tr2bl w:val="nil"/>
            </w:tcBorders>
            <w:noWrap/>
            <w:vAlign w:val="center"/>
          </w:tcPr>
          <w:p w14:paraId="29BD885A">
            <w:pPr>
              <w:spacing w:line="360" w:lineRule="auto"/>
              <w:jc w:val="center"/>
              <w:rPr>
                <w:rFonts w:hint="eastAsia" w:ascii="宋体" w:hAnsi="宋体" w:cs="宋体"/>
                <w:color w:val="auto"/>
                <w:sz w:val="21"/>
                <w:szCs w:val="21"/>
                <w:highlight w:val="none"/>
              </w:rPr>
            </w:pPr>
          </w:p>
        </w:tc>
      </w:tr>
      <w:tr w14:paraId="0174DE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E052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4.7.14</w:t>
            </w:r>
          </w:p>
        </w:tc>
        <w:tc>
          <w:tcPr>
            <w:tcW w:w="6982" w:type="dxa"/>
            <w:tcBorders>
              <w:tl2br w:val="nil"/>
              <w:tr2bl w:val="nil"/>
            </w:tcBorders>
            <w:vAlign w:val="center"/>
          </w:tcPr>
          <w:p w14:paraId="3014B4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智能微生物检验工作站</w:t>
            </w:r>
          </w:p>
        </w:tc>
        <w:tc>
          <w:tcPr>
            <w:tcW w:w="870" w:type="dxa"/>
            <w:vMerge w:val="continue"/>
            <w:tcBorders>
              <w:tl2br w:val="nil"/>
              <w:tr2bl w:val="nil"/>
            </w:tcBorders>
            <w:noWrap/>
            <w:vAlign w:val="center"/>
          </w:tcPr>
          <w:p w14:paraId="72B9BFCB">
            <w:pPr>
              <w:spacing w:line="360" w:lineRule="auto"/>
              <w:jc w:val="center"/>
              <w:rPr>
                <w:rFonts w:hint="eastAsia" w:ascii="宋体" w:hAnsi="宋体" w:cs="宋体"/>
                <w:color w:val="auto"/>
                <w:sz w:val="21"/>
                <w:szCs w:val="21"/>
                <w:highlight w:val="none"/>
              </w:rPr>
            </w:pPr>
          </w:p>
        </w:tc>
      </w:tr>
      <w:tr w14:paraId="5512944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0F60E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4.7.14.1</w:t>
            </w:r>
          </w:p>
        </w:tc>
        <w:tc>
          <w:tcPr>
            <w:tcW w:w="6982" w:type="dxa"/>
            <w:tcBorders>
              <w:tl2br w:val="nil"/>
              <w:tr2bl w:val="nil"/>
            </w:tcBorders>
            <w:vAlign w:val="center"/>
          </w:tcPr>
          <w:p w14:paraId="2E6EDC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涵盖微生物检验全过程管理，支持数据标准化、流程规范化、全程条码化、移动应用、智能化导引、分级报告、多途径结果回顾、危急值管理、临床互动、全过程监控、自动化设备集成、多系统融合、智能推导及专家系统、自我学习、分步计费</w:t>
            </w:r>
          </w:p>
        </w:tc>
        <w:tc>
          <w:tcPr>
            <w:tcW w:w="870" w:type="dxa"/>
            <w:vMerge w:val="continue"/>
            <w:tcBorders>
              <w:tl2br w:val="nil"/>
              <w:tr2bl w:val="nil"/>
            </w:tcBorders>
            <w:noWrap/>
            <w:vAlign w:val="center"/>
          </w:tcPr>
          <w:p w14:paraId="55ADBF06">
            <w:pPr>
              <w:spacing w:line="360" w:lineRule="auto"/>
              <w:jc w:val="center"/>
              <w:rPr>
                <w:rFonts w:hint="eastAsia" w:ascii="宋体" w:hAnsi="宋体" w:cs="宋体"/>
                <w:color w:val="auto"/>
                <w:sz w:val="21"/>
                <w:szCs w:val="21"/>
                <w:highlight w:val="none"/>
              </w:rPr>
            </w:pPr>
          </w:p>
        </w:tc>
      </w:tr>
      <w:tr w14:paraId="651467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DE100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4.7.15</w:t>
            </w:r>
          </w:p>
        </w:tc>
        <w:tc>
          <w:tcPr>
            <w:tcW w:w="6982" w:type="dxa"/>
            <w:tcBorders>
              <w:tl2br w:val="nil"/>
              <w:tr2bl w:val="nil"/>
            </w:tcBorders>
            <w:vAlign w:val="center"/>
          </w:tcPr>
          <w:p w14:paraId="24C72B7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危急值闭环管理系统</w:t>
            </w:r>
          </w:p>
        </w:tc>
        <w:tc>
          <w:tcPr>
            <w:tcW w:w="870" w:type="dxa"/>
            <w:vMerge w:val="continue"/>
            <w:tcBorders>
              <w:tl2br w:val="nil"/>
              <w:tr2bl w:val="nil"/>
            </w:tcBorders>
            <w:noWrap/>
            <w:vAlign w:val="center"/>
          </w:tcPr>
          <w:p w14:paraId="14AB7865">
            <w:pPr>
              <w:spacing w:line="360" w:lineRule="auto"/>
              <w:jc w:val="center"/>
              <w:rPr>
                <w:rFonts w:hint="eastAsia" w:ascii="宋体" w:hAnsi="宋体" w:cs="宋体"/>
                <w:color w:val="auto"/>
                <w:sz w:val="21"/>
                <w:szCs w:val="21"/>
                <w:highlight w:val="none"/>
              </w:rPr>
            </w:pPr>
          </w:p>
        </w:tc>
      </w:tr>
      <w:tr w14:paraId="47BC67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1C55E2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4.7.15.1</w:t>
            </w:r>
          </w:p>
        </w:tc>
        <w:tc>
          <w:tcPr>
            <w:tcW w:w="6982" w:type="dxa"/>
            <w:tcBorders>
              <w:tl2br w:val="nil"/>
              <w:tr2bl w:val="nil"/>
            </w:tcBorders>
            <w:vAlign w:val="center"/>
          </w:tcPr>
          <w:p w14:paraId="5B7754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危急值全过程闭环管理，多等级响应，门诊与体检集中回报，临床消息终端处理，完整时间记录，多维度危急值规则设置，周期性报告，多样化报告与接报模式，仪器自动预警，大屏幕与终端显示，多样化分析报表</w:t>
            </w:r>
          </w:p>
        </w:tc>
        <w:tc>
          <w:tcPr>
            <w:tcW w:w="870" w:type="dxa"/>
            <w:vMerge w:val="continue"/>
            <w:tcBorders>
              <w:tl2br w:val="nil"/>
              <w:tr2bl w:val="nil"/>
            </w:tcBorders>
            <w:noWrap/>
            <w:vAlign w:val="center"/>
          </w:tcPr>
          <w:p w14:paraId="7160DD18">
            <w:pPr>
              <w:spacing w:line="360" w:lineRule="auto"/>
              <w:jc w:val="center"/>
              <w:rPr>
                <w:rFonts w:hint="eastAsia" w:ascii="宋体" w:hAnsi="宋体" w:cs="宋体"/>
                <w:color w:val="auto"/>
                <w:sz w:val="21"/>
                <w:szCs w:val="21"/>
                <w:highlight w:val="none"/>
              </w:rPr>
            </w:pPr>
          </w:p>
        </w:tc>
      </w:tr>
      <w:tr w14:paraId="4E14F2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64C086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4.7.16</w:t>
            </w:r>
          </w:p>
        </w:tc>
        <w:tc>
          <w:tcPr>
            <w:tcW w:w="6982" w:type="dxa"/>
            <w:tcBorders>
              <w:tl2br w:val="nil"/>
              <w:tr2bl w:val="nil"/>
            </w:tcBorders>
            <w:vAlign w:val="center"/>
          </w:tcPr>
          <w:p w14:paraId="7316D0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智能报表平台</w:t>
            </w:r>
          </w:p>
        </w:tc>
        <w:tc>
          <w:tcPr>
            <w:tcW w:w="870" w:type="dxa"/>
            <w:vMerge w:val="continue"/>
            <w:tcBorders>
              <w:tl2br w:val="nil"/>
              <w:tr2bl w:val="nil"/>
            </w:tcBorders>
            <w:noWrap/>
            <w:vAlign w:val="center"/>
          </w:tcPr>
          <w:p w14:paraId="376916E2">
            <w:pPr>
              <w:spacing w:line="360" w:lineRule="auto"/>
              <w:jc w:val="center"/>
              <w:rPr>
                <w:rFonts w:hint="eastAsia" w:ascii="宋体" w:hAnsi="宋体" w:cs="宋体"/>
                <w:color w:val="auto"/>
                <w:sz w:val="21"/>
                <w:szCs w:val="21"/>
                <w:highlight w:val="none"/>
              </w:rPr>
            </w:pPr>
          </w:p>
        </w:tc>
      </w:tr>
      <w:tr w14:paraId="1B5F8C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ABC3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4.7.16.1</w:t>
            </w:r>
          </w:p>
        </w:tc>
        <w:tc>
          <w:tcPr>
            <w:tcW w:w="6982" w:type="dxa"/>
            <w:tcBorders>
              <w:tl2br w:val="nil"/>
              <w:tr2bl w:val="nil"/>
            </w:tcBorders>
            <w:vAlign w:val="center"/>
          </w:tcPr>
          <w:p w14:paraId="63FE71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 ISO15189 专业统计分析工具，类 Excel 设计器，支持报表内数据分析、条件保存、归档管理、报表库、自定义报表、多形式输出</w:t>
            </w:r>
          </w:p>
        </w:tc>
        <w:tc>
          <w:tcPr>
            <w:tcW w:w="870" w:type="dxa"/>
            <w:vMerge w:val="continue"/>
            <w:tcBorders>
              <w:tl2br w:val="nil"/>
              <w:tr2bl w:val="nil"/>
            </w:tcBorders>
            <w:noWrap/>
            <w:vAlign w:val="center"/>
          </w:tcPr>
          <w:p w14:paraId="0C981942">
            <w:pPr>
              <w:spacing w:line="360" w:lineRule="auto"/>
              <w:jc w:val="center"/>
              <w:rPr>
                <w:rFonts w:hint="eastAsia" w:ascii="宋体" w:hAnsi="宋体" w:cs="宋体"/>
                <w:color w:val="auto"/>
                <w:sz w:val="21"/>
                <w:szCs w:val="21"/>
                <w:highlight w:val="none"/>
              </w:rPr>
            </w:pPr>
          </w:p>
        </w:tc>
      </w:tr>
      <w:tr w14:paraId="5316A3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7870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4.7.17</w:t>
            </w:r>
          </w:p>
        </w:tc>
        <w:tc>
          <w:tcPr>
            <w:tcW w:w="6982" w:type="dxa"/>
            <w:tcBorders>
              <w:tl2br w:val="nil"/>
              <w:tr2bl w:val="nil"/>
            </w:tcBorders>
            <w:vAlign w:val="center"/>
          </w:tcPr>
          <w:p w14:paraId="35DCE1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智能检验专业质量指标统计与上报</w:t>
            </w:r>
          </w:p>
        </w:tc>
        <w:tc>
          <w:tcPr>
            <w:tcW w:w="870" w:type="dxa"/>
            <w:vMerge w:val="continue"/>
            <w:tcBorders>
              <w:tl2br w:val="nil"/>
              <w:tr2bl w:val="nil"/>
            </w:tcBorders>
            <w:noWrap/>
            <w:vAlign w:val="center"/>
          </w:tcPr>
          <w:p w14:paraId="6233B576">
            <w:pPr>
              <w:spacing w:line="360" w:lineRule="auto"/>
              <w:jc w:val="center"/>
              <w:rPr>
                <w:rFonts w:hint="eastAsia" w:ascii="宋体" w:hAnsi="宋体" w:cs="宋体"/>
                <w:color w:val="auto"/>
                <w:sz w:val="21"/>
                <w:szCs w:val="21"/>
                <w:highlight w:val="none"/>
              </w:rPr>
            </w:pPr>
          </w:p>
        </w:tc>
      </w:tr>
      <w:tr w14:paraId="1F1FF5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3F90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4.7.17.1</w:t>
            </w:r>
          </w:p>
        </w:tc>
        <w:tc>
          <w:tcPr>
            <w:tcW w:w="6982" w:type="dxa"/>
            <w:tcBorders>
              <w:tl2br w:val="nil"/>
              <w:tr2bl w:val="nil"/>
            </w:tcBorders>
            <w:vAlign w:val="center"/>
          </w:tcPr>
          <w:p w14:paraId="14B86A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支持质量指标分类管理、统计、上报，数据清洗，覆盖检验前中后及支持性过程指标，提供国家及省市标准库，支持机器人自动上报与接口上传</w:t>
            </w:r>
          </w:p>
        </w:tc>
        <w:tc>
          <w:tcPr>
            <w:tcW w:w="870" w:type="dxa"/>
            <w:vMerge w:val="continue"/>
            <w:tcBorders>
              <w:tl2br w:val="nil"/>
              <w:tr2bl w:val="nil"/>
            </w:tcBorders>
            <w:noWrap/>
            <w:vAlign w:val="center"/>
          </w:tcPr>
          <w:p w14:paraId="4AA6F5E8">
            <w:pPr>
              <w:spacing w:line="360" w:lineRule="auto"/>
              <w:jc w:val="center"/>
              <w:rPr>
                <w:rFonts w:hint="eastAsia" w:ascii="宋体" w:hAnsi="宋体" w:cs="宋体"/>
                <w:color w:val="auto"/>
                <w:sz w:val="21"/>
                <w:szCs w:val="21"/>
                <w:highlight w:val="none"/>
              </w:rPr>
            </w:pPr>
          </w:p>
        </w:tc>
      </w:tr>
      <w:tr w14:paraId="19D879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70A58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4.7.18</w:t>
            </w:r>
          </w:p>
        </w:tc>
        <w:tc>
          <w:tcPr>
            <w:tcW w:w="6982" w:type="dxa"/>
            <w:tcBorders>
              <w:tl2br w:val="nil"/>
              <w:tr2bl w:val="nil"/>
            </w:tcBorders>
            <w:vAlign w:val="center"/>
          </w:tcPr>
          <w:p w14:paraId="41151C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实验室可视化监控大屏</w:t>
            </w:r>
          </w:p>
        </w:tc>
        <w:tc>
          <w:tcPr>
            <w:tcW w:w="870" w:type="dxa"/>
            <w:vMerge w:val="continue"/>
            <w:tcBorders>
              <w:tl2br w:val="nil"/>
              <w:tr2bl w:val="nil"/>
            </w:tcBorders>
            <w:noWrap/>
            <w:vAlign w:val="center"/>
          </w:tcPr>
          <w:p w14:paraId="776010C0">
            <w:pPr>
              <w:spacing w:line="360" w:lineRule="auto"/>
              <w:jc w:val="center"/>
              <w:rPr>
                <w:rFonts w:hint="eastAsia" w:ascii="宋体" w:hAnsi="宋体" w:cs="宋体"/>
                <w:color w:val="auto"/>
                <w:sz w:val="21"/>
                <w:szCs w:val="21"/>
                <w:highlight w:val="none"/>
              </w:rPr>
            </w:pPr>
          </w:p>
        </w:tc>
      </w:tr>
      <w:tr w14:paraId="505A8A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8F785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4.7.18.1</w:t>
            </w:r>
          </w:p>
        </w:tc>
        <w:tc>
          <w:tcPr>
            <w:tcW w:w="6982" w:type="dxa"/>
            <w:tcBorders>
              <w:tl2br w:val="nil"/>
              <w:tr2bl w:val="nil"/>
            </w:tcBorders>
            <w:vAlign w:val="center"/>
          </w:tcPr>
          <w:p w14:paraId="3064FC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通过大屏幕监控报警警示，自定义监控内容与位置，多种报警形式，自定义屏幕显示内容</w:t>
            </w:r>
          </w:p>
        </w:tc>
        <w:tc>
          <w:tcPr>
            <w:tcW w:w="870" w:type="dxa"/>
            <w:vMerge w:val="continue"/>
            <w:tcBorders>
              <w:tl2br w:val="nil"/>
              <w:tr2bl w:val="nil"/>
            </w:tcBorders>
            <w:noWrap/>
            <w:vAlign w:val="center"/>
          </w:tcPr>
          <w:p w14:paraId="0584D590">
            <w:pPr>
              <w:spacing w:line="360" w:lineRule="auto"/>
              <w:jc w:val="center"/>
              <w:rPr>
                <w:rFonts w:hint="eastAsia" w:ascii="宋体" w:hAnsi="宋体" w:cs="宋体"/>
                <w:color w:val="auto"/>
                <w:sz w:val="21"/>
                <w:szCs w:val="21"/>
                <w:highlight w:val="none"/>
              </w:rPr>
            </w:pPr>
          </w:p>
        </w:tc>
      </w:tr>
      <w:tr w14:paraId="6E3D4F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22790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4.7.19</w:t>
            </w:r>
          </w:p>
        </w:tc>
        <w:tc>
          <w:tcPr>
            <w:tcW w:w="6982" w:type="dxa"/>
            <w:tcBorders>
              <w:tl2br w:val="nil"/>
              <w:tr2bl w:val="nil"/>
            </w:tcBorders>
            <w:vAlign w:val="center"/>
          </w:tcPr>
          <w:p w14:paraId="47193F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智慧实验室管理平台</w:t>
            </w:r>
          </w:p>
        </w:tc>
        <w:tc>
          <w:tcPr>
            <w:tcW w:w="870" w:type="dxa"/>
            <w:vMerge w:val="continue"/>
            <w:tcBorders>
              <w:tl2br w:val="nil"/>
              <w:tr2bl w:val="nil"/>
            </w:tcBorders>
            <w:noWrap/>
            <w:vAlign w:val="center"/>
          </w:tcPr>
          <w:p w14:paraId="7CB91CFF">
            <w:pPr>
              <w:spacing w:line="360" w:lineRule="auto"/>
              <w:jc w:val="center"/>
              <w:rPr>
                <w:rFonts w:hint="eastAsia" w:ascii="宋体" w:hAnsi="宋体" w:cs="宋体"/>
                <w:color w:val="auto"/>
                <w:sz w:val="21"/>
                <w:szCs w:val="21"/>
                <w:highlight w:val="none"/>
              </w:rPr>
            </w:pPr>
          </w:p>
        </w:tc>
      </w:tr>
      <w:tr w14:paraId="68F994C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4FAB1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4.7.19.1</w:t>
            </w:r>
          </w:p>
        </w:tc>
        <w:tc>
          <w:tcPr>
            <w:tcW w:w="6982" w:type="dxa"/>
            <w:tcBorders>
              <w:tl2br w:val="nil"/>
              <w:tr2bl w:val="nil"/>
            </w:tcBorders>
            <w:vAlign w:val="center"/>
          </w:tcPr>
          <w:p w14:paraId="7ACADE5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ISO15189 人员精益管理：以岗位为中心，记录电子化，人事档案，年度报告，数字中台，组织架构，定岗调岗轮岗，文档学习归档</w:t>
            </w:r>
          </w:p>
        </w:tc>
        <w:tc>
          <w:tcPr>
            <w:tcW w:w="870" w:type="dxa"/>
            <w:vMerge w:val="continue"/>
            <w:tcBorders>
              <w:tl2br w:val="nil"/>
              <w:tr2bl w:val="nil"/>
            </w:tcBorders>
            <w:noWrap/>
            <w:vAlign w:val="center"/>
          </w:tcPr>
          <w:p w14:paraId="72731F34">
            <w:pPr>
              <w:spacing w:line="360" w:lineRule="auto"/>
              <w:jc w:val="center"/>
              <w:rPr>
                <w:rFonts w:hint="eastAsia" w:ascii="宋体" w:hAnsi="宋体" w:cs="宋体"/>
                <w:color w:val="auto"/>
                <w:sz w:val="21"/>
                <w:szCs w:val="21"/>
                <w:highlight w:val="none"/>
              </w:rPr>
            </w:pPr>
          </w:p>
        </w:tc>
      </w:tr>
      <w:tr w14:paraId="485A167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2620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4.7.19.2</w:t>
            </w:r>
          </w:p>
        </w:tc>
        <w:tc>
          <w:tcPr>
            <w:tcW w:w="6982" w:type="dxa"/>
            <w:tcBorders>
              <w:tl2br w:val="nil"/>
              <w:tr2bl w:val="nil"/>
            </w:tcBorders>
            <w:vAlign w:val="center"/>
          </w:tcPr>
          <w:p w14:paraId="3C8BDC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档案中心：实现存档文件自动归档分类存储，涵盖业务、质量、实验室记录，支持工作站浏览打印下载</w:t>
            </w:r>
          </w:p>
        </w:tc>
        <w:tc>
          <w:tcPr>
            <w:tcW w:w="870" w:type="dxa"/>
            <w:vMerge w:val="continue"/>
            <w:tcBorders>
              <w:tl2br w:val="nil"/>
              <w:tr2bl w:val="nil"/>
            </w:tcBorders>
            <w:noWrap/>
            <w:vAlign w:val="center"/>
          </w:tcPr>
          <w:p w14:paraId="647ABE92">
            <w:pPr>
              <w:spacing w:line="360" w:lineRule="auto"/>
              <w:jc w:val="center"/>
              <w:rPr>
                <w:rFonts w:hint="eastAsia" w:ascii="宋体" w:hAnsi="宋体" w:cs="宋体"/>
                <w:color w:val="auto"/>
                <w:sz w:val="21"/>
                <w:szCs w:val="21"/>
                <w:highlight w:val="none"/>
              </w:rPr>
            </w:pPr>
          </w:p>
        </w:tc>
      </w:tr>
      <w:tr w14:paraId="6A2F7F9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E588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4.8</w:t>
            </w:r>
          </w:p>
        </w:tc>
        <w:tc>
          <w:tcPr>
            <w:tcW w:w="6982" w:type="dxa"/>
            <w:tcBorders>
              <w:tl2br w:val="nil"/>
              <w:tr2bl w:val="nil"/>
            </w:tcBorders>
            <w:vAlign w:val="center"/>
          </w:tcPr>
          <w:p w14:paraId="410D7D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PACS业务流程(升级)</w:t>
            </w:r>
          </w:p>
        </w:tc>
        <w:tc>
          <w:tcPr>
            <w:tcW w:w="870" w:type="dxa"/>
            <w:vMerge w:val="restart"/>
            <w:tcBorders>
              <w:tl2br w:val="nil"/>
              <w:tr2bl w:val="nil"/>
            </w:tcBorders>
            <w:noWrap/>
            <w:vAlign w:val="center"/>
          </w:tcPr>
          <w:p w14:paraId="0FEF4492">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5A0354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F257E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4.8.1</w:t>
            </w:r>
          </w:p>
        </w:tc>
        <w:tc>
          <w:tcPr>
            <w:tcW w:w="6982" w:type="dxa"/>
            <w:tcBorders>
              <w:tl2br w:val="nil"/>
              <w:tr2bl w:val="nil"/>
            </w:tcBorders>
            <w:vAlign w:val="center"/>
          </w:tcPr>
          <w:p w14:paraId="36A624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为适配新院区影像诊疗业务发展及环境变化需求，对PACS业务流程全面升级，重构业务流程，完成新老影像仪器对接，支持医技预约集成平台、放射管理系统、第三方集成服务、影像质控平台升级。</w:t>
            </w:r>
          </w:p>
        </w:tc>
        <w:tc>
          <w:tcPr>
            <w:tcW w:w="870" w:type="dxa"/>
            <w:vMerge w:val="continue"/>
            <w:tcBorders>
              <w:tl2br w:val="nil"/>
              <w:tr2bl w:val="nil"/>
            </w:tcBorders>
            <w:noWrap/>
            <w:vAlign w:val="center"/>
          </w:tcPr>
          <w:p w14:paraId="24EF3724">
            <w:pPr>
              <w:spacing w:line="360" w:lineRule="auto"/>
              <w:jc w:val="center"/>
              <w:rPr>
                <w:rFonts w:hint="eastAsia" w:ascii="宋体" w:hAnsi="宋体" w:cs="宋体"/>
                <w:color w:val="auto"/>
                <w:sz w:val="21"/>
                <w:szCs w:val="21"/>
                <w:highlight w:val="none"/>
              </w:rPr>
            </w:pPr>
          </w:p>
        </w:tc>
      </w:tr>
      <w:tr w14:paraId="40DABD4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8DDFF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w:t>
            </w:r>
          </w:p>
        </w:tc>
        <w:tc>
          <w:tcPr>
            <w:tcW w:w="6982" w:type="dxa"/>
            <w:tcBorders>
              <w:tl2br w:val="nil"/>
              <w:tr2bl w:val="nil"/>
            </w:tcBorders>
            <w:vAlign w:val="center"/>
          </w:tcPr>
          <w:p w14:paraId="11B16CD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心电管理系统（升级）</w:t>
            </w:r>
          </w:p>
        </w:tc>
        <w:tc>
          <w:tcPr>
            <w:tcW w:w="870" w:type="dxa"/>
            <w:vMerge w:val="restart"/>
            <w:tcBorders>
              <w:tl2br w:val="nil"/>
              <w:tr2bl w:val="nil"/>
            </w:tcBorders>
            <w:noWrap/>
            <w:vAlign w:val="center"/>
          </w:tcPr>
          <w:p w14:paraId="5359D37F">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A43961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70EDAA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4.9.1</w:t>
            </w:r>
          </w:p>
        </w:tc>
        <w:tc>
          <w:tcPr>
            <w:tcW w:w="6982" w:type="dxa"/>
            <w:tcBorders>
              <w:tl2br w:val="nil"/>
              <w:tr2bl w:val="nil"/>
            </w:tcBorders>
            <w:vAlign w:val="center"/>
          </w:tcPr>
          <w:p w14:paraId="006DE9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平台架构升级：从三层架构升级为云平台分布式微服务架构，业务与管理平台分离，统一精细化管理设备、人员、账号、接口，优化静息心电检查流程，提供新版本心电诊断客户端</w:t>
            </w:r>
          </w:p>
        </w:tc>
        <w:tc>
          <w:tcPr>
            <w:tcW w:w="870" w:type="dxa"/>
            <w:vMerge w:val="continue"/>
            <w:tcBorders>
              <w:tl2br w:val="nil"/>
              <w:tr2bl w:val="nil"/>
            </w:tcBorders>
            <w:noWrap/>
            <w:vAlign w:val="center"/>
          </w:tcPr>
          <w:p w14:paraId="4460A6E3">
            <w:pPr>
              <w:spacing w:line="360" w:lineRule="auto"/>
              <w:jc w:val="center"/>
              <w:rPr>
                <w:rFonts w:hint="eastAsia" w:ascii="宋体" w:hAnsi="宋体" w:cs="宋体"/>
                <w:color w:val="auto"/>
                <w:sz w:val="21"/>
                <w:szCs w:val="21"/>
                <w:highlight w:val="none"/>
              </w:rPr>
            </w:pPr>
          </w:p>
        </w:tc>
      </w:tr>
      <w:tr w14:paraId="27F9ABB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5DD8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4.9.2</w:t>
            </w:r>
          </w:p>
        </w:tc>
        <w:tc>
          <w:tcPr>
            <w:tcW w:w="6982" w:type="dxa"/>
            <w:tcBorders>
              <w:tl2br w:val="nil"/>
              <w:tr2bl w:val="nil"/>
            </w:tcBorders>
            <w:vAlign w:val="center"/>
          </w:tcPr>
          <w:p w14:paraId="5A5CC3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诊断中心升级 (三合一诊断端)</w:t>
            </w:r>
          </w:p>
        </w:tc>
        <w:tc>
          <w:tcPr>
            <w:tcW w:w="870" w:type="dxa"/>
            <w:vMerge w:val="continue"/>
            <w:tcBorders>
              <w:tl2br w:val="nil"/>
              <w:tr2bl w:val="nil"/>
            </w:tcBorders>
            <w:noWrap/>
            <w:vAlign w:val="center"/>
          </w:tcPr>
          <w:p w14:paraId="5D5A5C75">
            <w:pPr>
              <w:spacing w:line="360" w:lineRule="auto"/>
              <w:jc w:val="center"/>
              <w:rPr>
                <w:rFonts w:hint="eastAsia" w:ascii="宋体" w:hAnsi="宋体" w:cs="宋体"/>
                <w:color w:val="auto"/>
                <w:sz w:val="21"/>
                <w:szCs w:val="21"/>
                <w:highlight w:val="none"/>
              </w:rPr>
            </w:pPr>
          </w:p>
        </w:tc>
      </w:tr>
      <w:tr w14:paraId="759961B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4CB6C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4.9.2.1</w:t>
            </w:r>
          </w:p>
        </w:tc>
        <w:tc>
          <w:tcPr>
            <w:tcW w:w="6982" w:type="dxa"/>
            <w:tcBorders>
              <w:tl2br w:val="nil"/>
              <w:tr2bl w:val="nil"/>
            </w:tcBorders>
            <w:vAlign w:val="center"/>
          </w:tcPr>
          <w:p w14:paraId="01B6E8A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统一诊断功能：一套软件完成静息心电、动态心电、动态血压分析会诊，支持专业分析工具</w:t>
            </w:r>
          </w:p>
        </w:tc>
        <w:tc>
          <w:tcPr>
            <w:tcW w:w="870" w:type="dxa"/>
            <w:vMerge w:val="continue"/>
            <w:tcBorders>
              <w:tl2br w:val="nil"/>
              <w:tr2bl w:val="nil"/>
            </w:tcBorders>
            <w:noWrap/>
            <w:vAlign w:val="center"/>
          </w:tcPr>
          <w:p w14:paraId="403EFAE4">
            <w:pPr>
              <w:spacing w:line="360" w:lineRule="auto"/>
              <w:jc w:val="center"/>
              <w:rPr>
                <w:rFonts w:hint="eastAsia" w:ascii="宋体" w:hAnsi="宋体" w:cs="宋体"/>
                <w:color w:val="auto"/>
                <w:sz w:val="21"/>
                <w:szCs w:val="21"/>
                <w:highlight w:val="none"/>
              </w:rPr>
            </w:pPr>
          </w:p>
        </w:tc>
      </w:tr>
      <w:tr w14:paraId="1B0AFE9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A2F5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4.9.2.2</w:t>
            </w:r>
          </w:p>
        </w:tc>
        <w:tc>
          <w:tcPr>
            <w:tcW w:w="6982" w:type="dxa"/>
            <w:tcBorders>
              <w:tl2br w:val="nil"/>
              <w:tr2bl w:val="nil"/>
            </w:tcBorders>
            <w:vAlign w:val="center"/>
          </w:tcPr>
          <w:p w14:paraId="7C5405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强制审核模式，同屏显示报告列表和看图界面，波形标记注释，胸痛加急功能，标准诊断词条，高级软件应用，二维码传输原始数据，报告分享，动态心电自动分析，房颤与起搏检测，手机端多方式查看</w:t>
            </w:r>
          </w:p>
        </w:tc>
        <w:tc>
          <w:tcPr>
            <w:tcW w:w="870" w:type="dxa"/>
            <w:vMerge w:val="continue"/>
            <w:tcBorders>
              <w:tl2br w:val="nil"/>
              <w:tr2bl w:val="nil"/>
            </w:tcBorders>
            <w:noWrap/>
            <w:vAlign w:val="center"/>
          </w:tcPr>
          <w:p w14:paraId="6D8C680A">
            <w:pPr>
              <w:spacing w:line="360" w:lineRule="auto"/>
              <w:jc w:val="center"/>
              <w:rPr>
                <w:rFonts w:hint="eastAsia" w:ascii="宋体" w:hAnsi="宋体" w:cs="宋体"/>
                <w:color w:val="auto"/>
                <w:sz w:val="21"/>
                <w:szCs w:val="21"/>
                <w:highlight w:val="none"/>
              </w:rPr>
            </w:pPr>
          </w:p>
        </w:tc>
      </w:tr>
      <w:tr w14:paraId="7BEDC0F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82928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4.9.2.3</w:t>
            </w:r>
          </w:p>
        </w:tc>
        <w:tc>
          <w:tcPr>
            <w:tcW w:w="6982" w:type="dxa"/>
            <w:tcBorders>
              <w:tl2br w:val="nil"/>
              <w:tr2bl w:val="nil"/>
            </w:tcBorders>
            <w:vAlign w:val="center"/>
          </w:tcPr>
          <w:p w14:paraId="01F25E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质控分析功能：多维度建立心电质控指标，深度学习波形识别，智能识别心搏、心律失常、心梗、阵发性房颤</w:t>
            </w:r>
          </w:p>
        </w:tc>
        <w:tc>
          <w:tcPr>
            <w:tcW w:w="870" w:type="dxa"/>
            <w:vMerge w:val="continue"/>
            <w:tcBorders>
              <w:tl2br w:val="nil"/>
              <w:tr2bl w:val="nil"/>
            </w:tcBorders>
            <w:noWrap/>
            <w:vAlign w:val="center"/>
          </w:tcPr>
          <w:p w14:paraId="122A9A1D">
            <w:pPr>
              <w:spacing w:line="360" w:lineRule="auto"/>
              <w:jc w:val="center"/>
              <w:rPr>
                <w:rFonts w:hint="eastAsia" w:ascii="宋体" w:hAnsi="宋体" w:cs="宋体"/>
                <w:color w:val="auto"/>
                <w:sz w:val="21"/>
                <w:szCs w:val="21"/>
                <w:highlight w:val="none"/>
              </w:rPr>
            </w:pPr>
          </w:p>
        </w:tc>
      </w:tr>
      <w:tr w14:paraId="02CD02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2C3E6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4.9.3</w:t>
            </w:r>
          </w:p>
        </w:tc>
        <w:tc>
          <w:tcPr>
            <w:tcW w:w="6982" w:type="dxa"/>
            <w:tcBorders>
              <w:tl2br w:val="nil"/>
              <w:tr2bl w:val="nil"/>
            </w:tcBorders>
            <w:vAlign w:val="center"/>
          </w:tcPr>
          <w:p w14:paraId="07D430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检查客户端升级（院内和院外）</w:t>
            </w:r>
          </w:p>
        </w:tc>
        <w:tc>
          <w:tcPr>
            <w:tcW w:w="870" w:type="dxa"/>
            <w:vMerge w:val="continue"/>
            <w:tcBorders>
              <w:tl2br w:val="nil"/>
              <w:tr2bl w:val="nil"/>
            </w:tcBorders>
            <w:noWrap/>
            <w:vAlign w:val="center"/>
          </w:tcPr>
          <w:p w14:paraId="2872C150">
            <w:pPr>
              <w:spacing w:line="360" w:lineRule="auto"/>
              <w:jc w:val="center"/>
              <w:rPr>
                <w:rFonts w:hint="eastAsia" w:ascii="宋体" w:hAnsi="宋体" w:cs="宋体"/>
                <w:color w:val="auto"/>
                <w:sz w:val="21"/>
                <w:szCs w:val="21"/>
                <w:highlight w:val="none"/>
              </w:rPr>
            </w:pPr>
          </w:p>
        </w:tc>
      </w:tr>
      <w:tr w14:paraId="4BDFBC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23578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4.9.3.1</w:t>
            </w:r>
          </w:p>
        </w:tc>
        <w:tc>
          <w:tcPr>
            <w:tcW w:w="6982" w:type="dxa"/>
            <w:tcBorders>
              <w:tl2br w:val="nil"/>
              <w:tr2bl w:val="nil"/>
            </w:tcBorders>
            <w:vAlign w:val="center"/>
          </w:tcPr>
          <w:p w14:paraId="2C2E88C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静息心电业务：支持第三方心电采集设备接入，数字心电图机直接上传，无网络设备通过工作站连接上传</w:t>
            </w:r>
          </w:p>
        </w:tc>
        <w:tc>
          <w:tcPr>
            <w:tcW w:w="870" w:type="dxa"/>
            <w:vMerge w:val="continue"/>
            <w:tcBorders>
              <w:tl2br w:val="nil"/>
              <w:tr2bl w:val="nil"/>
            </w:tcBorders>
            <w:noWrap/>
            <w:vAlign w:val="center"/>
          </w:tcPr>
          <w:p w14:paraId="66511CA3">
            <w:pPr>
              <w:spacing w:line="360" w:lineRule="auto"/>
              <w:jc w:val="center"/>
              <w:rPr>
                <w:rFonts w:hint="eastAsia" w:ascii="宋体" w:hAnsi="宋体" w:cs="宋体"/>
                <w:color w:val="auto"/>
                <w:sz w:val="21"/>
                <w:szCs w:val="21"/>
                <w:highlight w:val="none"/>
              </w:rPr>
            </w:pPr>
          </w:p>
        </w:tc>
      </w:tr>
      <w:tr w14:paraId="7AF7289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D9A483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4.9.3.2</w:t>
            </w:r>
          </w:p>
        </w:tc>
        <w:tc>
          <w:tcPr>
            <w:tcW w:w="6982" w:type="dxa"/>
            <w:tcBorders>
              <w:tl2br w:val="nil"/>
              <w:tr2bl w:val="nil"/>
            </w:tcBorders>
            <w:vAlign w:val="center"/>
          </w:tcPr>
          <w:p w14:paraId="7212BD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动态心电业务：支持第三方动态心电报告归档上传，新设备部署客户端实现挂盒下盒与数据上传</w:t>
            </w:r>
          </w:p>
        </w:tc>
        <w:tc>
          <w:tcPr>
            <w:tcW w:w="870" w:type="dxa"/>
            <w:vMerge w:val="continue"/>
            <w:tcBorders>
              <w:tl2br w:val="nil"/>
              <w:tr2bl w:val="nil"/>
            </w:tcBorders>
            <w:noWrap/>
            <w:vAlign w:val="center"/>
          </w:tcPr>
          <w:p w14:paraId="3A9E7F69">
            <w:pPr>
              <w:spacing w:line="360" w:lineRule="auto"/>
              <w:jc w:val="center"/>
              <w:rPr>
                <w:rFonts w:hint="eastAsia" w:ascii="宋体" w:hAnsi="宋体" w:cs="宋体"/>
                <w:color w:val="auto"/>
                <w:sz w:val="21"/>
                <w:szCs w:val="21"/>
                <w:highlight w:val="none"/>
              </w:rPr>
            </w:pPr>
          </w:p>
        </w:tc>
      </w:tr>
      <w:tr w14:paraId="397DBFA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4AAD5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4.9.3.3</w:t>
            </w:r>
          </w:p>
        </w:tc>
        <w:tc>
          <w:tcPr>
            <w:tcW w:w="6982" w:type="dxa"/>
            <w:tcBorders>
              <w:tl2br w:val="nil"/>
              <w:tr2bl w:val="nil"/>
            </w:tcBorders>
            <w:vAlign w:val="center"/>
          </w:tcPr>
          <w:p w14:paraId="097686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电生理报告归档：支持数据自动获取、解析、重组、归档管理</w:t>
            </w:r>
          </w:p>
        </w:tc>
        <w:tc>
          <w:tcPr>
            <w:tcW w:w="870" w:type="dxa"/>
            <w:vMerge w:val="continue"/>
            <w:tcBorders>
              <w:tl2br w:val="nil"/>
              <w:tr2bl w:val="nil"/>
            </w:tcBorders>
            <w:noWrap/>
            <w:vAlign w:val="center"/>
          </w:tcPr>
          <w:p w14:paraId="3D82E251">
            <w:pPr>
              <w:spacing w:line="360" w:lineRule="auto"/>
              <w:jc w:val="center"/>
              <w:rPr>
                <w:rFonts w:hint="eastAsia" w:ascii="宋体" w:hAnsi="宋体" w:cs="宋体"/>
                <w:color w:val="auto"/>
                <w:sz w:val="21"/>
                <w:szCs w:val="21"/>
                <w:highlight w:val="none"/>
              </w:rPr>
            </w:pPr>
          </w:p>
        </w:tc>
      </w:tr>
      <w:tr w14:paraId="6536F5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0FA5D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4.9.4</w:t>
            </w:r>
          </w:p>
        </w:tc>
        <w:tc>
          <w:tcPr>
            <w:tcW w:w="6982" w:type="dxa"/>
            <w:tcBorders>
              <w:tl2br w:val="nil"/>
              <w:tr2bl w:val="nil"/>
            </w:tcBorders>
            <w:vAlign w:val="center"/>
          </w:tcPr>
          <w:p w14:paraId="41A8C7F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心电大数据展示</w:t>
            </w:r>
          </w:p>
        </w:tc>
        <w:tc>
          <w:tcPr>
            <w:tcW w:w="870" w:type="dxa"/>
            <w:vMerge w:val="continue"/>
            <w:tcBorders>
              <w:tl2br w:val="nil"/>
              <w:tr2bl w:val="nil"/>
            </w:tcBorders>
            <w:noWrap/>
            <w:vAlign w:val="center"/>
          </w:tcPr>
          <w:p w14:paraId="7CDFE440">
            <w:pPr>
              <w:spacing w:line="360" w:lineRule="auto"/>
              <w:jc w:val="center"/>
              <w:rPr>
                <w:rFonts w:hint="eastAsia" w:ascii="宋体" w:hAnsi="宋体" w:cs="宋体"/>
                <w:color w:val="auto"/>
                <w:sz w:val="21"/>
                <w:szCs w:val="21"/>
                <w:highlight w:val="none"/>
              </w:rPr>
            </w:pPr>
          </w:p>
        </w:tc>
      </w:tr>
      <w:tr w14:paraId="7BC5AA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B6925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4.9.4.1</w:t>
            </w:r>
          </w:p>
        </w:tc>
        <w:tc>
          <w:tcPr>
            <w:tcW w:w="6982" w:type="dxa"/>
            <w:tcBorders>
              <w:tl2br w:val="nil"/>
              <w:tr2bl w:val="nil"/>
            </w:tcBorders>
            <w:vAlign w:val="center"/>
          </w:tcPr>
          <w:p w14:paraId="35AE43E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建立心电数据中心，标准 HL7 格式存储共享，统一管理平台；数据监管平台基于 GIS 技术展示医疗资源、检查量、区域分布、机构排名、时效分析、自动诊断分级，支撑调度与远程会诊监管</w:t>
            </w:r>
          </w:p>
        </w:tc>
        <w:tc>
          <w:tcPr>
            <w:tcW w:w="870" w:type="dxa"/>
            <w:vMerge w:val="continue"/>
            <w:tcBorders>
              <w:tl2br w:val="nil"/>
              <w:tr2bl w:val="nil"/>
            </w:tcBorders>
            <w:noWrap/>
            <w:vAlign w:val="center"/>
          </w:tcPr>
          <w:p w14:paraId="674BF084">
            <w:pPr>
              <w:spacing w:line="360" w:lineRule="auto"/>
              <w:jc w:val="center"/>
              <w:rPr>
                <w:rFonts w:hint="eastAsia" w:ascii="宋体" w:hAnsi="宋体" w:cs="宋体"/>
                <w:color w:val="auto"/>
                <w:sz w:val="21"/>
                <w:szCs w:val="21"/>
                <w:highlight w:val="none"/>
              </w:rPr>
            </w:pPr>
          </w:p>
        </w:tc>
      </w:tr>
      <w:tr w14:paraId="0155E5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A022F5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w:t>
            </w:r>
          </w:p>
        </w:tc>
        <w:tc>
          <w:tcPr>
            <w:tcW w:w="6982" w:type="dxa"/>
            <w:tcBorders>
              <w:tl2br w:val="nil"/>
              <w:tr2bl w:val="nil"/>
            </w:tcBorders>
            <w:vAlign w:val="center"/>
          </w:tcPr>
          <w:p w14:paraId="3E28B5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输血管理系统 (升级)</w:t>
            </w:r>
          </w:p>
        </w:tc>
        <w:tc>
          <w:tcPr>
            <w:tcW w:w="870" w:type="dxa"/>
            <w:vMerge w:val="restart"/>
            <w:tcBorders>
              <w:tl2br w:val="nil"/>
              <w:tr2bl w:val="nil"/>
            </w:tcBorders>
            <w:noWrap/>
            <w:vAlign w:val="center"/>
          </w:tcPr>
          <w:p w14:paraId="1FE3C1F4">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68E8F2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B86D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4.10.1</w:t>
            </w:r>
          </w:p>
        </w:tc>
        <w:tc>
          <w:tcPr>
            <w:tcW w:w="6982" w:type="dxa"/>
            <w:tcBorders>
              <w:tl2br w:val="nil"/>
              <w:tr2bl w:val="nil"/>
            </w:tcBorders>
            <w:vAlign w:val="center"/>
          </w:tcPr>
          <w:p w14:paraId="7C1951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为适配医院临床输血业务规范化发展需求，全面升级改造，优化全流程，实现无纸化，保障临床输血安全</w:t>
            </w:r>
          </w:p>
        </w:tc>
        <w:tc>
          <w:tcPr>
            <w:tcW w:w="870" w:type="dxa"/>
            <w:vMerge w:val="continue"/>
            <w:tcBorders>
              <w:tl2br w:val="nil"/>
              <w:tr2bl w:val="nil"/>
            </w:tcBorders>
            <w:noWrap/>
            <w:vAlign w:val="center"/>
          </w:tcPr>
          <w:p w14:paraId="358899A9">
            <w:pPr>
              <w:spacing w:line="360" w:lineRule="auto"/>
              <w:jc w:val="center"/>
              <w:rPr>
                <w:rFonts w:hint="eastAsia" w:ascii="宋体" w:hAnsi="宋体" w:cs="宋体"/>
                <w:color w:val="auto"/>
                <w:sz w:val="21"/>
                <w:szCs w:val="21"/>
                <w:highlight w:val="none"/>
              </w:rPr>
            </w:pPr>
          </w:p>
        </w:tc>
      </w:tr>
      <w:tr w14:paraId="5A45AC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0E21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4.10.2</w:t>
            </w:r>
          </w:p>
        </w:tc>
        <w:tc>
          <w:tcPr>
            <w:tcW w:w="6982" w:type="dxa"/>
            <w:tcBorders>
              <w:tl2br w:val="nil"/>
              <w:tr2bl w:val="nil"/>
            </w:tcBorders>
            <w:vAlign w:val="center"/>
          </w:tcPr>
          <w:p w14:paraId="206268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多院区模式升级暨 “一院两区” 模式建设</w:t>
            </w:r>
          </w:p>
        </w:tc>
        <w:tc>
          <w:tcPr>
            <w:tcW w:w="870" w:type="dxa"/>
            <w:vMerge w:val="continue"/>
            <w:tcBorders>
              <w:tl2br w:val="nil"/>
              <w:tr2bl w:val="nil"/>
            </w:tcBorders>
            <w:noWrap/>
            <w:vAlign w:val="center"/>
          </w:tcPr>
          <w:p w14:paraId="124DC433">
            <w:pPr>
              <w:spacing w:line="360" w:lineRule="auto"/>
              <w:jc w:val="center"/>
              <w:rPr>
                <w:rFonts w:hint="eastAsia" w:ascii="宋体" w:hAnsi="宋体" w:cs="宋体"/>
                <w:color w:val="auto"/>
                <w:sz w:val="21"/>
                <w:szCs w:val="21"/>
                <w:highlight w:val="none"/>
              </w:rPr>
            </w:pPr>
          </w:p>
        </w:tc>
      </w:tr>
      <w:tr w14:paraId="0146DD7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3EA85A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4.10.2.1</w:t>
            </w:r>
          </w:p>
        </w:tc>
        <w:tc>
          <w:tcPr>
            <w:tcW w:w="6982" w:type="dxa"/>
            <w:tcBorders>
              <w:tl2br w:val="nil"/>
              <w:tr2bl w:val="nil"/>
            </w:tcBorders>
            <w:vAlign w:val="center"/>
          </w:tcPr>
          <w:p w14:paraId="79CF5AC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新院输血系统实施部署培训上线，现有输血系统同库改造，实现多院区数据互联、用血转移及血液资源共享</w:t>
            </w:r>
          </w:p>
        </w:tc>
        <w:tc>
          <w:tcPr>
            <w:tcW w:w="870" w:type="dxa"/>
            <w:vMerge w:val="continue"/>
            <w:tcBorders>
              <w:tl2br w:val="nil"/>
              <w:tr2bl w:val="nil"/>
            </w:tcBorders>
            <w:noWrap/>
            <w:vAlign w:val="center"/>
          </w:tcPr>
          <w:p w14:paraId="5B7C53F5">
            <w:pPr>
              <w:spacing w:line="360" w:lineRule="auto"/>
              <w:jc w:val="center"/>
              <w:rPr>
                <w:rFonts w:hint="eastAsia" w:ascii="宋体" w:hAnsi="宋体" w:cs="宋体"/>
                <w:color w:val="auto"/>
                <w:sz w:val="21"/>
                <w:szCs w:val="21"/>
                <w:highlight w:val="none"/>
              </w:rPr>
            </w:pPr>
          </w:p>
        </w:tc>
      </w:tr>
      <w:tr w14:paraId="096C51F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FBED6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w:t>
            </w:r>
          </w:p>
        </w:tc>
        <w:tc>
          <w:tcPr>
            <w:tcW w:w="6982" w:type="dxa"/>
            <w:tcBorders>
              <w:tl2br w:val="nil"/>
              <w:tr2bl w:val="nil"/>
            </w:tcBorders>
            <w:vAlign w:val="center"/>
          </w:tcPr>
          <w:p w14:paraId="319F059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业务升级功能</w:t>
            </w:r>
          </w:p>
        </w:tc>
        <w:tc>
          <w:tcPr>
            <w:tcW w:w="870" w:type="dxa"/>
            <w:vMerge w:val="continue"/>
            <w:tcBorders>
              <w:tl2br w:val="nil"/>
              <w:tr2bl w:val="nil"/>
            </w:tcBorders>
            <w:noWrap/>
            <w:vAlign w:val="center"/>
          </w:tcPr>
          <w:p w14:paraId="420C5222">
            <w:pPr>
              <w:spacing w:line="360" w:lineRule="auto"/>
              <w:jc w:val="center"/>
              <w:rPr>
                <w:rFonts w:hint="eastAsia" w:ascii="宋体" w:hAnsi="宋体" w:cs="宋体"/>
                <w:color w:val="auto"/>
                <w:sz w:val="21"/>
                <w:szCs w:val="21"/>
                <w:highlight w:val="none"/>
              </w:rPr>
            </w:pPr>
          </w:p>
        </w:tc>
      </w:tr>
      <w:tr w14:paraId="1AEB64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AB0F3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4.10.3.1</w:t>
            </w:r>
          </w:p>
        </w:tc>
        <w:tc>
          <w:tcPr>
            <w:tcW w:w="6982" w:type="dxa"/>
            <w:tcBorders>
              <w:tl2br w:val="nil"/>
              <w:tr2bl w:val="nil"/>
            </w:tcBorders>
            <w:vAlign w:val="center"/>
          </w:tcPr>
          <w:p w14:paraId="1B1611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血液调拨：支持多院区血液调拨</w:t>
            </w:r>
          </w:p>
        </w:tc>
        <w:tc>
          <w:tcPr>
            <w:tcW w:w="870" w:type="dxa"/>
            <w:vMerge w:val="continue"/>
            <w:tcBorders>
              <w:tl2br w:val="nil"/>
              <w:tr2bl w:val="nil"/>
            </w:tcBorders>
            <w:noWrap/>
            <w:vAlign w:val="center"/>
          </w:tcPr>
          <w:p w14:paraId="7CC1B806">
            <w:pPr>
              <w:spacing w:line="360" w:lineRule="auto"/>
              <w:jc w:val="center"/>
              <w:rPr>
                <w:rFonts w:hint="eastAsia" w:ascii="宋体" w:hAnsi="宋体" w:cs="宋体"/>
                <w:color w:val="auto"/>
                <w:sz w:val="21"/>
                <w:szCs w:val="21"/>
                <w:highlight w:val="none"/>
              </w:rPr>
            </w:pPr>
          </w:p>
        </w:tc>
      </w:tr>
      <w:tr w14:paraId="076A83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84B84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4.10.3.2</w:t>
            </w:r>
          </w:p>
        </w:tc>
        <w:tc>
          <w:tcPr>
            <w:tcW w:w="6982" w:type="dxa"/>
            <w:tcBorders>
              <w:tl2br w:val="nil"/>
              <w:tr2bl w:val="nil"/>
            </w:tcBorders>
            <w:vAlign w:val="center"/>
          </w:tcPr>
          <w:p w14:paraId="78AA2A3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申请转移：支持用血申请院区间转移</w:t>
            </w:r>
          </w:p>
        </w:tc>
        <w:tc>
          <w:tcPr>
            <w:tcW w:w="870" w:type="dxa"/>
            <w:vMerge w:val="continue"/>
            <w:tcBorders>
              <w:tl2br w:val="nil"/>
              <w:tr2bl w:val="nil"/>
            </w:tcBorders>
            <w:noWrap/>
            <w:vAlign w:val="center"/>
          </w:tcPr>
          <w:p w14:paraId="5C3D600B">
            <w:pPr>
              <w:spacing w:line="360" w:lineRule="auto"/>
              <w:jc w:val="center"/>
              <w:rPr>
                <w:rFonts w:hint="eastAsia" w:ascii="宋体" w:hAnsi="宋体" w:cs="宋体"/>
                <w:color w:val="auto"/>
                <w:sz w:val="21"/>
                <w:szCs w:val="21"/>
                <w:highlight w:val="none"/>
              </w:rPr>
            </w:pPr>
          </w:p>
        </w:tc>
      </w:tr>
      <w:tr w14:paraId="48745E7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847B58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4.10.3.3</w:t>
            </w:r>
          </w:p>
        </w:tc>
        <w:tc>
          <w:tcPr>
            <w:tcW w:w="6982" w:type="dxa"/>
            <w:tcBorders>
              <w:tl2br w:val="nil"/>
              <w:tr2bl w:val="nil"/>
            </w:tcBorders>
            <w:vAlign w:val="center"/>
          </w:tcPr>
          <w:p w14:paraId="11E7B6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输血驾驶舱：展示输注超时、未发血、输血反应、血液近效期预警、急救用血</w:t>
            </w:r>
          </w:p>
        </w:tc>
        <w:tc>
          <w:tcPr>
            <w:tcW w:w="870" w:type="dxa"/>
            <w:vMerge w:val="continue"/>
            <w:tcBorders>
              <w:tl2br w:val="nil"/>
              <w:tr2bl w:val="nil"/>
            </w:tcBorders>
            <w:noWrap/>
            <w:vAlign w:val="center"/>
          </w:tcPr>
          <w:p w14:paraId="49C2E3B6">
            <w:pPr>
              <w:spacing w:line="360" w:lineRule="auto"/>
              <w:jc w:val="center"/>
              <w:rPr>
                <w:rFonts w:hint="eastAsia" w:ascii="宋体" w:hAnsi="宋体" w:cs="宋体"/>
                <w:color w:val="auto"/>
                <w:sz w:val="21"/>
                <w:szCs w:val="21"/>
                <w:highlight w:val="none"/>
              </w:rPr>
            </w:pPr>
          </w:p>
        </w:tc>
      </w:tr>
      <w:tr w14:paraId="37C0A8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D0669B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4.10.3.4</w:t>
            </w:r>
          </w:p>
        </w:tc>
        <w:tc>
          <w:tcPr>
            <w:tcW w:w="6982" w:type="dxa"/>
            <w:tcBorders>
              <w:tl2br w:val="nil"/>
              <w:tr2bl w:val="nil"/>
            </w:tcBorders>
            <w:vAlign w:val="center"/>
          </w:tcPr>
          <w:p w14:paraId="3B275D5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术中用血一致性：自动生成报表核对一致性</w:t>
            </w:r>
          </w:p>
        </w:tc>
        <w:tc>
          <w:tcPr>
            <w:tcW w:w="870" w:type="dxa"/>
            <w:vMerge w:val="continue"/>
            <w:tcBorders>
              <w:tl2br w:val="nil"/>
              <w:tr2bl w:val="nil"/>
            </w:tcBorders>
            <w:noWrap/>
            <w:vAlign w:val="center"/>
          </w:tcPr>
          <w:p w14:paraId="04102C74">
            <w:pPr>
              <w:spacing w:line="360" w:lineRule="auto"/>
              <w:jc w:val="center"/>
              <w:rPr>
                <w:rFonts w:hint="eastAsia" w:ascii="宋体" w:hAnsi="宋体" w:cs="宋体"/>
                <w:color w:val="auto"/>
                <w:sz w:val="21"/>
                <w:szCs w:val="21"/>
                <w:highlight w:val="none"/>
              </w:rPr>
            </w:pPr>
          </w:p>
        </w:tc>
      </w:tr>
      <w:tr w14:paraId="1AF610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1574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4.10.3.5</w:t>
            </w:r>
          </w:p>
        </w:tc>
        <w:tc>
          <w:tcPr>
            <w:tcW w:w="6982" w:type="dxa"/>
            <w:tcBorders>
              <w:tl2br w:val="nil"/>
              <w:tr2bl w:val="nil"/>
            </w:tcBorders>
            <w:vAlign w:val="center"/>
          </w:tcPr>
          <w:p w14:paraId="46DD0DA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计费失败提醒：支持一键重发计费申请</w:t>
            </w:r>
          </w:p>
        </w:tc>
        <w:tc>
          <w:tcPr>
            <w:tcW w:w="870" w:type="dxa"/>
            <w:vMerge w:val="continue"/>
            <w:tcBorders>
              <w:tl2br w:val="nil"/>
              <w:tr2bl w:val="nil"/>
            </w:tcBorders>
            <w:noWrap/>
            <w:vAlign w:val="center"/>
          </w:tcPr>
          <w:p w14:paraId="0DDF28DD">
            <w:pPr>
              <w:spacing w:line="360" w:lineRule="auto"/>
              <w:jc w:val="center"/>
              <w:rPr>
                <w:rFonts w:hint="eastAsia" w:ascii="宋体" w:hAnsi="宋体" w:cs="宋体"/>
                <w:color w:val="auto"/>
                <w:sz w:val="21"/>
                <w:szCs w:val="21"/>
                <w:highlight w:val="none"/>
              </w:rPr>
            </w:pPr>
          </w:p>
        </w:tc>
      </w:tr>
      <w:tr w14:paraId="35775D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A640B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4.10.3.6</w:t>
            </w:r>
          </w:p>
        </w:tc>
        <w:tc>
          <w:tcPr>
            <w:tcW w:w="6982" w:type="dxa"/>
            <w:tcBorders>
              <w:tl2br w:val="nil"/>
              <w:tr2bl w:val="nil"/>
            </w:tcBorders>
            <w:vAlign w:val="center"/>
          </w:tcPr>
          <w:p w14:paraId="115680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输血不良反应改造：支持护理、临床、输血科、医务科消息联动</w:t>
            </w:r>
          </w:p>
        </w:tc>
        <w:tc>
          <w:tcPr>
            <w:tcW w:w="870" w:type="dxa"/>
            <w:vMerge w:val="continue"/>
            <w:tcBorders>
              <w:tl2br w:val="nil"/>
              <w:tr2bl w:val="nil"/>
            </w:tcBorders>
            <w:noWrap/>
            <w:vAlign w:val="center"/>
          </w:tcPr>
          <w:p w14:paraId="56424814">
            <w:pPr>
              <w:spacing w:line="360" w:lineRule="auto"/>
              <w:jc w:val="center"/>
              <w:rPr>
                <w:rFonts w:hint="eastAsia" w:ascii="宋体" w:hAnsi="宋体" w:cs="宋体"/>
                <w:color w:val="auto"/>
                <w:sz w:val="21"/>
                <w:szCs w:val="21"/>
                <w:highlight w:val="none"/>
              </w:rPr>
            </w:pPr>
          </w:p>
        </w:tc>
      </w:tr>
      <w:tr w14:paraId="7B406A1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AEA17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4.10.3.7</w:t>
            </w:r>
          </w:p>
        </w:tc>
        <w:tc>
          <w:tcPr>
            <w:tcW w:w="6982" w:type="dxa"/>
            <w:tcBorders>
              <w:tl2br w:val="nil"/>
              <w:tr2bl w:val="nil"/>
            </w:tcBorders>
            <w:vAlign w:val="center"/>
          </w:tcPr>
          <w:p w14:paraId="0AB9885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检测优化：支持同一患者按发血时间排序检验，显示最后报告时间</w:t>
            </w:r>
          </w:p>
        </w:tc>
        <w:tc>
          <w:tcPr>
            <w:tcW w:w="870" w:type="dxa"/>
            <w:vMerge w:val="continue"/>
            <w:tcBorders>
              <w:tl2br w:val="nil"/>
              <w:tr2bl w:val="nil"/>
            </w:tcBorders>
            <w:noWrap/>
            <w:vAlign w:val="center"/>
          </w:tcPr>
          <w:p w14:paraId="5DD828A7">
            <w:pPr>
              <w:spacing w:line="360" w:lineRule="auto"/>
              <w:jc w:val="center"/>
              <w:rPr>
                <w:rFonts w:hint="eastAsia" w:ascii="宋体" w:hAnsi="宋体" w:cs="宋体"/>
                <w:color w:val="auto"/>
                <w:sz w:val="21"/>
                <w:szCs w:val="21"/>
                <w:highlight w:val="none"/>
              </w:rPr>
            </w:pPr>
          </w:p>
        </w:tc>
      </w:tr>
      <w:tr w14:paraId="3259EC4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0608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4.10.3.8</w:t>
            </w:r>
          </w:p>
        </w:tc>
        <w:tc>
          <w:tcPr>
            <w:tcW w:w="6982" w:type="dxa"/>
            <w:tcBorders>
              <w:tl2br w:val="nil"/>
              <w:tr2bl w:val="nil"/>
            </w:tcBorders>
            <w:vAlign w:val="center"/>
          </w:tcPr>
          <w:p w14:paraId="0FFA559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护理血袋销毁：支持护理销毁血袋，输血科提醒查询</w:t>
            </w:r>
          </w:p>
        </w:tc>
        <w:tc>
          <w:tcPr>
            <w:tcW w:w="870" w:type="dxa"/>
            <w:vMerge w:val="continue"/>
            <w:tcBorders>
              <w:tl2br w:val="nil"/>
              <w:tr2bl w:val="nil"/>
            </w:tcBorders>
            <w:noWrap/>
            <w:vAlign w:val="center"/>
          </w:tcPr>
          <w:p w14:paraId="18CD0C74">
            <w:pPr>
              <w:spacing w:line="360" w:lineRule="auto"/>
              <w:jc w:val="center"/>
              <w:rPr>
                <w:rFonts w:hint="eastAsia" w:ascii="宋体" w:hAnsi="宋体" w:cs="宋体"/>
                <w:color w:val="auto"/>
                <w:sz w:val="21"/>
                <w:szCs w:val="21"/>
                <w:highlight w:val="none"/>
              </w:rPr>
            </w:pPr>
          </w:p>
        </w:tc>
      </w:tr>
      <w:tr w14:paraId="51F2D6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3F406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4.10.3.9</w:t>
            </w:r>
          </w:p>
        </w:tc>
        <w:tc>
          <w:tcPr>
            <w:tcW w:w="6982" w:type="dxa"/>
            <w:tcBorders>
              <w:tl2br w:val="nil"/>
              <w:tr2bl w:val="nil"/>
            </w:tcBorders>
            <w:vAlign w:val="center"/>
          </w:tcPr>
          <w:p w14:paraId="4EEA37D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核查标本效期：血液出库核对配血标本效期，超出 3 天提醒</w:t>
            </w:r>
          </w:p>
        </w:tc>
        <w:tc>
          <w:tcPr>
            <w:tcW w:w="870" w:type="dxa"/>
            <w:vMerge w:val="continue"/>
            <w:tcBorders>
              <w:tl2br w:val="nil"/>
              <w:tr2bl w:val="nil"/>
            </w:tcBorders>
            <w:noWrap/>
            <w:vAlign w:val="center"/>
          </w:tcPr>
          <w:p w14:paraId="6A3E8AEF">
            <w:pPr>
              <w:spacing w:line="360" w:lineRule="auto"/>
              <w:jc w:val="center"/>
              <w:rPr>
                <w:rFonts w:hint="eastAsia" w:ascii="宋体" w:hAnsi="宋体" w:cs="宋体"/>
                <w:color w:val="auto"/>
                <w:sz w:val="21"/>
                <w:szCs w:val="21"/>
                <w:highlight w:val="none"/>
              </w:rPr>
            </w:pPr>
          </w:p>
        </w:tc>
      </w:tr>
      <w:tr w14:paraId="778EA8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2CB7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4.10.3.10</w:t>
            </w:r>
          </w:p>
        </w:tc>
        <w:tc>
          <w:tcPr>
            <w:tcW w:w="6982" w:type="dxa"/>
            <w:tcBorders>
              <w:tl2br w:val="nil"/>
              <w:tr2bl w:val="nil"/>
            </w:tcBorders>
            <w:vAlign w:val="center"/>
          </w:tcPr>
          <w:p w14:paraId="50B6B8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单采治疗优化：按要求完成模板调整</w:t>
            </w:r>
          </w:p>
        </w:tc>
        <w:tc>
          <w:tcPr>
            <w:tcW w:w="870" w:type="dxa"/>
            <w:vMerge w:val="continue"/>
            <w:tcBorders>
              <w:tl2br w:val="nil"/>
              <w:tr2bl w:val="nil"/>
            </w:tcBorders>
            <w:noWrap/>
            <w:vAlign w:val="center"/>
          </w:tcPr>
          <w:p w14:paraId="4D484E3E">
            <w:pPr>
              <w:spacing w:line="360" w:lineRule="auto"/>
              <w:jc w:val="center"/>
              <w:rPr>
                <w:rFonts w:hint="eastAsia" w:ascii="宋体" w:hAnsi="宋体" w:cs="宋体"/>
                <w:color w:val="auto"/>
                <w:sz w:val="21"/>
                <w:szCs w:val="21"/>
                <w:highlight w:val="none"/>
              </w:rPr>
            </w:pPr>
          </w:p>
        </w:tc>
      </w:tr>
      <w:tr w14:paraId="3DC6D4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3AAF2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w:t>
            </w:r>
          </w:p>
        </w:tc>
        <w:tc>
          <w:tcPr>
            <w:tcW w:w="6982" w:type="dxa"/>
            <w:tcBorders>
              <w:tl2br w:val="nil"/>
              <w:tr2bl w:val="nil"/>
            </w:tcBorders>
            <w:vAlign w:val="center"/>
          </w:tcPr>
          <w:p w14:paraId="4D9F81E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输血系统功能模块</w:t>
            </w:r>
          </w:p>
        </w:tc>
        <w:tc>
          <w:tcPr>
            <w:tcW w:w="870" w:type="dxa"/>
            <w:vMerge w:val="continue"/>
            <w:tcBorders>
              <w:tl2br w:val="nil"/>
              <w:tr2bl w:val="nil"/>
            </w:tcBorders>
            <w:noWrap/>
            <w:vAlign w:val="center"/>
          </w:tcPr>
          <w:p w14:paraId="468D318F">
            <w:pPr>
              <w:spacing w:line="360" w:lineRule="auto"/>
              <w:jc w:val="center"/>
              <w:rPr>
                <w:rFonts w:hint="eastAsia" w:ascii="宋体" w:hAnsi="宋体" w:cs="宋体"/>
                <w:color w:val="auto"/>
                <w:sz w:val="21"/>
                <w:szCs w:val="21"/>
                <w:highlight w:val="none"/>
              </w:rPr>
            </w:pPr>
          </w:p>
        </w:tc>
      </w:tr>
      <w:tr w14:paraId="10E3225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AD4E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4.10.4.1</w:t>
            </w:r>
          </w:p>
        </w:tc>
        <w:tc>
          <w:tcPr>
            <w:tcW w:w="6982" w:type="dxa"/>
            <w:tcBorders>
              <w:tl2br w:val="nil"/>
              <w:tr2bl w:val="nil"/>
            </w:tcBorders>
            <w:vAlign w:val="center"/>
          </w:tcPr>
          <w:p w14:paraId="25BD88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输血科工作站：标本送达、接收、检测、血液入库、核对、血型复核、效期预警、申请审核、交叉配血、预出库、发血、报废、血袋回收、退血、费用、统计查询、报表管理</w:t>
            </w:r>
          </w:p>
        </w:tc>
        <w:tc>
          <w:tcPr>
            <w:tcW w:w="870" w:type="dxa"/>
            <w:vMerge w:val="continue"/>
            <w:tcBorders>
              <w:tl2br w:val="nil"/>
              <w:tr2bl w:val="nil"/>
            </w:tcBorders>
            <w:noWrap/>
            <w:vAlign w:val="center"/>
          </w:tcPr>
          <w:p w14:paraId="15B0271B">
            <w:pPr>
              <w:spacing w:line="360" w:lineRule="auto"/>
              <w:jc w:val="center"/>
              <w:rPr>
                <w:rFonts w:hint="eastAsia" w:ascii="宋体" w:hAnsi="宋体" w:cs="宋体"/>
                <w:color w:val="auto"/>
                <w:sz w:val="21"/>
                <w:szCs w:val="21"/>
                <w:highlight w:val="none"/>
              </w:rPr>
            </w:pPr>
          </w:p>
        </w:tc>
      </w:tr>
      <w:tr w14:paraId="0DC5FCE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873BF3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4.10.4.2</w:t>
            </w:r>
          </w:p>
        </w:tc>
        <w:tc>
          <w:tcPr>
            <w:tcW w:w="6982" w:type="dxa"/>
            <w:tcBorders>
              <w:tl2br w:val="nil"/>
              <w:tr2bl w:val="nil"/>
            </w:tcBorders>
            <w:vAlign w:val="center"/>
          </w:tcPr>
          <w:p w14:paraId="0DA1FB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医生工作站：申请权限、用血评估、知情同意书、分级审核、用血审批、紧急用血、输血评价、法律法规</w:t>
            </w:r>
          </w:p>
        </w:tc>
        <w:tc>
          <w:tcPr>
            <w:tcW w:w="870" w:type="dxa"/>
            <w:vMerge w:val="continue"/>
            <w:tcBorders>
              <w:tl2br w:val="nil"/>
              <w:tr2bl w:val="nil"/>
            </w:tcBorders>
            <w:noWrap/>
            <w:vAlign w:val="center"/>
          </w:tcPr>
          <w:p w14:paraId="6EA88170">
            <w:pPr>
              <w:spacing w:line="360" w:lineRule="auto"/>
              <w:jc w:val="center"/>
              <w:rPr>
                <w:rFonts w:hint="eastAsia" w:ascii="宋体" w:hAnsi="宋体" w:cs="宋体"/>
                <w:color w:val="auto"/>
                <w:sz w:val="21"/>
                <w:szCs w:val="21"/>
                <w:highlight w:val="none"/>
              </w:rPr>
            </w:pPr>
          </w:p>
        </w:tc>
      </w:tr>
      <w:tr w14:paraId="1EAEC4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98C0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4.10.4.3</w:t>
            </w:r>
          </w:p>
        </w:tc>
        <w:tc>
          <w:tcPr>
            <w:tcW w:w="6982" w:type="dxa"/>
            <w:tcBorders>
              <w:tl2br w:val="nil"/>
              <w:tr2bl w:val="nil"/>
            </w:tcBorders>
            <w:vAlign w:val="center"/>
          </w:tcPr>
          <w:p w14:paraId="214A7BE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护理工作站：条码打印、标本采集、送出、取血执行、血袋接收核对、输注监控、不良反应、查询统计、输血转科、移动输血</w:t>
            </w:r>
          </w:p>
        </w:tc>
        <w:tc>
          <w:tcPr>
            <w:tcW w:w="870" w:type="dxa"/>
            <w:vMerge w:val="continue"/>
            <w:tcBorders>
              <w:tl2br w:val="nil"/>
              <w:tr2bl w:val="nil"/>
            </w:tcBorders>
            <w:noWrap/>
            <w:vAlign w:val="center"/>
          </w:tcPr>
          <w:p w14:paraId="60F59BC8">
            <w:pPr>
              <w:spacing w:line="360" w:lineRule="auto"/>
              <w:jc w:val="center"/>
              <w:rPr>
                <w:rFonts w:hint="eastAsia" w:ascii="宋体" w:hAnsi="宋体" w:cs="宋体"/>
                <w:color w:val="auto"/>
                <w:sz w:val="21"/>
                <w:szCs w:val="21"/>
                <w:highlight w:val="none"/>
              </w:rPr>
            </w:pPr>
          </w:p>
        </w:tc>
      </w:tr>
      <w:tr w14:paraId="60B7D68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D3AE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4.10.4.4</w:t>
            </w:r>
          </w:p>
        </w:tc>
        <w:tc>
          <w:tcPr>
            <w:tcW w:w="6982" w:type="dxa"/>
            <w:tcBorders>
              <w:tl2br w:val="nil"/>
              <w:tr2bl w:val="nil"/>
            </w:tcBorders>
            <w:vAlign w:val="center"/>
          </w:tcPr>
          <w:p w14:paraId="1F414A3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数据互联：院外血液预约入库对接、数据上报；院内集成平台、CA 对接</w:t>
            </w:r>
          </w:p>
        </w:tc>
        <w:tc>
          <w:tcPr>
            <w:tcW w:w="870" w:type="dxa"/>
            <w:vMerge w:val="continue"/>
            <w:tcBorders>
              <w:tl2br w:val="nil"/>
              <w:tr2bl w:val="nil"/>
            </w:tcBorders>
            <w:noWrap/>
            <w:vAlign w:val="center"/>
          </w:tcPr>
          <w:p w14:paraId="42C86B1D">
            <w:pPr>
              <w:spacing w:line="360" w:lineRule="auto"/>
              <w:jc w:val="center"/>
              <w:rPr>
                <w:rFonts w:hint="eastAsia" w:ascii="宋体" w:hAnsi="宋体" w:cs="宋体"/>
                <w:color w:val="auto"/>
                <w:sz w:val="21"/>
                <w:szCs w:val="21"/>
                <w:highlight w:val="none"/>
              </w:rPr>
            </w:pPr>
          </w:p>
        </w:tc>
      </w:tr>
      <w:tr w14:paraId="343651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F83EB0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4.10.4.5</w:t>
            </w:r>
          </w:p>
        </w:tc>
        <w:tc>
          <w:tcPr>
            <w:tcW w:w="6982" w:type="dxa"/>
            <w:tcBorders>
              <w:tl2br w:val="nil"/>
              <w:tr2bl w:val="nil"/>
            </w:tcBorders>
            <w:vAlign w:val="center"/>
          </w:tcPr>
          <w:p w14:paraId="69C675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多院区标识：系统缓存、参数、用户、权限、数据统计</w:t>
            </w:r>
          </w:p>
        </w:tc>
        <w:tc>
          <w:tcPr>
            <w:tcW w:w="870" w:type="dxa"/>
            <w:vMerge w:val="continue"/>
            <w:tcBorders>
              <w:tl2br w:val="nil"/>
              <w:tr2bl w:val="nil"/>
            </w:tcBorders>
            <w:noWrap/>
            <w:vAlign w:val="center"/>
          </w:tcPr>
          <w:p w14:paraId="6C7A131C">
            <w:pPr>
              <w:spacing w:line="360" w:lineRule="auto"/>
              <w:jc w:val="center"/>
              <w:rPr>
                <w:rFonts w:hint="eastAsia" w:ascii="宋体" w:hAnsi="宋体" w:cs="宋体"/>
                <w:color w:val="auto"/>
                <w:sz w:val="21"/>
                <w:szCs w:val="21"/>
                <w:highlight w:val="none"/>
              </w:rPr>
            </w:pPr>
          </w:p>
        </w:tc>
      </w:tr>
      <w:tr w14:paraId="2B32293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3C0CB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4.10.4.6</w:t>
            </w:r>
          </w:p>
        </w:tc>
        <w:tc>
          <w:tcPr>
            <w:tcW w:w="6982" w:type="dxa"/>
            <w:tcBorders>
              <w:tl2br w:val="nil"/>
              <w:tr2bl w:val="nil"/>
            </w:tcBorders>
            <w:vAlign w:val="center"/>
          </w:tcPr>
          <w:p w14:paraId="3E5BE5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多院区互联：数据隔离、接口对接、仪器设备对接</w:t>
            </w:r>
          </w:p>
        </w:tc>
        <w:tc>
          <w:tcPr>
            <w:tcW w:w="870" w:type="dxa"/>
            <w:vMerge w:val="continue"/>
            <w:tcBorders>
              <w:tl2br w:val="nil"/>
              <w:tr2bl w:val="nil"/>
            </w:tcBorders>
            <w:noWrap/>
            <w:vAlign w:val="center"/>
          </w:tcPr>
          <w:p w14:paraId="24463F42">
            <w:pPr>
              <w:spacing w:line="360" w:lineRule="auto"/>
              <w:jc w:val="center"/>
              <w:rPr>
                <w:rFonts w:hint="eastAsia" w:ascii="宋体" w:hAnsi="宋体" w:cs="宋体"/>
                <w:color w:val="auto"/>
                <w:sz w:val="21"/>
                <w:szCs w:val="21"/>
                <w:highlight w:val="none"/>
              </w:rPr>
            </w:pPr>
          </w:p>
        </w:tc>
      </w:tr>
      <w:tr w14:paraId="611EE3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C15DE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4.10.4.7</w:t>
            </w:r>
          </w:p>
        </w:tc>
        <w:tc>
          <w:tcPr>
            <w:tcW w:w="6982" w:type="dxa"/>
            <w:tcBorders>
              <w:tl2br w:val="nil"/>
              <w:tr2bl w:val="nil"/>
            </w:tcBorders>
            <w:vAlign w:val="center"/>
          </w:tcPr>
          <w:p w14:paraId="2850B1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数据库改造：100 多张业务表适配升级</w:t>
            </w:r>
          </w:p>
        </w:tc>
        <w:tc>
          <w:tcPr>
            <w:tcW w:w="870" w:type="dxa"/>
            <w:vMerge w:val="continue"/>
            <w:tcBorders>
              <w:tl2br w:val="nil"/>
              <w:tr2bl w:val="nil"/>
            </w:tcBorders>
            <w:noWrap/>
            <w:vAlign w:val="center"/>
          </w:tcPr>
          <w:p w14:paraId="6A71D260">
            <w:pPr>
              <w:spacing w:line="360" w:lineRule="auto"/>
              <w:jc w:val="center"/>
              <w:rPr>
                <w:rFonts w:hint="eastAsia" w:ascii="宋体" w:hAnsi="宋体" w:cs="宋体"/>
                <w:color w:val="auto"/>
                <w:sz w:val="21"/>
                <w:szCs w:val="21"/>
                <w:highlight w:val="none"/>
              </w:rPr>
            </w:pPr>
          </w:p>
        </w:tc>
      </w:tr>
      <w:tr w14:paraId="44C2D9C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05AD1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4.11</w:t>
            </w:r>
          </w:p>
        </w:tc>
        <w:tc>
          <w:tcPr>
            <w:tcW w:w="6982" w:type="dxa"/>
            <w:tcBorders>
              <w:tl2br w:val="nil"/>
              <w:tr2bl w:val="nil"/>
            </w:tcBorders>
            <w:vAlign w:val="center"/>
          </w:tcPr>
          <w:p w14:paraId="6ECC641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val="en-US" w:eastAsia="zh-CN" w:bidi="ar"/>
              </w:rPr>
              <w:t>医德考评系统</w:t>
            </w:r>
            <w:r>
              <w:rPr>
                <w:rFonts w:hint="eastAsia" w:ascii="宋体" w:hAnsi="宋体" w:cs="宋体"/>
                <w:color w:val="auto"/>
                <w:kern w:val="0"/>
                <w:sz w:val="21"/>
                <w:szCs w:val="21"/>
                <w:highlight w:val="none"/>
                <w:lang w:bidi="ar"/>
              </w:rPr>
              <w:t>（升级）</w:t>
            </w:r>
          </w:p>
        </w:tc>
        <w:tc>
          <w:tcPr>
            <w:tcW w:w="870" w:type="dxa"/>
            <w:vMerge w:val="restart"/>
            <w:tcBorders>
              <w:tl2br w:val="nil"/>
              <w:tr2bl w:val="nil"/>
            </w:tcBorders>
            <w:noWrap/>
            <w:vAlign w:val="center"/>
          </w:tcPr>
          <w:p w14:paraId="00B358EC">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4E9E7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9E7B4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4.11.1</w:t>
            </w:r>
          </w:p>
        </w:tc>
        <w:tc>
          <w:tcPr>
            <w:tcW w:w="6982" w:type="dxa"/>
            <w:tcBorders>
              <w:tl2br w:val="nil"/>
              <w:tr2bl w:val="nil"/>
            </w:tcBorders>
            <w:vAlign w:val="center"/>
          </w:tcPr>
          <w:p w14:paraId="65F6AAB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为适配新院区</w:t>
            </w:r>
            <w:r>
              <w:rPr>
                <w:rFonts w:hint="eastAsia" w:ascii="宋体" w:hAnsi="宋体" w:cs="宋体"/>
                <w:color w:val="auto"/>
                <w:kern w:val="0"/>
                <w:sz w:val="21"/>
                <w:szCs w:val="21"/>
                <w:highlight w:val="none"/>
                <w:lang w:val="en-US" w:eastAsia="zh-CN" w:bidi="ar"/>
              </w:rPr>
              <w:t>全院医德考评管理</w:t>
            </w:r>
            <w:r>
              <w:rPr>
                <w:rFonts w:hint="eastAsia" w:ascii="宋体" w:hAnsi="宋体" w:cs="宋体"/>
                <w:color w:val="auto"/>
                <w:kern w:val="0"/>
                <w:sz w:val="21"/>
                <w:szCs w:val="21"/>
                <w:highlight w:val="none"/>
                <w:lang w:bidi="ar"/>
              </w:rPr>
              <w:t>需求全面升级，</w:t>
            </w:r>
            <w:r>
              <w:rPr>
                <w:rFonts w:hint="eastAsia" w:ascii="宋体" w:hAnsi="宋体" w:cs="宋体"/>
                <w:color w:val="auto"/>
                <w:kern w:val="0"/>
                <w:sz w:val="21"/>
                <w:szCs w:val="21"/>
                <w:highlight w:val="none"/>
                <w:lang w:val="en-US" w:eastAsia="zh-CN" w:bidi="ar"/>
              </w:rPr>
              <w:t>适配信创环境，</w:t>
            </w:r>
            <w:r>
              <w:rPr>
                <w:rFonts w:hint="eastAsia" w:ascii="宋体" w:hAnsi="宋体" w:cs="宋体"/>
                <w:color w:val="auto"/>
                <w:kern w:val="0"/>
                <w:sz w:val="21"/>
                <w:szCs w:val="21"/>
                <w:highlight w:val="none"/>
                <w:lang w:bidi="ar"/>
              </w:rPr>
              <w:t>提升</w:t>
            </w:r>
            <w:r>
              <w:rPr>
                <w:rFonts w:hint="eastAsia" w:ascii="宋体" w:hAnsi="宋体" w:cs="宋体"/>
                <w:color w:val="auto"/>
                <w:kern w:val="0"/>
                <w:sz w:val="21"/>
                <w:szCs w:val="21"/>
                <w:highlight w:val="none"/>
                <w:lang w:val="en-US" w:eastAsia="zh-CN" w:bidi="ar"/>
              </w:rPr>
              <w:t>医德考评业务</w:t>
            </w:r>
            <w:r>
              <w:rPr>
                <w:rFonts w:hint="eastAsia" w:ascii="宋体" w:hAnsi="宋体" w:cs="宋体"/>
                <w:color w:val="auto"/>
                <w:kern w:val="0"/>
                <w:sz w:val="21"/>
                <w:szCs w:val="21"/>
                <w:highlight w:val="none"/>
                <w:lang w:bidi="ar"/>
              </w:rPr>
              <w:t>效率</w:t>
            </w:r>
          </w:p>
        </w:tc>
        <w:tc>
          <w:tcPr>
            <w:tcW w:w="870" w:type="dxa"/>
            <w:vMerge w:val="continue"/>
            <w:tcBorders>
              <w:tl2br w:val="nil"/>
              <w:tr2bl w:val="nil"/>
            </w:tcBorders>
            <w:noWrap/>
            <w:vAlign w:val="center"/>
          </w:tcPr>
          <w:p w14:paraId="45DE7E6F">
            <w:pPr>
              <w:spacing w:line="360" w:lineRule="auto"/>
              <w:jc w:val="center"/>
              <w:rPr>
                <w:rFonts w:hint="eastAsia" w:ascii="宋体" w:hAnsi="宋体" w:cs="宋体"/>
                <w:color w:val="auto"/>
                <w:sz w:val="21"/>
                <w:szCs w:val="21"/>
                <w:highlight w:val="none"/>
              </w:rPr>
            </w:pPr>
          </w:p>
        </w:tc>
      </w:tr>
      <w:tr w14:paraId="7934238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2EA38D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w:t>
            </w:r>
          </w:p>
        </w:tc>
        <w:tc>
          <w:tcPr>
            <w:tcW w:w="6982" w:type="dxa"/>
            <w:tcBorders>
              <w:tl2br w:val="nil"/>
              <w:tr2bl w:val="nil"/>
            </w:tcBorders>
            <w:vAlign w:val="center"/>
          </w:tcPr>
          <w:p w14:paraId="645442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无纸化系统（升级）</w:t>
            </w:r>
          </w:p>
        </w:tc>
        <w:tc>
          <w:tcPr>
            <w:tcW w:w="870" w:type="dxa"/>
            <w:vMerge w:val="restart"/>
            <w:tcBorders>
              <w:tl2br w:val="nil"/>
              <w:tr2bl w:val="nil"/>
            </w:tcBorders>
            <w:noWrap/>
            <w:vAlign w:val="center"/>
          </w:tcPr>
          <w:p w14:paraId="38DFC8C3">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46A9418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F4E57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4.12.1</w:t>
            </w:r>
          </w:p>
        </w:tc>
        <w:tc>
          <w:tcPr>
            <w:tcW w:w="6982" w:type="dxa"/>
            <w:tcBorders>
              <w:tl2br w:val="nil"/>
              <w:tr2bl w:val="nil"/>
            </w:tcBorders>
            <w:vAlign w:val="center"/>
          </w:tcPr>
          <w:p w14:paraId="2054E4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契合医院信息化升级节奏，适配病历等系统，实现全流程无纸化办公，与核心业务系统无缝衔接，完善电子表单、电子签名、数据归档功能</w:t>
            </w:r>
          </w:p>
        </w:tc>
        <w:tc>
          <w:tcPr>
            <w:tcW w:w="870" w:type="dxa"/>
            <w:vMerge w:val="continue"/>
            <w:tcBorders>
              <w:tl2br w:val="nil"/>
              <w:tr2bl w:val="nil"/>
            </w:tcBorders>
            <w:noWrap/>
            <w:vAlign w:val="center"/>
          </w:tcPr>
          <w:p w14:paraId="7007E9A8">
            <w:pPr>
              <w:spacing w:line="360" w:lineRule="auto"/>
              <w:jc w:val="center"/>
              <w:rPr>
                <w:rFonts w:hint="eastAsia" w:ascii="宋体" w:hAnsi="宋体" w:cs="宋体"/>
                <w:color w:val="auto"/>
                <w:sz w:val="21"/>
                <w:szCs w:val="21"/>
                <w:highlight w:val="none"/>
              </w:rPr>
            </w:pPr>
          </w:p>
        </w:tc>
      </w:tr>
      <w:tr w14:paraId="0BAF94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E675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4.12.2</w:t>
            </w:r>
          </w:p>
        </w:tc>
        <w:tc>
          <w:tcPr>
            <w:tcW w:w="6982" w:type="dxa"/>
            <w:tcBorders>
              <w:tl2br w:val="nil"/>
              <w:tr2bl w:val="nil"/>
            </w:tcBorders>
            <w:vAlign w:val="center"/>
          </w:tcPr>
          <w:p w14:paraId="37962A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数字化应用系统模块</w:t>
            </w:r>
          </w:p>
        </w:tc>
        <w:tc>
          <w:tcPr>
            <w:tcW w:w="870" w:type="dxa"/>
            <w:vMerge w:val="continue"/>
            <w:tcBorders>
              <w:tl2br w:val="nil"/>
              <w:tr2bl w:val="nil"/>
            </w:tcBorders>
            <w:noWrap/>
            <w:vAlign w:val="center"/>
          </w:tcPr>
          <w:p w14:paraId="7F254080">
            <w:pPr>
              <w:spacing w:line="360" w:lineRule="auto"/>
              <w:jc w:val="center"/>
              <w:rPr>
                <w:rFonts w:hint="eastAsia" w:ascii="宋体" w:hAnsi="宋体" w:cs="宋体"/>
                <w:color w:val="auto"/>
                <w:sz w:val="21"/>
                <w:szCs w:val="21"/>
                <w:highlight w:val="none"/>
              </w:rPr>
            </w:pPr>
          </w:p>
        </w:tc>
      </w:tr>
      <w:tr w14:paraId="12D82C5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21BAF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4.12.2.1</w:t>
            </w:r>
          </w:p>
        </w:tc>
        <w:tc>
          <w:tcPr>
            <w:tcW w:w="6982" w:type="dxa"/>
            <w:tcBorders>
              <w:tl2br w:val="nil"/>
              <w:tr2bl w:val="nil"/>
            </w:tcBorders>
            <w:vAlign w:val="center"/>
          </w:tcPr>
          <w:p w14:paraId="37116C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权限管理模块：用户管理、用户组管理、用户组权限、科室管理、病案权限配置、医学分类模板、访问权限控制、显示字段控制、水印设置、病案锁定、病案申请审批、监控中心、病案错误报告、病案定位、病案导出、病案浏览统计</w:t>
            </w:r>
          </w:p>
        </w:tc>
        <w:tc>
          <w:tcPr>
            <w:tcW w:w="870" w:type="dxa"/>
            <w:vMerge w:val="continue"/>
            <w:tcBorders>
              <w:tl2br w:val="nil"/>
              <w:tr2bl w:val="nil"/>
            </w:tcBorders>
            <w:noWrap/>
            <w:vAlign w:val="center"/>
          </w:tcPr>
          <w:p w14:paraId="76796385">
            <w:pPr>
              <w:spacing w:line="360" w:lineRule="auto"/>
              <w:jc w:val="center"/>
              <w:rPr>
                <w:rFonts w:hint="eastAsia" w:ascii="宋体" w:hAnsi="宋体" w:cs="宋体"/>
                <w:color w:val="auto"/>
                <w:sz w:val="21"/>
                <w:szCs w:val="21"/>
                <w:highlight w:val="none"/>
              </w:rPr>
            </w:pPr>
          </w:p>
        </w:tc>
      </w:tr>
      <w:tr w14:paraId="27FB256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E2D65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4.12.2.2</w:t>
            </w:r>
          </w:p>
        </w:tc>
        <w:tc>
          <w:tcPr>
            <w:tcW w:w="6982" w:type="dxa"/>
            <w:tcBorders>
              <w:tl2br w:val="nil"/>
              <w:tr2bl w:val="nil"/>
            </w:tcBorders>
            <w:vAlign w:val="center"/>
          </w:tcPr>
          <w:p w14:paraId="3A45ED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检索模块：关键词搜索、高级搜索、自定义搜索、经典搜索、病案搜索结果、病案图片浏览、病案收藏夹、申请查看、浏览历史、个性化设置</w:t>
            </w:r>
          </w:p>
        </w:tc>
        <w:tc>
          <w:tcPr>
            <w:tcW w:w="870" w:type="dxa"/>
            <w:vMerge w:val="continue"/>
            <w:tcBorders>
              <w:tl2br w:val="nil"/>
              <w:tr2bl w:val="nil"/>
            </w:tcBorders>
            <w:noWrap/>
            <w:vAlign w:val="center"/>
          </w:tcPr>
          <w:p w14:paraId="661B7266">
            <w:pPr>
              <w:spacing w:line="360" w:lineRule="auto"/>
              <w:jc w:val="center"/>
              <w:rPr>
                <w:rFonts w:hint="eastAsia" w:ascii="宋体" w:hAnsi="宋体" w:cs="宋体"/>
                <w:color w:val="auto"/>
                <w:sz w:val="21"/>
                <w:szCs w:val="21"/>
                <w:highlight w:val="none"/>
              </w:rPr>
            </w:pPr>
          </w:p>
        </w:tc>
      </w:tr>
      <w:tr w14:paraId="3062B8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716AA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4.12.2.3</w:t>
            </w:r>
          </w:p>
        </w:tc>
        <w:tc>
          <w:tcPr>
            <w:tcW w:w="6982" w:type="dxa"/>
            <w:tcBorders>
              <w:tl2br w:val="nil"/>
              <w:tr2bl w:val="nil"/>
            </w:tcBorders>
            <w:vAlign w:val="center"/>
          </w:tcPr>
          <w:p w14:paraId="2421ACF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打印模块：打印申请、快速打印、集中打印、集中复印、申请查询、打印参数、打印明细、复印明细、邮寄明细</w:t>
            </w:r>
          </w:p>
        </w:tc>
        <w:tc>
          <w:tcPr>
            <w:tcW w:w="870" w:type="dxa"/>
            <w:vMerge w:val="continue"/>
            <w:tcBorders>
              <w:tl2br w:val="nil"/>
              <w:tr2bl w:val="nil"/>
            </w:tcBorders>
            <w:noWrap/>
            <w:vAlign w:val="center"/>
          </w:tcPr>
          <w:p w14:paraId="2552B65D">
            <w:pPr>
              <w:spacing w:line="360" w:lineRule="auto"/>
              <w:jc w:val="center"/>
              <w:rPr>
                <w:rFonts w:hint="eastAsia" w:ascii="宋体" w:hAnsi="宋体" w:cs="宋体"/>
                <w:color w:val="auto"/>
                <w:sz w:val="21"/>
                <w:szCs w:val="21"/>
                <w:highlight w:val="none"/>
              </w:rPr>
            </w:pPr>
          </w:p>
        </w:tc>
      </w:tr>
      <w:tr w14:paraId="5E790B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BE9B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w:t>
            </w:r>
          </w:p>
        </w:tc>
        <w:tc>
          <w:tcPr>
            <w:tcW w:w="6982" w:type="dxa"/>
            <w:tcBorders>
              <w:tl2br w:val="nil"/>
              <w:tr2bl w:val="nil"/>
            </w:tcBorders>
            <w:vAlign w:val="center"/>
          </w:tcPr>
          <w:p w14:paraId="3250C8D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CA 数字签名系统（升级）</w:t>
            </w:r>
          </w:p>
        </w:tc>
        <w:tc>
          <w:tcPr>
            <w:tcW w:w="870" w:type="dxa"/>
            <w:vMerge w:val="restart"/>
            <w:tcBorders>
              <w:tl2br w:val="nil"/>
              <w:tr2bl w:val="nil"/>
            </w:tcBorders>
            <w:noWrap/>
            <w:vAlign w:val="center"/>
          </w:tcPr>
          <w:p w14:paraId="3AD67797">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4EE7C5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168E0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4.13.1</w:t>
            </w:r>
          </w:p>
        </w:tc>
        <w:tc>
          <w:tcPr>
            <w:tcW w:w="6982" w:type="dxa"/>
            <w:tcBorders>
              <w:tl2br w:val="nil"/>
              <w:tr2bl w:val="nil"/>
            </w:tcBorders>
            <w:vAlign w:val="center"/>
          </w:tcPr>
          <w:p w14:paraId="42D865A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适配病历等核心系统升级，确保电子签名合法安全兼容，完善签名验证流程，满足合规需求</w:t>
            </w:r>
          </w:p>
        </w:tc>
        <w:tc>
          <w:tcPr>
            <w:tcW w:w="870" w:type="dxa"/>
            <w:vMerge w:val="continue"/>
            <w:tcBorders>
              <w:tl2br w:val="nil"/>
              <w:tr2bl w:val="nil"/>
            </w:tcBorders>
            <w:noWrap/>
            <w:vAlign w:val="center"/>
          </w:tcPr>
          <w:p w14:paraId="68BBA605">
            <w:pPr>
              <w:spacing w:line="360" w:lineRule="auto"/>
              <w:jc w:val="center"/>
              <w:rPr>
                <w:rFonts w:hint="eastAsia" w:ascii="宋体" w:hAnsi="宋体" w:cs="宋体"/>
                <w:color w:val="auto"/>
                <w:sz w:val="21"/>
                <w:szCs w:val="21"/>
                <w:highlight w:val="none"/>
              </w:rPr>
            </w:pPr>
          </w:p>
        </w:tc>
      </w:tr>
      <w:tr w14:paraId="00D6EE8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91E50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w:t>
            </w:r>
          </w:p>
        </w:tc>
        <w:tc>
          <w:tcPr>
            <w:tcW w:w="6982" w:type="dxa"/>
            <w:tcBorders>
              <w:tl2br w:val="nil"/>
              <w:tr2bl w:val="nil"/>
            </w:tcBorders>
            <w:vAlign w:val="center"/>
          </w:tcPr>
          <w:p w14:paraId="07E3897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协同签名系统</w:t>
            </w:r>
          </w:p>
        </w:tc>
        <w:tc>
          <w:tcPr>
            <w:tcW w:w="870" w:type="dxa"/>
            <w:vMerge w:val="continue"/>
            <w:tcBorders>
              <w:tl2br w:val="nil"/>
              <w:tr2bl w:val="nil"/>
            </w:tcBorders>
            <w:noWrap/>
            <w:vAlign w:val="center"/>
          </w:tcPr>
          <w:p w14:paraId="5234E01F">
            <w:pPr>
              <w:spacing w:line="360" w:lineRule="auto"/>
              <w:jc w:val="center"/>
              <w:rPr>
                <w:rFonts w:hint="eastAsia" w:ascii="宋体" w:hAnsi="宋体" w:cs="宋体"/>
                <w:color w:val="auto"/>
                <w:sz w:val="21"/>
                <w:szCs w:val="21"/>
                <w:highlight w:val="none"/>
              </w:rPr>
            </w:pPr>
          </w:p>
        </w:tc>
      </w:tr>
      <w:tr w14:paraId="48E0289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619AC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w:t>
            </w:r>
          </w:p>
        </w:tc>
        <w:tc>
          <w:tcPr>
            <w:tcW w:w="6982" w:type="dxa"/>
            <w:tcBorders>
              <w:tl2br w:val="nil"/>
              <w:tr2bl w:val="nil"/>
            </w:tcBorders>
            <w:vAlign w:val="center"/>
          </w:tcPr>
          <w:p w14:paraId="03272B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提供全院移动电子签名服务，支持 SM2/SM3/SM4 国产密码算法，协同密钥分割，支持 APP、小程序，提供用户、证书、签章、身份授权、移动签名、推送签名、设备、协同密钥管理</w:t>
            </w:r>
          </w:p>
        </w:tc>
        <w:tc>
          <w:tcPr>
            <w:tcW w:w="870" w:type="dxa"/>
            <w:vMerge w:val="continue"/>
            <w:tcBorders>
              <w:tl2br w:val="nil"/>
              <w:tr2bl w:val="nil"/>
            </w:tcBorders>
            <w:noWrap/>
            <w:vAlign w:val="center"/>
          </w:tcPr>
          <w:p w14:paraId="0FC98DCD">
            <w:pPr>
              <w:spacing w:line="360" w:lineRule="auto"/>
              <w:jc w:val="center"/>
              <w:rPr>
                <w:rFonts w:hint="eastAsia" w:ascii="宋体" w:hAnsi="宋体" w:cs="宋体"/>
                <w:color w:val="auto"/>
                <w:sz w:val="21"/>
                <w:szCs w:val="21"/>
                <w:highlight w:val="none"/>
              </w:rPr>
            </w:pPr>
          </w:p>
        </w:tc>
      </w:tr>
      <w:tr w14:paraId="0588F86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7B49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4.13.2.2</w:t>
            </w:r>
          </w:p>
        </w:tc>
        <w:tc>
          <w:tcPr>
            <w:tcW w:w="6982" w:type="dxa"/>
            <w:tcBorders>
              <w:tl2br w:val="nil"/>
              <w:tr2bl w:val="nil"/>
            </w:tcBorders>
            <w:vAlign w:val="center"/>
          </w:tcPr>
          <w:p w14:paraId="17F08F1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微信电子签名小程序支持：外部微信小程序集成，设备绑定、实名认证、签字采集、业务数据文件电子签名</w:t>
            </w:r>
          </w:p>
        </w:tc>
        <w:tc>
          <w:tcPr>
            <w:tcW w:w="870" w:type="dxa"/>
            <w:vMerge w:val="continue"/>
            <w:tcBorders>
              <w:tl2br w:val="nil"/>
              <w:tr2bl w:val="nil"/>
            </w:tcBorders>
            <w:noWrap/>
            <w:vAlign w:val="center"/>
          </w:tcPr>
          <w:p w14:paraId="5FB3CD11">
            <w:pPr>
              <w:spacing w:line="360" w:lineRule="auto"/>
              <w:jc w:val="center"/>
              <w:rPr>
                <w:rFonts w:hint="eastAsia" w:ascii="宋体" w:hAnsi="宋体" w:cs="宋体"/>
                <w:color w:val="auto"/>
                <w:sz w:val="21"/>
                <w:szCs w:val="21"/>
                <w:highlight w:val="none"/>
              </w:rPr>
            </w:pPr>
          </w:p>
        </w:tc>
      </w:tr>
      <w:tr w14:paraId="27F22AE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8DC3D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4.13.2.3</w:t>
            </w:r>
          </w:p>
        </w:tc>
        <w:tc>
          <w:tcPr>
            <w:tcW w:w="6982" w:type="dxa"/>
            <w:tcBorders>
              <w:tl2br w:val="nil"/>
              <w:tr2bl w:val="nil"/>
            </w:tcBorders>
            <w:vAlign w:val="center"/>
          </w:tcPr>
          <w:p w14:paraId="593922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CA 证书通道配置：支持配置切换 CA 证书通道</w:t>
            </w:r>
          </w:p>
        </w:tc>
        <w:tc>
          <w:tcPr>
            <w:tcW w:w="870" w:type="dxa"/>
            <w:vMerge w:val="continue"/>
            <w:tcBorders>
              <w:tl2br w:val="nil"/>
              <w:tr2bl w:val="nil"/>
            </w:tcBorders>
            <w:noWrap/>
            <w:vAlign w:val="center"/>
          </w:tcPr>
          <w:p w14:paraId="3EC223DD">
            <w:pPr>
              <w:spacing w:line="360" w:lineRule="auto"/>
              <w:jc w:val="center"/>
              <w:rPr>
                <w:rFonts w:hint="eastAsia" w:ascii="宋体" w:hAnsi="宋体" w:cs="宋体"/>
                <w:color w:val="auto"/>
                <w:sz w:val="21"/>
                <w:szCs w:val="21"/>
                <w:highlight w:val="none"/>
              </w:rPr>
            </w:pPr>
          </w:p>
        </w:tc>
      </w:tr>
      <w:tr w14:paraId="70BF6F3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5D110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4.13.2.4</w:t>
            </w:r>
          </w:p>
        </w:tc>
        <w:tc>
          <w:tcPr>
            <w:tcW w:w="6982" w:type="dxa"/>
            <w:tcBorders>
              <w:tl2br w:val="nil"/>
              <w:tr2bl w:val="nil"/>
            </w:tcBorders>
            <w:vAlign w:val="center"/>
          </w:tcPr>
          <w:p w14:paraId="558B75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一键取证功能：签名验证，提取日志，生成证据报告，批量取证</w:t>
            </w:r>
          </w:p>
        </w:tc>
        <w:tc>
          <w:tcPr>
            <w:tcW w:w="870" w:type="dxa"/>
            <w:vMerge w:val="continue"/>
            <w:tcBorders>
              <w:tl2br w:val="nil"/>
              <w:tr2bl w:val="nil"/>
            </w:tcBorders>
            <w:noWrap/>
            <w:vAlign w:val="center"/>
          </w:tcPr>
          <w:p w14:paraId="23B7F9EB">
            <w:pPr>
              <w:spacing w:line="360" w:lineRule="auto"/>
              <w:jc w:val="center"/>
              <w:rPr>
                <w:rFonts w:hint="eastAsia" w:ascii="宋体" w:hAnsi="宋体" w:cs="宋体"/>
                <w:color w:val="auto"/>
                <w:sz w:val="21"/>
                <w:szCs w:val="21"/>
                <w:highlight w:val="none"/>
              </w:rPr>
            </w:pPr>
          </w:p>
        </w:tc>
      </w:tr>
      <w:tr w14:paraId="2120CB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DABFA3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4.13.2.5</w:t>
            </w:r>
          </w:p>
        </w:tc>
        <w:tc>
          <w:tcPr>
            <w:tcW w:w="6982" w:type="dxa"/>
            <w:tcBorders>
              <w:tl2br w:val="nil"/>
              <w:tr2bl w:val="nil"/>
            </w:tcBorders>
            <w:vAlign w:val="center"/>
          </w:tcPr>
          <w:p w14:paraId="1C7A19A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用户管理功能：批量导入、冻结、解冻、注销</w:t>
            </w:r>
          </w:p>
        </w:tc>
        <w:tc>
          <w:tcPr>
            <w:tcW w:w="870" w:type="dxa"/>
            <w:vMerge w:val="continue"/>
            <w:tcBorders>
              <w:tl2br w:val="nil"/>
              <w:tr2bl w:val="nil"/>
            </w:tcBorders>
            <w:noWrap/>
            <w:vAlign w:val="center"/>
          </w:tcPr>
          <w:p w14:paraId="0C30C211">
            <w:pPr>
              <w:spacing w:line="360" w:lineRule="auto"/>
              <w:jc w:val="center"/>
              <w:rPr>
                <w:rFonts w:hint="eastAsia" w:ascii="宋体" w:hAnsi="宋体" w:cs="宋体"/>
                <w:color w:val="auto"/>
                <w:sz w:val="21"/>
                <w:szCs w:val="21"/>
                <w:highlight w:val="none"/>
              </w:rPr>
            </w:pPr>
          </w:p>
        </w:tc>
      </w:tr>
      <w:tr w14:paraId="4C00B35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D02FF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4.13.2.6</w:t>
            </w:r>
          </w:p>
        </w:tc>
        <w:tc>
          <w:tcPr>
            <w:tcW w:w="6982" w:type="dxa"/>
            <w:tcBorders>
              <w:tl2br w:val="nil"/>
              <w:tr2bl w:val="nil"/>
            </w:tcBorders>
            <w:vAlign w:val="center"/>
          </w:tcPr>
          <w:p w14:paraId="6ED83D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用户认证记录功能：记录在线实名认证、证书申请、签发，支持港澳台及外籍人士审核认证</w:t>
            </w:r>
          </w:p>
        </w:tc>
        <w:tc>
          <w:tcPr>
            <w:tcW w:w="870" w:type="dxa"/>
            <w:vMerge w:val="continue"/>
            <w:tcBorders>
              <w:tl2br w:val="nil"/>
              <w:tr2bl w:val="nil"/>
            </w:tcBorders>
            <w:noWrap/>
            <w:vAlign w:val="center"/>
          </w:tcPr>
          <w:p w14:paraId="285CA3E4">
            <w:pPr>
              <w:spacing w:line="360" w:lineRule="auto"/>
              <w:jc w:val="center"/>
              <w:rPr>
                <w:rFonts w:hint="eastAsia" w:ascii="宋体" w:hAnsi="宋体" w:cs="宋体"/>
                <w:color w:val="auto"/>
                <w:sz w:val="21"/>
                <w:szCs w:val="21"/>
                <w:highlight w:val="none"/>
              </w:rPr>
            </w:pPr>
          </w:p>
        </w:tc>
      </w:tr>
      <w:tr w14:paraId="6360217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6A56A9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4.13.2.7</w:t>
            </w:r>
          </w:p>
        </w:tc>
        <w:tc>
          <w:tcPr>
            <w:tcW w:w="6982" w:type="dxa"/>
            <w:tcBorders>
              <w:tl2br w:val="nil"/>
              <w:tr2bl w:val="nil"/>
            </w:tcBorders>
            <w:vAlign w:val="center"/>
          </w:tcPr>
          <w:p w14:paraId="38C518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协同证书管理功能：查询查看协同证书信息</w:t>
            </w:r>
          </w:p>
        </w:tc>
        <w:tc>
          <w:tcPr>
            <w:tcW w:w="870" w:type="dxa"/>
            <w:vMerge w:val="continue"/>
            <w:tcBorders>
              <w:tl2br w:val="nil"/>
              <w:tr2bl w:val="nil"/>
            </w:tcBorders>
            <w:noWrap/>
            <w:vAlign w:val="center"/>
          </w:tcPr>
          <w:p w14:paraId="2DC06E7E">
            <w:pPr>
              <w:spacing w:line="360" w:lineRule="auto"/>
              <w:jc w:val="center"/>
              <w:rPr>
                <w:rFonts w:hint="eastAsia" w:ascii="宋体" w:hAnsi="宋体" w:cs="宋体"/>
                <w:color w:val="auto"/>
                <w:sz w:val="21"/>
                <w:szCs w:val="21"/>
                <w:highlight w:val="none"/>
              </w:rPr>
            </w:pPr>
          </w:p>
        </w:tc>
      </w:tr>
      <w:tr w14:paraId="77B8AD5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4E607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4.13.2.8</w:t>
            </w:r>
          </w:p>
        </w:tc>
        <w:tc>
          <w:tcPr>
            <w:tcW w:w="6982" w:type="dxa"/>
            <w:tcBorders>
              <w:tl2br w:val="nil"/>
              <w:tr2bl w:val="nil"/>
            </w:tcBorders>
            <w:vAlign w:val="center"/>
          </w:tcPr>
          <w:p w14:paraId="25751D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数字签名支持：SM2、SM3 算法，Pkcs1、Pkcs7 格式生成验证</w:t>
            </w:r>
          </w:p>
        </w:tc>
        <w:tc>
          <w:tcPr>
            <w:tcW w:w="870" w:type="dxa"/>
            <w:vMerge w:val="continue"/>
            <w:tcBorders>
              <w:tl2br w:val="nil"/>
              <w:tr2bl w:val="nil"/>
            </w:tcBorders>
            <w:noWrap/>
            <w:vAlign w:val="center"/>
          </w:tcPr>
          <w:p w14:paraId="6D6DA363">
            <w:pPr>
              <w:spacing w:line="360" w:lineRule="auto"/>
              <w:jc w:val="center"/>
              <w:rPr>
                <w:rFonts w:hint="eastAsia" w:ascii="宋体" w:hAnsi="宋体" w:cs="宋体"/>
                <w:color w:val="auto"/>
                <w:sz w:val="21"/>
                <w:szCs w:val="21"/>
                <w:highlight w:val="none"/>
              </w:rPr>
            </w:pPr>
          </w:p>
        </w:tc>
      </w:tr>
      <w:tr w14:paraId="06DED30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DE6C8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4.13.2.9</w:t>
            </w:r>
          </w:p>
        </w:tc>
        <w:tc>
          <w:tcPr>
            <w:tcW w:w="6982" w:type="dxa"/>
            <w:tcBorders>
              <w:tl2br w:val="nil"/>
              <w:tr2bl w:val="nil"/>
            </w:tcBorders>
            <w:vAlign w:val="center"/>
          </w:tcPr>
          <w:p w14:paraId="332B2B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签署记录管理功能：存储查询浏览签署记录</w:t>
            </w:r>
          </w:p>
        </w:tc>
        <w:tc>
          <w:tcPr>
            <w:tcW w:w="870" w:type="dxa"/>
            <w:vMerge w:val="continue"/>
            <w:tcBorders>
              <w:tl2br w:val="nil"/>
              <w:tr2bl w:val="nil"/>
            </w:tcBorders>
            <w:noWrap/>
            <w:vAlign w:val="center"/>
          </w:tcPr>
          <w:p w14:paraId="2383D862">
            <w:pPr>
              <w:spacing w:line="360" w:lineRule="auto"/>
              <w:jc w:val="center"/>
              <w:rPr>
                <w:rFonts w:hint="eastAsia" w:ascii="宋体" w:hAnsi="宋体" w:cs="宋体"/>
                <w:color w:val="auto"/>
                <w:sz w:val="21"/>
                <w:szCs w:val="21"/>
                <w:highlight w:val="none"/>
              </w:rPr>
            </w:pPr>
          </w:p>
        </w:tc>
      </w:tr>
      <w:tr w14:paraId="0A34D6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9B204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4.13.2.10</w:t>
            </w:r>
          </w:p>
        </w:tc>
        <w:tc>
          <w:tcPr>
            <w:tcW w:w="6982" w:type="dxa"/>
            <w:tcBorders>
              <w:tl2br w:val="nil"/>
              <w:tr2bl w:val="nil"/>
            </w:tcBorders>
            <w:vAlign w:val="center"/>
          </w:tcPr>
          <w:p w14:paraId="73DCC1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日志管理功能：查询登录、签名、数据维护日志</w:t>
            </w:r>
          </w:p>
        </w:tc>
        <w:tc>
          <w:tcPr>
            <w:tcW w:w="870" w:type="dxa"/>
            <w:vMerge w:val="continue"/>
            <w:tcBorders>
              <w:tl2br w:val="nil"/>
              <w:tr2bl w:val="nil"/>
            </w:tcBorders>
            <w:noWrap/>
            <w:vAlign w:val="center"/>
          </w:tcPr>
          <w:p w14:paraId="3BA510E9">
            <w:pPr>
              <w:spacing w:line="360" w:lineRule="auto"/>
              <w:jc w:val="center"/>
              <w:rPr>
                <w:rFonts w:hint="eastAsia" w:ascii="宋体" w:hAnsi="宋体" w:cs="宋体"/>
                <w:color w:val="auto"/>
                <w:sz w:val="21"/>
                <w:szCs w:val="21"/>
                <w:highlight w:val="none"/>
              </w:rPr>
            </w:pPr>
          </w:p>
        </w:tc>
      </w:tr>
      <w:tr w14:paraId="1A4A543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C0498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4.13.2.11</w:t>
            </w:r>
          </w:p>
        </w:tc>
        <w:tc>
          <w:tcPr>
            <w:tcW w:w="6982" w:type="dxa"/>
            <w:tcBorders>
              <w:tl2br w:val="nil"/>
              <w:tr2bl w:val="nil"/>
            </w:tcBorders>
            <w:vAlign w:val="center"/>
          </w:tcPr>
          <w:p w14:paraId="441E6E5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PDF 表单模板配置：后台配置管理业务表单模板，动态生成 PDF</w:t>
            </w:r>
          </w:p>
        </w:tc>
        <w:tc>
          <w:tcPr>
            <w:tcW w:w="870" w:type="dxa"/>
            <w:vMerge w:val="continue"/>
            <w:tcBorders>
              <w:tl2br w:val="nil"/>
              <w:tr2bl w:val="nil"/>
            </w:tcBorders>
            <w:noWrap/>
            <w:vAlign w:val="center"/>
          </w:tcPr>
          <w:p w14:paraId="3E313A7E">
            <w:pPr>
              <w:spacing w:line="360" w:lineRule="auto"/>
              <w:jc w:val="center"/>
              <w:rPr>
                <w:rFonts w:hint="eastAsia" w:ascii="宋体" w:hAnsi="宋体" w:cs="宋体"/>
                <w:color w:val="auto"/>
                <w:sz w:val="21"/>
                <w:szCs w:val="21"/>
                <w:highlight w:val="none"/>
              </w:rPr>
            </w:pPr>
          </w:p>
        </w:tc>
      </w:tr>
      <w:tr w14:paraId="110BB92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BC461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4.13.2.12</w:t>
            </w:r>
          </w:p>
        </w:tc>
        <w:tc>
          <w:tcPr>
            <w:tcW w:w="6982" w:type="dxa"/>
            <w:tcBorders>
              <w:tl2br w:val="nil"/>
              <w:tr2bl w:val="nil"/>
            </w:tcBorders>
            <w:vAlign w:val="center"/>
          </w:tcPr>
          <w:p w14:paraId="09F1AE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多方会签：支持下级医师发起、病案首页、会诊意见多方会签</w:t>
            </w:r>
          </w:p>
        </w:tc>
        <w:tc>
          <w:tcPr>
            <w:tcW w:w="870" w:type="dxa"/>
            <w:vMerge w:val="continue"/>
            <w:tcBorders>
              <w:tl2br w:val="nil"/>
              <w:tr2bl w:val="nil"/>
            </w:tcBorders>
            <w:noWrap/>
            <w:vAlign w:val="center"/>
          </w:tcPr>
          <w:p w14:paraId="0E0E0936">
            <w:pPr>
              <w:spacing w:line="360" w:lineRule="auto"/>
              <w:jc w:val="center"/>
              <w:rPr>
                <w:rFonts w:hint="eastAsia" w:ascii="宋体" w:hAnsi="宋体" w:cs="宋体"/>
                <w:color w:val="auto"/>
                <w:sz w:val="21"/>
                <w:szCs w:val="21"/>
                <w:highlight w:val="none"/>
              </w:rPr>
            </w:pPr>
          </w:p>
        </w:tc>
      </w:tr>
      <w:tr w14:paraId="20A9DC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DB67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4.13.2.13</w:t>
            </w:r>
          </w:p>
        </w:tc>
        <w:tc>
          <w:tcPr>
            <w:tcW w:w="6982" w:type="dxa"/>
            <w:tcBorders>
              <w:tl2br w:val="nil"/>
              <w:tr2bl w:val="nil"/>
            </w:tcBorders>
            <w:vAlign w:val="center"/>
          </w:tcPr>
          <w:p w14:paraId="4D413C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OFD 兼容：提供 OFD 浏览、签名、查验接口</w:t>
            </w:r>
          </w:p>
        </w:tc>
        <w:tc>
          <w:tcPr>
            <w:tcW w:w="870" w:type="dxa"/>
            <w:vMerge w:val="continue"/>
            <w:tcBorders>
              <w:tl2br w:val="nil"/>
              <w:tr2bl w:val="nil"/>
            </w:tcBorders>
            <w:noWrap/>
            <w:vAlign w:val="center"/>
          </w:tcPr>
          <w:p w14:paraId="07E07F2F">
            <w:pPr>
              <w:spacing w:line="360" w:lineRule="auto"/>
              <w:jc w:val="center"/>
              <w:rPr>
                <w:rFonts w:hint="eastAsia" w:ascii="宋体" w:hAnsi="宋体" w:cs="宋体"/>
                <w:color w:val="auto"/>
                <w:sz w:val="21"/>
                <w:szCs w:val="21"/>
                <w:highlight w:val="none"/>
              </w:rPr>
            </w:pPr>
          </w:p>
        </w:tc>
      </w:tr>
      <w:tr w14:paraId="43DD368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E00D3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4.13.2.14</w:t>
            </w:r>
          </w:p>
        </w:tc>
        <w:tc>
          <w:tcPr>
            <w:tcW w:w="6982" w:type="dxa"/>
            <w:tcBorders>
              <w:tl2br w:val="nil"/>
              <w:tr2bl w:val="nil"/>
            </w:tcBorders>
            <w:vAlign w:val="center"/>
          </w:tcPr>
          <w:p w14:paraId="2902219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实习生 / 规培生管理：批量导入、转正、修改、注销，自定义签名权限</w:t>
            </w:r>
          </w:p>
        </w:tc>
        <w:tc>
          <w:tcPr>
            <w:tcW w:w="870" w:type="dxa"/>
            <w:vMerge w:val="continue"/>
            <w:tcBorders>
              <w:tl2br w:val="nil"/>
              <w:tr2bl w:val="nil"/>
            </w:tcBorders>
            <w:noWrap/>
            <w:vAlign w:val="center"/>
          </w:tcPr>
          <w:p w14:paraId="3034CB12">
            <w:pPr>
              <w:spacing w:line="360" w:lineRule="auto"/>
              <w:jc w:val="center"/>
              <w:rPr>
                <w:rFonts w:hint="eastAsia" w:ascii="宋体" w:hAnsi="宋体" w:cs="宋体"/>
                <w:color w:val="auto"/>
                <w:sz w:val="21"/>
                <w:szCs w:val="21"/>
                <w:highlight w:val="none"/>
              </w:rPr>
            </w:pPr>
          </w:p>
        </w:tc>
      </w:tr>
      <w:tr w14:paraId="204AED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449D2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4.13.2.15</w:t>
            </w:r>
          </w:p>
        </w:tc>
        <w:tc>
          <w:tcPr>
            <w:tcW w:w="6982" w:type="dxa"/>
            <w:tcBorders>
              <w:tl2br w:val="nil"/>
              <w:tr2bl w:val="nil"/>
            </w:tcBorders>
            <w:vAlign w:val="center"/>
          </w:tcPr>
          <w:p w14:paraId="05B479C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电子印章管理：多维度印章管理，灵活用章权限</w:t>
            </w:r>
          </w:p>
        </w:tc>
        <w:tc>
          <w:tcPr>
            <w:tcW w:w="870" w:type="dxa"/>
            <w:vMerge w:val="continue"/>
            <w:tcBorders>
              <w:tl2br w:val="nil"/>
              <w:tr2bl w:val="nil"/>
            </w:tcBorders>
            <w:noWrap/>
            <w:vAlign w:val="center"/>
          </w:tcPr>
          <w:p w14:paraId="55D65246">
            <w:pPr>
              <w:spacing w:line="360" w:lineRule="auto"/>
              <w:jc w:val="center"/>
              <w:rPr>
                <w:rFonts w:hint="eastAsia" w:ascii="宋体" w:hAnsi="宋体" w:cs="宋体"/>
                <w:color w:val="auto"/>
                <w:sz w:val="21"/>
                <w:szCs w:val="21"/>
                <w:highlight w:val="none"/>
              </w:rPr>
            </w:pPr>
          </w:p>
        </w:tc>
      </w:tr>
      <w:tr w14:paraId="4B685F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2D3C7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4.13.2.16</w:t>
            </w:r>
          </w:p>
        </w:tc>
        <w:tc>
          <w:tcPr>
            <w:tcW w:w="6982" w:type="dxa"/>
            <w:tcBorders>
              <w:tl2br w:val="nil"/>
              <w:tr2bl w:val="nil"/>
            </w:tcBorders>
            <w:vAlign w:val="center"/>
          </w:tcPr>
          <w:p w14:paraId="1F6E39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文件电子签章：自动盖章、手动拖放盖章、骑缝章，支持医疗文书与 OA 文件</w:t>
            </w:r>
          </w:p>
        </w:tc>
        <w:tc>
          <w:tcPr>
            <w:tcW w:w="870" w:type="dxa"/>
            <w:vMerge w:val="continue"/>
            <w:tcBorders>
              <w:tl2br w:val="nil"/>
              <w:tr2bl w:val="nil"/>
            </w:tcBorders>
            <w:noWrap/>
            <w:vAlign w:val="center"/>
          </w:tcPr>
          <w:p w14:paraId="475469DD">
            <w:pPr>
              <w:spacing w:line="360" w:lineRule="auto"/>
              <w:jc w:val="center"/>
              <w:rPr>
                <w:rFonts w:hint="eastAsia" w:ascii="宋体" w:hAnsi="宋体" w:cs="宋体"/>
                <w:color w:val="auto"/>
                <w:sz w:val="21"/>
                <w:szCs w:val="21"/>
                <w:highlight w:val="none"/>
              </w:rPr>
            </w:pPr>
          </w:p>
        </w:tc>
      </w:tr>
      <w:tr w14:paraId="57F4804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DD77BC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w:t>
            </w:r>
          </w:p>
        </w:tc>
        <w:tc>
          <w:tcPr>
            <w:tcW w:w="6982" w:type="dxa"/>
            <w:tcBorders>
              <w:tl2br w:val="nil"/>
              <w:tr2bl w:val="nil"/>
            </w:tcBorders>
            <w:vAlign w:val="center"/>
          </w:tcPr>
          <w:p w14:paraId="60CA40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协同签名系统 (客户端密码模块)</w:t>
            </w:r>
          </w:p>
        </w:tc>
        <w:tc>
          <w:tcPr>
            <w:tcW w:w="870" w:type="dxa"/>
            <w:vMerge w:val="continue"/>
            <w:tcBorders>
              <w:tl2br w:val="nil"/>
              <w:tr2bl w:val="nil"/>
            </w:tcBorders>
            <w:noWrap/>
            <w:vAlign w:val="center"/>
          </w:tcPr>
          <w:p w14:paraId="6DF607A9">
            <w:pPr>
              <w:spacing w:line="360" w:lineRule="auto"/>
              <w:jc w:val="center"/>
              <w:rPr>
                <w:rFonts w:hint="eastAsia" w:ascii="宋体" w:hAnsi="宋体" w:cs="宋体"/>
                <w:color w:val="auto"/>
                <w:sz w:val="21"/>
                <w:szCs w:val="21"/>
                <w:highlight w:val="none"/>
              </w:rPr>
            </w:pPr>
          </w:p>
        </w:tc>
      </w:tr>
      <w:tr w14:paraId="55F32A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86E4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w:t>
            </w:r>
          </w:p>
        </w:tc>
        <w:tc>
          <w:tcPr>
            <w:tcW w:w="6982" w:type="dxa"/>
            <w:tcBorders>
              <w:tl2br w:val="nil"/>
              <w:tr2bl w:val="nil"/>
            </w:tcBorders>
            <w:vAlign w:val="center"/>
          </w:tcPr>
          <w:p w14:paraId="718544F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独立小程序应用：微信直接安装使用，对接院内移动签名系统</w:t>
            </w:r>
          </w:p>
        </w:tc>
        <w:tc>
          <w:tcPr>
            <w:tcW w:w="870" w:type="dxa"/>
            <w:vMerge w:val="continue"/>
            <w:tcBorders>
              <w:tl2br w:val="nil"/>
              <w:tr2bl w:val="nil"/>
            </w:tcBorders>
            <w:noWrap/>
            <w:vAlign w:val="center"/>
          </w:tcPr>
          <w:p w14:paraId="00555206">
            <w:pPr>
              <w:spacing w:line="360" w:lineRule="auto"/>
              <w:jc w:val="center"/>
              <w:rPr>
                <w:rFonts w:hint="eastAsia" w:ascii="宋体" w:hAnsi="宋体" w:cs="宋体"/>
                <w:color w:val="auto"/>
                <w:sz w:val="21"/>
                <w:szCs w:val="21"/>
                <w:highlight w:val="none"/>
              </w:rPr>
            </w:pPr>
          </w:p>
        </w:tc>
      </w:tr>
      <w:tr w14:paraId="5D318C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B20231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4.13.3.2</w:t>
            </w:r>
          </w:p>
        </w:tc>
        <w:tc>
          <w:tcPr>
            <w:tcW w:w="6982" w:type="dxa"/>
            <w:tcBorders>
              <w:tl2br w:val="nil"/>
              <w:tr2bl w:val="nil"/>
            </w:tcBorders>
            <w:vAlign w:val="center"/>
          </w:tcPr>
          <w:p w14:paraId="6CB28DF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实名验证与证书签发：微信活体刷脸认证，实时生成证书，采集签字</w:t>
            </w:r>
          </w:p>
        </w:tc>
        <w:tc>
          <w:tcPr>
            <w:tcW w:w="870" w:type="dxa"/>
            <w:vMerge w:val="continue"/>
            <w:tcBorders>
              <w:tl2br w:val="nil"/>
              <w:tr2bl w:val="nil"/>
            </w:tcBorders>
            <w:noWrap/>
            <w:vAlign w:val="center"/>
          </w:tcPr>
          <w:p w14:paraId="77BDA20D">
            <w:pPr>
              <w:spacing w:line="360" w:lineRule="auto"/>
              <w:jc w:val="center"/>
              <w:rPr>
                <w:rFonts w:hint="eastAsia" w:ascii="宋体" w:hAnsi="宋体" w:cs="宋体"/>
                <w:color w:val="auto"/>
                <w:sz w:val="21"/>
                <w:szCs w:val="21"/>
                <w:highlight w:val="none"/>
              </w:rPr>
            </w:pPr>
          </w:p>
        </w:tc>
      </w:tr>
      <w:tr w14:paraId="7DEEFA7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A2024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4.13.3.3</w:t>
            </w:r>
          </w:p>
        </w:tc>
        <w:tc>
          <w:tcPr>
            <w:tcW w:w="6982" w:type="dxa"/>
            <w:tcBorders>
              <w:tl2br w:val="nil"/>
              <w:tr2bl w:val="nil"/>
            </w:tcBorders>
            <w:vAlign w:val="center"/>
          </w:tcPr>
          <w:p w14:paraId="6412AA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安全认证与电子签名：微信扫码登录，对处方、病历、报告签名</w:t>
            </w:r>
          </w:p>
        </w:tc>
        <w:tc>
          <w:tcPr>
            <w:tcW w:w="870" w:type="dxa"/>
            <w:vMerge w:val="continue"/>
            <w:tcBorders>
              <w:tl2br w:val="nil"/>
              <w:tr2bl w:val="nil"/>
            </w:tcBorders>
            <w:noWrap/>
            <w:vAlign w:val="center"/>
          </w:tcPr>
          <w:p w14:paraId="3385A76F">
            <w:pPr>
              <w:spacing w:line="360" w:lineRule="auto"/>
              <w:jc w:val="center"/>
              <w:rPr>
                <w:rFonts w:hint="eastAsia" w:ascii="宋体" w:hAnsi="宋体" w:cs="宋体"/>
                <w:color w:val="auto"/>
                <w:sz w:val="21"/>
                <w:szCs w:val="21"/>
                <w:highlight w:val="none"/>
              </w:rPr>
            </w:pPr>
          </w:p>
        </w:tc>
      </w:tr>
      <w:tr w14:paraId="0E0E7AA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17BF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4.13.3.4</w:t>
            </w:r>
          </w:p>
        </w:tc>
        <w:tc>
          <w:tcPr>
            <w:tcW w:w="6982" w:type="dxa"/>
            <w:tcBorders>
              <w:tl2br w:val="nil"/>
              <w:tr2bl w:val="nil"/>
            </w:tcBorders>
            <w:vAlign w:val="center"/>
          </w:tcPr>
          <w:p w14:paraId="2CDF429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安全会话授权：一定时间免扫码自动签名，支持手动取消</w:t>
            </w:r>
          </w:p>
        </w:tc>
        <w:tc>
          <w:tcPr>
            <w:tcW w:w="870" w:type="dxa"/>
            <w:vMerge w:val="continue"/>
            <w:tcBorders>
              <w:tl2br w:val="nil"/>
              <w:tr2bl w:val="nil"/>
            </w:tcBorders>
            <w:noWrap/>
            <w:vAlign w:val="center"/>
          </w:tcPr>
          <w:p w14:paraId="5C1DF5AD">
            <w:pPr>
              <w:spacing w:line="360" w:lineRule="auto"/>
              <w:jc w:val="center"/>
              <w:rPr>
                <w:rFonts w:hint="eastAsia" w:ascii="宋体" w:hAnsi="宋体" w:cs="宋体"/>
                <w:color w:val="auto"/>
                <w:sz w:val="21"/>
                <w:szCs w:val="21"/>
                <w:highlight w:val="none"/>
              </w:rPr>
            </w:pPr>
          </w:p>
        </w:tc>
      </w:tr>
      <w:tr w14:paraId="7A69DE1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2262C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4.13.3.5</w:t>
            </w:r>
          </w:p>
        </w:tc>
        <w:tc>
          <w:tcPr>
            <w:tcW w:w="6982" w:type="dxa"/>
            <w:tcBorders>
              <w:tl2br w:val="nil"/>
              <w:tr2bl w:val="nil"/>
            </w:tcBorders>
            <w:vAlign w:val="center"/>
          </w:tcPr>
          <w:p w14:paraId="00F2171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认证与签名记录查看：查看本人登录与签名记录</w:t>
            </w:r>
          </w:p>
        </w:tc>
        <w:tc>
          <w:tcPr>
            <w:tcW w:w="870" w:type="dxa"/>
            <w:vMerge w:val="continue"/>
            <w:tcBorders>
              <w:tl2br w:val="nil"/>
              <w:tr2bl w:val="nil"/>
            </w:tcBorders>
            <w:noWrap/>
            <w:vAlign w:val="center"/>
          </w:tcPr>
          <w:p w14:paraId="785F8420">
            <w:pPr>
              <w:spacing w:line="360" w:lineRule="auto"/>
              <w:jc w:val="center"/>
              <w:rPr>
                <w:rFonts w:hint="eastAsia" w:ascii="宋体" w:hAnsi="宋体" w:cs="宋体"/>
                <w:color w:val="auto"/>
                <w:sz w:val="21"/>
                <w:szCs w:val="21"/>
                <w:highlight w:val="none"/>
              </w:rPr>
            </w:pPr>
          </w:p>
        </w:tc>
      </w:tr>
      <w:tr w14:paraId="6D16B0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05B06F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4.13.3.6</w:t>
            </w:r>
          </w:p>
        </w:tc>
        <w:tc>
          <w:tcPr>
            <w:tcW w:w="6982" w:type="dxa"/>
            <w:tcBorders>
              <w:tl2br w:val="nil"/>
              <w:tr2bl w:val="nil"/>
            </w:tcBorders>
            <w:vAlign w:val="center"/>
          </w:tcPr>
          <w:p w14:paraId="28F8B7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协同密钥存储：微信小程序本地生成存储协同密钥，绑定终端</w:t>
            </w:r>
          </w:p>
        </w:tc>
        <w:tc>
          <w:tcPr>
            <w:tcW w:w="870" w:type="dxa"/>
            <w:vMerge w:val="continue"/>
            <w:tcBorders>
              <w:tl2br w:val="nil"/>
              <w:tr2bl w:val="nil"/>
            </w:tcBorders>
            <w:noWrap/>
            <w:vAlign w:val="center"/>
          </w:tcPr>
          <w:p w14:paraId="37108AD9">
            <w:pPr>
              <w:spacing w:line="360" w:lineRule="auto"/>
              <w:jc w:val="center"/>
              <w:rPr>
                <w:rFonts w:hint="eastAsia" w:ascii="宋体" w:hAnsi="宋体" w:cs="宋体"/>
                <w:color w:val="auto"/>
                <w:sz w:val="21"/>
                <w:szCs w:val="21"/>
                <w:highlight w:val="none"/>
              </w:rPr>
            </w:pPr>
          </w:p>
        </w:tc>
      </w:tr>
      <w:tr w14:paraId="6FD8BE2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BB1B88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4.13.3.7</w:t>
            </w:r>
          </w:p>
        </w:tc>
        <w:tc>
          <w:tcPr>
            <w:tcW w:w="6982" w:type="dxa"/>
            <w:tcBorders>
              <w:tl2br w:val="nil"/>
              <w:tr2bl w:val="nil"/>
            </w:tcBorders>
            <w:vAlign w:val="center"/>
          </w:tcPr>
          <w:p w14:paraId="25E13BF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自定义密码策略与指纹验证：自定义密码策略，支持指纹 / FaceID 验证</w:t>
            </w:r>
          </w:p>
        </w:tc>
        <w:tc>
          <w:tcPr>
            <w:tcW w:w="870" w:type="dxa"/>
            <w:vMerge w:val="continue"/>
            <w:tcBorders>
              <w:tl2br w:val="nil"/>
              <w:tr2bl w:val="nil"/>
            </w:tcBorders>
            <w:noWrap/>
            <w:vAlign w:val="center"/>
          </w:tcPr>
          <w:p w14:paraId="53C56FC7">
            <w:pPr>
              <w:spacing w:line="360" w:lineRule="auto"/>
              <w:jc w:val="center"/>
              <w:rPr>
                <w:rFonts w:hint="eastAsia" w:ascii="宋体" w:hAnsi="宋体" w:cs="宋体"/>
                <w:color w:val="auto"/>
                <w:sz w:val="21"/>
                <w:szCs w:val="21"/>
                <w:highlight w:val="none"/>
              </w:rPr>
            </w:pPr>
          </w:p>
        </w:tc>
      </w:tr>
      <w:tr w14:paraId="2D12926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EB94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4.13.3.8</w:t>
            </w:r>
          </w:p>
        </w:tc>
        <w:tc>
          <w:tcPr>
            <w:tcW w:w="6982" w:type="dxa"/>
            <w:tcBorders>
              <w:tl2br w:val="nil"/>
              <w:tr2bl w:val="nil"/>
            </w:tcBorders>
            <w:vAlign w:val="center"/>
          </w:tcPr>
          <w:p w14:paraId="46C55CE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患者文书批量签署：强制阅读后批量签署</w:t>
            </w:r>
          </w:p>
        </w:tc>
        <w:tc>
          <w:tcPr>
            <w:tcW w:w="870" w:type="dxa"/>
            <w:vMerge w:val="continue"/>
            <w:tcBorders>
              <w:tl2br w:val="nil"/>
              <w:tr2bl w:val="nil"/>
            </w:tcBorders>
            <w:noWrap/>
            <w:vAlign w:val="center"/>
          </w:tcPr>
          <w:p w14:paraId="53412E77">
            <w:pPr>
              <w:spacing w:line="360" w:lineRule="auto"/>
              <w:jc w:val="center"/>
              <w:rPr>
                <w:rFonts w:hint="eastAsia" w:ascii="宋体" w:hAnsi="宋体" w:cs="宋体"/>
                <w:color w:val="auto"/>
                <w:sz w:val="21"/>
                <w:szCs w:val="21"/>
                <w:highlight w:val="none"/>
              </w:rPr>
            </w:pPr>
          </w:p>
        </w:tc>
      </w:tr>
      <w:tr w14:paraId="61221BB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F2C6B6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4.13.3.9</w:t>
            </w:r>
          </w:p>
        </w:tc>
        <w:tc>
          <w:tcPr>
            <w:tcW w:w="6982" w:type="dxa"/>
            <w:tcBorders>
              <w:tl2br w:val="nil"/>
              <w:tr2bl w:val="nil"/>
            </w:tcBorders>
            <w:vAlign w:val="center"/>
          </w:tcPr>
          <w:p w14:paraId="21B7D8A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家属 / 代理人签名：支持添加角色，身份认证签署</w:t>
            </w:r>
          </w:p>
        </w:tc>
        <w:tc>
          <w:tcPr>
            <w:tcW w:w="870" w:type="dxa"/>
            <w:vMerge w:val="continue"/>
            <w:tcBorders>
              <w:tl2br w:val="nil"/>
              <w:tr2bl w:val="nil"/>
            </w:tcBorders>
            <w:noWrap/>
            <w:vAlign w:val="center"/>
          </w:tcPr>
          <w:p w14:paraId="35D899F8">
            <w:pPr>
              <w:spacing w:line="360" w:lineRule="auto"/>
              <w:jc w:val="center"/>
              <w:rPr>
                <w:rFonts w:hint="eastAsia" w:ascii="宋体" w:hAnsi="宋体" w:cs="宋体"/>
                <w:color w:val="auto"/>
                <w:sz w:val="21"/>
                <w:szCs w:val="21"/>
                <w:highlight w:val="none"/>
              </w:rPr>
            </w:pPr>
          </w:p>
        </w:tc>
      </w:tr>
      <w:tr w14:paraId="50EC480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3BAAD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4.13.3.10</w:t>
            </w:r>
          </w:p>
        </w:tc>
        <w:tc>
          <w:tcPr>
            <w:tcW w:w="6982" w:type="dxa"/>
            <w:tcBorders>
              <w:tl2br w:val="nil"/>
              <w:tr2bl w:val="nil"/>
            </w:tcBorders>
            <w:vAlign w:val="center"/>
          </w:tcPr>
          <w:p w14:paraId="78C5136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谈话过程录音存档：录音与文件一同签名存档</w:t>
            </w:r>
          </w:p>
        </w:tc>
        <w:tc>
          <w:tcPr>
            <w:tcW w:w="870" w:type="dxa"/>
            <w:vMerge w:val="continue"/>
            <w:tcBorders>
              <w:tl2br w:val="nil"/>
              <w:tr2bl w:val="nil"/>
            </w:tcBorders>
            <w:noWrap/>
            <w:vAlign w:val="center"/>
          </w:tcPr>
          <w:p w14:paraId="5B55CA72">
            <w:pPr>
              <w:spacing w:line="360" w:lineRule="auto"/>
              <w:jc w:val="center"/>
              <w:rPr>
                <w:rFonts w:hint="eastAsia" w:ascii="宋体" w:hAnsi="宋体" w:cs="宋体"/>
                <w:color w:val="auto"/>
                <w:sz w:val="21"/>
                <w:szCs w:val="21"/>
                <w:highlight w:val="none"/>
              </w:rPr>
            </w:pPr>
          </w:p>
        </w:tc>
      </w:tr>
      <w:tr w14:paraId="318A911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6F606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4.13.3.11</w:t>
            </w:r>
          </w:p>
        </w:tc>
        <w:tc>
          <w:tcPr>
            <w:tcW w:w="6982" w:type="dxa"/>
            <w:tcBorders>
              <w:tl2br w:val="nil"/>
              <w:tr2bl w:val="nil"/>
            </w:tcBorders>
            <w:vAlign w:val="center"/>
          </w:tcPr>
          <w:p w14:paraId="49CC20D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签署进度与隐私保护：查看进度，防截屏保护隐私</w:t>
            </w:r>
          </w:p>
        </w:tc>
        <w:tc>
          <w:tcPr>
            <w:tcW w:w="870" w:type="dxa"/>
            <w:vMerge w:val="continue"/>
            <w:tcBorders>
              <w:tl2br w:val="nil"/>
              <w:tr2bl w:val="nil"/>
            </w:tcBorders>
            <w:noWrap/>
            <w:vAlign w:val="center"/>
          </w:tcPr>
          <w:p w14:paraId="71C7EE0E">
            <w:pPr>
              <w:spacing w:line="360" w:lineRule="auto"/>
              <w:jc w:val="center"/>
              <w:rPr>
                <w:rFonts w:hint="eastAsia" w:ascii="宋体" w:hAnsi="宋体" w:cs="宋体"/>
                <w:color w:val="auto"/>
                <w:sz w:val="21"/>
                <w:szCs w:val="21"/>
                <w:highlight w:val="none"/>
              </w:rPr>
            </w:pPr>
          </w:p>
        </w:tc>
      </w:tr>
      <w:tr w14:paraId="093E9E6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B2D8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4.13.3.12</w:t>
            </w:r>
          </w:p>
        </w:tc>
        <w:tc>
          <w:tcPr>
            <w:tcW w:w="6982" w:type="dxa"/>
            <w:tcBorders>
              <w:tl2br w:val="nil"/>
              <w:tr2bl w:val="nil"/>
            </w:tcBorders>
            <w:vAlign w:val="center"/>
          </w:tcPr>
          <w:p w14:paraId="1589AF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强制阅读与签署：自定义阅读时间，浏览到底部才可签名</w:t>
            </w:r>
          </w:p>
        </w:tc>
        <w:tc>
          <w:tcPr>
            <w:tcW w:w="870" w:type="dxa"/>
            <w:vMerge w:val="continue"/>
            <w:tcBorders>
              <w:tl2br w:val="nil"/>
              <w:tr2bl w:val="nil"/>
            </w:tcBorders>
            <w:noWrap/>
            <w:vAlign w:val="center"/>
          </w:tcPr>
          <w:p w14:paraId="64074BD4">
            <w:pPr>
              <w:spacing w:line="360" w:lineRule="auto"/>
              <w:jc w:val="center"/>
              <w:rPr>
                <w:rFonts w:hint="eastAsia" w:ascii="宋体" w:hAnsi="宋体" w:cs="宋体"/>
                <w:color w:val="auto"/>
                <w:sz w:val="21"/>
                <w:szCs w:val="21"/>
                <w:highlight w:val="none"/>
              </w:rPr>
            </w:pPr>
          </w:p>
        </w:tc>
      </w:tr>
      <w:tr w14:paraId="22A2B47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8EBEB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4.13.3.13</w:t>
            </w:r>
          </w:p>
        </w:tc>
        <w:tc>
          <w:tcPr>
            <w:tcW w:w="6982" w:type="dxa"/>
            <w:tcBorders>
              <w:tl2br w:val="nil"/>
              <w:tr2bl w:val="nil"/>
            </w:tcBorders>
            <w:vAlign w:val="center"/>
          </w:tcPr>
          <w:p w14:paraId="39CB2E6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知晓内容声明：支持配置知晓内容，患者确认</w:t>
            </w:r>
          </w:p>
        </w:tc>
        <w:tc>
          <w:tcPr>
            <w:tcW w:w="870" w:type="dxa"/>
            <w:vMerge w:val="continue"/>
            <w:tcBorders>
              <w:tl2br w:val="nil"/>
              <w:tr2bl w:val="nil"/>
            </w:tcBorders>
            <w:noWrap/>
            <w:vAlign w:val="center"/>
          </w:tcPr>
          <w:p w14:paraId="236A0BA2">
            <w:pPr>
              <w:spacing w:line="360" w:lineRule="auto"/>
              <w:jc w:val="center"/>
              <w:rPr>
                <w:rFonts w:hint="eastAsia" w:ascii="宋体" w:hAnsi="宋体" w:cs="宋体"/>
                <w:color w:val="auto"/>
                <w:sz w:val="21"/>
                <w:szCs w:val="21"/>
                <w:highlight w:val="none"/>
              </w:rPr>
            </w:pPr>
          </w:p>
        </w:tc>
      </w:tr>
      <w:tr w14:paraId="137764D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380A47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4.13.3.14</w:t>
            </w:r>
          </w:p>
        </w:tc>
        <w:tc>
          <w:tcPr>
            <w:tcW w:w="6982" w:type="dxa"/>
            <w:tcBorders>
              <w:tl2br w:val="nil"/>
              <w:tr2bl w:val="nil"/>
            </w:tcBorders>
            <w:vAlign w:val="center"/>
          </w:tcPr>
          <w:p w14:paraId="2DA3B95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指纹 / FaceID 身份验证：调用原生验证确保本人操作</w:t>
            </w:r>
          </w:p>
        </w:tc>
        <w:tc>
          <w:tcPr>
            <w:tcW w:w="870" w:type="dxa"/>
            <w:vMerge w:val="continue"/>
            <w:tcBorders>
              <w:tl2br w:val="nil"/>
              <w:tr2bl w:val="nil"/>
            </w:tcBorders>
            <w:noWrap/>
            <w:vAlign w:val="center"/>
          </w:tcPr>
          <w:p w14:paraId="59EFEE5E">
            <w:pPr>
              <w:spacing w:line="360" w:lineRule="auto"/>
              <w:jc w:val="center"/>
              <w:rPr>
                <w:rFonts w:hint="eastAsia" w:ascii="宋体" w:hAnsi="宋体" w:cs="宋体"/>
                <w:color w:val="auto"/>
                <w:sz w:val="21"/>
                <w:szCs w:val="21"/>
                <w:highlight w:val="none"/>
              </w:rPr>
            </w:pPr>
          </w:p>
        </w:tc>
      </w:tr>
      <w:tr w14:paraId="6D0798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03AAF2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4.13.3.15</w:t>
            </w:r>
          </w:p>
        </w:tc>
        <w:tc>
          <w:tcPr>
            <w:tcW w:w="6982" w:type="dxa"/>
            <w:tcBorders>
              <w:tl2br w:val="nil"/>
              <w:tr2bl w:val="nil"/>
            </w:tcBorders>
            <w:vAlign w:val="center"/>
          </w:tcPr>
          <w:p w14:paraId="539D01E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手写输入与信息插入：手写文字及键盘输入插入文件</w:t>
            </w:r>
          </w:p>
        </w:tc>
        <w:tc>
          <w:tcPr>
            <w:tcW w:w="870" w:type="dxa"/>
            <w:vMerge w:val="continue"/>
            <w:tcBorders>
              <w:tl2br w:val="nil"/>
              <w:tr2bl w:val="nil"/>
            </w:tcBorders>
            <w:noWrap/>
            <w:vAlign w:val="center"/>
          </w:tcPr>
          <w:p w14:paraId="3279ADFF">
            <w:pPr>
              <w:spacing w:line="360" w:lineRule="auto"/>
              <w:jc w:val="center"/>
              <w:rPr>
                <w:rFonts w:hint="eastAsia" w:ascii="宋体" w:hAnsi="宋体" w:cs="宋体"/>
                <w:color w:val="auto"/>
                <w:sz w:val="21"/>
                <w:szCs w:val="21"/>
                <w:highlight w:val="none"/>
              </w:rPr>
            </w:pPr>
          </w:p>
        </w:tc>
      </w:tr>
      <w:tr w14:paraId="1A24387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5990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4.13.3.16</w:t>
            </w:r>
          </w:p>
        </w:tc>
        <w:tc>
          <w:tcPr>
            <w:tcW w:w="6982" w:type="dxa"/>
            <w:tcBorders>
              <w:tl2br w:val="nil"/>
              <w:tr2bl w:val="nil"/>
            </w:tcBorders>
            <w:vAlign w:val="center"/>
          </w:tcPr>
          <w:p w14:paraId="0360F3C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在线沟通与文件签署：医患聊天室，微信服务消息通知</w:t>
            </w:r>
          </w:p>
        </w:tc>
        <w:tc>
          <w:tcPr>
            <w:tcW w:w="870" w:type="dxa"/>
            <w:vMerge w:val="continue"/>
            <w:tcBorders>
              <w:tl2br w:val="nil"/>
              <w:tr2bl w:val="nil"/>
            </w:tcBorders>
            <w:noWrap/>
            <w:vAlign w:val="center"/>
          </w:tcPr>
          <w:p w14:paraId="24DAECB5">
            <w:pPr>
              <w:spacing w:line="360" w:lineRule="auto"/>
              <w:jc w:val="center"/>
              <w:rPr>
                <w:rFonts w:hint="eastAsia" w:ascii="宋体" w:hAnsi="宋体" w:cs="宋体"/>
                <w:color w:val="auto"/>
                <w:sz w:val="21"/>
                <w:szCs w:val="21"/>
                <w:highlight w:val="none"/>
              </w:rPr>
            </w:pPr>
          </w:p>
        </w:tc>
      </w:tr>
      <w:tr w14:paraId="3151CC5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ED9DAA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4.13.3.17</w:t>
            </w:r>
          </w:p>
        </w:tc>
        <w:tc>
          <w:tcPr>
            <w:tcW w:w="6982" w:type="dxa"/>
            <w:tcBorders>
              <w:tl2br w:val="nil"/>
              <w:tr2bl w:val="nil"/>
            </w:tcBorders>
            <w:vAlign w:val="center"/>
          </w:tcPr>
          <w:p w14:paraId="17582E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电子陪护证与住院证：提供电子陪护证、住院证，扫码通行</w:t>
            </w:r>
          </w:p>
        </w:tc>
        <w:tc>
          <w:tcPr>
            <w:tcW w:w="870" w:type="dxa"/>
            <w:vMerge w:val="continue"/>
            <w:tcBorders>
              <w:tl2br w:val="nil"/>
              <w:tr2bl w:val="nil"/>
            </w:tcBorders>
            <w:noWrap/>
            <w:vAlign w:val="center"/>
          </w:tcPr>
          <w:p w14:paraId="68566793">
            <w:pPr>
              <w:spacing w:line="360" w:lineRule="auto"/>
              <w:jc w:val="center"/>
              <w:rPr>
                <w:rFonts w:hint="eastAsia" w:ascii="宋体" w:hAnsi="宋体" w:cs="宋体"/>
                <w:color w:val="auto"/>
                <w:sz w:val="21"/>
                <w:szCs w:val="21"/>
                <w:highlight w:val="none"/>
              </w:rPr>
            </w:pPr>
          </w:p>
        </w:tc>
      </w:tr>
      <w:tr w14:paraId="1E287A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7A79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4.13.3.18</w:t>
            </w:r>
          </w:p>
        </w:tc>
        <w:tc>
          <w:tcPr>
            <w:tcW w:w="6982" w:type="dxa"/>
            <w:tcBorders>
              <w:tl2br w:val="nil"/>
              <w:tr2bl w:val="nil"/>
            </w:tcBorders>
            <w:vAlign w:val="center"/>
          </w:tcPr>
          <w:p w14:paraId="502A4F9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签名终端应用归属权：应用归属医院，认证主体为医院</w:t>
            </w:r>
          </w:p>
        </w:tc>
        <w:tc>
          <w:tcPr>
            <w:tcW w:w="870" w:type="dxa"/>
            <w:vMerge w:val="continue"/>
            <w:tcBorders>
              <w:tl2br w:val="nil"/>
              <w:tr2bl w:val="nil"/>
            </w:tcBorders>
            <w:noWrap/>
            <w:vAlign w:val="center"/>
          </w:tcPr>
          <w:p w14:paraId="47C1EFD3">
            <w:pPr>
              <w:spacing w:line="360" w:lineRule="auto"/>
              <w:jc w:val="center"/>
              <w:rPr>
                <w:rFonts w:hint="eastAsia" w:ascii="宋体" w:hAnsi="宋体" w:cs="宋体"/>
                <w:color w:val="auto"/>
                <w:sz w:val="21"/>
                <w:szCs w:val="21"/>
                <w:highlight w:val="none"/>
              </w:rPr>
            </w:pPr>
          </w:p>
        </w:tc>
      </w:tr>
      <w:tr w14:paraId="524906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19A16E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w:t>
            </w:r>
          </w:p>
        </w:tc>
        <w:tc>
          <w:tcPr>
            <w:tcW w:w="6982" w:type="dxa"/>
            <w:tcBorders>
              <w:tl2br w:val="nil"/>
              <w:tr2bl w:val="nil"/>
            </w:tcBorders>
            <w:vAlign w:val="center"/>
          </w:tcPr>
          <w:p w14:paraId="4E4B2FB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静脉配置管理中心（升级）</w:t>
            </w:r>
          </w:p>
        </w:tc>
        <w:tc>
          <w:tcPr>
            <w:tcW w:w="870" w:type="dxa"/>
            <w:vMerge w:val="restart"/>
            <w:tcBorders>
              <w:tl2br w:val="nil"/>
              <w:tr2bl w:val="nil"/>
            </w:tcBorders>
            <w:noWrap/>
            <w:vAlign w:val="center"/>
          </w:tcPr>
          <w:p w14:paraId="289894B0">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3388FC2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40630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4.14.1</w:t>
            </w:r>
          </w:p>
        </w:tc>
        <w:tc>
          <w:tcPr>
            <w:tcW w:w="6982" w:type="dxa"/>
            <w:tcBorders>
              <w:tl2br w:val="nil"/>
              <w:tr2bl w:val="nil"/>
            </w:tcBorders>
            <w:vAlign w:val="center"/>
          </w:tcPr>
          <w:p w14:paraId="2C9D2D4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静脉用药调配中心管理系统</w:t>
            </w:r>
          </w:p>
        </w:tc>
        <w:tc>
          <w:tcPr>
            <w:tcW w:w="870" w:type="dxa"/>
            <w:vMerge w:val="continue"/>
            <w:tcBorders>
              <w:tl2br w:val="nil"/>
              <w:tr2bl w:val="nil"/>
            </w:tcBorders>
            <w:noWrap/>
            <w:vAlign w:val="center"/>
          </w:tcPr>
          <w:p w14:paraId="0856B4F9">
            <w:pPr>
              <w:spacing w:line="360" w:lineRule="auto"/>
              <w:jc w:val="center"/>
              <w:rPr>
                <w:rFonts w:hint="eastAsia" w:ascii="宋体" w:hAnsi="宋体" w:cs="宋体"/>
                <w:color w:val="auto"/>
                <w:sz w:val="21"/>
                <w:szCs w:val="21"/>
                <w:highlight w:val="none"/>
              </w:rPr>
            </w:pPr>
          </w:p>
        </w:tc>
      </w:tr>
      <w:tr w14:paraId="498CFB1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FE90D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4.14.1.1</w:t>
            </w:r>
          </w:p>
        </w:tc>
        <w:tc>
          <w:tcPr>
            <w:tcW w:w="6982" w:type="dxa"/>
            <w:tcBorders>
              <w:tl2br w:val="nil"/>
              <w:tr2bl w:val="nil"/>
            </w:tcBorders>
            <w:vAlign w:val="center"/>
          </w:tcPr>
          <w:p w14:paraId="7CC866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支持批次分配、标签及汇总单打印、标签断续 / 重新打印、仓内仓外配置扫描、成品核对扫描、成品交接、配送认领扫描、输液单追踪、基础资料维护、查询统计、根据医嘱数据配置批次、快速修改批次</w:t>
            </w:r>
          </w:p>
        </w:tc>
        <w:tc>
          <w:tcPr>
            <w:tcW w:w="870" w:type="dxa"/>
            <w:vMerge w:val="continue"/>
            <w:tcBorders>
              <w:tl2br w:val="nil"/>
              <w:tr2bl w:val="nil"/>
            </w:tcBorders>
            <w:noWrap/>
            <w:vAlign w:val="center"/>
          </w:tcPr>
          <w:p w14:paraId="7ADA9FE3">
            <w:pPr>
              <w:spacing w:line="360" w:lineRule="auto"/>
              <w:jc w:val="center"/>
              <w:rPr>
                <w:rFonts w:hint="eastAsia" w:ascii="宋体" w:hAnsi="宋体" w:cs="宋体"/>
                <w:color w:val="auto"/>
                <w:sz w:val="21"/>
                <w:szCs w:val="21"/>
                <w:highlight w:val="none"/>
              </w:rPr>
            </w:pPr>
          </w:p>
        </w:tc>
      </w:tr>
      <w:tr w14:paraId="4169A2B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DCA420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4.14.1.2</w:t>
            </w:r>
          </w:p>
        </w:tc>
        <w:tc>
          <w:tcPr>
            <w:tcW w:w="6982" w:type="dxa"/>
            <w:tcBorders>
              <w:tl2br w:val="nil"/>
              <w:tr2bl w:val="nil"/>
            </w:tcBorders>
            <w:vAlign w:val="center"/>
          </w:tcPr>
          <w:p w14:paraId="548C74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支持多种瓶签筛选、排序模式，自定义排序，按科室 / 药品打印汇总单，打印同品种汇总小签、溶媒间隔标签，单张 / 批量重打，瓶签可视化设计</w:t>
            </w:r>
          </w:p>
        </w:tc>
        <w:tc>
          <w:tcPr>
            <w:tcW w:w="870" w:type="dxa"/>
            <w:vMerge w:val="continue"/>
            <w:tcBorders>
              <w:tl2br w:val="nil"/>
              <w:tr2bl w:val="nil"/>
            </w:tcBorders>
            <w:noWrap/>
            <w:vAlign w:val="center"/>
          </w:tcPr>
          <w:p w14:paraId="03D914D0">
            <w:pPr>
              <w:spacing w:line="360" w:lineRule="auto"/>
              <w:jc w:val="center"/>
              <w:rPr>
                <w:rFonts w:hint="eastAsia" w:ascii="宋体" w:hAnsi="宋体" w:cs="宋体"/>
                <w:color w:val="auto"/>
                <w:sz w:val="21"/>
                <w:szCs w:val="21"/>
                <w:highlight w:val="none"/>
              </w:rPr>
            </w:pPr>
          </w:p>
        </w:tc>
      </w:tr>
      <w:tr w14:paraId="313EED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36796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4.14.1.3</w:t>
            </w:r>
          </w:p>
        </w:tc>
        <w:tc>
          <w:tcPr>
            <w:tcW w:w="6982" w:type="dxa"/>
            <w:tcBorders>
              <w:tl2br w:val="nil"/>
              <w:tr2bl w:val="nil"/>
            </w:tcBorders>
            <w:vAlign w:val="center"/>
          </w:tcPr>
          <w:p w14:paraId="7605C01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 PC/PDA 扫描，按科室批次打印成品交接单，配送人员扫描认领，输液单追踪，查看医嘱审查历史，修改批次配置类型</w:t>
            </w:r>
          </w:p>
        </w:tc>
        <w:tc>
          <w:tcPr>
            <w:tcW w:w="870" w:type="dxa"/>
            <w:vMerge w:val="continue"/>
            <w:tcBorders>
              <w:tl2br w:val="nil"/>
              <w:tr2bl w:val="nil"/>
            </w:tcBorders>
            <w:noWrap/>
            <w:vAlign w:val="center"/>
          </w:tcPr>
          <w:p w14:paraId="3FB003B8">
            <w:pPr>
              <w:spacing w:line="360" w:lineRule="auto"/>
              <w:jc w:val="center"/>
              <w:rPr>
                <w:rFonts w:hint="eastAsia" w:ascii="宋体" w:hAnsi="宋体" w:cs="宋体"/>
                <w:color w:val="auto"/>
                <w:sz w:val="21"/>
                <w:szCs w:val="21"/>
                <w:highlight w:val="none"/>
              </w:rPr>
            </w:pPr>
          </w:p>
        </w:tc>
      </w:tr>
      <w:tr w14:paraId="652D733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BDAB8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4.14.2</w:t>
            </w:r>
          </w:p>
        </w:tc>
        <w:tc>
          <w:tcPr>
            <w:tcW w:w="6982" w:type="dxa"/>
            <w:tcBorders>
              <w:tl2br w:val="nil"/>
              <w:tr2bl w:val="nil"/>
            </w:tcBorders>
            <w:vAlign w:val="center"/>
          </w:tcPr>
          <w:p w14:paraId="575F35C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舱内扫描系统</w:t>
            </w:r>
          </w:p>
        </w:tc>
        <w:tc>
          <w:tcPr>
            <w:tcW w:w="870" w:type="dxa"/>
            <w:vMerge w:val="continue"/>
            <w:tcBorders>
              <w:tl2br w:val="nil"/>
              <w:tr2bl w:val="nil"/>
            </w:tcBorders>
            <w:noWrap/>
            <w:vAlign w:val="center"/>
          </w:tcPr>
          <w:p w14:paraId="0444BFA5">
            <w:pPr>
              <w:spacing w:line="360" w:lineRule="auto"/>
              <w:jc w:val="center"/>
              <w:rPr>
                <w:rFonts w:hint="eastAsia" w:ascii="宋体" w:hAnsi="宋体" w:cs="宋体"/>
                <w:color w:val="auto"/>
                <w:sz w:val="21"/>
                <w:szCs w:val="21"/>
                <w:highlight w:val="none"/>
              </w:rPr>
            </w:pPr>
          </w:p>
        </w:tc>
      </w:tr>
      <w:tr w14:paraId="100E611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101B4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4.14.2.1</w:t>
            </w:r>
          </w:p>
        </w:tc>
        <w:tc>
          <w:tcPr>
            <w:tcW w:w="6982" w:type="dxa"/>
            <w:tcBorders>
              <w:tl2br w:val="nil"/>
              <w:tr2bl w:val="nil"/>
            </w:tcBorders>
            <w:vAlign w:val="center"/>
          </w:tcPr>
          <w:p w14:paraId="7A71A2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支持不同设备扫描业务逻辑处理，语音、文字、色彩展示结果</w:t>
            </w:r>
          </w:p>
        </w:tc>
        <w:tc>
          <w:tcPr>
            <w:tcW w:w="870" w:type="dxa"/>
            <w:vMerge w:val="continue"/>
            <w:tcBorders>
              <w:tl2br w:val="nil"/>
              <w:tr2bl w:val="nil"/>
            </w:tcBorders>
            <w:noWrap/>
            <w:vAlign w:val="center"/>
          </w:tcPr>
          <w:p w14:paraId="4898CB2D">
            <w:pPr>
              <w:spacing w:line="360" w:lineRule="auto"/>
              <w:jc w:val="center"/>
              <w:rPr>
                <w:rFonts w:hint="eastAsia" w:ascii="宋体" w:hAnsi="宋体" w:cs="宋体"/>
                <w:color w:val="auto"/>
                <w:sz w:val="21"/>
                <w:szCs w:val="21"/>
                <w:highlight w:val="none"/>
              </w:rPr>
            </w:pPr>
          </w:p>
        </w:tc>
      </w:tr>
      <w:tr w14:paraId="75EA86A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B5541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4.14.3</w:t>
            </w:r>
          </w:p>
        </w:tc>
        <w:tc>
          <w:tcPr>
            <w:tcW w:w="6982" w:type="dxa"/>
            <w:tcBorders>
              <w:tl2br w:val="nil"/>
              <w:tr2bl w:val="nil"/>
            </w:tcBorders>
            <w:vAlign w:val="center"/>
          </w:tcPr>
          <w:p w14:paraId="7170906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PDA 扫描系统</w:t>
            </w:r>
          </w:p>
        </w:tc>
        <w:tc>
          <w:tcPr>
            <w:tcW w:w="870" w:type="dxa"/>
            <w:vMerge w:val="continue"/>
            <w:tcBorders>
              <w:tl2br w:val="nil"/>
              <w:tr2bl w:val="nil"/>
            </w:tcBorders>
            <w:noWrap/>
            <w:vAlign w:val="center"/>
          </w:tcPr>
          <w:p w14:paraId="50A5E482">
            <w:pPr>
              <w:spacing w:line="360" w:lineRule="auto"/>
              <w:jc w:val="center"/>
              <w:rPr>
                <w:rFonts w:hint="eastAsia" w:ascii="宋体" w:hAnsi="宋体" w:cs="宋体"/>
                <w:color w:val="auto"/>
                <w:sz w:val="21"/>
                <w:szCs w:val="21"/>
                <w:highlight w:val="none"/>
              </w:rPr>
            </w:pPr>
          </w:p>
        </w:tc>
      </w:tr>
      <w:tr w14:paraId="2C21BD3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E2387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4.14.3.1</w:t>
            </w:r>
          </w:p>
        </w:tc>
        <w:tc>
          <w:tcPr>
            <w:tcW w:w="6982" w:type="dxa"/>
            <w:tcBorders>
              <w:tl2br w:val="nil"/>
              <w:tr2bl w:val="nil"/>
            </w:tcBorders>
            <w:vAlign w:val="center"/>
          </w:tcPr>
          <w:p w14:paraId="7CD4815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支持各环节扫描，记录操作日志，支持贴签、摆药核对、舱内舱外配置核对、出仓核对、装箱、交接单认领</w:t>
            </w:r>
          </w:p>
        </w:tc>
        <w:tc>
          <w:tcPr>
            <w:tcW w:w="870" w:type="dxa"/>
            <w:vMerge w:val="continue"/>
            <w:tcBorders>
              <w:tl2br w:val="nil"/>
              <w:tr2bl w:val="nil"/>
            </w:tcBorders>
            <w:noWrap/>
            <w:vAlign w:val="center"/>
          </w:tcPr>
          <w:p w14:paraId="09E1D5C7">
            <w:pPr>
              <w:spacing w:line="360" w:lineRule="auto"/>
              <w:jc w:val="center"/>
              <w:rPr>
                <w:rFonts w:hint="eastAsia" w:ascii="宋体" w:hAnsi="宋体" w:cs="宋体"/>
                <w:color w:val="auto"/>
                <w:sz w:val="21"/>
                <w:szCs w:val="21"/>
                <w:highlight w:val="none"/>
              </w:rPr>
            </w:pPr>
          </w:p>
        </w:tc>
      </w:tr>
      <w:tr w14:paraId="149F50F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274FCC7">
            <w:pPr>
              <w:widowControl/>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4.15</w:t>
            </w:r>
          </w:p>
        </w:tc>
        <w:tc>
          <w:tcPr>
            <w:tcW w:w="6982" w:type="dxa"/>
            <w:tcBorders>
              <w:tl2br w:val="nil"/>
              <w:tr2bl w:val="nil"/>
            </w:tcBorders>
            <w:vAlign w:val="center"/>
          </w:tcPr>
          <w:p w14:paraId="18D7012D">
            <w:pPr>
              <w:widowControl/>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OA办公系统升级</w:t>
            </w:r>
          </w:p>
        </w:tc>
        <w:tc>
          <w:tcPr>
            <w:tcW w:w="870" w:type="dxa"/>
            <w:vMerge w:val="continue"/>
            <w:tcBorders>
              <w:tl2br w:val="nil"/>
              <w:tr2bl w:val="nil"/>
            </w:tcBorders>
            <w:noWrap/>
            <w:vAlign w:val="center"/>
          </w:tcPr>
          <w:p w14:paraId="0CB7216F">
            <w:pPr>
              <w:spacing w:line="360" w:lineRule="auto"/>
              <w:jc w:val="center"/>
              <w:rPr>
                <w:rFonts w:hint="eastAsia" w:ascii="宋体" w:hAnsi="宋体" w:cs="宋体"/>
                <w:color w:val="auto"/>
                <w:sz w:val="21"/>
                <w:szCs w:val="21"/>
                <w:highlight w:val="none"/>
              </w:rPr>
            </w:pPr>
          </w:p>
        </w:tc>
      </w:tr>
      <w:tr w14:paraId="201ED3C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EDCBD3B">
            <w:pPr>
              <w:widowControl/>
              <w:spacing w:line="360" w:lineRule="auto"/>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4.15.1</w:t>
            </w:r>
          </w:p>
        </w:tc>
        <w:tc>
          <w:tcPr>
            <w:tcW w:w="6982" w:type="dxa"/>
            <w:tcBorders>
              <w:tl2br w:val="nil"/>
              <w:tr2bl w:val="nil"/>
            </w:tcBorders>
            <w:vAlign w:val="center"/>
          </w:tcPr>
          <w:p w14:paraId="68276E39">
            <w:pPr>
              <w:widowControl/>
              <w:spacing w:line="360" w:lineRule="auto"/>
              <w:jc w:val="left"/>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对现有OA办公系统做人员字典交互方式优化，通过API接口与医院人事系统实时交互人员字典和属性，用户可通过移动端调整个人科室等信息。</w:t>
            </w:r>
          </w:p>
        </w:tc>
        <w:tc>
          <w:tcPr>
            <w:tcW w:w="870" w:type="dxa"/>
            <w:vMerge w:val="continue"/>
            <w:tcBorders>
              <w:tl2br w:val="nil"/>
              <w:tr2bl w:val="nil"/>
            </w:tcBorders>
            <w:noWrap/>
            <w:vAlign w:val="center"/>
          </w:tcPr>
          <w:p w14:paraId="6E7123FD">
            <w:pPr>
              <w:spacing w:line="360" w:lineRule="auto"/>
              <w:jc w:val="center"/>
              <w:rPr>
                <w:rFonts w:hint="eastAsia" w:ascii="宋体" w:hAnsi="宋体" w:cs="宋体"/>
                <w:color w:val="auto"/>
                <w:sz w:val="21"/>
                <w:szCs w:val="21"/>
                <w:highlight w:val="none"/>
              </w:rPr>
            </w:pPr>
          </w:p>
        </w:tc>
      </w:tr>
      <w:tr w14:paraId="4A425C0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E9A2FD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五</w:t>
            </w:r>
          </w:p>
        </w:tc>
        <w:tc>
          <w:tcPr>
            <w:tcW w:w="6982" w:type="dxa"/>
            <w:tcBorders>
              <w:tl2br w:val="nil"/>
              <w:tr2bl w:val="nil"/>
            </w:tcBorders>
            <w:vAlign w:val="center"/>
          </w:tcPr>
          <w:p w14:paraId="124898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新院区业务系统搬迁实施与技术保障</w:t>
            </w:r>
          </w:p>
        </w:tc>
        <w:tc>
          <w:tcPr>
            <w:tcW w:w="870" w:type="dxa"/>
            <w:tcBorders>
              <w:tl2br w:val="nil"/>
              <w:tr2bl w:val="nil"/>
            </w:tcBorders>
            <w:noWrap/>
            <w:vAlign w:val="center"/>
          </w:tcPr>
          <w:p w14:paraId="1BA1750E">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6E467AC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CA90D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w:t>
            </w:r>
          </w:p>
        </w:tc>
        <w:tc>
          <w:tcPr>
            <w:tcW w:w="6982" w:type="dxa"/>
            <w:tcBorders>
              <w:tl2br w:val="nil"/>
              <w:tr2bl w:val="nil"/>
            </w:tcBorders>
            <w:vAlign w:val="center"/>
          </w:tcPr>
          <w:p w14:paraId="0D04312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支持以下系统新院区业务系统搬迁实施与技术保障</w:t>
            </w:r>
          </w:p>
        </w:tc>
        <w:tc>
          <w:tcPr>
            <w:tcW w:w="870" w:type="dxa"/>
            <w:vMerge w:val="restart"/>
            <w:tcBorders>
              <w:tl2br w:val="nil"/>
              <w:tr2bl w:val="nil"/>
            </w:tcBorders>
            <w:noWrap/>
            <w:vAlign w:val="center"/>
          </w:tcPr>
          <w:p w14:paraId="0563E2EA">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5F07B4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54066E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w:t>
            </w:r>
          </w:p>
        </w:tc>
        <w:tc>
          <w:tcPr>
            <w:tcW w:w="6982" w:type="dxa"/>
            <w:tcBorders>
              <w:tl2br w:val="nil"/>
              <w:tr2bl w:val="nil"/>
            </w:tcBorders>
            <w:vAlign w:val="center"/>
          </w:tcPr>
          <w:p w14:paraId="479FBF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制度管理</w:t>
            </w:r>
          </w:p>
        </w:tc>
        <w:tc>
          <w:tcPr>
            <w:tcW w:w="870" w:type="dxa"/>
            <w:vMerge w:val="continue"/>
            <w:tcBorders>
              <w:tl2br w:val="nil"/>
              <w:tr2bl w:val="nil"/>
            </w:tcBorders>
            <w:noWrap/>
            <w:vAlign w:val="center"/>
          </w:tcPr>
          <w:p w14:paraId="18AC6C77">
            <w:pPr>
              <w:spacing w:line="360" w:lineRule="auto"/>
              <w:jc w:val="center"/>
              <w:rPr>
                <w:rFonts w:hint="eastAsia" w:ascii="宋体" w:hAnsi="宋体" w:cs="宋体"/>
                <w:color w:val="auto"/>
                <w:sz w:val="21"/>
                <w:szCs w:val="21"/>
                <w:highlight w:val="none"/>
              </w:rPr>
            </w:pPr>
          </w:p>
        </w:tc>
      </w:tr>
      <w:tr w14:paraId="6FAB0ED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59B5FE">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w:t>
            </w:r>
          </w:p>
        </w:tc>
        <w:tc>
          <w:tcPr>
            <w:tcW w:w="6982" w:type="dxa"/>
            <w:tcBorders>
              <w:tl2br w:val="nil"/>
              <w:tr2bl w:val="nil"/>
            </w:tcBorders>
            <w:vAlign w:val="center"/>
          </w:tcPr>
          <w:p w14:paraId="6A1019F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智能急救系统</w:t>
            </w:r>
          </w:p>
        </w:tc>
        <w:tc>
          <w:tcPr>
            <w:tcW w:w="870" w:type="dxa"/>
            <w:vMerge w:val="continue"/>
            <w:tcBorders>
              <w:tl2br w:val="nil"/>
              <w:tr2bl w:val="nil"/>
            </w:tcBorders>
            <w:noWrap/>
            <w:vAlign w:val="center"/>
          </w:tcPr>
          <w:p w14:paraId="785DB672">
            <w:pPr>
              <w:spacing w:line="360" w:lineRule="auto"/>
              <w:jc w:val="center"/>
              <w:rPr>
                <w:rFonts w:hint="eastAsia" w:ascii="宋体" w:hAnsi="宋体" w:cs="宋体"/>
                <w:color w:val="auto"/>
                <w:sz w:val="21"/>
                <w:szCs w:val="21"/>
                <w:highlight w:val="none"/>
              </w:rPr>
            </w:pPr>
          </w:p>
        </w:tc>
      </w:tr>
      <w:tr w14:paraId="5B8FF25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F9E2B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5.1.3</w:t>
            </w:r>
          </w:p>
        </w:tc>
        <w:tc>
          <w:tcPr>
            <w:tcW w:w="6982" w:type="dxa"/>
            <w:tcBorders>
              <w:tl2br w:val="nil"/>
              <w:tr2bl w:val="nil"/>
            </w:tcBorders>
            <w:vAlign w:val="center"/>
          </w:tcPr>
          <w:p w14:paraId="34E6E08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档案系统</w:t>
            </w:r>
          </w:p>
        </w:tc>
        <w:tc>
          <w:tcPr>
            <w:tcW w:w="870" w:type="dxa"/>
            <w:vMerge w:val="continue"/>
            <w:tcBorders>
              <w:tl2br w:val="nil"/>
              <w:tr2bl w:val="nil"/>
            </w:tcBorders>
            <w:noWrap/>
            <w:vAlign w:val="center"/>
          </w:tcPr>
          <w:p w14:paraId="0D2E3D49">
            <w:pPr>
              <w:spacing w:line="360" w:lineRule="auto"/>
              <w:jc w:val="center"/>
              <w:rPr>
                <w:rFonts w:hint="eastAsia" w:ascii="宋体" w:hAnsi="宋体" w:cs="宋体"/>
                <w:color w:val="auto"/>
                <w:sz w:val="21"/>
                <w:szCs w:val="21"/>
                <w:highlight w:val="none"/>
              </w:rPr>
            </w:pPr>
          </w:p>
        </w:tc>
      </w:tr>
      <w:tr w14:paraId="42855CF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6A04D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5.1.4</w:t>
            </w:r>
          </w:p>
        </w:tc>
        <w:tc>
          <w:tcPr>
            <w:tcW w:w="6982" w:type="dxa"/>
            <w:tcBorders>
              <w:tl2br w:val="nil"/>
              <w:tr2bl w:val="nil"/>
            </w:tcBorders>
            <w:vAlign w:val="center"/>
          </w:tcPr>
          <w:p w14:paraId="4424250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病历内涵质控</w:t>
            </w:r>
          </w:p>
        </w:tc>
        <w:tc>
          <w:tcPr>
            <w:tcW w:w="870" w:type="dxa"/>
            <w:vMerge w:val="continue"/>
            <w:tcBorders>
              <w:tl2br w:val="nil"/>
              <w:tr2bl w:val="nil"/>
            </w:tcBorders>
            <w:noWrap/>
            <w:vAlign w:val="center"/>
          </w:tcPr>
          <w:p w14:paraId="3EBD6D64">
            <w:pPr>
              <w:spacing w:line="360" w:lineRule="auto"/>
              <w:jc w:val="center"/>
              <w:rPr>
                <w:rFonts w:hint="eastAsia" w:ascii="宋体" w:hAnsi="宋体" w:cs="宋体"/>
                <w:color w:val="auto"/>
                <w:sz w:val="21"/>
                <w:szCs w:val="21"/>
                <w:highlight w:val="none"/>
              </w:rPr>
            </w:pPr>
          </w:p>
        </w:tc>
      </w:tr>
      <w:tr w14:paraId="0DDC3C7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1E57E8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5.1.5</w:t>
            </w:r>
          </w:p>
        </w:tc>
        <w:tc>
          <w:tcPr>
            <w:tcW w:w="6982" w:type="dxa"/>
            <w:tcBorders>
              <w:tl2br w:val="nil"/>
              <w:tr2bl w:val="nil"/>
            </w:tcBorders>
            <w:vAlign w:val="center"/>
          </w:tcPr>
          <w:p w14:paraId="694F0CE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财务系统</w:t>
            </w:r>
          </w:p>
        </w:tc>
        <w:tc>
          <w:tcPr>
            <w:tcW w:w="870" w:type="dxa"/>
            <w:vMerge w:val="continue"/>
            <w:tcBorders>
              <w:tl2br w:val="nil"/>
              <w:tr2bl w:val="nil"/>
            </w:tcBorders>
            <w:noWrap/>
            <w:vAlign w:val="center"/>
          </w:tcPr>
          <w:p w14:paraId="5F560D86">
            <w:pPr>
              <w:spacing w:line="360" w:lineRule="auto"/>
              <w:jc w:val="center"/>
              <w:rPr>
                <w:rFonts w:hint="eastAsia" w:ascii="宋体" w:hAnsi="宋体" w:cs="宋体"/>
                <w:color w:val="auto"/>
                <w:sz w:val="21"/>
                <w:szCs w:val="21"/>
                <w:highlight w:val="none"/>
              </w:rPr>
            </w:pPr>
          </w:p>
        </w:tc>
      </w:tr>
      <w:tr w14:paraId="52D754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0BD58E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5.1.6</w:t>
            </w:r>
          </w:p>
        </w:tc>
        <w:tc>
          <w:tcPr>
            <w:tcW w:w="6982" w:type="dxa"/>
            <w:tcBorders>
              <w:tl2br w:val="nil"/>
              <w:tr2bl w:val="nil"/>
            </w:tcBorders>
            <w:vAlign w:val="center"/>
          </w:tcPr>
          <w:p w14:paraId="5F653A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临床决策支持系统</w:t>
            </w:r>
          </w:p>
        </w:tc>
        <w:tc>
          <w:tcPr>
            <w:tcW w:w="870" w:type="dxa"/>
            <w:vMerge w:val="continue"/>
            <w:tcBorders>
              <w:tl2br w:val="nil"/>
              <w:tr2bl w:val="nil"/>
            </w:tcBorders>
            <w:noWrap/>
            <w:vAlign w:val="center"/>
          </w:tcPr>
          <w:p w14:paraId="78326BA7">
            <w:pPr>
              <w:spacing w:line="360" w:lineRule="auto"/>
              <w:jc w:val="center"/>
              <w:rPr>
                <w:rFonts w:hint="eastAsia" w:ascii="宋体" w:hAnsi="宋体" w:cs="宋体"/>
                <w:color w:val="auto"/>
                <w:sz w:val="21"/>
                <w:szCs w:val="21"/>
                <w:highlight w:val="none"/>
              </w:rPr>
            </w:pPr>
          </w:p>
        </w:tc>
      </w:tr>
      <w:tr w14:paraId="0E51515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1D1B6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5.1.7</w:t>
            </w:r>
          </w:p>
        </w:tc>
        <w:tc>
          <w:tcPr>
            <w:tcW w:w="6982" w:type="dxa"/>
            <w:tcBorders>
              <w:tl2br w:val="nil"/>
              <w:tr2bl w:val="nil"/>
            </w:tcBorders>
            <w:vAlign w:val="center"/>
          </w:tcPr>
          <w:p w14:paraId="6714090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医务管理系统</w:t>
            </w:r>
          </w:p>
        </w:tc>
        <w:tc>
          <w:tcPr>
            <w:tcW w:w="870" w:type="dxa"/>
            <w:vMerge w:val="continue"/>
            <w:tcBorders>
              <w:tl2br w:val="nil"/>
              <w:tr2bl w:val="nil"/>
            </w:tcBorders>
            <w:noWrap/>
            <w:vAlign w:val="center"/>
          </w:tcPr>
          <w:p w14:paraId="47F211CC">
            <w:pPr>
              <w:spacing w:line="360" w:lineRule="auto"/>
              <w:jc w:val="center"/>
              <w:rPr>
                <w:rFonts w:hint="eastAsia" w:ascii="宋体" w:hAnsi="宋体" w:cs="宋体"/>
                <w:color w:val="auto"/>
                <w:sz w:val="21"/>
                <w:szCs w:val="21"/>
                <w:highlight w:val="none"/>
              </w:rPr>
            </w:pPr>
          </w:p>
        </w:tc>
      </w:tr>
      <w:tr w14:paraId="6CF453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4763C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5.1.8</w:t>
            </w:r>
          </w:p>
        </w:tc>
        <w:tc>
          <w:tcPr>
            <w:tcW w:w="6982" w:type="dxa"/>
            <w:tcBorders>
              <w:tl2br w:val="nil"/>
              <w:tr2bl w:val="nil"/>
            </w:tcBorders>
            <w:vAlign w:val="center"/>
          </w:tcPr>
          <w:p w14:paraId="505D819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教学科研管理系统</w:t>
            </w:r>
          </w:p>
        </w:tc>
        <w:tc>
          <w:tcPr>
            <w:tcW w:w="870" w:type="dxa"/>
            <w:vMerge w:val="continue"/>
            <w:tcBorders>
              <w:tl2br w:val="nil"/>
              <w:tr2bl w:val="nil"/>
            </w:tcBorders>
            <w:noWrap/>
            <w:vAlign w:val="center"/>
          </w:tcPr>
          <w:p w14:paraId="7E7DA382">
            <w:pPr>
              <w:spacing w:line="360" w:lineRule="auto"/>
              <w:jc w:val="center"/>
              <w:rPr>
                <w:rFonts w:hint="eastAsia" w:ascii="宋体" w:hAnsi="宋体" w:cs="宋体"/>
                <w:color w:val="auto"/>
                <w:sz w:val="21"/>
                <w:szCs w:val="21"/>
                <w:highlight w:val="none"/>
              </w:rPr>
            </w:pPr>
          </w:p>
        </w:tc>
      </w:tr>
      <w:tr w14:paraId="7E02266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7E802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5.1.9</w:t>
            </w:r>
          </w:p>
        </w:tc>
        <w:tc>
          <w:tcPr>
            <w:tcW w:w="6982" w:type="dxa"/>
            <w:tcBorders>
              <w:tl2br w:val="nil"/>
              <w:tr2bl w:val="nil"/>
            </w:tcBorders>
            <w:vAlign w:val="center"/>
          </w:tcPr>
          <w:p w14:paraId="0EF23D3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不良事件系统</w:t>
            </w:r>
          </w:p>
        </w:tc>
        <w:tc>
          <w:tcPr>
            <w:tcW w:w="870" w:type="dxa"/>
            <w:vMerge w:val="continue"/>
            <w:tcBorders>
              <w:tl2br w:val="nil"/>
              <w:tr2bl w:val="nil"/>
            </w:tcBorders>
            <w:noWrap/>
            <w:vAlign w:val="center"/>
          </w:tcPr>
          <w:p w14:paraId="35C2A95D">
            <w:pPr>
              <w:spacing w:line="360" w:lineRule="auto"/>
              <w:jc w:val="center"/>
              <w:rPr>
                <w:rFonts w:hint="eastAsia" w:ascii="宋体" w:hAnsi="宋体" w:cs="宋体"/>
                <w:color w:val="auto"/>
                <w:sz w:val="21"/>
                <w:szCs w:val="21"/>
                <w:highlight w:val="none"/>
              </w:rPr>
            </w:pPr>
          </w:p>
        </w:tc>
      </w:tr>
      <w:tr w14:paraId="135A25C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1ED27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5.1.10</w:t>
            </w:r>
          </w:p>
        </w:tc>
        <w:tc>
          <w:tcPr>
            <w:tcW w:w="6982" w:type="dxa"/>
            <w:tcBorders>
              <w:tl2br w:val="nil"/>
              <w:tr2bl w:val="nil"/>
            </w:tcBorders>
            <w:vAlign w:val="center"/>
          </w:tcPr>
          <w:p w14:paraId="367176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院感管理系统</w:t>
            </w:r>
          </w:p>
        </w:tc>
        <w:tc>
          <w:tcPr>
            <w:tcW w:w="870" w:type="dxa"/>
            <w:vMerge w:val="continue"/>
            <w:tcBorders>
              <w:tl2br w:val="nil"/>
              <w:tr2bl w:val="nil"/>
            </w:tcBorders>
            <w:noWrap/>
            <w:vAlign w:val="center"/>
          </w:tcPr>
          <w:p w14:paraId="08DEF663">
            <w:pPr>
              <w:spacing w:line="360" w:lineRule="auto"/>
              <w:jc w:val="center"/>
              <w:rPr>
                <w:rFonts w:hint="eastAsia" w:ascii="宋体" w:hAnsi="宋体" w:cs="宋体"/>
                <w:color w:val="auto"/>
                <w:sz w:val="21"/>
                <w:szCs w:val="21"/>
                <w:highlight w:val="none"/>
              </w:rPr>
            </w:pPr>
          </w:p>
        </w:tc>
      </w:tr>
      <w:tr w14:paraId="7D7215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2C9F60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5.1.11</w:t>
            </w:r>
          </w:p>
        </w:tc>
        <w:tc>
          <w:tcPr>
            <w:tcW w:w="6982" w:type="dxa"/>
            <w:tcBorders>
              <w:tl2br w:val="nil"/>
              <w:tr2bl w:val="nil"/>
            </w:tcBorders>
            <w:vAlign w:val="center"/>
          </w:tcPr>
          <w:p w14:paraId="41A3324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满意度随访宣教系统</w:t>
            </w:r>
          </w:p>
        </w:tc>
        <w:tc>
          <w:tcPr>
            <w:tcW w:w="870" w:type="dxa"/>
            <w:vMerge w:val="continue"/>
            <w:tcBorders>
              <w:tl2br w:val="nil"/>
              <w:tr2bl w:val="nil"/>
            </w:tcBorders>
            <w:noWrap/>
            <w:vAlign w:val="center"/>
          </w:tcPr>
          <w:p w14:paraId="3EBDA650">
            <w:pPr>
              <w:spacing w:line="360" w:lineRule="auto"/>
              <w:jc w:val="center"/>
              <w:rPr>
                <w:rFonts w:hint="eastAsia" w:ascii="宋体" w:hAnsi="宋体" w:cs="宋体"/>
                <w:color w:val="auto"/>
                <w:sz w:val="21"/>
                <w:szCs w:val="21"/>
                <w:highlight w:val="none"/>
              </w:rPr>
            </w:pPr>
          </w:p>
        </w:tc>
      </w:tr>
      <w:tr w14:paraId="5965F6F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778EA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5.1.12</w:t>
            </w:r>
          </w:p>
        </w:tc>
        <w:tc>
          <w:tcPr>
            <w:tcW w:w="6982" w:type="dxa"/>
            <w:tcBorders>
              <w:tl2br w:val="nil"/>
              <w:tr2bl w:val="nil"/>
            </w:tcBorders>
            <w:vAlign w:val="center"/>
          </w:tcPr>
          <w:p w14:paraId="22A4A1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多科共管系统</w:t>
            </w:r>
          </w:p>
        </w:tc>
        <w:tc>
          <w:tcPr>
            <w:tcW w:w="870" w:type="dxa"/>
            <w:vMerge w:val="continue"/>
            <w:tcBorders>
              <w:tl2br w:val="nil"/>
              <w:tr2bl w:val="nil"/>
            </w:tcBorders>
            <w:noWrap/>
            <w:vAlign w:val="center"/>
          </w:tcPr>
          <w:p w14:paraId="74DC16EB">
            <w:pPr>
              <w:spacing w:line="360" w:lineRule="auto"/>
              <w:jc w:val="center"/>
              <w:rPr>
                <w:rFonts w:hint="eastAsia" w:ascii="宋体" w:hAnsi="宋体" w:cs="宋体"/>
                <w:color w:val="auto"/>
                <w:sz w:val="21"/>
                <w:szCs w:val="21"/>
                <w:highlight w:val="none"/>
              </w:rPr>
            </w:pPr>
          </w:p>
        </w:tc>
      </w:tr>
      <w:tr w14:paraId="21240B4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BBB17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5.1.13</w:t>
            </w:r>
          </w:p>
        </w:tc>
        <w:tc>
          <w:tcPr>
            <w:tcW w:w="6982" w:type="dxa"/>
            <w:tcBorders>
              <w:tl2br w:val="nil"/>
              <w:tr2bl w:val="nil"/>
            </w:tcBorders>
            <w:vAlign w:val="center"/>
          </w:tcPr>
          <w:p w14:paraId="1706A7F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绩效 DRG</w:t>
            </w:r>
          </w:p>
        </w:tc>
        <w:tc>
          <w:tcPr>
            <w:tcW w:w="870" w:type="dxa"/>
            <w:vMerge w:val="continue"/>
            <w:tcBorders>
              <w:tl2br w:val="nil"/>
              <w:tr2bl w:val="nil"/>
            </w:tcBorders>
            <w:noWrap/>
            <w:vAlign w:val="center"/>
          </w:tcPr>
          <w:p w14:paraId="04B116D6">
            <w:pPr>
              <w:spacing w:line="360" w:lineRule="auto"/>
              <w:jc w:val="center"/>
              <w:rPr>
                <w:rFonts w:hint="eastAsia" w:ascii="宋体" w:hAnsi="宋体" w:cs="宋体"/>
                <w:color w:val="auto"/>
                <w:sz w:val="21"/>
                <w:szCs w:val="21"/>
                <w:highlight w:val="none"/>
              </w:rPr>
            </w:pPr>
          </w:p>
        </w:tc>
      </w:tr>
      <w:tr w14:paraId="2E334D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ACDD64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5.1.14</w:t>
            </w:r>
          </w:p>
        </w:tc>
        <w:tc>
          <w:tcPr>
            <w:tcW w:w="6982" w:type="dxa"/>
            <w:tcBorders>
              <w:tl2br w:val="nil"/>
              <w:tr2bl w:val="nil"/>
            </w:tcBorders>
            <w:vAlign w:val="center"/>
          </w:tcPr>
          <w:p w14:paraId="00EA67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人事系统</w:t>
            </w:r>
          </w:p>
        </w:tc>
        <w:tc>
          <w:tcPr>
            <w:tcW w:w="870" w:type="dxa"/>
            <w:vMerge w:val="continue"/>
            <w:tcBorders>
              <w:tl2br w:val="nil"/>
              <w:tr2bl w:val="nil"/>
            </w:tcBorders>
            <w:noWrap/>
            <w:vAlign w:val="center"/>
          </w:tcPr>
          <w:p w14:paraId="71E531CE">
            <w:pPr>
              <w:spacing w:line="360" w:lineRule="auto"/>
              <w:jc w:val="center"/>
              <w:rPr>
                <w:rFonts w:hint="eastAsia" w:ascii="宋体" w:hAnsi="宋体" w:cs="宋体"/>
                <w:color w:val="auto"/>
                <w:sz w:val="21"/>
                <w:szCs w:val="21"/>
                <w:highlight w:val="none"/>
              </w:rPr>
            </w:pPr>
          </w:p>
        </w:tc>
      </w:tr>
      <w:tr w14:paraId="1EF49A3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46CE84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5.1.15</w:t>
            </w:r>
          </w:p>
        </w:tc>
        <w:tc>
          <w:tcPr>
            <w:tcW w:w="6982" w:type="dxa"/>
            <w:tcBorders>
              <w:tl2br w:val="nil"/>
              <w:tr2bl w:val="nil"/>
            </w:tcBorders>
            <w:vAlign w:val="center"/>
          </w:tcPr>
          <w:p w14:paraId="64BF29B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教培管理系统</w:t>
            </w:r>
          </w:p>
        </w:tc>
        <w:tc>
          <w:tcPr>
            <w:tcW w:w="870" w:type="dxa"/>
            <w:vMerge w:val="continue"/>
            <w:tcBorders>
              <w:tl2br w:val="nil"/>
              <w:tr2bl w:val="nil"/>
            </w:tcBorders>
            <w:noWrap/>
            <w:vAlign w:val="center"/>
          </w:tcPr>
          <w:p w14:paraId="2734FDC0">
            <w:pPr>
              <w:spacing w:line="360" w:lineRule="auto"/>
              <w:jc w:val="center"/>
              <w:rPr>
                <w:rFonts w:hint="eastAsia" w:ascii="宋体" w:hAnsi="宋体" w:cs="宋体"/>
                <w:color w:val="auto"/>
                <w:sz w:val="21"/>
                <w:szCs w:val="21"/>
                <w:highlight w:val="none"/>
              </w:rPr>
            </w:pPr>
          </w:p>
        </w:tc>
      </w:tr>
      <w:tr w14:paraId="4BC3452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4A43B2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5.1.16</w:t>
            </w:r>
          </w:p>
        </w:tc>
        <w:tc>
          <w:tcPr>
            <w:tcW w:w="6982" w:type="dxa"/>
            <w:tcBorders>
              <w:tl2br w:val="nil"/>
              <w:tr2bl w:val="nil"/>
            </w:tcBorders>
            <w:vAlign w:val="center"/>
          </w:tcPr>
          <w:p w14:paraId="22B4611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护理管理系统</w:t>
            </w:r>
          </w:p>
        </w:tc>
        <w:tc>
          <w:tcPr>
            <w:tcW w:w="870" w:type="dxa"/>
            <w:vMerge w:val="continue"/>
            <w:tcBorders>
              <w:tl2br w:val="nil"/>
              <w:tr2bl w:val="nil"/>
            </w:tcBorders>
            <w:noWrap/>
            <w:vAlign w:val="center"/>
          </w:tcPr>
          <w:p w14:paraId="35CD9AE3">
            <w:pPr>
              <w:spacing w:line="360" w:lineRule="auto"/>
              <w:jc w:val="center"/>
              <w:rPr>
                <w:rFonts w:hint="eastAsia" w:ascii="宋体" w:hAnsi="宋体" w:cs="宋体"/>
                <w:color w:val="auto"/>
                <w:sz w:val="21"/>
                <w:szCs w:val="21"/>
                <w:highlight w:val="none"/>
              </w:rPr>
            </w:pPr>
          </w:p>
        </w:tc>
      </w:tr>
      <w:tr w14:paraId="42E336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75FF3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5.1.17</w:t>
            </w:r>
          </w:p>
        </w:tc>
        <w:tc>
          <w:tcPr>
            <w:tcW w:w="6982" w:type="dxa"/>
            <w:tcBorders>
              <w:tl2br w:val="nil"/>
              <w:tr2bl w:val="nil"/>
            </w:tcBorders>
            <w:vAlign w:val="center"/>
          </w:tcPr>
          <w:p w14:paraId="3C3821B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医保基金监管系统</w:t>
            </w:r>
          </w:p>
        </w:tc>
        <w:tc>
          <w:tcPr>
            <w:tcW w:w="870" w:type="dxa"/>
            <w:vMerge w:val="continue"/>
            <w:tcBorders>
              <w:tl2br w:val="nil"/>
              <w:tr2bl w:val="nil"/>
            </w:tcBorders>
            <w:noWrap/>
            <w:vAlign w:val="center"/>
          </w:tcPr>
          <w:p w14:paraId="1A44DB57">
            <w:pPr>
              <w:spacing w:line="360" w:lineRule="auto"/>
              <w:jc w:val="center"/>
              <w:rPr>
                <w:rFonts w:hint="eastAsia" w:ascii="宋体" w:hAnsi="宋体" w:cs="宋体"/>
                <w:color w:val="auto"/>
                <w:sz w:val="21"/>
                <w:szCs w:val="21"/>
                <w:highlight w:val="none"/>
              </w:rPr>
            </w:pPr>
          </w:p>
        </w:tc>
      </w:tr>
      <w:tr w14:paraId="330EEDF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CCAA8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5.1.18</w:t>
            </w:r>
          </w:p>
        </w:tc>
        <w:tc>
          <w:tcPr>
            <w:tcW w:w="6982" w:type="dxa"/>
            <w:tcBorders>
              <w:tl2br w:val="nil"/>
              <w:tr2bl w:val="nil"/>
            </w:tcBorders>
            <w:vAlign w:val="center"/>
          </w:tcPr>
          <w:p w14:paraId="2F9F52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预算管理系统</w:t>
            </w:r>
          </w:p>
        </w:tc>
        <w:tc>
          <w:tcPr>
            <w:tcW w:w="870" w:type="dxa"/>
            <w:vMerge w:val="continue"/>
            <w:tcBorders>
              <w:tl2br w:val="nil"/>
              <w:tr2bl w:val="nil"/>
            </w:tcBorders>
            <w:noWrap/>
            <w:vAlign w:val="center"/>
          </w:tcPr>
          <w:p w14:paraId="0FBC1ADA">
            <w:pPr>
              <w:spacing w:line="360" w:lineRule="auto"/>
              <w:jc w:val="center"/>
              <w:rPr>
                <w:rFonts w:hint="eastAsia" w:ascii="宋体" w:hAnsi="宋体" w:cs="宋体"/>
                <w:color w:val="auto"/>
                <w:sz w:val="21"/>
                <w:szCs w:val="21"/>
                <w:highlight w:val="none"/>
              </w:rPr>
            </w:pPr>
          </w:p>
        </w:tc>
      </w:tr>
      <w:tr w14:paraId="4782BC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56838A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5.1.19</w:t>
            </w:r>
          </w:p>
        </w:tc>
        <w:tc>
          <w:tcPr>
            <w:tcW w:w="6982" w:type="dxa"/>
            <w:tcBorders>
              <w:tl2br w:val="nil"/>
              <w:tr2bl w:val="nil"/>
            </w:tcBorders>
            <w:vAlign w:val="center"/>
          </w:tcPr>
          <w:p w14:paraId="09EC0FC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合同管理系统</w:t>
            </w:r>
          </w:p>
        </w:tc>
        <w:tc>
          <w:tcPr>
            <w:tcW w:w="870" w:type="dxa"/>
            <w:vMerge w:val="continue"/>
            <w:tcBorders>
              <w:tl2br w:val="nil"/>
              <w:tr2bl w:val="nil"/>
            </w:tcBorders>
            <w:noWrap/>
            <w:vAlign w:val="center"/>
          </w:tcPr>
          <w:p w14:paraId="6E1F74FC">
            <w:pPr>
              <w:spacing w:line="360" w:lineRule="auto"/>
              <w:jc w:val="center"/>
              <w:rPr>
                <w:rFonts w:hint="eastAsia" w:ascii="宋体" w:hAnsi="宋体" w:cs="宋体"/>
                <w:color w:val="auto"/>
                <w:sz w:val="21"/>
                <w:szCs w:val="21"/>
                <w:highlight w:val="none"/>
              </w:rPr>
            </w:pPr>
          </w:p>
        </w:tc>
      </w:tr>
      <w:tr w14:paraId="024DD83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722983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5.1.20</w:t>
            </w:r>
          </w:p>
        </w:tc>
        <w:tc>
          <w:tcPr>
            <w:tcW w:w="6982" w:type="dxa"/>
            <w:tcBorders>
              <w:tl2br w:val="nil"/>
              <w:tr2bl w:val="nil"/>
            </w:tcBorders>
            <w:vAlign w:val="center"/>
          </w:tcPr>
          <w:p w14:paraId="07C793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投诉管理系统</w:t>
            </w:r>
          </w:p>
        </w:tc>
        <w:tc>
          <w:tcPr>
            <w:tcW w:w="870" w:type="dxa"/>
            <w:vMerge w:val="continue"/>
            <w:tcBorders>
              <w:tl2br w:val="nil"/>
              <w:tr2bl w:val="nil"/>
            </w:tcBorders>
            <w:noWrap/>
            <w:vAlign w:val="center"/>
          </w:tcPr>
          <w:p w14:paraId="21CCC7EC">
            <w:pPr>
              <w:spacing w:line="360" w:lineRule="auto"/>
              <w:jc w:val="center"/>
              <w:rPr>
                <w:rFonts w:hint="eastAsia" w:ascii="宋体" w:hAnsi="宋体" w:cs="宋体"/>
                <w:color w:val="auto"/>
                <w:sz w:val="21"/>
                <w:szCs w:val="21"/>
                <w:highlight w:val="none"/>
              </w:rPr>
            </w:pPr>
          </w:p>
        </w:tc>
      </w:tr>
      <w:tr w14:paraId="7A9E408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AC7C58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5.1.21</w:t>
            </w:r>
          </w:p>
        </w:tc>
        <w:tc>
          <w:tcPr>
            <w:tcW w:w="6982" w:type="dxa"/>
            <w:tcBorders>
              <w:tl2br w:val="nil"/>
              <w:tr2bl w:val="nil"/>
            </w:tcBorders>
            <w:vAlign w:val="center"/>
          </w:tcPr>
          <w:p w14:paraId="0397842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护理教育培训系统</w:t>
            </w:r>
          </w:p>
        </w:tc>
        <w:tc>
          <w:tcPr>
            <w:tcW w:w="870" w:type="dxa"/>
            <w:vMerge w:val="continue"/>
            <w:tcBorders>
              <w:tl2br w:val="nil"/>
              <w:tr2bl w:val="nil"/>
            </w:tcBorders>
            <w:noWrap/>
            <w:vAlign w:val="center"/>
          </w:tcPr>
          <w:p w14:paraId="58EB77D4">
            <w:pPr>
              <w:spacing w:line="360" w:lineRule="auto"/>
              <w:jc w:val="center"/>
              <w:rPr>
                <w:rFonts w:hint="eastAsia" w:ascii="宋体" w:hAnsi="宋体" w:cs="宋体"/>
                <w:color w:val="auto"/>
                <w:sz w:val="21"/>
                <w:szCs w:val="21"/>
                <w:highlight w:val="none"/>
              </w:rPr>
            </w:pPr>
          </w:p>
        </w:tc>
      </w:tr>
      <w:tr w14:paraId="4B0781F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9CE94C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5.1.22</w:t>
            </w:r>
          </w:p>
        </w:tc>
        <w:tc>
          <w:tcPr>
            <w:tcW w:w="6982" w:type="dxa"/>
            <w:tcBorders>
              <w:tl2br w:val="nil"/>
              <w:tr2bl w:val="nil"/>
            </w:tcBorders>
            <w:vAlign w:val="center"/>
          </w:tcPr>
          <w:p w14:paraId="6D3F08B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科研管理平台</w:t>
            </w:r>
          </w:p>
        </w:tc>
        <w:tc>
          <w:tcPr>
            <w:tcW w:w="870" w:type="dxa"/>
            <w:vMerge w:val="continue"/>
            <w:tcBorders>
              <w:tl2br w:val="nil"/>
              <w:tr2bl w:val="nil"/>
            </w:tcBorders>
            <w:noWrap/>
            <w:vAlign w:val="center"/>
          </w:tcPr>
          <w:p w14:paraId="090A5EC3">
            <w:pPr>
              <w:spacing w:line="360" w:lineRule="auto"/>
              <w:jc w:val="center"/>
              <w:rPr>
                <w:rFonts w:hint="eastAsia" w:ascii="宋体" w:hAnsi="宋体" w:cs="宋体"/>
                <w:color w:val="auto"/>
                <w:sz w:val="21"/>
                <w:szCs w:val="21"/>
                <w:highlight w:val="none"/>
              </w:rPr>
            </w:pPr>
          </w:p>
        </w:tc>
      </w:tr>
      <w:tr w14:paraId="6D5587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6A44AF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5.1.23</w:t>
            </w:r>
          </w:p>
        </w:tc>
        <w:tc>
          <w:tcPr>
            <w:tcW w:w="6982" w:type="dxa"/>
            <w:tcBorders>
              <w:tl2br w:val="nil"/>
              <w:tr2bl w:val="nil"/>
            </w:tcBorders>
            <w:vAlign w:val="center"/>
          </w:tcPr>
          <w:p w14:paraId="32F7EAF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图书管理系统</w:t>
            </w:r>
          </w:p>
        </w:tc>
        <w:tc>
          <w:tcPr>
            <w:tcW w:w="870" w:type="dxa"/>
            <w:vMerge w:val="continue"/>
            <w:tcBorders>
              <w:tl2br w:val="nil"/>
              <w:tr2bl w:val="nil"/>
            </w:tcBorders>
            <w:noWrap/>
            <w:vAlign w:val="center"/>
          </w:tcPr>
          <w:p w14:paraId="485698D4">
            <w:pPr>
              <w:spacing w:line="360" w:lineRule="auto"/>
              <w:jc w:val="center"/>
              <w:rPr>
                <w:rFonts w:hint="eastAsia" w:ascii="宋体" w:hAnsi="宋体" w:cs="宋体"/>
                <w:color w:val="auto"/>
                <w:sz w:val="21"/>
                <w:szCs w:val="21"/>
                <w:highlight w:val="none"/>
              </w:rPr>
            </w:pPr>
          </w:p>
        </w:tc>
      </w:tr>
      <w:tr w14:paraId="107001A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2BD3B4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5.1.24</w:t>
            </w:r>
          </w:p>
        </w:tc>
        <w:tc>
          <w:tcPr>
            <w:tcW w:w="6982" w:type="dxa"/>
            <w:tcBorders>
              <w:tl2br w:val="nil"/>
              <w:tr2bl w:val="nil"/>
            </w:tcBorders>
            <w:vAlign w:val="center"/>
          </w:tcPr>
          <w:p w14:paraId="23E46D9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血糖管理系统</w:t>
            </w:r>
          </w:p>
        </w:tc>
        <w:tc>
          <w:tcPr>
            <w:tcW w:w="870" w:type="dxa"/>
            <w:vMerge w:val="continue"/>
            <w:tcBorders>
              <w:tl2br w:val="nil"/>
              <w:tr2bl w:val="nil"/>
            </w:tcBorders>
            <w:noWrap/>
            <w:vAlign w:val="center"/>
          </w:tcPr>
          <w:p w14:paraId="5AFD1C0B">
            <w:pPr>
              <w:spacing w:line="360" w:lineRule="auto"/>
              <w:jc w:val="center"/>
              <w:rPr>
                <w:rFonts w:hint="eastAsia" w:ascii="宋体" w:hAnsi="宋体" w:cs="宋体"/>
                <w:color w:val="auto"/>
                <w:sz w:val="21"/>
                <w:szCs w:val="21"/>
                <w:highlight w:val="none"/>
              </w:rPr>
            </w:pPr>
          </w:p>
        </w:tc>
      </w:tr>
      <w:tr w14:paraId="069469F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9D59B7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5.1.25</w:t>
            </w:r>
          </w:p>
        </w:tc>
        <w:tc>
          <w:tcPr>
            <w:tcW w:w="6982" w:type="dxa"/>
            <w:tcBorders>
              <w:tl2br w:val="nil"/>
              <w:tr2bl w:val="nil"/>
            </w:tcBorders>
            <w:vAlign w:val="center"/>
          </w:tcPr>
          <w:p w14:paraId="4834234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发票管理系统</w:t>
            </w:r>
          </w:p>
        </w:tc>
        <w:tc>
          <w:tcPr>
            <w:tcW w:w="870" w:type="dxa"/>
            <w:vMerge w:val="continue"/>
            <w:tcBorders>
              <w:tl2br w:val="nil"/>
              <w:tr2bl w:val="nil"/>
            </w:tcBorders>
            <w:noWrap/>
            <w:vAlign w:val="center"/>
          </w:tcPr>
          <w:p w14:paraId="43085700">
            <w:pPr>
              <w:spacing w:line="360" w:lineRule="auto"/>
              <w:jc w:val="center"/>
              <w:rPr>
                <w:rFonts w:hint="eastAsia" w:ascii="宋体" w:hAnsi="宋体" w:cs="宋体"/>
                <w:color w:val="auto"/>
                <w:sz w:val="21"/>
                <w:szCs w:val="21"/>
                <w:highlight w:val="none"/>
              </w:rPr>
            </w:pPr>
          </w:p>
        </w:tc>
      </w:tr>
      <w:tr w14:paraId="5A8DF17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00E47FDB">
            <w:pPr>
              <w:widowControl/>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5.1.26</w:t>
            </w:r>
          </w:p>
        </w:tc>
        <w:tc>
          <w:tcPr>
            <w:tcW w:w="6982" w:type="dxa"/>
            <w:tcBorders>
              <w:tl2br w:val="nil"/>
              <w:tr2bl w:val="nil"/>
            </w:tcBorders>
            <w:vAlign w:val="center"/>
          </w:tcPr>
          <w:p w14:paraId="78380ADC">
            <w:pPr>
              <w:widowControl/>
              <w:spacing w:line="360" w:lineRule="auto"/>
              <w:jc w:val="left"/>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反统方系统</w:t>
            </w:r>
          </w:p>
        </w:tc>
        <w:tc>
          <w:tcPr>
            <w:tcW w:w="870" w:type="dxa"/>
            <w:vMerge w:val="continue"/>
            <w:tcBorders>
              <w:tl2br w:val="nil"/>
              <w:tr2bl w:val="nil"/>
            </w:tcBorders>
            <w:noWrap/>
            <w:vAlign w:val="center"/>
          </w:tcPr>
          <w:p w14:paraId="1D875E07">
            <w:pPr>
              <w:spacing w:line="360" w:lineRule="auto"/>
              <w:jc w:val="center"/>
              <w:rPr>
                <w:rFonts w:hint="eastAsia" w:ascii="宋体" w:hAnsi="宋体" w:cs="宋体"/>
                <w:color w:val="auto"/>
                <w:sz w:val="21"/>
                <w:szCs w:val="21"/>
                <w:highlight w:val="none"/>
              </w:rPr>
            </w:pPr>
          </w:p>
        </w:tc>
      </w:tr>
      <w:tr w14:paraId="52ED0C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A9C3EE5">
            <w:pPr>
              <w:widowControl/>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bidi="ar"/>
              </w:rPr>
              <w:t>5.1.2</w:t>
            </w:r>
            <w:r>
              <w:rPr>
                <w:rFonts w:hint="eastAsia" w:ascii="宋体" w:hAnsi="宋体" w:cs="宋体"/>
                <w:color w:val="auto"/>
                <w:kern w:val="0"/>
                <w:sz w:val="21"/>
                <w:szCs w:val="21"/>
                <w:highlight w:val="none"/>
                <w:lang w:val="en-US" w:eastAsia="zh-CN" w:bidi="ar"/>
              </w:rPr>
              <w:t>7</w:t>
            </w:r>
          </w:p>
        </w:tc>
        <w:tc>
          <w:tcPr>
            <w:tcW w:w="6982" w:type="dxa"/>
            <w:tcBorders>
              <w:tl2br w:val="nil"/>
              <w:tr2bl w:val="nil"/>
            </w:tcBorders>
            <w:vAlign w:val="center"/>
          </w:tcPr>
          <w:p w14:paraId="105F6D1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达摩院项目对接</w:t>
            </w:r>
          </w:p>
        </w:tc>
        <w:tc>
          <w:tcPr>
            <w:tcW w:w="870" w:type="dxa"/>
            <w:vMerge w:val="continue"/>
            <w:tcBorders>
              <w:tl2br w:val="nil"/>
              <w:tr2bl w:val="nil"/>
            </w:tcBorders>
            <w:noWrap/>
            <w:vAlign w:val="center"/>
          </w:tcPr>
          <w:p w14:paraId="45C01AEE">
            <w:pPr>
              <w:spacing w:line="360" w:lineRule="auto"/>
              <w:jc w:val="center"/>
              <w:rPr>
                <w:rFonts w:hint="eastAsia" w:ascii="宋体" w:hAnsi="宋体" w:cs="宋体"/>
                <w:color w:val="auto"/>
                <w:sz w:val="21"/>
                <w:szCs w:val="21"/>
                <w:highlight w:val="none"/>
              </w:rPr>
            </w:pPr>
          </w:p>
        </w:tc>
      </w:tr>
      <w:tr w14:paraId="46BD63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AE60853">
            <w:pPr>
              <w:widowControl/>
              <w:spacing w:line="36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bidi="ar"/>
              </w:rPr>
              <w:t>5.1.2</w:t>
            </w:r>
            <w:r>
              <w:rPr>
                <w:rFonts w:hint="eastAsia" w:ascii="宋体" w:hAnsi="宋体" w:cs="宋体"/>
                <w:color w:val="auto"/>
                <w:kern w:val="0"/>
                <w:sz w:val="21"/>
                <w:szCs w:val="21"/>
                <w:highlight w:val="none"/>
                <w:lang w:val="en-US" w:eastAsia="zh-CN" w:bidi="ar"/>
              </w:rPr>
              <w:t>8</w:t>
            </w:r>
          </w:p>
        </w:tc>
        <w:tc>
          <w:tcPr>
            <w:tcW w:w="6982" w:type="dxa"/>
            <w:tcBorders>
              <w:tl2br w:val="nil"/>
              <w:tr2bl w:val="nil"/>
            </w:tcBorders>
            <w:vAlign w:val="center"/>
          </w:tcPr>
          <w:p w14:paraId="1268F37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清华长庚医院合作技术支持</w:t>
            </w:r>
          </w:p>
        </w:tc>
        <w:tc>
          <w:tcPr>
            <w:tcW w:w="870" w:type="dxa"/>
            <w:vMerge w:val="continue"/>
            <w:tcBorders>
              <w:tl2br w:val="nil"/>
              <w:tr2bl w:val="nil"/>
            </w:tcBorders>
            <w:noWrap/>
            <w:vAlign w:val="center"/>
          </w:tcPr>
          <w:p w14:paraId="3D1D3EC7">
            <w:pPr>
              <w:spacing w:line="360" w:lineRule="auto"/>
              <w:jc w:val="center"/>
              <w:rPr>
                <w:rFonts w:hint="eastAsia" w:ascii="宋体" w:hAnsi="宋体" w:cs="宋体"/>
                <w:color w:val="auto"/>
                <w:sz w:val="21"/>
                <w:szCs w:val="21"/>
                <w:highlight w:val="none"/>
              </w:rPr>
            </w:pPr>
          </w:p>
        </w:tc>
      </w:tr>
      <w:tr w14:paraId="0AB3B9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250E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六</w:t>
            </w:r>
          </w:p>
        </w:tc>
        <w:tc>
          <w:tcPr>
            <w:tcW w:w="6982" w:type="dxa"/>
            <w:tcBorders>
              <w:tl2br w:val="nil"/>
              <w:tr2bl w:val="nil"/>
            </w:tcBorders>
            <w:vAlign w:val="center"/>
          </w:tcPr>
          <w:p w14:paraId="6192517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新院区主体系统搬迁实施与保障服务</w:t>
            </w:r>
          </w:p>
        </w:tc>
        <w:tc>
          <w:tcPr>
            <w:tcW w:w="870" w:type="dxa"/>
            <w:tcBorders>
              <w:tl2br w:val="nil"/>
              <w:tr2bl w:val="nil"/>
            </w:tcBorders>
            <w:noWrap/>
            <w:vAlign w:val="center"/>
          </w:tcPr>
          <w:p w14:paraId="676C1CD0">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w:t>
            </w:r>
          </w:p>
        </w:tc>
      </w:tr>
      <w:tr w14:paraId="1B435DC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177D3D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w:t>
            </w:r>
          </w:p>
        </w:tc>
        <w:tc>
          <w:tcPr>
            <w:tcW w:w="6982" w:type="dxa"/>
            <w:tcBorders>
              <w:tl2br w:val="nil"/>
              <w:tr2bl w:val="nil"/>
            </w:tcBorders>
            <w:vAlign w:val="center"/>
          </w:tcPr>
          <w:p w14:paraId="4C1A403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主体系统新院搬迁实施费用相关服务</w:t>
            </w:r>
          </w:p>
        </w:tc>
        <w:tc>
          <w:tcPr>
            <w:tcW w:w="870" w:type="dxa"/>
            <w:vMerge w:val="restart"/>
            <w:tcBorders>
              <w:tl2br w:val="nil"/>
              <w:tr2bl w:val="nil"/>
            </w:tcBorders>
            <w:noWrap/>
            <w:vAlign w:val="center"/>
          </w:tcPr>
          <w:p w14:paraId="74A1A5E1">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78F9E3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CCE8EA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w:t>
            </w:r>
          </w:p>
        </w:tc>
        <w:tc>
          <w:tcPr>
            <w:tcW w:w="6982" w:type="dxa"/>
            <w:tcBorders>
              <w:tl2br w:val="nil"/>
              <w:tr2bl w:val="nil"/>
            </w:tcBorders>
            <w:vAlign w:val="center"/>
          </w:tcPr>
          <w:p w14:paraId="16D1C5C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数据评估与规划</w:t>
            </w:r>
          </w:p>
        </w:tc>
        <w:tc>
          <w:tcPr>
            <w:tcW w:w="870" w:type="dxa"/>
            <w:vMerge w:val="continue"/>
            <w:tcBorders>
              <w:tl2br w:val="nil"/>
              <w:tr2bl w:val="nil"/>
            </w:tcBorders>
            <w:noWrap/>
            <w:vAlign w:val="center"/>
          </w:tcPr>
          <w:p w14:paraId="3322E584">
            <w:pPr>
              <w:spacing w:line="360" w:lineRule="auto"/>
              <w:jc w:val="center"/>
              <w:rPr>
                <w:rFonts w:hint="eastAsia" w:ascii="宋体" w:hAnsi="宋体" w:cs="宋体"/>
                <w:color w:val="auto"/>
                <w:sz w:val="21"/>
                <w:szCs w:val="21"/>
                <w:highlight w:val="none"/>
              </w:rPr>
            </w:pPr>
          </w:p>
        </w:tc>
      </w:tr>
      <w:tr w14:paraId="02808F5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73CF3CD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6.1.2</w:t>
            </w:r>
          </w:p>
        </w:tc>
        <w:tc>
          <w:tcPr>
            <w:tcW w:w="6982" w:type="dxa"/>
            <w:tcBorders>
              <w:tl2br w:val="nil"/>
              <w:tr2bl w:val="nil"/>
            </w:tcBorders>
            <w:vAlign w:val="center"/>
          </w:tcPr>
          <w:p w14:paraId="0E9058C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数据清洗</w:t>
            </w:r>
          </w:p>
        </w:tc>
        <w:tc>
          <w:tcPr>
            <w:tcW w:w="870" w:type="dxa"/>
            <w:vMerge w:val="continue"/>
            <w:tcBorders>
              <w:tl2br w:val="nil"/>
              <w:tr2bl w:val="nil"/>
            </w:tcBorders>
            <w:noWrap/>
            <w:vAlign w:val="center"/>
          </w:tcPr>
          <w:p w14:paraId="18CC2D1C">
            <w:pPr>
              <w:spacing w:line="360" w:lineRule="auto"/>
              <w:jc w:val="center"/>
              <w:rPr>
                <w:rFonts w:hint="eastAsia" w:ascii="宋体" w:hAnsi="宋体" w:cs="宋体"/>
                <w:color w:val="auto"/>
                <w:sz w:val="21"/>
                <w:szCs w:val="21"/>
                <w:highlight w:val="none"/>
              </w:rPr>
            </w:pPr>
          </w:p>
        </w:tc>
      </w:tr>
      <w:tr w14:paraId="416711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358D5844">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6.1.3</w:t>
            </w:r>
          </w:p>
        </w:tc>
        <w:tc>
          <w:tcPr>
            <w:tcW w:w="6982" w:type="dxa"/>
            <w:tcBorders>
              <w:tl2br w:val="nil"/>
              <w:tr2bl w:val="nil"/>
            </w:tcBorders>
            <w:vAlign w:val="center"/>
          </w:tcPr>
          <w:p w14:paraId="6E9B19E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数据转换</w:t>
            </w:r>
          </w:p>
        </w:tc>
        <w:tc>
          <w:tcPr>
            <w:tcW w:w="870" w:type="dxa"/>
            <w:vMerge w:val="continue"/>
            <w:tcBorders>
              <w:tl2br w:val="nil"/>
              <w:tr2bl w:val="nil"/>
            </w:tcBorders>
            <w:noWrap/>
            <w:vAlign w:val="center"/>
          </w:tcPr>
          <w:p w14:paraId="0A08544B">
            <w:pPr>
              <w:spacing w:line="360" w:lineRule="auto"/>
              <w:jc w:val="center"/>
              <w:rPr>
                <w:rFonts w:hint="eastAsia" w:ascii="宋体" w:hAnsi="宋体" w:cs="宋体"/>
                <w:color w:val="auto"/>
                <w:sz w:val="21"/>
                <w:szCs w:val="21"/>
                <w:highlight w:val="none"/>
              </w:rPr>
            </w:pPr>
          </w:p>
        </w:tc>
      </w:tr>
      <w:tr w14:paraId="43EAA1E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2DFBF2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6.1.4</w:t>
            </w:r>
          </w:p>
        </w:tc>
        <w:tc>
          <w:tcPr>
            <w:tcW w:w="6982" w:type="dxa"/>
            <w:tcBorders>
              <w:tl2br w:val="nil"/>
              <w:tr2bl w:val="nil"/>
            </w:tcBorders>
            <w:vAlign w:val="center"/>
          </w:tcPr>
          <w:p w14:paraId="015007B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同库数据迁移</w:t>
            </w:r>
          </w:p>
        </w:tc>
        <w:tc>
          <w:tcPr>
            <w:tcW w:w="870" w:type="dxa"/>
            <w:vMerge w:val="continue"/>
            <w:tcBorders>
              <w:tl2br w:val="nil"/>
              <w:tr2bl w:val="nil"/>
            </w:tcBorders>
            <w:noWrap/>
            <w:vAlign w:val="center"/>
          </w:tcPr>
          <w:p w14:paraId="0860B234">
            <w:pPr>
              <w:spacing w:line="360" w:lineRule="auto"/>
              <w:jc w:val="center"/>
              <w:rPr>
                <w:rFonts w:hint="eastAsia" w:ascii="宋体" w:hAnsi="宋体" w:cs="宋体"/>
                <w:color w:val="auto"/>
                <w:sz w:val="21"/>
                <w:szCs w:val="21"/>
                <w:highlight w:val="none"/>
              </w:rPr>
            </w:pPr>
          </w:p>
        </w:tc>
      </w:tr>
      <w:tr w14:paraId="6E0A18C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F63100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6.1.5</w:t>
            </w:r>
          </w:p>
        </w:tc>
        <w:tc>
          <w:tcPr>
            <w:tcW w:w="6982" w:type="dxa"/>
            <w:tcBorders>
              <w:tl2br w:val="nil"/>
              <w:tr2bl w:val="nil"/>
            </w:tcBorders>
            <w:vAlign w:val="center"/>
          </w:tcPr>
          <w:p w14:paraId="569A37C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数据校验与测试</w:t>
            </w:r>
          </w:p>
        </w:tc>
        <w:tc>
          <w:tcPr>
            <w:tcW w:w="870" w:type="dxa"/>
            <w:vMerge w:val="continue"/>
            <w:tcBorders>
              <w:tl2br w:val="nil"/>
              <w:tr2bl w:val="nil"/>
            </w:tcBorders>
            <w:noWrap/>
            <w:vAlign w:val="center"/>
          </w:tcPr>
          <w:p w14:paraId="3098F488">
            <w:pPr>
              <w:spacing w:line="360" w:lineRule="auto"/>
              <w:jc w:val="center"/>
              <w:rPr>
                <w:rFonts w:hint="eastAsia" w:ascii="宋体" w:hAnsi="宋体" w:cs="宋体"/>
                <w:color w:val="auto"/>
                <w:sz w:val="21"/>
                <w:szCs w:val="21"/>
                <w:highlight w:val="none"/>
              </w:rPr>
            </w:pPr>
          </w:p>
        </w:tc>
      </w:tr>
      <w:tr w14:paraId="1270A1E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6DD195F">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6.1.6</w:t>
            </w:r>
          </w:p>
        </w:tc>
        <w:tc>
          <w:tcPr>
            <w:tcW w:w="6982" w:type="dxa"/>
            <w:tcBorders>
              <w:tl2br w:val="nil"/>
              <w:tr2bl w:val="nil"/>
            </w:tcBorders>
            <w:vAlign w:val="center"/>
          </w:tcPr>
          <w:p w14:paraId="3C00416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多院区系统集成服务</w:t>
            </w:r>
          </w:p>
        </w:tc>
        <w:tc>
          <w:tcPr>
            <w:tcW w:w="870" w:type="dxa"/>
            <w:vMerge w:val="continue"/>
            <w:tcBorders>
              <w:tl2br w:val="nil"/>
              <w:tr2bl w:val="nil"/>
            </w:tcBorders>
            <w:noWrap/>
            <w:vAlign w:val="center"/>
          </w:tcPr>
          <w:p w14:paraId="6D0790E6">
            <w:pPr>
              <w:spacing w:line="360" w:lineRule="auto"/>
              <w:jc w:val="center"/>
              <w:rPr>
                <w:rFonts w:hint="eastAsia" w:ascii="宋体" w:hAnsi="宋体" w:cs="宋体"/>
                <w:color w:val="auto"/>
                <w:sz w:val="21"/>
                <w:szCs w:val="21"/>
                <w:highlight w:val="none"/>
              </w:rPr>
            </w:pPr>
          </w:p>
        </w:tc>
      </w:tr>
      <w:tr w14:paraId="6EABEC4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25EB115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6.1.7</w:t>
            </w:r>
          </w:p>
        </w:tc>
        <w:tc>
          <w:tcPr>
            <w:tcW w:w="6982" w:type="dxa"/>
            <w:tcBorders>
              <w:tl2br w:val="nil"/>
              <w:tr2bl w:val="nil"/>
            </w:tcBorders>
            <w:vAlign w:val="center"/>
          </w:tcPr>
          <w:p w14:paraId="5169A55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接口联调</w:t>
            </w:r>
          </w:p>
        </w:tc>
        <w:tc>
          <w:tcPr>
            <w:tcW w:w="870" w:type="dxa"/>
            <w:vMerge w:val="continue"/>
            <w:tcBorders>
              <w:tl2br w:val="nil"/>
              <w:tr2bl w:val="nil"/>
            </w:tcBorders>
            <w:noWrap/>
            <w:vAlign w:val="center"/>
          </w:tcPr>
          <w:p w14:paraId="1B904662">
            <w:pPr>
              <w:spacing w:line="360" w:lineRule="auto"/>
              <w:jc w:val="center"/>
              <w:rPr>
                <w:rFonts w:hint="eastAsia" w:ascii="宋体" w:hAnsi="宋体" w:cs="宋体"/>
                <w:color w:val="auto"/>
                <w:sz w:val="21"/>
                <w:szCs w:val="21"/>
                <w:highlight w:val="none"/>
              </w:rPr>
            </w:pPr>
          </w:p>
        </w:tc>
      </w:tr>
      <w:tr w14:paraId="4E61CD0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506723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6.1.8</w:t>
            </w:r>
          </w:p>
        </w:tc>
        <w:tc>
          <w:tcPr>
            <w:tcW w:w="6982" w:type="dxa"/>
            <w:tcBorders>
              <w:tl2br w:val="nil"/>
              <w:tr2bl w:val="nil"/>
            </w:tcBorders>
            <w:vAlign w:val="center"/>
          </w:tcPr>
          <w:p w14:paraId="000AA81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部署环境搭建</w:t>
            </w:r>
          </w:p>
        </w:tc>
        <w:tc>
          <w:tcPr>
            <w:tcW w:w="870" w:type="dxa"/>
            <w:vMerge w:val="continue"/>
            <w:tcBorders>
              <w:tl2br w:val="nil"/>
              <w:tr2bl w:val="nil"/>
            </w:tcBorders>
            <w:noWrap/>
            <w:vAlign w:val="center"/>
          </w:tcPr>
          <w:p w14:paraId="472105C6">
            <w:pPr>
              <w:spacing w:line="360" w:lineRule="auto"/>
              <w:jc w:val="center"/>
              <w:rPr>
                <w:rFonts w:hint="eastAsia" w:ascii="宋体" w:hAnsi="宋体" w:cs="宋体"/>
                <w:color w:val="auto"/>
                <w:sz w:val="21"/>
                <w:szCs w:val="21"/>
                <w:highlight w:val="none"/>
              </w:rPr>
            </w:pPr>
          </w:p>
        </w:tc>
      </w:tr>
      <w:tr w14:paraId="7343A1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18CD88ED">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6.1.9</w:t>
            </w:r>
          </w:p>
        </w:tc>
        <w:tc>
          <w:tcPr>
            <w:tcW w:w="6982" w:type="dxa"/>
            <w:tcBorders>
              <w:tl2br w:val="nil"/>
              <w:tr2bl w:val="nil"/>
            </w:tcBorders>
            <w:vAlign w:val="center"/>
          </w:tcPr>
          <w:p w14:paraId="6967E328">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软件部署</w:t>
            </w:r>
          </w:p>
        </w:tc>
        <w:tc>
          <w:tcPr>
            <w:tcW w:w="870" w:type="dxa"/>
            <w:vMerge w:val="continue"/>
            <w:tcBorders>
              <w:tl2br w:val="nil"/>
              <w:tr2bl w:val="nil"/>
            </w:tcBorders>
            <w:noWrap/>
            <w:vAlign w:val="center"/>
          </w:tcPr>
          <w:p w14:paraId="6D1966C9">
            <w:pPr>
              <w:spacing w:line="360" w:lineRule="auto"/>
              <w:jc w:val="center"/>
              <w:rPr>
                <w:rFonts w:hint="eastAsia" w:ascii="宋体" w:hAnsi="宋体" w:cs="宋体"/>
                <w:color w:val="auto"/>
                <w:sz w:val="21"/>
                <w:szCs w:val="21"/>
                <w:highlight w:val="none"/>
              </w:rPr>
            </w:pPr>
          </w:p>
        </w:tc>
      </w:tr>
      <w:tr w14:paraId="27DFF88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D4A376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6.1.10</w:t>
            </w:r>
          </w:p>
        </w:tc>
        <w:tc>
          <w:tcPr>
            <w:tcW w:w="6982" w:type="dxa"/>
            <w:tcBorders>
              <w:tl2br w:val="nil"/>
              <w:tr2bl w:val="nil"/>
            </w:tcBorders>
            <w:vAlign w:val="center"/>
          </w:tcPr>
          <w:p w14:paraId="5ACAC6D7">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核心参数配置</w:t>
            </w:r>
          </w:p>
        </w:tc>
        <w:tc>
          <w:tcPr>
            <w:tcW w:w="870" w:type="dxa"/>
            <w:vMerge w:val="continue"/>
            <w:tcBorders>
              <w:tl2br w:val="nil"/>
              <w:tr2bl w:val="nil"/>
            </w:tcBorders>
            <w:noWrap/>
            <w:vAlign w:val="center"/>
          </w:tcPr>
          <w:p w14:paraId="18036E00">
            <w:pPr>
              <w:spacing w:line="360" w:lineRule="auto"/>
              <w:jc w:val="center"/>
              <w:rPr>
                <w:rFonts w:hint="eastAsia" w:ascii="宋体" w:hAnsi="宋体" w:cs="宋体"/>
                <w:color w:val="auto"/>
                <w:sz w:val="21"/>
                <w:szCs w:val="21"/>
                <w:highlight w:val="none"/>
              </w:rPr>
            </w:pPr>
          </w:p>
        </w:tc>
      </w:tr>
      <w:tr w14:paraId="72AB134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1FC018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6.1.11</w:t>
            </w:r>
          </w:p>
        </w:tc>
        <w:tc>
          <w:tcPr>
            <w:tcW w:w="6982" w:type="dxa"/>
            <w:tcBorders>
              <w:tl2br w:val="nil"/>
              <w:tr2bl w:val="nil"/>
            </w:tcBorders>
            <w:vAlign w:val="center"/>
          </w:tcPr>
          <w:p w14:paraId="5B94514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功能调试</w:t>
            </w:r>
          </w:p>
        </w:tc>
        <w:tc>
          <w:tcPr>
            <w:tcW w:w="870" w:type="dxa"/>
            <w:vMerge w:val="continue"/>
            <w:tcBorders>
              <w:tl2br w:val="nil"/>
              <w:tr2bl w:val="nil"/>
            </w:tcBorders>
            <w:noWrap/>
            <w:vAlign w:val="center"/>
          </w:tcPr>
          <w:p w14:paraId="2957D150">
            <w:pPr>
              <w:spacing w:line="360" w:lineRule="auto"/>
              <w:jc w:val="center"/>
              <w:rPr>
                <w:rFonts w:hint="eastAsia" w:ascii="宋体" w:hAnsi="宋体" w:cs="宋体"/>
                <w:color w:val="auto"/>
                <w:sz w:val="21"/>
                <w:szCs w:val="21"/>
                <w:highlight w:val="none"/>
              </w:rPr>
            </w:pPr>
          </w:p>
        </w:tc>
      </w:tr>
      <w:tr w14:paraId="729D7D3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3ABF7B">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6.1.12</w:t>
            </w:r>
          </w:p>
        </w:tc>
        <w:tc>
          <w:tcPr>
            <w:tcW w:w="6982" w:type="dxa"/>
            <w:tcBorders>
              <w:tl2br w:val="nil"/>
              <w:tr2bl w:val="nil"/>
            </w:tcBorders>
            <w:vAlign w:val="center"/>
          </w:tcPr>
          <w:p w14:paraId="0AC4D471">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多院区基础操作培训</w:t>
            </w:r>
          </w:p>
        </w:tc>
        <w:tc>
          <w:tcPr>
            <w:tcW w:w="870" w:type="dxa"/>
            <w:vMerge w:val="continue"/>
            <w:tcBorders>
              <w:tl2br w:val="nil"/>
              <w:tr2bl w:val="nil"/>
            </w:tcBorders>
            <w:noWrap/>
            <w:vAlign w:val="center"/>
          </w:tcPr>
          <w:p w14:paraId="542A3DAA">
            <w:pPr>
              <w:spacing w:line="360" w:lineRule="auto"/>
              <w:jc w:val="center"/>
              <w:rPr>
                <w:rFonts w:hint="eastAsia" w:ascii="宋体" w:hAnsi="宋体" w:cs="宋体"/>
                <w:color w:val="auto"/>
                <w:sz w:val="21"/>
                <w:szCs w:val="21"/>
                <w:highlight w:val="none"/>
              </w:rPr>
            </w:pPr>
          </w:p>
        </w:tc>
      </w:tr>
      <w:tr w14:paraId="205F15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30426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6.1.13</w:t>
            </w:r>
          </w:p>
        </w:tc>
        <w:tc>
          <w:tcPr>
            <w:tcW w:w="6982" w:type="dxa"/>
            <w:tcBorders>
              <w:tl2br w:val="nil"/>
              <w:tr2bl w:val="nil"/>
            </w:tcBorders>
            <w:vAlign w:val="center"/>
          </w:tcPr>
          <w:p w14:paraId="39AE5A8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跨院区业务联动培训</w:t>
            </w:r>
          </w:p>
        </w:tc>
        <w:tc>
          <w:tcPr>
            <w:tcW w:w="870" w:type="dxa"/>
            <w:vMerge w:val="continue"/>
            <w:tcBorders>
              <w:tl2br w:val="nil"/>
              <w:tr2bl w:val="nil"/>
            </w:tcBorders>
            <w:noWrap/>
            <w:vAlign w:val="center"/>
          </w:tcPr>
          <w:p w14:paraId="049732BA">
            <w:pPr>
              <w:spacing w:line="360" w:lineRule="auto"/>
              <w:jc w:val="center"/>
              <w:rPr>
                <w:rFonts w:hint="eastAsia" w:ascii="宋体" w:hAnsi="宋体" w:cs="宋体"/>
                <w:color w:val="auto"/>
                <w:sz w:val="21"/>
                <w:szCs w:val="21"/>
                <w:highlight w:val="none"/>
              </w:rPr>
            </w:pPr>
          </w:p>
        </w:tc>
      </w:tr>
      <w:tr w14:paraId="41EBD5DB">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4CACB822">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6.1.14</w:t>
            </w:r>
          </w:p>
        </w:tc>
        <w:tc>
          <w:tcPr>
            <w:tcW w:w="6982" w:type="dxa"/>
            <w:tcBorders>
              <w:tl2br w:val="nil"/>
              <w:tr2bl w:val="nil"/>
            </w:tcBorders>
            <w:vAlign w:val="center"/>
          </w:tcPr>
          <w:p w14:paraId="361F3026">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财务报表独立统计培训</w:t>
            </w:r>
          </w:p>
        </w:tc>
        <w:tc>
          <w:tcPr>
            <w:tcW w:w="870" w:type="dxa"/>
            <w:vMerge w:val="continue"/>
            <w:tcBorders>
              <w:tl2br w:val="nil"/>
              <w:tr2bl w:val="nil"/>
            </w:tcBorders>
            <w:noWrap/>
            <w:vAlign w:val="center"/>
          </w:tcPr>
          <w:p w14:paraId="3059E805">
            <w:pPr>
              <w:spacing w:line="360" w:lineRule="auto"/>
              <w:jc w:val="center"/>
              <w:rPr>
                <w:rFonts w:hint="eastAsia" w:ascii="宋体" w:hAnsi="宋体" w:cs="宋体"/>
                <w:color w:val="auto"/>
                <w:sz w:val="21"/>
                <w:szCs w:val="21"/>
                <w:highlight w:val="none"/>
              </w:rPr>
            </w:pPr>
          </w:p>
        </w:tc>
      </w:tr>
      <w:tr w14:paraId="623E9CC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8AF3513">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6.1.15</w:t>
            </w:r>
          </w:p>
        </w:tc>
        <w:tc>
          <w:tcPr>
            <w:tcW w:w="6982" w:type="dxa"/>
            <w:tcBorders>
              <w:tl2br w:val="nil"/>
              <w:tr2bl w:val="nil"/>
            </w:tcBorders>
            <w:vAlign w:val="center"/>
          </w:tcPr>
          <w:p w14:paraId="4BEBF59A">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权限与数据安全管理培训</w:t>
            </w:r>
          </w:p>
        </w:tc>
        <w:tc>
          <w:tcPr>
            <w:tcW w:w="870" w:type="dxa"/>
            <w:vMerge w:val="continue"/>
            <w:tcBorders>
              <w:tl2br w:val="nil"/>
              <w:tr2bl w:val="nil"/>
            </w:tcBorders>
            <w:noWrap/>
            <w:vAlign w:val="center"/>
          </w:tcPr>
          <w:p w14:paraId="13178ED9">
            <w:pPr>
              <w:spacing w:line="360" w:lineRule="auto"/>
              <w:jc w:val="center"/>
              <w:rPr>
                <w:rFonts w:hint="eastAsia" w:ascii="宋体" w:hAnsi="宋体" w:cs="宋体"/>
                <w:color w:val="auto"/>
                <w:sz w:val="21"/>
                <w:szCs w:val="21"/>
                <w:highlight w:val="none"/>
              </w:rPr>
            </w:pPr>
          </w:p>
        </w:tc>
      </w:tr>
      <w:tr w14:paraId="466299D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5108AD1C">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6.2</w:t>
            </w:r>
          </w:p>
        </w:tc>
        <w:tc>
          <w:tcPr>
            <w:tcW w:w="6982" w:type="dxa"/>
            <w:tcBorders>
              <w:tl2br w:val="nil"/>
              <w:tr2bl w:val="nil"/>
            </w:tcBorders>
            <w:vAlign w:val="center"/>
          </w:tcPr>
          <w:p w14:paraId="1B02D589">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健康云 AI 算力租赁服务</w:t>
            </w:r>
          </w:p>
        </w:tc>
        <w:tc>
          <w:tcPr>
            <w:tcW w:w="870" w:type="dxa"/>
            <w:vMerge w:val="restart"/>
            <w:tcBorders>
              <w:tl2br w:val="nil"/>
              <w:tr2bl w:val="nil"/>
            </w:tcBorders>
            <w:noWrap/>
            <w:vAlign w:val="center"/>
          </w:tcPr>
          <w:p w14:paraId="5D39FEC6">
            <w:pPr>
              <w:widowControl/>
              <w:spacing w:line="360" w:lineRule="auto"/>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r>
      <w:tr w14:paraId="179EE99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16" w:type="dxa"/>
            <w:tcBorders>
              <w:tl2br w:val="nil"/>
              <w:tr2bl w:val="nil"/>
            </w:tcBorders>
            <w:vAlign w:val="center"/>
          </w:tcPr>
          <w:p w14:paraId="65667FD0">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6.2.1</w:t>
            </w:r>
          </w:p>
        </w:tc>
        <w:tc>
          <w:tcPr>
            <w:tcW w:w="6982" w:type="dxa"/>
            <w:tcBorders>
              <w:tl2br w:val="nil"/>
              <w:tr2bl w:val="nil"/>
            </w:tcBorders>
            <w:vAlign w:val="center"/>
          </w:tcPr>
          <w:p w14:paraId="5B9D0D55">
            <w:pPr>
              <w:widowControl/>
              <w:spacing w:line="360" w:lineRule="auto"/>
              <w:jc w:val="left"/>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租赁健康云 AI 算力服务，期限为 1 年，显存≥1150G，算力≥4.1PFLOS</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bidi="ar"/>
              </w:rPr>
              <w:t>依托云端 AI 算力资源，为医院各类医疗系统提供高效的算力支撑，助力 AI 技术在临床诊疗、健康管理等场景的应用，提升诊疗效率与精准度，无需医院自行投入算力设备，降低运营成本。</w:t>
            </w:r>
          </w:p>
        </w:tc>
        <w:tc>
          <w:tcPr>
            <w:tcW w:w="870" w:type="dxa"/>
            <w:vMerge w:val="continue"/>
            <w:tcBorders>
              <w:tl2br w:val="nil"/>
              <w:tr2bl w:val="nil"/>
            </w:tcBorders>
            <w:noWrap/>
            <w:vAlign w:val="center"/>
          </w:tcPr>
          <w:p w14:paraId="407AB4B0">
            <w:pPr>
              <w:spacing w:line="360" w:lineRule="auto"/>
              <w:jc w:val="center"/>
              <w:rPr>
                <w:rFonts w:hint="eastAsia" w:ascii="宋体" w:hAnsi="宋体" w:cs="宋体"/>
                <w:color w:val="auto"/>
                <w:sz w:val="21"/>
                <w:szCs w:val="21"/>
                <w:highlight w:val="none"/>
              </w:rPr>
            </w:pPr>
          </w:p>
        </w:tc>
      </w:tr>
    </w:tbl>
    <w:p w14:paraId="010E7172">
      <w:pPr>
        <w:spacing w:line="360" w:lineRule="auto"/>
        <w:ind w:firstLine="420" w:firstLineChars="200"/>
        <w:rPr>
          <w:rFonts w:cs="宋体"/>
          <w:color w:val="auto"/>
          <w:szCs w:val="21"/>
          <w:highlight w:val="none"/>
        </w:rPr>
      </w:pPr>
    </w:p>
    <w:p w14:paraId="71524ACC">
      <w:pPr>
        <w:spacing w:line="360" w:lineRule="auto"/>
        <w:ind w:firstLine="422" w:firstLineChars="200"/>
        <w:rPr>
          <w:rFonts w:cs="宋体"/>
          <w:b/>
          <w:bCs/>
          <w:color w:val="auto"/>
          <w:szCs w:val="21"/>
          <w:highlight w:val="none"/>
        </w:rPr>
      </w:pPr>
      <w:r>
        <w:rPr>
          <w:rFonts w:hint="eastAsia" w:cs="宋体"/>
          <w:b/>
          <w:bCs/>
          <w:color w:val="auto"/>
          <w:szCs w:val="21"/>
          <w:highlight w:val="none"/>
        </w:rPr>
        <w:t>四、商务要求</w:t>
      </w:r>
    </w:p>
    <w:p w14:paraId="548FF6E7">
      <w:pPr>
        <w:spacing w:line="360" w:lineRule="auto"/>
        <w:ind w:firstLine="422" w:firstLineChars="200"/>
        <w:rPr>
          <w:rFonts w:cs="宋体"/>
          <w:b/>
          <w:bCs/>
          <w:color w:val="auto"/>
          <w:szCs w:val="21"/>
          <w:highlight w:val="none"/>
        </w:rPr>
      </w:pPr>
      <w:r>
        <w:rPr>
          <w:rFonts w:hint="eastAsia" w:cs="宋体"/>
          <w:b/>
          <w:bCs/>
          <w:color w:val="auto"/>
          <w:szCs w:val="21"/>
          <w:highlight w:val="none"/>
        </w:rPr>
        <w:t>1、项目实施要求</w:t>
      </w:r>
    </w:p>
    <w:p w14:paraId="39C30B44">
      <w:pPr>
        <w:spacing w:line="360" w:lineRule="auto"/>
        <w:ind w:firstLine="420" w:firstLineChars="200"/>
        <w:rPr>
          <w:rFonts w:cs="宋体"/>
          <w:b/>
          <w:bCs/>
          <w:color w:val="auto"/>
          <w:szCs w:val="21"/>
          <w:highlight w:val="none"/>
        </w:rPr>
      </w:pPr>
      <w:r>
        <w:rPr>
          <w:rFonts w:hint="eastAsia" w:ascii="宋体" w:hAnsi="宋体" w:cs="宋体"/>
          <w:color w:val="auto"/>
          <w:szCs w:val="21"/>
          <w:highlight w:val="none"/>
        </w:rPr>
        <w:t>▲</w:t>
      </w:r>
      <w:r>
        <w:rPr>
          <w:rFonts w:hint="eastAsia" w:cs="宋体"/>
          <w:b/>
          <w:bCs/>
          <w:color w:val="auto"/>
          <w:szCs w:val="21"/>
          <w:highlight w:val="none"/>
        </w:rPr>
        <w:t>1.1 实施周期</w:t>
      </w:r>
    </w:p>
    <w:p w14:paraId="35CB18AD">
      <w:pPr>
        <w:spacing w:line="360" w:lineRule="auto"/>
        <w:ind w:firstLine="420" w:firstLineChars="200"/>
        <w:rPr>
          <w:rFonts w:cs="宋体"/>
          <w:color w:val="auto"/>
          <w:szCs w:val="21"/>
          <w:highlight w:val="none"/>
        </w:rPr>
      </w:pPr>
      <w:r>
        <w:rPr>
          <w:rFonts w:hint="eastAsia" w:cs="宋体"/>
          <w:color w:val="auto"/>
          <w:szCs w:val="21"/>
          <w:highlight w:val="none"/>
        </w:rPr>
        <w:t>本次项目要求在合同签订生效后</w:t>
      </w:r>
      <w:r>
        <w:rPr>
          <w:rFonts w:hint="eastAsia" w:ascii="宋体" w:hAnsi="宋体" w:cs="宋体"/>
          <w:color w:val="auto"/>
          <w:szCs w:val="21"/>
          <w:highlight w:val="none"/>
        </w:rPr>
        <w:t>2026年10月30日之前</w:t>
      </w:r>
      <w:r>
        <w:rPr>
          <w:rFonts w:hint="eastAsia" w:cs="宋体"/>
          <w:color w:val="auto"/>
          <w:szCs w:val="21"/>
          <w:highlight w:val="none"/>
        </w:rPr>
        <w:t>完成系统调试、部署、初始化、上线等工作。</w:t>
      </w:r>
    </w:p>
    <w:p w14:paraId="6C0648DB">
      <w:pPr>
        <w:spacing w:line="360" w:lineRule="auto"/>
        <w:ind w:firstLine="422" w:firstLineChars="200"/>
        <w:rPr>
          <w:rFonts w:cs="宋体"/>
          <w:b/>
          <w:bCs/>
          <w:color w:val="auto"/>
          <w:szCs w:val="21"/>
          <w:highlight w:val="none"/>
        </w:rPr>
      </w:pPr>
      <w:r>
        <w:rPr>
          <w:rFonts w:hint="eastAsia" w:cs="宋体"/>
          <w:b/>
          <w:bCs/>
          <w:color w:val="auto"/>
          <w:szCs w:val="21"/>
          <w:highlight w:val="none"/>
        </w:rPr>
        <w:t>1.2 组织实施</w:t>
      </w:r>
    </w:p>
    <w:p w14:paraId="602D4F19">
      <w:pPr>
        <w:spacing w:line="360" w:lineRule="auto"/>
        <w:ind w:firstLine="420" w:firstLineChars="200"/>
        <w:rPr>
          <w:rFonts w:cs="宋体"/>
          <w:color w:val="auto"/>
          <w:szCs w:val="21"/>
          <w:highlight w:val="none"/>
        </w:rPr>
      </w:pPr>
      <w:r>
        <w:rPr>
          <w:rFonts w:hint="eastAsia" w:cs="宋体"/>
          <w:color w:val="auto"/>
          <w:szCs w:val="21"/>
          <w:highlight w:val="none"/>
        </w:rPr>
        <w:t>1）为加强双方对项目的管理、监督作用，保证项目能顺利地完成，要求成立项目小组对项目进行监控、实施、支持。</w:t>
      </w:r>
    </w:p>
    <w:p w14:paraId="40596AF5">
      <w:pPr>
        <w:spacing w:line="360" w:lineRule="auto"/>
        <w:ind w:firstLine="420" w:firstLineChars="200"/>
        <w:rPr>
          <w:rFonts w:cs="宋体"/>
          <w:color w:val="auto"/>
          <w:szCs w:val="21"/>
          <w:highlight w:val="none"/>
        </w:rPr>
      </w:pPr>
      <w:r>
        <w:rPr>
          <w:rFonts w:hint="eastAsia" w:cs="宋体"/>
          <w:color w:val="auto"/>
          <w:szCs w:val="21"/>
          <w:highlight w:val="none"/>
        </w:rPr>
        <w:t>2）根据项目现状：包括对医院现有HIS系统、电子病历系统、集成平台系统、数据中心系统的现状分析，制定项目计划，便于对项目进行了解和有效地把控。可以从需求分析、系统设计、系统部署、系统联调、系统试运行等角度进行计划的制定。投标人可自行现场踏勘，详见供应商须知前附表3。</w:t>
      </w:r>
    </w:p>
    <w:p w14:paraId="150EFD42">
      <w:pPr>
        <w:spacing w:line="360" w:lineRule="auto"/>
        <w:ind w:firstLine="420" w:firstLineChars="200"/>
        <w:rPr>
          <w:rFonts w:cs="宋体"/>
          <w:color w:val="auto"/>
          <w:szCs w:val="21"/>
          <w:highlight w:val="none"/>
        </w:rPr>
      </w:pPr>
      <w:r>
        <w:rPr>
          <w:rFonts w:hint="eastAsia" w:cs="宋体"/>
          <w:color w:val="auto"/>
          <w:szCs w:val="21"/>
          <w:highlight w:val="none"/>
        </w:rPr>
        <w:t>3）投标人提供核心组件升级迭代详细方案，投标人可自行现场踏勘，在保障原系统稳定运行基础上，不改动核心代码库，通过服务框架优化、容器编排部署、中间件升级等方式，实现系统性能显著提升，确保系统稳定高效、易于扩展，满足业务高并发需求。</w:t>
      </w:r>
    </w:p>
    <w:p w14:paraId="07003E77">
      <w:pPr>
        <w:spacing w:line="360" w:lineRule="auto"/>
        <w:ind w:firstLine="420" w:firstLineChars="200"/>
        <w:rPr>
          <w:rFonts w:cs="宋体"/>
          <w:color w:val="auto"/>
          <w:szCs w:val="21"/>
          <w:highlight w:val="none"/>
        </w:rPr>
      </w:pPr>
      <w:r>
        <w:rPr>
          <w:rFonts w:hint="eastAsia" w:cs="宋体"/>
          <w:color w:val="auto"/>
          <w:szCs w:val="21"/>
          <w:highlight w:val="none"/>
        </w:rPr>
        <w:t>4）投标人提供详细的核心业务系统流程改造方案，从业务层、数据层、技术层等多维度阐述，实现系统界面一致性，临床业务的连续性，系统功能的高可用性和可扩展性。</w:t>
      </w:r>
    </w:p>
    <w:p w14:paraId="7359E472">
      <w:pPr>
        <w:spacing w:line="360" w:lineRule="auto"/>
        <w:ind w:firstLine="420" w:firstLineChars="200"/>
        <w:rPr>
          <w:rFonts w:cs="宋体"/>
          <w:color w:val="auto"/>
          <w:szCs w:val="21"/>
          <w:highlight w:val="none"/>
        </w:rPr>
      </w:pPr>
      <w:r>
        <w:rPr>
          <w:rFonts w:hint="eastAsia"/>
          <w:color w:val="auto"/>
          <w:highlight w:val="none"/>
        </w:rPr>
        <w:t>5）多院区集成平台接口对接适配方案：投标人提供详细的集成平台接口对接方案，满足新老院区接口标准（</w:t>
      </w:r>
      <w:r>
        <w:rPr>
          <w:color w:val="auto"/>
          <w:highlight w:val="none"/>
        </w:rPr>
        <w:t>如:LIS、PACS、输血、供应室、无纸化、静脉配置管理中心、CA、心电、人事、财务等核心系统</w:t>
      </w:r>
      <w:r>
        <w:rPr>
          <w:rFonts w:hint="eastAsia"/>
          <w:color w:val="auto"/>
          <w:highlight w:val="none"/>
        </w:rPr>
        <w:t>等）的一致性要求，实现多院区医疗业务的连续性发展，保障跨院区的业务闭环管理。</w:t>
      </w:r>
    </w:p>
    <w:p w14:paraId="0F1BD689">
      <w:pPr>
        <w:spacing w:line="360" w:lineRule="auto"/>
        <w:ind w:firstLine="420" w:firstLineChars="200"/>
        <w:rPr>
          <w:rFonts w:cs="宋体"/>
          <w:color w:val="auto"/>
          <w:szCs w:val="21"/>
          <w:highlight w:val="none"/>
        </w:rPr>
      </w:pPr>
      <w:r>
        <w:rPr>
          <w:rFonts w:hint="eastAsia" w:cs="宋体"/>
          <w:color w:val="auto"/>
          <w:szCs w:val="21"/>
          <w:highlight w:val="none"/>
        </w:rPr>
        <w:t>6）项目管理的主要目标是保证在规定时间内高质量地完成项目，在项目的执行过程中要求体现质量的控制体系和相关的规范。提供</w:t>
      </w:r>
      <w:r>
        <w:rPr>
          <w:rFonts w:hint="eastAsia"/>
          <w:color w:val="auto"/>
          <w:highlight w:val="none"/>
        </w:rPr>
        <w:t>应急保障方案，应急方案包括系统中断、故障、数据异常等、应急响应效率、应急处置流程、应急演练记录等。</w:t>
      </w:r>
    </w:p>
    <w:p w14:paraId="613A182E">
      <w:pPr>
        <w:spacing w:line="360" w:lineRule="auto"/>
        <w:ind w:firstLine="422" w:firstLineChars="200"/>
        <w:rPr>
          <w:rFonts w:cs="宋体"/>
          <w:b/>
          <w:bCs/>
          <w:color w:val="auto"/>
          <w:szCs w:val="21"/>
          <w:highlight w:val="none"/>
        </w:rPr>
      </w:pPr>
      <w:r>
        <w:rPr>
          <w:rFonts w:hint="eastAsia" w:cs="宋体"/>
          <w:b/>
          <w:bCs/>
          <w:color w:val="auto"/>
          <w:szCs w:val="21"/>
          <w:highlight w:val="none"/>
        </w:rPr>
        <w:t>1.3 投标人拟投入本项目成员要求：</w:t>
      </w:r>
    </w:p>
    <w:p w14:paraId="24A767E4">
      <w:pPr>
        <w:spacing w:line="360" w:lineRule="auto"/>
        <w:ind w:firstLine="420" w:firstLineChars="200"/>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eastAsia="zh-CN"/>
        </w:rPr>
        <w:t>）</w:t>
      </w:r>
      <w:r>
        <w:rPr>
          <w:rFonts w:hint="eastAsia" w:cs="宋体"/>
          <w:color w:val="auto"/>
          <w:szCs w:val="21"/>
          <w:highlight w:val="none"/>
        </w:rPr>
        <w:t>投标人应本着认真负责的态度为本项目组织稳定的技术人员团队，并根据对项目的理解做出项目的人员配置管理计划，包括组织结构、项目经理</w:t>
      </w:r>
      <w:r>
        <w:rPr>
          <w:rFonts w:hint="eastAsia" w:cs="宋体"/>
          <w:color w:val="auto"/>
          <w:szCs w:val="21"/>
          <w:highlight w:val="none"/>
          <w:lang w:val="en-US" w:eastAsia="zh-CN"/>
        </w:rPr>
        <w:t>一人</w:t>
      </w:r>
      <w:r>
        <w:rPr>
          <w:rFonts w:hint="eastAsia" w:cs="宋体"/>
          <w:color w:val="auto"/>
          <w:szCs w:val="21"/>
          <w:highlight w:val="none"/>
        </w:rPr>
        <w:t>和技术人员</w:t>
      </w:r>
      <w:r>
        <w:rPr>
          <w:rFonts w:hint="eastAsia" w:cs="宋体"/>
          <w:color w:val="auto"/>
          <w:szCs w:val="21"/>
          <w:highlight w:val="none"/>
          <w:lang w:val="en-US" w:eastAsia="zh-CN"/>
        </w:rPr>
        <w:t>不少于五人</w:t>
      </w:r>
      <w:r>
        <w:rPr>
          <w:rFonts w:hint="eastAsia" w:cs="宋体"/>
          <w:color w:val="auto"/>
          <w:szCs w:val="21"/>
          <w:highlight w:val="none"/>
        </w:rPr>
        <w:t>为项目提供专业的技术支撑，确保项目顺利部署上线和运行</w:t>
      </w:r>
      <w:r>
        <w:rPr>
          <w:rFonts w:hint="eastAsia" w:cs="宋体"/>
          <w:color w:val="auto"/>
          <w:szCs w:val="21"/>
          <w:highlight w:val="none"/>
          <w:lang w:eastAsia="zh-CN"/>
        </w:rPr>
        <w:t>，</w:t>
      </w:r>
      <w:r>
        <w:rPr>
          <w:rFonts w:hint="eastAsia" w:cs="宋体"/>
          <w:color w:val="auto"/>
          <w:szCs w:val="21"/>
          <w:highlight w:val="none"/>
          <w:lang w:val="en-US" w:eastAsia="zh-CN"/>
        </w:rPr>
        <w:t>明确人员</w:t>
      </w:r>
      <w:r>
        <w:rPr>
          <w:rFonts w:hint="eastAsia" w:cs="宋体"/>
          <w:color w:val="auto"/>
          <w:szCs w:val="21"/>
          <w:highlight w:val="none"/>
        </w:rPr>
        <w:t>分工</w:t>
      </w:r>
      <w:r>
        <w:rPr>
          <w:rFonts w:hint="eastAsia" w:cs="宋体"/>
          <w:color w:val="auto"/>
          <w:szCs w:val="21"/>
          <w:highlight w:val="none"/>
          <w:lang w:val="en-US" w:eastAsia="zh-CN"/>
        </w:rPr>
        <w:t>及</w:t>
      </w:r>
      <w:r>
        <w:rPr>
          <w:rFonts w:hint="eastAsia" w:cs="宋体"/>
          <w:color w:val="auto"/>
          <w:szCs w:val="21"/>
          <w:highlight w:val="none"/>
        </w:rPr>
        <w:t>职责</w:t>
      </w:r>
      <w:r>
        <w:rPr>
          <w:rFonts w:hint="eastAsia" w:cs="宋体"/>
          <w:color w:val="auto"/>
          <w:szCs w:val="21"/>
          <w:highlight w:val="none"/>
          <w:lang w:eastAsia="zh-CN"/>
        </w:rPr>
        <w:t>。</w:t>
      </w:r>
      <w:r>
        <w:rPr>
          <w:rFonts w:hint="eastAsia" w:cs="宋体"/>
          <w:color w:val="auto"/>
          <w:szCs w:val="21"/>
          <w:highlight w:val="none"/>
          <w:lang w:val="en-US" w:eastAsia="zh-CN"/>
        </w:rPr>
        <w:t>其中</w:t>
      </w:r>
      <w:r>
        <w:rPr>
          <w:rFonts w:hint="eastAsia" w:ascii="宋体" w:hAnsi="宋体" w:cs="宋体"/>
          <w:color w:val="auto"/>
          <w:szCs w:val="21"/>
          <w:highlight w:val="none"/>
        </w:rPr>
        <w:t>项目经理具备信息类高级</w:t>
      </w:r>
      <w:r>
        <w:rPr>
          <w:rFonts w:hint="eastAsia" w:ascii="宋体" w:hAnsi="宋体" w:cs="宋体"/>
          <w:color w:val="auto"/>
          <w:szCs w:val="21"/>
          <w:highlight w:val="none"/>
          <w:lang w:val="en-US" w:eastAsia="zh-CN"/>
        </w:rPr>
        <w:t>及以上</w:t>
      </w:r>
      <w:r>
        <w:rPr>
          <w:rFonts w:hint="eastAsia" w:ascii="宋体" w:hAnsi="宋体" w:cs="宋体"/>
          <w:color w:val="auto"/>
          <w:szCs w:val="21"/>
          <w:highlight w:val="none"/>
        </w:rPr>
        <w:t>工程师职称</w:t>
      </w:r>
      <w:r>
        <w:rPr>
          <w:rFonts w:hint="eastAsia" w:cs="宋体"/>
          <w:color w:val="auto"/>
          <w:szCs w:val="21"/>
          <w:highlight w:val="none"/>
        </w:rPr>
        <w:t>。项目成员中</w:t>
      </w:r>
      <w:r>
        <w:rPr>
          <w:rFonts w:hint="eastAsia" w:cs="宋体"/>
          <w:color w:val="auto"/>
          <w:szCs w:val="21"/>
          <w:highlight w:val="none"/>
          <w:lang w:eastAsia="zh-CN"/>
        </w:rPr>
        <w:t>（</w:t>
      </w:r>
      <w:r>
        <w:rPr>
          <w:rFonts w:hint="eastAsia" w:cs="宋体"/>
          <w:color w:val="auto"/>
          <w:szCs w:val="21"/>
          <w:highlight w:val="none"/>
          <w:lang w:val="en-US" w:eastAsia="zh-CN"/>
        </w:rPr>
        <w:t>除项目经理外</w:t>
      </w:r>
      <w:r>
        <w:rPr>
          <w:rFonts w:hint="eastAsia" w:cs="宋体"/>
          <w:color w:val="auto"/>
          <w:szCs w:val="21"/>
          <w:highlight w:val="none"/>
          <w:lang w:eastAsia="zh-CN"/>
        </w:rPr>
        <w:t>）</w:t>
      </w:r>
      <w:r>
        <w:rPr>
          <w:rFonts w:hint="eastAsia" w:cs="宋体"/>
          <w:color w:val="auto"/>
          <w:szCs w:val="21"/>
          <w:highlight w:val="none"/>
        </w:rPr>
        <w:t>需具有信息系统项目管理师、系统架构设计师、系统分析师、软件设计师</w:t>
      </w:r>
      <w:r>
        <w:rPr>
          <w:rFonts w:hint="eastAsia" w:cs="宋体"/>
          <w:color w:val="auto"/>
          <w:szCs w:val="21"/>
          <w:highlight w:val="none"/>
          <w:lang w:val="en-US" w:eastAsia="zh-CN"/>
        </w:rPr>
        <w:t>等证书，</w:t>
      </w:r>
      <w:r>
        <w:rPr>
          <w:rFonts w:hint="eastAsia" w:cs="宋体"/>
          <w:color w:val="auto"/>
          <w:szCs w:val="21"/>
          <w:highlight w:val="none"/>
        </w:rPr>
        <w:t>资质的人员。</w:t>
      </w:r>
    </w:p>
    <w:p w14:paraId="61524057">
      <w:pPr>
        <w:spacing w:line="360" w:lineRule="auto"/>
        <w:ind w:firstLine="420" w:firstLineChars="200"/>
        <w:rPr>
          <w:rFonts w:cs="宋体"/>
          <w:color w:val="auto"/>
          <w:szCs w:val="21"/>
          <w:highlight w:val="none"/>
        </w:rPr>
      </w:pPr>
      <w:r>
        <w:rPr>
          <w:rFonts w:hint="eastAsia" w:cs="宋体"/>
          <w:color w:val="auto"/>
          <w:szCs w:val="21"/>
          <w:highlight w:val="none"/>
          <w:lang w:val="en-US" w:eastAsia="zh-CN"/>
        </w:rPr>
        <w:t>2</w:t>
      </w:r>
      <w:r>
        <w:rPr>
          <w:rFonts w:hint="eastAsia" w:cs="宋体"/>
          <w:color w:val="auto"/>
          <w:szCs w:val="21"/>
          <w:highlight w:val="none"/>
        </w:rPr>
        <w:t>）项目验收前提供专人线下对接服务。</w:t>
      </w:r>
    </w:p>
    <w:p w14:paraId="321A9C90">
      <w:pPr>
        <w:spacing w:line="360" w:lineRule="auto"/>
        <w:ind w:firstLine="422" w:firstLineChars="200"/>
        <w:rPr>
          <w:rFonts w:cs="宋体"/>
          <w:b/>
          <w:bCs/>
          <w:color w:val="auto"/>
          <w:szCs w:val="21"/>
          <w:highlight w:val="none"/>
        </w:rPr>
      </w:pPr>
      <w:r>
        <w:rPr>
          <w:rFonts w:hint="eastAsia" w:cs="宋体"/>
          <w:b/>
          <w:bCs/>
          <w:color w:val="auto"/>
          <w:szCs w:val="21"/>
          <w:highlight w:val="none"/>
        </w:rPr>
        <w:t>2、验收要求</w:t>
      </w:r>
    </w:p>
    <w:p w14:paraId="6E2102BC">
      <w:pPr>
        <w:spacing w:line="360" w:lineRule="auto"/>
        <w:ind w:firstLine="422" w:firstLineChars="200"/>
        <w:rPr>
          <w:rFonts w:cs="宋体"/>
          <w:b/>
          <w:bCs/>
          <w:color w:val="auto"/>
          <w:szCs w:val="21"/>
          <w:highlight w:val="none"/>
        </w:rPr>
      </w:pPr>
      <w:r>
        <w:rPr>
          <w:rFonts w:hint="eastAsia" w:cs="宋体"/>
          <w:b/>
          <w:bCs/>
          <w:color w:val="auto"/>
          <w:szCs w:val="21"/>
          <w:highlight w:val="none"/>
        </w:rPr>
        <w:t>2.1验收程序要求</w:t>
      </w:r>
    </w:p>
    <w:p w14:paraId="442F66FF">
      <w:pPr>
        <w:spacing w:line="360" w:lineRule="auto"/>
        <w:ind w:firstLine="420" w:firstLineChars="200"/>
        <w:rPr>
          <w:rFonts w:cs="宋体"/>
          <w:color w:val="auto"/>
          <w:szCs w:val="21"/>
          <w:highlight w:val="none"/>
        </w:rPr>
      </w:pPr>
      <w:r>
        <w:rPr>
          <w:rFonts w:hint="eastAsia" w:cs="宋体"/>
          <w:color w:val="auto"/>
          <w:szCs w:val="21"/>
          <w:highlight w:val="none"/>
        </w:rPr>
        <w:t>1）系统上线稳定运行2个月后中标人可提出项目验收申请，中标人应在验收开始前制定验收计划，提交采购人。</w:t>
      </w:r>
    </w:p>
    <w:p w14:paraId="4BA91709">
      <w:pPr>
        <w:spacing w:line="360" w:lineRule="auto"/>
        <w:ind w:firstLine="420" w:firstLineChars="200"/>
        <w:rPr>
          <w:rFonts w:cs="宋体"/>
          <w:color w:val="auto"/>
          <w:szCs w:val="21"/>
          <w:highlight w:val="none"/>
        </w:rPr>
      </w:pPr>
      <w:r>
        <w:rPr>
          <w:rFonts w:hint="eastAsia" w:cs="宋体"/>
          <w:color w:val="auto"/>
          <w:szCs w:val="21"/>
          <w:highlight w:val="none"/>
        </w:rPr>
        <w:t>2）中标人应会同采购人组织成立验收小组，负责验收事宜。</w:t>
      </w:r>
    </w:p>
    <w:p w14:paraId="668D5952">
      <w:pPr>
        <w:spacing w:line="360" w:lineRule="auto"/>
        <w:ind w:firstLine="420" w:firstLineChars="200"/>
        <w:rPr>
          <w:rFonts w:cs="宋体"/>
          <w:color w:val="auto"/>
          <w:szCs w:val="21"/>
          <w:highlight w:val="none"/>
        </w:rPr>
      </w:pPr>
      <w:r>
        <w:rPr>
          <w:rFonts w:hint="eastAsia" w:cs="宋体"/>
          <w:color w:val="auto"/>
          <w:szCs w:val="21"/>
          <w:highlight w:val="none"/>
        </w:rPr>
        <w:t>3）在验收前，中标人提供的验收方案、验收测试报告及接受检验来证明其提供的系统应符合本招标文件（技术协议）的各项要求。</w:t>
      </w:r>
    </w:p>
    <w:p w14:paraId="3A706465">
      <w:pPr>
        <w:spacing w:line="360" w:lineRule="auto"/>
        <w:ind w:firstLine="420" w:firstLineChars="200"/>
        <w:rPr>
          <w:rFonts w:cs="宋体"/>
          <w:color w:val="auto"/>
          <w:szCs w:val="21"/>
          <w:highlight w:val="none"/>
        </w:rPr>
      </w:pPr>
      <w:r>
        <w:rPr>
          <w:rFonts w:hint="eastAsia" w:cs="宋体"/>
          <w:color w:val="auto"/>
          <w:szCs w:val="21"/>
          <w:highlight w:val="none"/>
        </w:rPr>
        <w:t>4）验收人员应根据验收标准，对软件系统进行必要的测试工作。</w:t>
      </w:r>
    </w:p>
    <w:p w14:paraId="4388F3AE">
      <w:pPr>
        <w:spacing w:line="360" w:lineRule="auto"/>
        <w:ind w:firstLine="420" w:firstLineChars="200"/>
        <w:rPr>
          <w:rFonts w:cs="宋体"/>
          <w:color w:val="auto"/>
          <w:szCs w:val="21"/>
          <w:highlight w:val="none"/>
        </w:rPr>
      </w:pPr>
      <w:r>
        <w:rPr>
          <w:rFonts w:hint="eastAsia" w:cs="宋体"/>
          <w:color w:val="auto"/>
          <w:szCs w:val="21"/>
          <w:highlight w:val="none"/>
        </w:rPr>
        <w:t>5）验收结束后，中标人提交相关技术文档。</w:t>
      </w:r>
    </w:p>
    <w:p w14:paraId="5C29F1EA">
      <w:pPr>
        <w:spacing w:line="360" w:lineRule="auto"/>
        <w:ind w:firstLine="422" w:firstLineChars="200"/>
        <w:rPr>
          <w:rFonts w:cs="宋体"/>
          <w:b/>
          <w:bCs/>
          <w:color w:val="auto"/>
          <w:szCs w:val="21"/>
          <w:highlight w:val="none"/>
        </w:rPr>
      </w:pPr>
      <w:r>
        <w:rPr>
          <w:rFonts w:hint="eastAsia" w:cs="宋体"/>
          <w:b/>
          <w:bCs/>
          <w:color w:val="auto"/>
          <w:szCs w:val="21"/>
          <w:highlight w:val="none"/>
        </w:rPr>
        <w:t>2.2验收技术文件要求</w:t>
      </w:r>
    </w:p>
    <w:p w14:paraId="7983C73F">
      <w:pPr>
        <w:spacing w:line="360" w:lineRule="auto"/>
        <w:ind w:firstLine="420" w:firstLineChars="200"/>
        <w:rPr>
          <w:rFonts w:cs="宋体"/>
          <w:color w:val="auto"/>
          <w:szCs w:val="21"/>
          <w:highlight w:val="none"/>
        </w:rPr>
      </w:pPr>
      <w:r>
        <w:rPr>
          <w:rFonts w:hint="eastAsia" w:cs="宋体"/>
          <w:color w:val="auto"/>
          <w:szCs w:val="21"/>
          <w:highlight w:val="none"/>
        </w:rPr>
        <w:t>中标人提供的书面技术资料应能满足确保系统正常运行所需的运行、维护及管理有关的全套文件，并在建议书中列出所提供的书面技术资料详细清单。中标人提供的技术文件至少应包括：</w:t>
      </w:r>
    </w:p>
    <w:p w14:paraId="05AC5EBE">
      <w:pPr>
        <w:spacing w:line="360" w:lineRule="auto"/>
        <w:ind w:firstLine="420" w:firstLineChars="200"/>
        <w:rPr>
          <w:rFonts w:cs="宋体"/>
          <w:color w:val="auto"/>
          <w:szCs w:val="21"/>
          <w:highlight w:val="none"/>
        </w:rPr>
      </w:pPr>
      <w:r>
        <w:rPr>
          <w:rFonts w:hint="eastAsia" w:cs="宋体"/>
          <w:color w:val="auto"/>
          <w:szCs w:val="21"/>
          <w:highlight w:val="none"/>
        </w:rPr>
        <w:t>1）项目开发计划；</w:t>
      </w:r>
    </w:p>
    <w:p w14:paraId="02B7477E">
      <w:pPr>
        <w:spacing w:line="360" w:lineRule="auto"/>
        <w:ind w:firstLine="420" w:firstLineChars="200"/>
        <w:rPr>
          <w:rFonts w:cs="宋体"/>
          <w:color w:val="auto"/>
          <w:szCs w:val="21"/>
          <w:highlight w:val="none"/>
        </w:rPr>
      </w:pPr>
      <w:r>
        <w:rPr>
          <w:rFonts w:hint="eastAsia" w:cs="宋体"/>
          <w:color w:val="auto"/>
          <w:szCs w:val="21"/>
          <w:highlight w:val="none"/>
        </w:rPr>
        <w:t>2）软件需求说明书；</w:t>
      </w:r>
    </w:p>
    <w:p w14:paraId="203D648E">
      <w:pPr>
        <w:spacing w:line="360" w:lineRule="auto"/>
        <w:ind w:firstLine="420" w:firstLineChars="200"/>
        <w:rPr>
          <w:rFonts w:cs="宋体"/>
          <w:color w:val="auto"/>
          <w:szCs w:val="21"/>
          <w:highlight w:val="none"/>
        </w:rPr>
      </w:pPr>
      <w:r>
        <w:rPr>
          <w:rFonts w:hint="eastAsia" w:cs="宋体"/>
          <w:color w:val="auto"/>
          <w:szCs w:val="21"/>
          <w:highlight w:val="none"/>
        </w:rPr>
        <w:t>3）详细设计说明书；</w:t>
      </w:r>
    </w:p>
    <w:p w14:paraId="638A2BE6">
      <w:pPr>
        <w:spacing w:line="360" w:lineRule="auto"/>
        <w:ind w:firstLine="420" w:firstLineChars="200"/>
        <w:rPr>
          <w:rFonts w:cs="宋体"/>
          <w:color w:val="auto"/>
          <w:szCs w:val="21"/>
          <w:highlight w:val="none"/>
        </w:rPr>
      </w:pPr>
      <w:r>
        <w:rPr>
          <w:rFonts w:hint="eastAsia" w:cs="宋体"/>
          <w:color w:val="auto"/>
          <w:szCs w:val="21"/>
          <w:highlight w:val="none"/>
        </w:rPr>
        <w:t>4）用户操作手册；</w:t>
      </w:r>
    </w:p>
    <w:p w14:paraId="78BEC406">
      <w:pPr>
        <w:spacing w:line="360" w:lineRule="auto"/>
        <w:ind w:firstLine="420" w:firstLineChars="200"/>
        <w:rPr>
          <w:rFonts w:cs="宋体"/>
          <w:color w:val="auto"/>
          <w:szCs w:val="21"/>
          <w:highlight w:val="none"/>
        </w:rPr>
      </w:pPr>
      <w:r>
        <w:rPr>
          <w:rFonts w:hint="eastAsia" w:cs="宋体"/>
          <w:color w:val="auto"/>
          <w:szCs w:val="21"/>
          <w:highlight w:val="none"/>
        </w:rPr>
        <w:t>5）测试报告；</w:t>
      </w:r>
    </w:p>
    <w:p w14:paraId="0C4AE704">
      <w:pPr>
        <w:spacing w:line="360" w:lineRule="auto"/>
        <w:ind w:firstLine="420" w:firstLineChars="200"/>
        <w:rPr>
          <w:rFonts w:cs="宋体"/>
          <w:color w:val="auto"/>
          <w:szCs w:val="21"/>
          <w:highlight w:val="none"/>
        </w:rPr>
      </w:pPr>
      <w:r>
        <w:rPr>
          <w:rFonts w:hint="eastAsia" w:cs="宋体"/>
          <w:color w:val="auto"/>
          <w:szCs w:val="21"/>
          <w:highlight w:val="none"/>
        </w:rPr>
        <w:t>6）项目验收总结报告。</w:t>
      </w:r>
    </w:p>
    <w:p w14:paraId="50749B56">
      <w:pPr>
        <w:spacing w:line="360" w:lineRule="auto"/>
        <w:ind w:firstLine="422" w:firstLineChars="200"/>
        <w:rPr>
          <w:rFonts w:cs="宋体"/>
          <w:b/>
          <w:bCs/>
          <w:color w:val="auto"/>
          <w:szCs w:val="21"/>
          <w:highlight w:val="none"/>
        </w:rPr>
      </w:pPr>
      <w:r>
        <w:rPr>
          <w:rFonts w:hint="eastAsia" w:cs="宋体"/>
          <w:b/>
          <w:bCs/>
          <w:color w:val="auto"/>
          <w:szCs w:val="21"/>
          <w:highlight w:val="none"/>
        </w:rPr>
        <w:t>3、售后服务要求</w:t>
      </w:r>
    </w:p>
    <w:p w14:paraId="60AD61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▲3.1提供项目最终验收合格后整体≥1年的维保服务，维护期内提供不少于5人驻场服务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维保期自最终验收合格之日起计算，系统在维保期内对采购人提出的软件问题要求免费进行更改，中标人如有同一版本的软件更新，必须在这期间对采购人软件免费升级，维保期内产生所有费用均包含在投标报价中，采购人不另行支付。</w:t>
      </w:r>
    </w:p>
    <w:p w14:paraId="185FD811">
      <w:pPr>
        <w:pStyle w:val="79"/>
        <w:ind w:left="630" w:hanging="210" w:hangingChars="100"/>
        <w:rPr>
          <w:rFonts w:hint="eastAsia" w:ascii="宋体" w:hAnsi="宋体" w:cs="宋体"/>
          <w:color w:val="auto"/>
          <w:szCs w:val="21"/>
          <w:highlight w:val="none"/>
        </w:rPr>
      </w:pPr>
      <w:r>
        <w:rPr>
          <w:rFonts w:hint="eastAsia" w:ascii="宋体" w:hAnsi="宋体" w:cs="宋体"/>
          <w:color w:val="auto"/>
          <w:szCs w:val="21"/>
          <w:highlight w:val="none"/>
        </w:rPr>
        <w:t>3.2服务要求</w:t>
      </w:r>
    </w:p>
    <w:p w14:paraId="5D9892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1）技术支持：中标人提供更新、升级和其他技术支持等服务，包括系统维护、跟踪检测，保证系统的正常运行。</w:t>
      </w:r>
    </w:p>
    <w:p w14:paraId="3BB83F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时间：提供永久性7×24小时技术支持，包括各种软件系统故障及对各种突发事件采取应急措施等，服务响应时间为2小时；在维保期，中标人通过电话提供解决方案，或者利用远程维护方式解决问题；若不能在4小时内解决故障问题，中标人48小时内到达现场服务，排除故障，并分析故障原因，提出书面故障分析报告及防范措施。</w:t>
      </w:r>
    </w:p>
    <w:p w14:paraId="52A7B48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3）售后服务人员要求：</w:t>
      </w:r>
      <w:r>
        <w:rPr>
          <w:rFonts w:hint="eastAsia" w:ascii="宋体" w:hAnsi="宋体" w:cs="宋体"/>
          <w:color w:val="auto"/>
          <w:szCs w:val="21"/>
          <w:highlight w:val="none"/>
          <w:lang w:val="en-US" w:eastAsia="zh-CN"/>
        </w:rPr>
        <w:t>免费维保期内投标人配置的</w:t>
      </w:r>
      <w:r>
        <w:rPr>
          <w:rFonts w:hint="eastAsia" w:ascii="宋体" w:hAnsi="宋体" w:cs="宋体"/>
          <w:color w:val="auto"/>
          <w:szCs w:val="21"/>
          <w:highlight w:val="none"/>
        </w:rPr>
        <w:t>售后服务人员不少于5人，人员须具备同类项目实施经验（提供承诺函）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提供人员名单</w:t>
      </w:r>
      <w:r>
        <w:rPr>
          <w:rFonts w:hint="eastAsia" w:ascii="宋体" w:hAnsi="宋体" w:cs="宋体"/>
          <w:color w:val="auto"/>
          <w:szCs w:val="21"/>
          <w:highlight w:val="none"/>
        </w:rPr>
        <w:t>，工作年限不少于3年</w:t>
      </w:r>
      <w:r>
        <w:rPr>
          <w:rFonts w:hint="eastAsia" w:ascii="宋体" w:hAnsi="宋体" w:cs="宋体"/>
          <w:color w:val="auto"/>
          <w:szCs w:val="21"/>
          <w:highlight w:val="none"/>
          <w:lang w:eastAsia="zh-CN"/>
        </w:rPr>
        <w:t>。</w:t>
      </w:r>
    </w:p>
    <w:p w14:paraId="1E5FE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4）其他要求：如</w:t>
      </w:r>
      <w:r>
        <w:rPr>
          <w:rFonts w:hint="eastAsia"/>
          <w:color w:val="auto"/>
          <w:highlight w:val="none"/>
        </w:rPr>
        <w:t>远程支持能力等。</w:t>
      </w:r>
    </w:p>
    <w:p w14:paraId="2DF8A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5）维保期满后，每年的维保费用不超过中标金额的6%。</w:t>
      </w:r>
    </w:p>
    <w:p w14:paraId="5C0461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4、培训要求</w:t>
      </w:r>
    </w:p>
    <w:p w14:paraId="2CEA83E5">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中标人针对系统日常操作及系统故障、修复等分别制定科学的培训方案，内容包括培训目标、培训对象、培训内容（理论知识、实操等）、培训时间与地点、培训方式、培训师资、培训后跟进（效果跟踪等），</w:t>
      </w:r>
      <w:r>
        <w:rPr>
          <w:rFonts w:hint="eastAsia" w:cs="宋体"/>
          <w:color w:val="auto"/>
          <w:szCs w:val="21"/>
          <w:highlight w:val="none"/>
        </w:rPr>
        <w:t>培训费用已含入总价中。供应商在投标文件的培训方案中详细说明。</w:t>
      </w:r>
    </w:p>
    <w:p w14:paraId="7CB21BAD">
      <w:pPr>
        <w:spacing w:line="360" w:lineRule="auto"/>
        <w:ind w:firstLine="422" w:firstLineChars="200"/>
        <w:rPr>
          <w:rFonts w:cs="宋体"/>
          <w:b/>
          <w:bCs/>
          <w:color w:val="auto"/>
          <w:szCs w:val="21"/>
          <w:highlight w:val="none"/>
        </w:rPr>
      </w:pPr>
      <w:r>
        <w:rPr>
          <w:rFonts w:hint="eastAsia" w:cs="宋体"/>
          <w:b/>
          <w:bCs/>
          <w:color w:val="auto"/>
          <w:szCs w:val="21"/>
          <w:highlight w:val="none"/>
        </w:rPr>
        <w:t>5、其他要求</w:t>
      </w:r>
    </w:p>
    <w:p w14:paraId="0963EBAB">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中标人应保证采购人在使用所提供的系统或系统任何一部分时，免受第三方提出的侵犯专利权、商标权的起诉、行动、行政程序索赔、请求等。中标人对提供的所有产品一切侵权指控负责，并承担采购人为此而产生的所有损失、损害和费用。</w:t>
      </w:r>
    </w:p>
    <w:p w14:paraId="437315ED">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中标人对在合同履行过程中接触、收集、处理的各系统信息等数据负有保密责任，不得泄露给任何第三方。积极配合采购人做好监管部门及网络安全及数据安全检查等相关工作；服务期内各级监管部门对网络及数据安全如有新要求和新部署，中标人全力协助采购人采取有效应对措施。</w:t>
      </w:r>
    </w:p>
    <w:p w14:paraId="22602DE1">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3）资料提交：系统上线前需提交系统白皮书、部署说明书、数据迁移方案、数据对接方案、测试说明书及建设对接过程文档，并确保所有文档真实可靠且可追溯。</w:t>
      </w:r>
    </w:p>
    <w:p w14:paraId="2E0FF795">
      <w:pPr>
        <w:spacing w:line="360" w:lineRule="auto"/>
        <w:ind w:firstLine="422" w:firstLineChars="200"/>
        <w:rPr>
          <w:rFonts w:cs="宋体"/>
          <w:b/>
          <w:bCs/>
          <w:color w:val="auto"/>
          <w:szCs w:val="21"/>
          <w:highlight w:val="none"/>
        </w:rPr>
      </w:pPr>
      <w:r>
        <w:rPr>
          <w:rFonts w:hint="eastAsia" w:cs="宋体"/>
          <w:b/>
          <w:bCs/>
          <w:color w:val="auto"/>
          <w:szCs w:val="21"/>
          <w:highlight w:val="none"/>
        </w:rPr>
        <w:t>5、付款方式：</w:t>
      </w:r>
    </w:p>
    <w:p w14:paraId="00E5FF27">
      <w:pPr>
        <w:spacing w:line="360" w:lineRule="auto"/>
        <w:ind w:firstLine="420" w:firstLineChars="200"/>
        <w:rPr>
          <w:rFonts w:cs="宋体"/>
          <w:color w:val="auto"/>
          <w:szCs w:val="21"/>
          <w:highlight w:val="none"/>
        </w:rPr>
      </w:pPr>
      <w:r>
        <w:rPr>
          <w:rFonts w:hint="eastAsia" w:cs="宋体"/>
          <w:color w:val="auto"/>
          <w:szCs w:val="21"/>
          <w:highlight w:val="none"/>
        </w:rPr>
        <w:t>5.1合同签订生效且项目具备实施条件后7个工作日内支付合同金额的20%；</w:t>
      </w:r>
    </w:p>
    <w:p w14:paraId="58F32A66">
      <w:pPr>
        <w:spacing w:line="360" w:lineRule="auto"/>
        <w:ind w:firstLine="420" w:firstLineChars="200"/>
        <w:rPr>
          <w:rFonts w:cs="宋体"/>
          <w:color w:val="auto"/>
          <w:szCs w:val="21"/>
          <w:highlight w:val="none"/>
        </w:rPr>
      </w:pPr>
      <w:r>
        <w:rPr>
          <w:rFonts w:hint="eastAsia" w:cs="宋体"/>
          <w:color w:val="auto"/>
          <w:szCs w:val="21"/>
          <w:highlight w:val="none"/>
        </w:rPr>
        <w:t>5.2完成调试、部署、初始化、上线后支付合同金额的30%；</w:t>
      </w:r>
    </w:p>
    <w:p w14:paraId="533B466D">
      <w:pPr>
        <w:spacing w:line="360" w:lineRule="auto"/>
        <w:ind w:firstLine="420" w:firstLineChars="200"/>
        <w:rPr>
          <w:rFonts w:cs="宋体"/>
          <w:color w:val="auto"/>
          <w:szCs w:val="21"/>
          <w:highlight w:val="none"/>
        </w:rPr>
      </w:pPr>
      <w:r>
        <w:rPr>
          <w:rFonts w:hint="eastAsia" w:cs="宋体"/>
          <w:color w:val="auto"/>
          <w:szCs w:val="21"/>
          <w:highlight w:val="none"/>
        </w:rPr>
        <w:t>5.3项目最终验收合格后支付剩余款项。</w:t>
      </w:r>
    </w:p>
    <w:p w14:paraId="14338C47">
      <w:pPr>
        <w:spacing w:line="360" w:lineRule="auto"/>
        <w:ind w:firstLine="420" w:firstLineChars="200"/>
        <w:rPr>
          <w:color w:val="auto"/>
          <w:highlight w:val="none"/>
        </w:rPr>
      </w:pPr>
      <w:r>
        <w:rPr>
          <w:rFonts w:hint="eastAsia" w:cs="宋体"/>
          <w:color w:val="auto"/>
          <w:szCs w:val="21"/>
          <w:highlight w:val="none"/>
        </w:rPr>
        <w:t>5.4</w:t>
      </w:r>
      <w:r>
        <w:rPr>
          <w:rFonts w:hint="eastAsia" w:cs="宋体"/>
          <w:color w:val="auto"/>
          <w:szCs w:val="21"/>
          <w:highlight w:val="none"/>
          <w:lang w:val="en-US" w:eastAsia="zh-CN"/>
        </w:rPr>
        <w:t>如采用联合体投标，合同款</w:t>
      </w:r>
      <w:r>
        <w:rPr>
          <w:rFonts w:hint="eastAsia" w:cs="宋体"/>
          <w:color w:val="auto"/>
          <w:szCs w:val="21"/>
          <w:highlight w:val="none"/>
        </w:rPr>
        <w:t>由采购人</w:t>
      </w:r>
      <w:r>
        <w:rPr>
          <w:rFonts w:hint="eastAsia" w:cs="宋体"/>
          <w:color w:val="auto"/>
          <w:szCs w:val="21"/>
          <w:highlight w:val="none"/>
          <w:lang w:val="en-US" w:eastAsia="zh-CN"/>
        </w:rPr>
        <w:t>统一</w:t>
      </w:r>
      <w:r>
        <w:rPr>
          <w:rFonts w:hint="eastAsia" w:cs="宋体"/>
          <w:color w:val="auto"/>
          <w:szCs w:val="21"/>
          <w:highlight w:val="none"/>
        </w:rPr>
        <w:t>支付给联合体牵头人</w:t>
      </w:r>
      <w:r>
        <w:rPr>
          <w:rFonts w:hint="eastAsia" w:cs="宋体"/>
          <w:color w:val="auto"/>
          <w:szCs w:val="21"/>
          <w:highlight w:val="none"/>
          <w:lang w:eastAsia="zh-CN"/>
        </w:rPr>
        <w:t>，</w:t>
      </w:r>
      <w:r>
        <w:rPr>
          <w:rFonts w:hint="eastAsia" w:cs="宋体"/>
          <w:color w:val="auto"/>
          <w:szCs w:val="21"/>
          <w:highlight w:val="none"/>
        </w:rPr>
        <w:t>联合体成员与联合体牵头人的付款方式以双方约定的为准，与采购人</w:t>
      </w:r>
      <w:r>
        <w:rPr>
          <w:rFonts w:hint="eastAsia" w:cs="宋体"/>
          <w:color w:val="auto"/>
          <w:szCs w:val="21"/>
          <w:highlight w:val="none"/>
          <w:lang w:val="en-US" w:eastAsia="zh-CN"/>
        </w:rPr>
        <w:t>无关</w:t>
      </w:r>
      <w:r>
        <w:rPr>
          <w:rFonts w:hint="eastAsia" w:cs="宋体"/>
          <w:color w:val="auto"/>
          <w:szCs w:val="21"/>
          <w:highlight w:val="none"/>
        </w:rPr>
        <w:t>。</w:t>
      </w:r>
    </w:p>
    <w:p w14:paraId="5B88843D">
      <w:pPr>
        <w:spacing w:line="360" w:lineRule="auto"/>
        <w:ind w:firstLine="422" w:firstLineChars="200"/>
        <w:rPr>
          <w:rFonts w:cs="宋体"/>
          <w:b/>
          <w:bCs/>
          <w:color w:val="auto"/>
          <w:szCs w:val="21"/>
          <w:highlight w:val="none"/>
        </w:rPr>
      </w:pPr>
      <w:r>
        <w:rPr>
          <w:rFonts w:hint="eastAsia" w:cs="宋体"/>
          <w:b/>
          <w:bCs/>
          <w:color w:val="auto"/>
          <w:szCs w:val="21"/>
          <w:highlight w:val="none"/>
        </w:rPr>
        <w:t>6、报价方式</w:t>
      </w:r>
    </w:p>
    <w:p w14:paraId="6DE89A7A">
      <w:pPr>
        <w:spacing w:line="360" w:lineRule="auto"/>
        <w:ind w:firstLine="420" w:firstLineChars="200"/>
        <w:rPr>
          <w:rFonts w:cs="宋体"/>
          <w:color w:val="auto"/>
          <w:szCs w:val="21"/>
          <w:highlight w:val="none"/>
        </w:rPr>
      </w:pPr>
      <w:r>
        <w:rPr>
          <w:rFonts w:hint="eastAsia" w:cs="宋体"/>
          <w:color w:val="auto"/>
          <w:szCs w:val="21"/>
          <w:highlight w:val="none"/>
        </w:rPr>
        <w:t>本次报价方式为总价包干。报价中应包括本项目一切软硬件费、人工费、安装调试费、机械工具、售后服务、培训、</w:t>
      </w:r>
      <w:r>
        <w:rPr>
          <w:rFonts w:hint="eastAsia" w:ascii="宋体" w:hAnsi="宋体" w:cs="宋体"/>
          <w:color w:val="auto"/>
          <w:szCs w:val="21"/>
          <w:highlight w:val="none"/>
        </w:rPr>
        <w:t>验收费用（包含聘请专家验收费用）、</w:t>
      </w:r>
      <w:r>
        <w:rPr>
          <w:rFonts w:hint="eastAsia" w:cs="宋体"/>
          <w:color w:val="auto"/>
          <w:szCs w:val="21"/>
          <w:highlight w:val="none"/>
        </w:rPr>
        <w:t>保险、交通、利润、税金（包含须由投标人承担的各种税费）、其他需投标人承担的费用及潜在可能涉及的一切费用。投标人应认真计算可能发生的各相关费用并计入投标报价内，在项目实施过程中不得借此要求增加任何费用。</w:t>
      </w:r>
    </w:p>
    <w:p w14:paraId="1D32852D">
      <w:pPr>
        <w:spacing w:line="360" w:lineRule="auto"/>
        <w:ind w:firstLine="420" w:firstLineChars="200"/>
        <w:rPr>
          <w:rFonts w:cs="宋体"/>
          <w:color w:val="auto"/>
          <w:szCs w:val="21"/>
          <w:highlight w:val="none"/>
          <w:lang w:bidi="ar"/>
        </w:rPr>
      </w:pPr>
      <w:r>
        <w:rPr>
          <w:rFonts w:hint="eastAsia" w:cs="宋体"/>
          <w:color w:val="auto"/>
          <w:szCs w:val="21"/>
          <w:highlight w:val="none"/>
        </w:rPr>
        <w:t>提供</w:t>
      </w:r>
      <w:r>
        <w:rPr>
          <w:rFonts w:hint="eastAsia" w:cs="宋体"/>
          <w:color w:val="auto"/>
          <w:szCs w:val="21"/>
          <w:highlight w:val="none"/>
          <w:lang w:bidi="ar"/>
        </w:rPr>
        <w:t>清华长庚医院合作技术支持</w:t>
      </w:r>
      <w:r>
        <w:rPr>
          <w:rFonts w:hint="eastAsia" w:cs="宋体"/>
          <w:color w:val="auto"/>
          <w:szCs w:val="21"/>
          <w:highlight w:val="none"/>
          <w:lang w:val="en-US" w:eastAsia="zh-CN" w:bidi="ar"/>
        </w:rPr>
        <w:t>服务</w:t>
      </w:r>
      <w:r>
        <w:rPr>
          <w:rFonts w:hint="eastAsia" w:cs="宋体"/>
          <w:color w:val="auto"/>
          <w:szCs w:val="21"/>
          <w:highlight w:val="none"/>
          <w:lang w:bidi="ar"/>
        </w:rPr>
        <w:t>分项报价，按实际发生结算支付，包含在本次投标总价中。</w:t>
      </w:r>
    </w:p>
    <w:p w14:paraId="3866689C">
      <w:pPr>
        <w:spacing w:line="360" w:lineRule="auto"/>
        <w:ind w:firstLine="422" w:firstLineChars="200"/>
        <w:rPr>
          <w:rFonts w:cs="宋体"/>
          <w:b/>
          <w:bCs/>
          <w:color w:val="auto"/>
          <w:szCs w:val="21"/>
          <w:highlight w:val="none"/>
        </w:rPr>
      </w:pPr>
      <w:r>
        <w:rPr>
          <w:rFonts w:hint="eastAsia" w:cs="宋体"/>
          <w:b/>
          <w:bCs/>
          <w:color w:val="auto"/>
          <w:szCs w:val="21"/>
          <w:highlight w:val="none"/>
        </w:rPr>
        <w:t>7、其他要求</w:t>
      </w:r>
    </w:p>
    <w:p w14:paraId="6EE3E2DA">
      <w:pPr>
        <w:spacing w:line="360" w:lineRule="auto"/>
        <w:ind w:firstLine="420" w:firstLineChars="200"/>
        <w:rPr>
          <w:rFonts w:cs="宋体"/>
          <w:color w:val="auto"/>
          <w:szCs w:val="21"/>
          <w:highlight w:val="none"/>
        </w:rPr>
      </w:pPr>
      <w:r>
        <w:rPr>
          <w:rFonts w:hint="eastAsia" w:cs="宋体"/>
          <w:color w:val="auto"/>
          <w:szCs w:val="21"/>
          <w:highlight w:val="none"/>
        </w:rPr>
        <w:t>1、中标人可通过政采云平台或其他渠道购买保险/保函。可登录政采云平台-金融服务-保险保函模块选购：https://jinrong.zcygov.cn/finance-service/#/letter，有疑问可咨询政采云金融热线400-903-9583</w:t>
      </w:r>
    </w:p>
    <w:p w14:paraId="26FB39D2">
      <w:pPr>
        <w:spacing w:line="360" w:lineRule="auto"/>
        <w:ind w:firstLine="420" w:firstLineChars="200"/>
        <w:rPr>
          <w:rFonts w:cs="宋体"/>
          <w:color w:val="auto"/>
          <w:szCs w:val="21"/>
          <w:highlight w:val="none"/>
        </w:rPr>
      </w:pPr>
      <w:r>
        <w:rPr>
          <w:rFonts w:hint="eastAsia" w:cs="宋体"/>
          <w:color w:val="auto"/>
          <w:szCs w:val="21"/>
          <w:highlight w:val="none"/>
        </w:rPr>
        <w:t>▲2、列入不良行为记录名单的供应商参加浙江政府采购活动须按照《中华人民共和国政府采购法实施条例》第三十三条、第四十八条规定缴纳投标保证金（投标保证金金额：预算金额的2%）、履约保证金（履约保证金金额：合同金额的10%）。</w:t>
      </w:r>
    </w:p>
    <w:p w14:paraId="66BEEE12">
      <w:pPr>
        <w:rPr>
          <w:color w:val="auto"/>
          <w:highlight w:val="none"/>
        </w:rPr>
      </w:pPr>
    </w:p>
    <w:p w14:paraId="4635E6B9">
      <w:pPr>
        <w:spacing w:line="360" w:lineRule="auto"/>
        <w:ind w:firstLine="420" w:firstLineChars="200"/>
        <w:rPr>
          <w:rFonts w:cs="宋体"/>
          <w:color w:val="auto"/>
          <w:szCs w:val="21"/>
          <w:highlight w:val="none"/>
        </w:rPr>
      </w:pPr>
    </w:p>
    <w:p w14:paraId="015FEAF4">
      <w:pPr>
        <w:rPr>
          <w:color w:val="auto"/>
          <w:highlight w:val="none"/>
        </w:rPr>
      </w:pPr>
      <w:r>
        <w:rPr>
          <w:color w:val="auto"/>
          <w:highlight w:val="none"/>
        </w:rPr>
        <w:br w:type="page"/>
      </w:r>
    </w:p>
    <w:p w14:paraId="0A2DD4B1">
      <w:pPr>
        <w:pStyle w:val="2"/>
        <w:snapToGrid w:val="0"/>
        <w:rPr>
          <w:rFonts w:ascii="Times New Roman" w:hAnsi="Times New Roman" w:eastAsia="宋体"/>
          <w:color w:val="auto"/>
          <w:highlight w:val="none"/>
        </w:rPr>
      </w:pPr>
      <w:r>
        <w:rPr>
          <w:rFonts w:ascii="Times New Roman" w:hAnsi="Times New Roman" w:eastAsia="宋体"/>
          <w:color w:val="auto"/>
          <w:highlight w:val="none"/>
        </w:rPr>
        <w:t>第三章</w:t>
      </w:r>
      <w:bookmarkEnd w:id="6"/>
      <w:r>
        <w:rPr>
          <w:rFonts w:ascii="Times New Roman" w:hAnsi="Times New Roman" w:eastAsia="宋体"/>
          <w:color w:val="auto"/>
          <w:highlight w:val="none"/>
        </w:rPr>
        <w:t xml:space="preserve">  </w:t>
      </w:r>
      <w:r>
        <w:rPr>
          <w:rFonts w:hint="eastAsia" w:ascii="Times New Roman" w:hAnsi="Times New Roman" w:eastAsia="宋体"/>
          <w:color w:val="auto"/>
          <w:highlight w:val="none"/>
        </w:rPr>
        <w:t>供应商</w:t>
      </w:r>
      <w:r>
        <w:rPr>
          <w:rFonts w:ascii="Times New Roman" w:hAnsi="Times New Roman" w:eastAsia="宋体"/>
          <w:color w:val="auto"/>
          <w:highlight w:val="none"/>
        </w:rPr>
        <w:t>须知</w:t>
      </w:r>
      <w:bookmarkEnd w:id="7"/>
      <w:bookmarkEnd w:id="8"/>
      <w:bookmarkEnd w:id="9"/>
      <w:bookmarkEnd w:id="10"/>
      <w:bookmarkStart w:id="12" w:name="_Toc82338239"/>
      <w:bookmarkStart w:id="13" w:name="_Toc82873322"/>
    </w:p>
    <w:p w14:paraId="3B88C368">
      <w:pPr>
        <w:pStyle w:val="3"/>
        <w:spacing w:line="360" w:lineRule="auto"/>
        <w:ind w:firstLine="422"/>
        <w:rPr>
          <w:rFonts w:ascii="Times New Roman" w:hAnsi="Times New Roman"/>
          <w:color w:val="auto"/>
          <w:highlight w:val="none"/>
        </w:rPr>
      </w:pPr>
      <w:r>
        <w:rPr>
          <w:rFonts w:ascii="Times New Roman" w:hAnsi="Times New Roman"/>
          <w:color w:val="auto"/>
          <w:highlight w:val="none"/>
        </w:rPr>
        <w:t>一、</w:t>
      </w:r>
      <w:bookmarkEnd w:id="12"/>
      <w:bookmarkEnd w:id="13"/>
      <w:r>
        <w:rPr>
          <w:rFonts w:ascii="Times New Roman" w:hAnsi="Times New Roman"/>
          <w:color w:val="auto"/>
          <w:highlight w:val="none"/>
        </w:rPr>
        <w:t>总则</w:t>
      </w:r>
    </w:p>
    <w:p w14:paraId="0ACF1E34">
      <w:pPr>
        <w:pStyle w:val="4"/>
        <w:spacing w:line="360" w:lineRule="auto"/>
        <w:ind w:firstLine="422"/>
        <w:rPr>
          <w:rFonts w:ascii="Times New Roman" w:hAnsi="Times New Roman"/>
          <w:color w:val="auto"/>
          <w:highlight w:val="none"/>
        </w:rPr>
      </w:pPr>
      <w:bookmarkStart w:id="14" w:name="_Toc82873323"/>
      <w:bookmarkStart w:id="15" w:name="_Toc82338240"/>
      <w:r>
        <w:rPr>
          <w:rFonts w:ascii="Times New Roman" w:hAnsi="Times New Roman"/>
          <w:color w:val="auto"/>
          <w:highlight w:val="none"/>
        </w:rPr>
        <w:t>1.1 实施依据</w:t>
      </w:r>
    </w:p>
    <w:p w14:paraId="1A0BB6E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本次招标工作是按照</w:t>
      </w:r>
      <w:r>
        <w:rPr>
          <w:rFonts w:ascii="Times New Roman" w:hAnsi="Times New Roman"/>
          <w:color w:val="auto"/>
          <w:kern w:val="0"/>
          <w:szCs w:val="21"/>
          <w:highlight w:val="none"/>
        </w:rPr>
        <w:t>《中华人民共和国政府采购法》</w:t>
      </w:r>
      <w:r>
        <w:rPr>
          <w:rFonts w:ascii="Times New Roman" w:hAnsi="Times New Roman"/>
          <w:color w:val="auto"/>
          <w:szCs w:val="21"/>
          <w:highlight w:val="none"/>
        </w:rPr>
        <w:t>、《中华人民共和国政府采购法实施条例》、《政府采购货物和服务招标投标管理办法》</w:t>
      </w:r>
      <w:r>
        <w:rPr>
          <w:rFonts w:ascii="Times New Roman" w:hAnsi="Times New Roman"/>
          <w:color w:val="auto"/>
          <w:highlight w:val="none"/>
        </w:rPr>
        <w:t>等有关法律、法规、规章、文件的规定组织和实施。</w:t>
      </w:r>
    </w:p>
    <w:p w14:paraId="6052F6A9">
      <w:pPr>
        <w:pStyle w:val="4"/>
        <w:spacing w:line="360" w:lineRule="auto"/>
        <w:ind w:firstLine="422"/>
        <w:rPr>
          <w:rFonts w:ascii="Times New Roman" w:hAnsi="Times New Roman"/>
          <w:color w:val="auto"/>
          <w:highlight w:val="none"/>
        </w:rPr>
      </w:pPr>
      <w:r>
        <w:rPr>
          <w:rFonts w:ascii="Times New Roman" w:hAnsi="Times New Roman"/>
          <w:color w:val="auto"/>
          <w:highlight w:val="none"/>
        </w:rPr>
        <w:t>1.2 采购方式</w:t>
      </w:r>
    </w:p>
    <w:p w14:paraId="3E4DCF25">
      <w:pPr>
        <w:pStyle w:val="142"/>
        <w:snapToGrid w:val="0"/>
        <w:spacing w:line="360" w:lineRule="auto"/>
        <w:ind w:firstLine="420"/>
        <w:rPr>
          <w:rFonts w:ascii="Times New Roman" w:hAnsi="Times New Roman"/>
          <w:color w:val="auto"/>
          <w:highlight w:val="none"/>
        </w:rPr>
      </w:pPr>
      <w:r>
        <w:rPr>
          <w:rFonts w:ascii="Times New Roman" w:hAnsi="Times New Roman"/>
          <w:color w:val="auto"/>
          <w:szCs w:val="21"/>
          <w:highlight w:val="none"/>
        </w:rPr>
        <w:t>公开招标，是指招标采购单位依法以招标公告的方式邀请不特定的供应商参加投标。</w:t>
      </w:r>
    </w:p>
    <w:p w14:paraId="1C0730D5">
      <w:pPr>
        <w:pStyle w:val="4"/>
        <w:spacing w:line="360" w:lineRule="auto"/>
        <w:ind w:firstLine="422"/>
        <w:rPr>
          <w:rFonts w:ascii="Times New Roman" w:hAnsi="Times New Roman"/>
          <w:color w:val="auto"/>
          <w:highlight w:val="none"/>
        </w:rPr>
      </w:pPr>
      <w:r>
        <w:rPr>
          <w:rFonts w:ascii="Times New Roman" w:hAnsi="Times New Roman"/>
          <w:color w:val="auto"/>
          <w:highlight w:val="none"/>
        </w:rPr>
        <w:t>1.3 定义</w:t>
      </w:r>
    </w:p>
    <w:p w14:paraId="0437A12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采购人：是指依法进行政府采购的国家机关、事业单位、团体组织，见“</w:t>
      </w:r>
      <w:r>
        <w:rPr>
          <w:rFonts w:hint="eastAsia" w:ascii="Times New Roman" w:hAnsi="Times New Roman"/>
          <w:color w:val="auto"/>
          <w:highlight w:val="none"/>
        </w:rPr>
        <w:t>供应商</w:t>
      </w:r>
      <w:r>
        <w:rPr>
          <w:rFonts w:ascii="Times New Roman" w:hAnsi="Times New Roman"/>
          <w:color w:val="auto"/>
          <w:highlight w:val="none"/>
        </w:rPr>
        <w:t>须知前附表”；</w:t>
      </w:r>
    </w:p>
    <w:p w14:paraId="664D1BC0">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采购代理机构：受采购人委托，在委托的范围内办理政府采购事宜的机构，见“</w:t>
      </w:r>
      <w:r>
        <w:rPr>
          <w:rFonts w:hint="eastAsia" w:ascii="Times New Roman" w:hAnsi="Times New Roman"/>
          <w:color w:val="auto"/>
          <w:highlight w:val="none"/>
        </w:rPr>
        <w:t>供应商</w:t>
      </w:r>
      <w:r>
        <w:rPr>
          <w:rFonts w:ascii="Times New Roman" w:hAnsi="Times New Roman"/>
          <w:color w:val="auto"/>
          <w:highlight w:val="none"/>
        </w:rPr>
        <w:t>须知前附表”；</w:t>
      </w:r>
    </w:p>
    <w:p w14:paraId="57FA790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：是指参加本政府采购项目投标的供应商；</w:t>
      </w:r>
    </w:p>
    <w:p w14:paraId="7F32BB2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代表：是指参加本项目投标活动的供应商法定代表人或法定代表人授权代表；</w:t>
      </w:r>
    </w:p>
    <w:p w14:paraId="42F01D9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投标联合体：是指两个以上供应商组成联合体，以一个供应商的身份参加投标；</w:t>
      </w:r>
    </w:p>
    <w:p w14:paraId="47484EA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甲方：是指合同签订的一方，一般与采购人、用户相同；</w:t>
      </w:r>
    </w:p>
    <w:p w14:paraId="5F4F8EA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乙方：是指合同签订的另一方，与中标人相同；</w:t>
      </w:r>
    </w:p>
    <w:p w14:paraId="60B22B01">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制造商：是指拥有投标产品自主知识产权的单位；</w:t>
      </w:r>
    </w:p>
    <w:p w14:paraId="418C1540">
      <w:pPr>
        <w:pStyle w:val="4"/>
        <w:spacing w:line="360" w:lineRule="auto"/>
        <w:ind w:firstLine="422"/>
        <w:rPr>
          <w:rFonts w:ascii="Times New Roman" w:hAnsi="Times New Roman"/>
          <w:color w:val="auto"/>
          <w:highlight w:val="none"/>
        </w:rPr>
      </w:pPr>
      <w:r>
        <w:rPr>
          <w:rFonts w:ascii="Times New Roman" w:hAnsi="Times New Roman"/>
          <w:color w:val="auto"/>
          <w:highlight w:val="none"/>
        </w:rPr>
        <w:t>1.4 联合体投标</w:t>
      </w:r>
    </w:p>
    <w:p w14:paraId="7024781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以联合体形式进行投标的，参加联合体的供应商均应当具备政府采购法第二十二条规定的条件，并应当在投标文件中提交联合协议，载明联合体各方承担的工作和义务。联合体各方应当共同与采购人签订采购合同，就采购合同约定的事项对采购人承担连带责任。</w:t>
      </w:r>
    </w:p>
    <w:p w14:paraId="62306AC7">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联合体中有同类资质的供应商按照联合体分工承担相同工作的，应当按照资质等级较低的供应商确定资质等级。</w:t>
      </w:r>
    </w:p>
    <w:p w14:paraId="58C8DB2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以联合体形式参加投标的，联合体各方不得再单独参加或者与其他供应商另外组成联合体参加本项目的投标。</w:t>
      </w:r>
    </w:p>
    <w:p w14:paraId="17154D7C">
      <w:pPr>
        <w:pStyle w:val="4"/>
        <w:spacing w:line="360" w:lineRule="auto"/>
        <w:ind w:firstLine="422"/>
        <w:rPr>
          <w:rFonts w:ascii="Times New Roman" w:hAnsi="Times New Roman"/>
          <w:color w:val="auto"/>
          <w:highlight w:val="none"/>
        </w:rPr>
      </w:pPr>
      <w:r>
        <w:rPr>
          <w:rFonts w:ascii="Times New Roman" w:hAnsi="Times New Roman"/>
          <w:color w:val="auto"/>
          <w:highlight w:val="none"/>
        </w:rPr>
        <w:t>1.5 投标费用</w:t>
      </w:r>
    </w:p>
    <w:p w14:paraId="11FAC106">
      <w:pPr>
        <w:adjustRightInd w:val="0"/>
        <w:snapToGrid w:val="0"/>
        <w:spacing w:line="360" w:lineRule="auto"/>
        <w:ind w:firstLine="420" w:firstLineChars="200"/>
        <w:rPr>
          <w:b/>
          <w:bCs/>
          <w:color w:val="auto"/>
          <w:highlight w:val="none"/>
        </w:rPr>
      </w:pPr>
      <w:r>
        <w:rPr>
          <w:color w:val="auto"/>
          <w:highlight w:val="none"/>
        </w:rPr>
        <w:t>无论招投标过程中的做法和结果如何，</w:t>
      </w:r>
      <w:r>
        <w:rPr>
          <w:rFonts w:hint="eastAsia"/>
          <w:color w:val="auto"/>
          <w:highlight w:val="none"/>
        </w:rPr>
        <w:t>供应商</w:t>
      </w:r>
      <w:r>
        <w:rPr>
          <w:color w:val="auto"/>
          <w:highlight w:val="none"/>
        </w:rPr>
        <w:t>自行承担招投标活动中所发生的全部费用。</w:t>
      </w:r>
    </w:p>
    <w:p w14:paraId="3EF0AA5F">
      <w:pPr>
        <w:pStyle w:val="4"/>
        <w:spacing w:line="360" w:lineRule="auto"/>
        <w:ind w:firstLine="422"/>
        <w:rPr>
          <w:rFonts w:ascii="Times New Roman" w:hAnsi="Times New Roman"/>
          <w:color w:val="auto"/>
          <w:highlight w:val="none"/>
        </w:rPr>
      </w:pPr>
      <w:r>
        <w:rPr>
          <w:rFonts w:ascii="Times New Roman" w:hAnsi="Times New Roman"/>
          <w:color w:val="auto"/>
          <w:highlight w:val="none"/>
        </w:rPr>
        <w:t>1.6 保密</w:t>
      </w:r>
    </w:p>
    <w:p w14:paraId="73371417">
      <w:pPr>
        <w:adjustRightInd w:val="0"/>
        <w:snapToGrid w:val="0"/>
        <w:spacing w:line="360" w:lineRule="auto"/>
        <w:ind w:firstLine="420" w:firstLineChars="200"/>
        <w:rPr>
          <w:color w:val="auto"/>
          <w:highlight w:val="none"/>
        </w:rPr>
      </w:pPr>
      <w:r>
        <w:rPr>
          <w:color w:val="auto"/>
          <w:highlight w:val="none"/>
        </w:rPr>
        <w:t>参与招标投标活动的各方应对采购文件和投标文件中的商业和技术等秘密保密，违者应对此造成的后果承担法律责任。</w:t>
      </w:r>
    </w:p>
    <w:p w14:paraId="476BF4B9">
      <w:pPr>
        <w:pStyle w:val="4"/>
        <w:spacing w:line="360" w:lineRule="auto"/>
        <w:ind w:firstLine="422"/>
        <w:rPr>
          <w:rFonts w:ascii="Times New Roman" w:hAnsi="Times New Roman"/>
          <w:color w:val="auto"/>
          <w:highlight w:val="none"/>
        </w:rPr>
      </w:pPr>
      <w:r>
        <w:rPr>
          <w:rFonts w:ascii="Times New Roman" w:hAnsi="Times New Roman"/>
          <w:color w:val="auto"/>
          <w:highlight w:val="none"/>
        </w:rPr>
        <w:t>1.7 语言文字</w:t>
      </w:r>
    </w:p>
    <w:p w14:paraId="71D7F02E">
      <w:pPr>
        <w:adjustRightInd w:val="0"/>
        <w:snapToGrid w:val="0"/>
        <w:spacing w:line="360" w:lineRule="auto"/>
        <w:ind w:firstLine="420" w:firstLineChars="200"/>
        <w:rPr>
          <w:color w:val="auto"/>
          <w:highlight w:val="none"/>
        </w:rPr>
      </w:pPr>
      <w:r>
        <w:rPr>
          <w:color w:val="auto"/>
          <w:highlight w:val="none"/>
        </w:rPr>
        <w:t>除专用术语外，与招标投标有关的语言使用中文。专用术语应附有中文注释。</w:t>
      </w:r>
    </w:p>
    <w:p w14:paraId="325C5F18">
      <w:pPr>
        <w:pStyle w:val="4"/>
        <w:spacing w:line="360" w:lineRule="auto"/>
        <w:ind w:firstLine="422"/>
        <w:rPr>
          <w:rFonts w:ascii="Times New Roman" w:hAnsi="Times New Roman"/>
          <w:color w:val="auto"/>
          <w:highlight w:val="none"/>
        </w:rPr>
      </w:pPr>
      <w:r>
        <w:rPr>
          <w:rFonts w:ascii="Times New Roman" w:hAnsi="Times New Roman"/>
          <w:color w:val="auto"/>
          <w:highlight w:val="none"/>
        </w:rPr>
        <w:t>1.8 计量单位</w:t>
      </w:r>
    </w:p>
    <w:p w14:paraId="173FE434">
      <w:pPr>
        <w:adjustRightInd w:val="0"/>
        <w:snapToGrid w:val="0"/>
        <w:spacing w:line="360" w:lineRule="auto"/>
        <w:ind w:firstLine="420" w:firstLineChars="200"/>
        <w:rPr>
          <w:color w:val="auto"/>
          <w:highlight w:val="none"/>
        </w:rPr>
      </w:pPr>
      <w:r>
        <w:rPr>
          <w:color w:val="auto"/>
          <w:highlight w:val="none"/>
        </w:rPr>
        <w:t>所有计量均采用中华人民共和国法定计量单位。</w:t>
      </w:r>
    </w:p>
    <w:p w14:paraId="6EA7D4D1">
      <w:pPr>
        <w:pStyle w:val="4"/>
        <w:spacing w:line="360" w:lineRule="auto"/>
        <w:ind w:firstLine="422"/>
        <w:rPr>
          <w:rFonts w:ascii="Times New Roman" w:hAnsi="Times New Roman"/>
          <w:color w:val="auto"/>
          <w:highlight w:val="none"/>
        </w:rPr>
      </w:pPr>
      <w:r>
        <w:rPr>
          <w:rFonts w:ascii="Times New Roman" w:hAnsi="Times New Roman"/>
          <w:color w:val="auto"/>
          <w:highlight w:val="none"/>
        </w:rPr>
        <w:t>1.9 踏勘现场（如适用）</w:t>
      </w:r>
    </w:p>
    <w:p w14:paraId="5F7E9E91">
      <w:pPr>
        <w:adjustRightInd w:val="0"/>
        <w:snapToGrid w:val="0"/>
        <w:spacing w:line="360" w:lineRule="auto"/>
        <w:ind w:firstLine="420" w:firstLineChars="200"/>
        <w:rPr>
          <w:color w:val="auto"/>
          <w:highlight w:val="none"/>
        </w:rPr>
      </w:pPr>
      <w:r>
        <w:rPr>
          <w:color w:val="auto"/>
          <w:highlight w:val="none"/>
        </w:rPr>
        <w:t>1.9.1</w:t>
      </w:r>
      <w:r>
        <w:rPr>
          <w:rFonts w:hint="eastAsia"/>
          <w:color w:val="auto"/>
          <w:highlight w:val="none"/>
        </w:rPr>
        <w:t>供应商</w:t>
      </w:r>
      <w:r>
        <w:rPr>
          <w:color w:val="auto"/>
          <w:highlight w:val="none"/>
        </w:rPr>
        <w:t>须知前附表规定组织踏勘现场的，采购人按</w:t>
      </w:r>
      <w:r>
        <w:rPr>
          <w:rFonts w:hint="eastAsia"/>
          <w:color w:val="auto"/>
          <w:highlight w:val="none"/>
        </w:rPr>
        <w:t>供应商</w:t>
      </w:r>
      <w:r>
        <w:rPr>
          <w:color w:val="auto"/>
          <w:highlight w:val="none"/>
        </w:rPr>
        <w:t>须知前附表规定的时间、地点组织</w:t>
      </w:r>
      <w:r>
        <w:rPr>
          <w:rFonts w:hint="eastAsia"/>
          <w:color w:val="auto"/>
          <w:highlight w:val="none"/>
        </w:rPr>
        <w:t>供应商</w:t>
      </w:r>
      <w:r>
        <w:rPr>
          <w:color w:val="auto"/>
          <w:highlight w:val="none"/>
        </w:rPr>
        <w:t>踏勘项目现场。</w:t>
      </w:r>
    </w:p>
    <w:p w14:paraId="66CCFE0C">
      <w:pPr>
        <w:adjustRightInd w:val="0"/>
        <w:snapToGrid w:val="0"/>
        <w:spacing w:line="360" w:lineRule="auto"/>
        <w:ind w:firstLine="420" w:firstLineChars="200"/>
        <w:rPr>
          <w:color w:val="auto"/>
          <w:highlight w:val="none"/>
        </w:rPr>
      </w:pPr>
      <w:r>
        <w:rPr>
          <w:color w:val="auto"/>
          <w:highlight w:val="none"/>
        </w:rPr>
        <w:t>1.9.2</w:t>
      </w:r>
      <w:r>
        <w:rPr>
          <w:rFonts w:hint="eastAsia"/>
          <w:color w:val="auto"/>
          <w:highlight w:val="none"/>
        </w:rPr>
        <w:t>供应商</w:t>
      </w:r>
      <w:r>
        <w:rPr>
          <w:color w:val="auto"/>
          <w:highlight w:val="none"/>
        </w:rPr>
        <w:t>踏勘现场发生的费用自理。</w:t>
      </w:r>
    </w:p>
    <w:p w14:paraId="4A923613">
      <w:pPr>
        <w:adjustRightInd w:val="0"/>
        <w:snapToGrid w:val="0"/>
        <w:spacing w:line="360" w:lineRule="auto"/>
        <w:ind w:firstLine="420" w:firstLineChars="200"/>
        <w:rPr>
          <w:color w:val="auto"/>
          <w:highlight w:val="none"/>
        </w:rPr>
      </w:pPr>
      <w:r>
        <w:rPr>
          <w:color w:val="auto"/>
          <w:highlight w:val="none"/>
        </w:rPr>
        <w:t>1.9.3除采购人的原因外，</w:t>
      </w:r>
      <w:r>
        <w:rPr>
          <w:rFonts w:hint="eastAsia"/>
          <w:color w:val="auto"/>
          <w:highlight w:val="none"/>
        </w:rPr>
        <w:t>供应商</w:t>
      </w:r>
      <w:r>
        <w:rPr>
          <w:color w:val="auto"/>
          <w:highlight w:val="none"/>
        </w:rPr>
        <w:t>自行负责在踏勘现场中所发生的人员伤亡和财产损失。</w:t>
      </w:r>
    </w:p>
    <w:p w14:paraId="1771D1D6">
      <w:pPr>
        <w:adjustRightInd w:val="0"/>
        <w:snapToGrid w:val="0"/>
        <w:spacing w:line="360" w:lineRule="auto"/>
        <w:ind w:firstLine="420" w:firstLineChars="200"/>
        <w:rPr>
          <w:color w:val="auto"/>
          <w:highlight w:val="none"/>
        </w:rPr>
      </w:pPr>
      <w:r>
        <w:rPr>
          <w:color w:val="auto"/>
          <w:highlight w:val="none"/>
        </w:rPr>
        <w:t>1.9.4采购人在踏勘现场中介绍的场地和相关的周边环境情况，供</w:t>
      </w:r>
      <w:r>
        <w:rPr>
          <w:rFonts w:hint="eastAsia"/>
          <w:color w:val="auto"/>
          <w:highlight w:val="none"/>
        </w:rPr>
        <w:t>供应商</w:t>
      </w:r>
      <w:r>
        <w:rPr>
          <w:color w:val="auto"/>
          <w:highlight w:val="none"/>
        </w:rPr>
        <w:t>在编制投标文件时参考，采购人不对</w:t>
      </w:r>
      <w:r>
        <w:rPr>
          <w:rFonts w:hint="eastAsia"/>
          <w:color w:val="auto"/>
          <w:highlight w:val="none"/>
        </w:rPr>
        <w:t>供应商</w:t>
      </w:r>
      <w:r>
        <w:rPr>
          <w:color w:val="auto"/>
          <w:highlight w:val="none"/>
        </w:rPr>
        <w:t>据此作出的判断和决策负责。</w:t>
      </w:r>
    </w:p>
    <w:p w14:paraId="7246C0FA">
      <w:pPr>
        <w:pStyle w:val="4"/>
        <w:spacing w:line="360" w:lineRule="auto"/>
        <w:ind w:firstLine="422"/>
        <w:rPr>
          <w:rFonts w:ascii="Times New Roman" w:hAnsi="Times New Roman"/>
          <w:color w:val="auto"/>
          <w:highlight w:val="none"/>
        </w:rPr>
      </w:pPr>
      <w:r>
        <w:rPr>
          <w:rFonts w:ascii="Times New Roman" w:hAnsi="Times New Roman"/>
          <w:color w:val="auto"/>
          <w:highlight w:val="none"/>
        </w:rPr>
        <w:t>1.10 分包（如适用）</w:t>
      </w:r>
    </w:p>
    <w:p w14:paraId="5D8EB825">
      <w:pPr>
        <w:adjustRightInd w:val="0"/>
        <w:snapToGrid w:val="0"/>
        <w:spacing w:line="360" w:lineRule="auto"/>
        <w:ind w:firstLine="420" w:firstLineChars="200"/>
        <w:rPr>
          <w:color w:val="auto"/>
          <w:highlight w:val="none"/>
        </w:rPr>
      </w:pPr>
      <w:r>
        <w:rPr>
          <w:rFonts w:hint="eastAsia"/>
          <w:color w:val="auto"/>
          <w:highlight w:val="none"/>
        </w:rPr>
        <w:t>供应商</w:t>
      </w:r>
      <w:r>
        <w:rPr>
          <w:color w:val="auto"/>
          <w:highlight w:val="none"/>
        </w:rPr>
        <w:t>须知前附表规定允许分包的，</w:t>
      </w:r>
      <w:r>
        <w:rPr>
          <w:rFonts w:hint="eastAsia"/>
          <w:color w:val="auto"/>
          <w:highlight w:val="none"/>
        </w:rPr>
        <w:t>供应商</w:t>
      </w:r>
      <w:r>
        <w:rPr>
          <w:color w:val="auto"/>
          <w:highlight w:val="none"/>
        </w:rPr>
        <w:t>应当在投标文件载明分包的具体情况，应符合采购人在</w:t>
      </w:r>
      <w:r>
        <w:rPr>
          <w:rFonts w:hint="eastAsia"/>
          <w:color w:val="auto"/>
          <w:highlight w:val="none"/>
        </w:rPr>
        <w:t>供应商</w:t>
      </w:r>
      <w:r>
        <w:rPr>
          <w:color w:val="auto"/>
          <w:highlight w:val="none"/>
        </w:rPr>
        <w:t>须知前附表规定的分包内容、分包金额和接受分包的第三人资质要求等限制条件。</w:t>
      </w:r>
    </w:p>
    <w:p w14:paraId="3274729A">
      <w:pPr>
        <w:pStyle w:val="4"/>
        <w:spacing w:line="360" w:lineRule="auto"/>
        <w:ind w:firstLine="422"/>
        <w:rPr>
          <w:rFonts w:ascii="Times New Roman" w:hAnsi="Times New Roman"/>
          <w:color w:val="auto"/>
          <w:highlight w:val="none"/>
        </w:rPr>
      </w:pPr>
      <w:r>
        <w:rPr>
          <w:rFonts w:ascii="Times New Roman" w:hAnsi="Times New Roman"/>
          <w:color w:val="auto"/>
          <w:highlight w:val="none"/>
        </w:rPr>
        <w:t>1.11 偏离</w:t>
      </w:r>
    </w:p>
    <w:p w14:paraId="013D9F91">
      <w:pPr>
        <w:adjustRightInd w:val="0"/>
        <w:snapToGrid w:val="0"/>
        <w:spacing w:line="360" w:lineRule="auto"/>
        <w:ind w:firstLine="420" w:firstLineChars="200"/>
        <w:rPr>
          <w:color w:val="auto"/>
          <w:highlight w:val="none"/>
        </w:rPr>
      </w:pPr>
      <w:r>
        <w:rPr>
          <w:color w:val="auto"/>
          <w:highlight w:val="none"/>
        </w:rPr>
        <w:t>投标文件应完全响应采购文件规定的实质性内容和条件。</w:t>
      </w:r>
    </w:p>
    <w:p w14:paraId="0B11E3BF">
      <w:pPr>
        <w:pStyle w:val="4"/>
        <w:spacing w:line="360" w:lineRule="auto"/>
        <w:ind w:firstLine="422"/>
        <w:rPr>
          <w:rFonts w:ascii="Times New Roman" w:hAnsi="Times New Roman"/>
          <w:color w:val="auto"/>
          <w:highlight w:val="none"/>
        </w:rPr>
      </w:pPr>
      <w:r>
        <w:rPr>
          <w:rFonts w:ascii="Times New Roman" w:hAnsi="Times New Roman"/>
          <w:color w:val="auto"/>
          <w:highlight w:val="none"/>
        </w:rPr>
        <w:t>1.12 其他说明</w:t>
      </w:r>
    </w:p>
    <w:p w14:paraId="107D1A0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1.12.1根据政府采购相关法律、法规、规章、文件规定并满足采购文件规定资格条件的区域性分支机构、个体工商户、个人独资企业、合伙企业参加本项目投标并由单位负责人签署的相关投标资料与本采购文件规定由法定代表人签署的的文件材料具有同等效力。</w:t>
      </w:r>
    </w:p>
    <w:p w14:paraId="6AE1B83A">
      <w:pPr>
        <w:pStyle w:val="142"/>
        <w:snapToGrid w:val="0"/>
        <w:spacing w:line="360" w:lineRule="auto"/>
        <w:ind w:firstLine="420"/>
        <w:rPr>
          <w:rFonts w:ascii="Times New Roman" w:hAnsi="Times New Roman"/>
          <w:color w:val="auto"/>
          <w:highlight w:val="none"/>
          <w:u w:val="single"/>
        </w:rPr>
      </w:pPr>
      <w:r>
        <w:rPr>
          <w:rFonts w:ascii="Times New Roman" w:hAnsi="Times New Roman"/>
          <w:color w:val="auto"/>
          <w:highlight w:val="none"/>
        </w:rPr>
        <w:t>▲1.12.2</w:t>
      </w:r>
      <w:r>
        <w:rPr>
          <w:rFonts w:hint="eastAsia" w:ascii="Times New Roman" w:hAnsi="Times New Roman"/>
          <w:color w:val="auto"/>
          <w:highlight w:val="none"/>
        </w:rPr>
        <w:t>供应商</w:t>
      </w:r>
      <w:r>
        <w:rPr>
          <w:rFonts w:ascii="Times New Roman" w:hAnsi="Times New Roman"/>
          <w:color w:val="auto"/>
          <w:highlight w:val="none"/>
        </w:rPr>
        <w:t>对所投标项内的采购内容必须全部进行投标。</w:t>
      </w:r>
    </w:p>
    <w:p w14:paraId="65E8B549">
      <w:pPr>
        <w:pStyle w:val="142"/>
        <w:snapToGrid w:val="0"/>
        <w:spacing w:line="360" w:lineRule="auto"/>
        <w:ind w:firstLine="420"/>
        <w:rPr>
          <w:rFonts w:ascii="Times New Roman" w:hAnsi="Times New Roman"/>
          <w:bCs/>
          <w:color w:val="auto"/>
          <w:highlight w:val="none"/>
        </w:rPr>
      </w:pPr>
      <w:r>
        <w:rPr>
          <w:rFonts w:ascii="Times New Roman" w:hAnsi="Times New Roman"/>
          <w:color w:val="auto"/>
          <w:highlight w:val="none"/>
        </w:rPr>
        <w:t>1.12.3</w:t>
      </w:r>
      <w:r>
        <w:rPr>
          <w:rFonts w:ascii="Times New Roman" w:hAnsi="Times New Roman"/>
          <w:bCs/>
          <w:color w:val="auto"/>
          <w:highlight w:val="none"/>
        </w:rPr>
        <w:t>采购文件中所涉及的产品品牌或型号均为建议性要求或为代替部分技术指标描述，</w:t>
      </w:r>
      <w:r>
        <w:rPr>
          <w:rFonts w:hint="eastAsia" w:ascii="Times New Roman" w:hAnsi="Times New Roman"/>
          <w:bCs/>
          <w:color w:val="auto"/>
          <w:highlight w:val="none"/>
        </w:rPr>
        <w:t>供应商</w:t>
      </w:r>
      <w:r>
        <w:rPr>
          <w:rFonts w:ascii="Times New Roman" w:hAnsi="Times New Roman"/>
          <w:bCs/>
          <w:color w:val="auto"/>
          <w:highlight w:val="none"/>
        </w:rPr>
        <w:t>可以选择其他品牌型号的产品参加投标但投标产品须具有相当于或优于采购文件要求的指标、性能。否则，评标委员会将对其作出不利的评审。</w:t>
      </w:r>
    </w:p>
    <w:p w14:paraId="4E44795B">
      <w:pPr>
        <w:pStyle w:val="142"/>
        <w:snapToGrid w:val="0"/>
        <w:spacing w:line="360" w:lineRule="auto"/>
        <w:ind w:firstLine="420"/>
        <w:rPr>
          <w:rFonts w:ascii="Times New Roman" w:hAnsi="Times New Roman"/>
          <w:bCs/>
          <w:color w:val="auto"/>
          <w:highlight w:val="none"/>
        </w:rPr>
      </w:pPr>
      <w:r>
        <w:rPr>
          <w:rFonts w:ascii="Times New Roman" w:hAnsi="Times New Roman"/>
          <w:bCs/>
          <w:color w:val="auto"/>
          <w:highlight w:val="none"/>
        </w:rPr>
        <w:t>1.12.4采购文件中如有描述歧义或前后不一致的地方，评标委员会有权按公平、合理的原则进行评判，但对同一条款的评判适用于每个</w:t>
      </w:r>
      <w:r>
        <w:rPr>
          <w:rFonts w:hint="eastAsia" w:ascii="Times New Roman" w:hAnsi="Times New Roman"/>
          <w:bCs/>
          <w:color w:val="auto"/>
          <w:highlight w:val="none"/>
        </w:rPr>
        <w:t>供应商</w:t>
      </w:r>
      <w:r>
        <w:rPr>
          <w:rFonts w:ascii="Times New Roman" w:hAnsi="Times New Roman"/>
          <w:bCs/>
          <w:color w:val="auto"/>
          <w:highlight w:val="none"/>
        </w:rPr>
        <w:t>。</w:t>
      </w:r>
    </w:p>
    <w:p w14:paraId="1172B90C">
      <w:pPr>
        <w:pStyle w:val="142"/>
        <w:snapToGrid w:val="0"/>
        <w:spacing w:line="360" w:lineRule="auto"/>
        <w:ind w:firstLine="420"/>
        <w:rPr>
          <w:rFonts w:ascii="Times New Roman" w:hAnsi="Times New Roman"/>
          <w:color w:val="auto"/>
          <w:highlight w:val="none"/>
        </w:rPr>
      </w:pPr>
      <w:r>
        <w:rPr>
          <w:rFonts w:ascii="Times New Roman" w:hAnsi="Times New Roman"/>
          <w:bCs/>
          <w:color w:val="auto"/>
          <w:highlight w:val="none"/>
        </w:rPr>
        <w:t>1.12.5投标文件的响应内容必须真实、明确、准确。否则，评标委员会将对其作出不利的评审。</w:t>
      </w:r>
    </w:p>
    <w:p w14:paraId="7E85D55A">
      <w:pPr>
        <w:adjustRightInd w:val="0"/>
        <w:snapToGrid w:val="0"/>
        <w:spacing w:line="360" w:lineRule="auto"/>
        <w:ind w:firstLine="420" w:firstLineChars="200"/>
        <w:rPr>
          <w:color w:val="auto"/>
          <w:highlight w:val="none"/>
        </w:rPr>
      </w:pPr>
      <w:r>
        <w:rPr>
          <w:color w:val="auto"/>
          <w:highlight w:val="none"/>
        </w:rPr>
        <w:t>1.</w:t>
      </w:r>
      <w:r>
        <w:rPr>
          <w:bCs/>
          <w:color w:val="auto"/>
          <w:highlight w:val="none"/>
        </w:rPr>
        <w:t>12.6</w:t>
      </w:r>
      <w:r>
        <w:rPr>
          <w:rFonts w:hint="eastAsia"/>
          <w:bCs/>
          <w:color w:val="auto"/>
          <w:highlight w:val="none"/>
        </w:rPr>
        <w:t>供应商</w:t>
      </w:r>
      <w:r>
        <w:rPr>
          <w:color w:val="auto"/>
          <w:highlight w:val="none"/>
        </w:rPr>
        <w:t>为履行合同引起的相关人员的差旅费、食宿费以及其它费用由</w:t>
      </w:r>
      <w:r>
        <w:rPr>
          <w:rFonts w:hint="eastAsia"/>
          <w:color w:val="auto"/>
          <w:highlight w:val="none"/>
        </w:rPr>
        <w:t>供应商</w:t>
      </w:r>
      <w:r>
        <w:rPr>
          <w:color w:val="auto"/>
          <w:highlight w:val="none"/>
        </w:rPr>
        <w:t>自理。合同实施过程中，须与</w:t>
      </w:r>
      <w:r>
        <w:rPr>
          <w:rFonts w:hint="eastAsia"/>
          <w:color w:val="auto"/>
          <w:highlight w:val="none"/>
        </w:rPr>
        <w:t>采购人</w:t>
      </w:r>
      <w:r>
        <w:rPr>
          <w:color w:val="auto"/>
          <w:highlight w:val="none"/>
        </w:rPr>
        <w:t>积极配合。</w:t>
      </w:r>
    </w:p>
    <w:p w14:paraId="083610AB">
      <w:pPr>
        <w:adjustRightInd w:val="0"/>
        <w:snapToGrid w:val="0"/>
        <w:spacing w:line="360" w:lineRule="auto"/>
        <w:ind w:firstLine="420" w:firstLineChars="200"/>
        <w:rPr>
          <w:color w:val="auto"/>
          <w:highlight w:val="none"/>
        </w:rPr>
      </w:pPr>
      <w:r>
        <w:rPr>
          <w:color w:val="auto"/>
          <w:highlight w:val="none"/>
        </w:rPr>
        <w:t>1.12.7项目资金性质见</w:t>
      </w:r>
      <w:r>
        <w:rPr>
          <w:rFonts w:hint="eastAsia"/>
          <w:color w:val="auto"/>
          <w:highlight w:val="none"/>
        </w:rPr>
        <w:t>供应商</w:t>
      </w:r>
      <w:r>
        <w:rPr>
          <w:color w:val="auto"/>
          <w:highlight w:val="none"/>
        </w:rPr>
        <w:t>须知前附表规定，且资金已落实。</w:t>
      </w:r>
    </w:p>
    <w:p w14:paraId="2073512F">
      <w:pPr>
        <w:adjustRightInd w:val="0"/>
        <w:snapToGrid w:val="0"/>
        <w:spacing w:line="360" w:lineRule="auto"/>
        <w:ind w:firstLine="420" w:firstLineChars="200"/>
        <w:rPr>
          <w:color w:val="auto"/>
          <w:szCs w:val="21"/>
          <w:highlight w:val="none"/>
        </w:rPr>
      </w:pPr>
      <w:r>
        <w:rPr>
          <w:color w:val="auto"/>
          <w:highlight w:val="none"/>
        </w:rPr>
        <w:t>1.12.8</w:t>
      </w:r>
      <w:r>
        <w:rPr>
          <w:rFonts w:hint="eastAsia"/>
          <w:color w:val="auto"/>
          <w:highlight w:val="none"/>
        </w:rPr>
        <w:t>供应商</w:t>
      </w:r>
      <w:r>
        <w:rPr>
          <w:color w:val="auto"/>
          <w:highlight w:val="none"/>
        </w:rPr>
        <w:t>须对所投产品、方案、技术、服务等拥有合法的占有、使用、收益、处分的权利，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w:t>
      </w:r>
      <w:r>
        <w:rPr>
          <w:color w:val="auto"/>
          <w:szCs w:val="21"/>
          <w:highlight w:val="none"/>
        </w:rPr>
        <w:t>等归采购人所有。</w:t>
      </w:r>
    </w:p>
    <w:p w14:paraId="04D85450">
      <w:pPr>
        <w:adjustRightInd w:val="0"/>
        <w:snapToGrid w:val="0"/>
        <w:spacing w:line="360" w:lineRule="auto"/>
        <w:ind w:firstLine="420" w:firstLineChars="200"/>
        <w:rPr>
          <w:color w:val="auto"/>
          <w:kern w:val="0"/>
          <w:szCs w:val="21"/>
          <w:highlight w:val="none"/>
        </w:rPr>
      </w:pPr>
      <w:r>
        <w:rPr>
          <w:color w:val="auto"/>
          <w:szCs w:val="21"/>
          <w:highlight w:val="none"/>
        </w:rPr>
        <w:t>1.12.9</w:t>
      </w:r>
      <w:r>
        <w:rPr>
          <w:color w:val="auto"/>
          <w:kern w:val="0"/>
          <w:szCs w:val="21"/>
          <w:highlight w:val="none"/>
        </w:rPr>
        <w:t>单位负责人为同一人或者存在直接控股、管理关系的不同供应商，不得参加同一合同项下的政府采购活动。违反该款规定的，相关投标均无效。</w:t>
      </w:r>
    </w:p>
    <w:p w14:paraId="4BF75CEA">
      <w:pPr>
        <w:adjustRightInd w:val="0"/>
        <w:snapToGrid w:val="0"/>
        <w:spacing w:line="360" w:lineRule="auto"/>
        <w:ind w:firstLine="420" w:firstLineChars="200"/>
        <w:rPr>
          <w:color w:val="auto"/>
          <w:kern w:val="0"/>
          <w:szCs w:val="21"/>
          <w:highlight w:val="none"/>
        </w:rPr>
      </w:pPr>
      <w:r>
        <w:rPr>
          <w:color w:val="auto"/>
          <w:kern w:val="0"/>
          <w:szCs w:val="21"/>
          <w:highlight w:val="none"/>
        </w:rPr>
        <w:t>1.12.10为证明</w:t>
      </w:r>
      <w:r>
        <w:rPr>
          <w:rFonts w:hint="eastAsia"/>
          <w:color w:val="auto"/>
          <w:kern w:val="0"/>
          <w:szCs w:val="21"/>
          <w:highlight w:val="none"/>
        </w:rPr>
        <w:t>供应商</w:t>
      </w:r>
      <w:r>
        <w:rPr>
          <w:color w:val="auto"/>
          <w:kern w:val="0"/>
          <w:szCs w:val="21"/>
          <w:highlight w:val="none"/>
        </w:rPr>
        <w:t>拥有的人员、业绩、荣誉、知识产权、项目案例等而在投标文件中提供的证明材料必须为</w:t>
      </w:r>
      <w:r>
        <w:rPr>
          <w:rFonts w:hint="eastAsia"/>
          <w:color w:val="auto"/>
          <w:kern w:val="0"/>
          <w:szCs w:val="21"/>
          <w:highlight w:val="none"/>
        </w:rPr>
        <w:t>供应商</w:t>
      </w:r>
      <w:r>
        <w:rPr>
          <w:color w:val="auto"/>
          <w:kern w:val="0"/>
          <w:szCs w:val="21"/>
          <w:highlight w:val="none"/>
        </w:rPr>
        <w:t>自身所有。不同法人、其他组织的资料与</w:t>
      </w:r>
      <w:r>
        <w:rPr>
          <w:rFonts w:hint="eastAsia"/>
          <w:color w:val="auto"/>
          <w:kern w:val="0"/>
          <w:szCs w:val="21"/>
          <w:highlight w:val="none"/>
        </w:rPr>
        <w:t>供应商</w:t>
      </w:r>
      <w:r>
        <w:rPr>
          <w:color w:val="auto"/>
          <w:kern w:val="0"/>
          <w:szCs w:val="21"/>
          <w:highlight w:val="none"/>
        </w:rPr>
        <w:t>无关。</w:t>
      </w:r>
    </w:p>
    <w:p w14:paraId="6FCFC591">
      <w:pPr>
        <w:adjustRightInd w:val="0"/>
        <w:snapToGrid w:val="0"/>
        <w:spacing w:line="360" w:lineRule="auto"/>
        <w:ind w:firstLine="420" w:firstLineChars="200"/>
        <w:rPr>
          <w:color w:val="auto"/>
          <w:kern w:val="0"/>
          <w:szCs w:val="21"/>
          <w:highlight w:val="none"/>
        </w:rPr>
      </w:pPr>
      <w:r>
        <w:rPr>
          <w:color w:val="auto"/>
          <w:kern w:val="0"/>
          <w:szCs w:val="21"/>
          <w:highlight w:val="none"/>
        </w:rPr>
        <w:t>1.12.11采用最低评标价法的采购项目，</w:t>
      </w:r>
      <w:r>
        <w:rPr>
          <w:bCs/>
          <w:color w:val="auto"/>
          <w:szCs w:val="21"/>
          <w:highlight w:val="none"/>
        </w:rPr>
        <w:t>核心产品</w:t>
      </w:r>
      <w:r>
        <w:rPr>
          <w:color w:val="auto"/>
          <w:kern w:val="0"/>
          <w:szCs w:val="21"/>
          <w:highlight w:val="none"/>
        </w:rPr>
        <w:t>提供相同品牌产品的不同</w:t>
      </w:r>
      <w:r>
        <w:rPr>
          <w:rFonts w:hint="eastAsia"/>
          <w:color w:val="auto"/>
          <w:kern w:val="0"/>
          <w:szCs w:val="21"/>
          <w:highlight w:val="none"/>
        </w:rPr>
        <w:t>供应商</w:t>
      </w:r>
      <w:r>
        <w:rPr>
          <w:color w:val="auto"/>
          <w:kern w:val="0"/>
          <w:szCs w:val="21"/>
          <w:highlight w:val="none"/>
        </w:rPr>
        <w:t>参加同一合同项下投标的，以其中通过资格审查、符合性审查且报价最低的参加评标；报价相同的，由评标委员会采取随机抽取方式确定，其他投标无效。</w:t>
      </w:r>
    </w:p>
    <w:p w14:paraId="56720CA2">
      <w:pPr>
        <w:adjustRightInd w:val="0"/>
        <w:snapToGrid w:val="0"/>
        <w:spacing w:line="360" w:lineRule="auto"/>
        <w:ind w:firstLine="420" w:firstLineChars="200"/>
        <w:rPr>
          <w:color w:val="auto"/>
          <w:kern w:val="0"/>
          <w:szCs w:val="21"/>
          <w:highlight w:val="none"/>
        </w:rPr>
      </w:pPr>
      <w:r>
        <w:rPr>
          <w:color w:val="auto"/>
          <w:kern w:val="0"/>
          <w:szCs w:val="21"/>
          <w:highlight w:val="none"/>
        </w:rPr>
        <w:t>使用综合评分法的采购项目，</w:t>
      </w:r>
      <w:r>
        <w:rPr>
          <w:bCs/>
          <w:color w:val="auto"/>
          <w:szCs w:val="21"/>
          <w:highlight w:val="none"/>
        </w:rPr>
        <w:t>核心产品</w:t>
      </w:r>
      <w:r>
        <w:rPr>
          <w:color w:val="auto"/>
          <w:kern w:val="0"/>
          <w:szCs w:val="21"/>
          <w:highlight w:val="none"/>
        </w:rPr>
        <w:t>提供相同品牌产品且通过资格审查、符合性审查的不同</w:t>
      </w:r>
      <w:r>
        <w:rPr>
          <w:rFonts w:hint="eastAsia"/>
          <w:color w:val="auto"/>
          <w:kern w:val="0"/>
          <w:szCs w:val="21"/>
          <w:highlight w:val="none"/>
        </w:rPr>
        <w:t>供应商</w:t>
      </w:r>
      <w:r>
        <w:rPr>
          <w:color w:val="auto"/>
          <w:kern w:val="0"/>
          <w:szCs w:val="21"/>
          <w:highlight w:val="none"/>
        </w:rPr>
        <w:t>参加同一合同项下投标的，按一家</w:t>
      </w:r>
      <w:r>
        <w:rPr>
          <w:rFonts w:hint="eastAsia"/>
          <w:color w:val="auto"/>
          <w:kern w:val="0"/>
          <w:szCs w:val="21"/>
          <w:highlight w:val="none"/>
        </w:rPr>
        <w:t>供应商</w:t>
      </w:r>
      <w:r>
        <w:rPr>
          <w:color w:val="auto"/>
          <w:kern w:val="0"/>
          <w:szCs w:val="21"/>
          <w:highlight w:val="none"/>
        </w:rPr>
        <w:t>计算，评审后得分最高的同品牌</w:t>
      </w:r>
      <w:r>
        <w:rPr>
          <w:rFonts w:hint="eastAsia"/>
          <w:color w:val="auto"/>
          <w:kern w:val="0"/>
          <w:szCs w:val="21"/>
          <w:highlight w:val="none"/>
        </w:rPr>
        <w:t>供应商</w:t>
      </w:r>
      <w:r>
        <w:rPr>
          <w:color w:val="auto"/>
          <w:kern w:val="0"/>
          <w:szCs w:val="21"/>
          <w:highlight w:val="none"/>
        </w:rPr>
        <w:t>获得中标人推荐资格；评审得分相同的，由评标委员会按照商务技术部分得分最高的</w:t>
      </w:r>
      <w:r>
        <w:rPr>
          <w:rFonts w:hint="eastAsia"/>
          <w:color w:val="auto"/>
          <w:kern w:val="0"/>
          <w:szCs w:val="21"/>
          <w:highlight w:val="none"/>
        </w:rPr>
        <w:t>供应商</w:t>
      </w:r>
      <w:r>
        <w:rPr>
          <w:color w:val="auto"/>
          <w:kern w:val="0"/>
          <w:szCs w:val="21"/>
          <w:highlight w:val="none"/>
        </w:rPr>
        <w:t>获得中标人推荐资格，其他同品牌</w:t>
      </w:r>
      <w:r>
        <w:rPr>
          <w:rFonts w:hint="eastAsia"/>
          <w:color w:val="auto"/>
          <w:kern w:val="0"/>
          <w:szCs w:val="21"/>
          <w:highlight w:val="none"/>
        </w:rPr>
        <w:t>供应商</w:t>
      </w:r>
      <w:r>
        <w:rPr>
          <w:color w:val="auto"/>
          <w:kern w:val="0"/>
          <w:szCs w:val="21"/>
          <w:highlight w:val="none"/>
        </w:rPr>
        <w:t>不作为中标候选人。</w:t>
      </w:r>
    </w:p>
    <w:p w14:paraId="29B59ABB">
      <w:pPr>
        <w:pStyle w:val="3"/>
        <w:spacing w:line="360" w:lineRule="auto"/>
        <w:ind w:firstLine="422"/>
        <w:rPr>
          <w:rFonts w:ascii="Times New Roman" w:hAnsi="Times New Roman"/>
          <w:color w:val="auto"/>
          <w:highlight w:val="none"/>
        </w:rPr>
      </w:pPr>
      <w:r>
        <w:rPr>
          <w:rFonts w:ascii="Times New Roman" w:hAnsi="Times New Roman"/>
          <w:color w:val="auto"/>
          <w:highlight w:val="none"/>
        </w:rPr>
        <w:t>二、采购文件</w:t>
      </w:r>
      <w:bookmarkEnd w:id="14"/>
      <w:bookmarkEnd w:id="15"/>
    </w:p>
    <w:p w14:paraId="5C8244C0">
      <w:pPr>
        <w:pStyle w:val="4"/>
        <w:spacing w:line="360" w:lineRule="auto"/>
        <w:ind w:firstLine="422"/>
        <w:rPr>
          <w:rFonts w:ascii="Times New Roman" w:hAnsi="Times New Roman"/>
          <w:color w:val="auto"/>
          <w:highlight w:val="none"/>
        </w:rPr>
      </w:pPr>
      <w:bookmarkStart w:id="16" w:name="_Toc82873324"/>
      <w:bookmarkStart w:id="17" w:name="_Toc82338241"/>
      <w:r>
        <w:rPr>
          <w:rFonts w:ascii="Times New Roman" w:hAnsi="Times New Roman"/>
          <w:color w:val="auto"/>
          <w:highlight w:val="none"/>
        </w:rPr>
        <w:t>2.1 采购文件组成</w:t>
      </w:r>
    </w:p>
    <w:p w14:paraId="324C8E6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2.1.1第一章  招标公告</w:t>
      </w:r>
    </w:p>
    <w:p w14:paraId="7A7D310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2.1.2</w:t>
      </w:r>
      <w:r>
        <w:rPr>
          <w:rFonts w:hint="eastAsia" w:ascii="Times New Roman" w:hAnsi="Times New Roman"/>
          <w:color w:val="auto"/>
          <w:highlight w:val="none"/>
        </w:rPr>
        <w:t>供应商</w:t>
      </w:r>
      <w:r>
        <w:rPr>
          <w:rFonts w:ascii="Times New Roman" w:hAnsi="Times New Roman"/>
          <w:color w:val="auto"/>
          <w:highlight w:val="none"/>
        </w:rPr>
        <w:t>须知前附表</w:t>
      </w:r>
      <w:r>
        <w:rPr>
          <w:rFonts w:ascii="Times New Roman" w:hAnsi="Times New Roman"/>
          <w:color w:val="auto"/>
          <w:highlight w:val="none"/>
        </w:rPr>
        <w:tab/>
      </w:r>
    </w:p>
    <w:p w14:paraId="6D1D3DD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2.1.3第二章  采购内容及需求</w:t>
      </w:r>
    </w:p>
    <w:p w14:paraId="1371B20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 xml:space="preserve">2.1.4第三章  </w:t>
      </w:r>
      <w:r>
        <w:rPr>
          <w:rFonts w:hint="eastAsia" w:ascii="Times New Roman" w:hAnsi="Times New Roman"/>
          <w:color w:val="auto"/>
          <w:highlight w:val="none"/>
        </w:rPr>
        <w:t>供应商</w:t>
      </w:r>
      <w:r>
        <w:rPr>
          <w:rFonts w:ascii="Times New Roman" w:hAnsi="Times New Roman"/>
          <w:color w:val="auto"/>
          <w:highlight w:val="none"/>
        </w:rPr>
        <w:t>须知</w:t>
      </w:r>
    </w:p>
    <w:p w14:paraId="3AD4537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2.1.5第四章  评标办法</w:t>
      </w:r>
    </w:p>
    <w:p w14:paraId="4340D2A3">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2.1.6第五章  采购合同</w:t>
      </w:r>
    </w:p>
    <w:p w14:paraId="20235D3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2.1.7第六章  投标文件格式</w:t>
      </w:r>
    </w:p>
    <w:p w14:paraId="32FC0B1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2.1.8补充文件</w:t>
      </w:r>
    </w:p>
    <w:p w14:paraId="505585EF">
      <w:pPr>
        <w:pStyle w:val="4"/>
        <w:spacing w:line="360" w:lineRule="auto"/>
        <w:ind w:firstLine="422"/>
        <w:rPr>
          <w:rFonts w:ascii="Times New Roman" w:hAnsi="Times New Roman"/>
          <w:color w:val="auto"/>
          <w:highlight w:val="none"/>
        </w:rPr>
      </w:pPr>
      <w:r>
        <w:rPr>
          <w:rFonts w:ascii="Times New Roman" w:hAnsi="Times New Roman"/>
          <w:color w:val="auto"/>
          <w:highlight w:val="none"/>
        </w:rPr>
        <w:t>2.2 采购文件的解释权</w:t>
      </w:r>
    </w:p>
    <w:p w14:paraId="5ECAF63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采购文件的解释权归采购人所有。</w:t>
      </w:r>
    </w:p>
    <w:p w14:paraId="023B52C6">
      <w:pPr>
        <w:pStyle w:val="4"/>
        <w:spacing w:line="360" w:lineRule="auto"/>
        <w:ind w:firstLine="422"/>
        <w:rPr>
          <w:rFonts w:ascii="Times New Roman" w:hAnsi="Times New Roman"/>
          <w:color w:val="auto"/>
          <w:highlight w:val="none"/>
        </w:rPr>
      </w:pPr>
      <w:r>
        <w:rPr>
          <w:rFonts w:ascii="Times New Roman" w:hAnsi="Times New Roman"/>
          <w:color w:val="auto"/>
          <w:highlight w:val="none"/>
        </w:rPr>
        <w:t>2.3 采购文件的质疑</w:t>
      </w:r>
    </w:p>
    <w:p w14:paraId="2ADC4AF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2.3.1</w:t>
      </w:r>
      <w:r>
        <w:rPr>
          <w:rFonts w:hint="eastAsia" w:ascii="Times New Roman" w:hAnsi="Times New Roman"/>
          <w:color w:val="auto"/>
          <w:highlight w:val="none"/>
        </w:rPr>
        <w:t>供应商</w:t>
      </w:r>
      <w:r>
        <w:rPr>
          <w:rFonts w:ascii="Times New Roman" w:hAnsi="Times New Roman"/>
          <w:color w:val="auto"/>
          <w:highlight w:val="none"/>
        </w:rPr>
        <w:t>认为采购文件规定内容使自己的合法权益受到损害的，</w:t>
      </w:r>
      <w:r>
        <w:rPr>
          <w:rFonts w:hint="eastAsia" w:ascii="Times New Roman" w:hAnsi="Times New Roman"/>
          <w:color w:val="auto"/>
          <w:highlight w:val="none"/>
        </w:rPr>
        <w:t>供应商</w:t>
      </w:r>
      <w:r>
        <w:rPr>
          <w:rFonts w:ascii="Times New Roman" w:hAnsi="Times New Roman"/>
          <w:color w:val="auto"/>
          <w:highlight w:val="none"/>
        </w:rPr>
        <w:t>可以提出书面质疑。</w:t>
      </w:r>
    </w:p>
    <w:p w14:paraId="676E01BE">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2.3.2质疑书须包括以下内容：</w:t>
      </w:r>
    </w:p>
    <w:p w14:paraId="0E3F74AF">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（一）供应商的姓名或者名称、地址、邮编、联系人及联系电话；</w:t>
      </w:r>
    </w:p>
    <w:p w14:paraId="06BC70CE">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（二）质疑项目的名称、编号；</w:t>
      </w:r>
    </w:p>
    <w:p w14:paraId="3EEEBEC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（三）具体、明确的质疑事项和与质疑事项相关的请求；</w:t>
      </w:r>
    </w:p>
    <w:p w14:paraId="66A694E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（四）事实依据；</w:t>
      </w:r>
    </w:p>
    <w:p w14:paraId="71BA116A">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（五）必要的法律依据；</w:t>
      </w:r>
    </w:p>
    <w:p w14:paraId="025223F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（六）提出质疑的日期。</w:t>
      </w:r>
    </w:p>
    <w:p w14:paraId="4216CEF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2.3.3质疑期限为</w:t>
      </w:r>
      <w:r>
        <w:rPr>
          <w:rFonts w:hint="eastAsia" w:ascii="Times New Roman" w:hAnsi="Times New Roman"/>
          <w:color w:val="auto"/>
          <w:highlight w:val="none"/>
        </w:rPr>
        <w:t>供应商</w:t>
      </w:r>
      <w:r>
        <w:rPr>
          <w:rFonts w:ascii="Times New Roman" w:hAnsi="Times New Roman"/>
          <w:color w:val="auto"/>
          <w:highlight w:val="none"/>
        </w:rPr>
        <w:t>收到采购文件之日或者招标公告期限届满之日起7个工作日内向采购代理机构提出。</w:t>
      </w:r>
    </w:p>
    <w:p w14:paraId="2AB6C08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2.3.4质疑书中涉及的相关材料中有外文资料的，应当将与质疑相关的外文资料完整、客观、真实地翻译为中文，并注明翻译人员姓名、工作单位、联系方式等信息。</w:t>
      </w:r>
    </w:p>
    <w:p w14:paraId="2BC50C0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2.3.5质疑书必须署名，供应商为自然人的，应当由本人签字；供应商为法人或者其他组织的，应当由法定代表人、主要负责人，或者其授权代表签字或者盖章，并加盖公章，否则不予受理。</w:t>
      </w:r>
    </w:p>
    <w:p w14:paraId="01D881F9">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2.3.6质疑书以直接提交、传真或邮寄方式提交（一式三份）。</w:t>
      </w:r>
    </w:p>
    <w:p w14:paraId="4A9C8AA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2.3.7质疑书以传真形式提交后，同时须向采购代理机构提交质疑书原件，实际收到原件之日作为收到质疑日。</w:t>
      </w:r>
    </w:p>
    <w:p w14:paraId="401A3718">
      <w:pPr>
        <w:pStyle w:val="4"/>
        <w:spacing w:line="360" w:lineRule="auto"/>
        <w:ind w:firstLine="422"/>
        <w:rPr>
          <w:rFonts w:ascii="Times New Roman" w:hAnsi="Times New Roman"/>
          <w:color w:val="auto"/>
          <w:highlight w:val="none"/>
        </w:rPr>
      </w:pPr>
      <w:r>
        <w:rPr>
          <w:rFonts w:ascii="Times New Roman" w:hAnsi="Times New Roman"/>
          <w:color w:val="auto"/>
          <w:highlight w:val="none"/>
        </w:rPr>
        <w:t>2.4 采购文件的澄清</w:t>
      </w:r>
    </w:p>
    <w:p w14:paraId="677C9BAB">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见供应商须知前附表“采购文件的澄清和修改”。</w:t>
      </w:r>
    </w:p>
    <w:p w14:paraId="4DF4BE05">
      <w:pPr>
        <w:pStyle w:val="4"/>
        <w:spacing w:line="360" w:lineRule="auto"/>
        <w:ind w:firstLine="422"/>
        <w:rPr>
          <w:rFonts w:ascii="Times New Roman" w:hAnsi="Times New Roman"/>
          <w:color w:val="auto"/>
          <w:highlight w:val="none"/>
        </w:rPr>
      </w:pPr>
      <w:r>
        <w:rPr>
          <w:rFonts w:ascii="Times New Roman" w:hAnsi="Times New Roman"/>
          <w:color w:val="auto"/>
          <w:highlight w:val="none"/>
        </w:rPr>
        <w:t>2.5 采购文件的修改</w:t>
      </w:r>
    </w:p>
    <w:p w14:paraId="2BE3A8D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见供应商须知前附表“采购文件的澄清和修改”。</w:t>
      </w:r>
    </w:p>
    <w:p w14:paraId="11D00304">
      <w:pPr>
        <w:pStyle w:val="3"/>
        <w:spacing w:line="360" w:lineRule="auto"/>
        <w:ind w:firstLine="422"/>
        <w:rPr>
          <w:rFonts w:ascii="Times New Roman" w:hAnsi="Times New Roman"/>
          <w:color w:val="auto"/>
          <w:highlight w:val="none"/>
        </w:rPr>
      </w:pPr>
      <w:r>
        <w:rPr>
          <w:rFonts w:ascii="Times New Roman" w:hAnsi="Times New Roman"/>
          <w:color w:val="auto"/>
          <w:highlight w:val="none"/>
        </w:rPr>
        <w:t>三、投标文件</w:t>
      </w:r>
      <w:bookmarkEnd w:id="16"/>
      <w:bookmarkEnd w:id="17"/>
    </w:p>
    <w:p w14:paraId="7BE77EFB">
      <w:pPr>
        <w:pStyle w:val="4"/>
        <w:spacing w:line="360" w:lineRule="auto"/>
        <w:ind w:firstLine="422"/>
        <w:rPr>
          <w:rFonts w:ascii="Times New Roman" w:hAnsi="Times New Roman"/>
          <w:color w:val="auto"/>
          <w:highlight w:val="none"/>
        </w:rPr>
      </w:pPr>
      <w:r>
        <w:rPr>
          <w:rFonts w:ascii="Times New Roman" w:hAnsi="Times New Roman"/>
          <w:color w:val="auto"/>
          <w:highlight w:val="none"/>
        </w:rPr>
        <w:t>3.1 投标文件</w:t>
      </w:r>
    </w:p>
    <w:p w14:paraId="51C8F44E">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 xml:space="preserve">3.1.1 </w:t>
      </w:r>
      <w:r>
        <w:rPr>
          <w:rFonts w:hint="eastAsia" w:ascii="Times New Roman" w:hAnsi="Times New Roman"/>
          <w:color w:val="auto"/>
          <w:highlight w:val="none"/>
        </w:rPr>
        <w:t>供应商</w:t>
      </w:r>
      <w:r>
        <w:rPr>
          <w:rFonts w:ascii="Times New Roman" w:hAnsi="Times New Roman"/>
          <w:color w:val="auto"/>
          <w:highlight w:val="none"/>
        </w:rPr>
        <w:t>应仔细阅读采购文件规定的所有内容，以保证能全面准确理解采购文件，并按照采购文件要求，详细编制投标文件，投标文件内容必须针对本次招标响应。</w:t>
      </w:r>
    </w:p>
    <w:p w14:paraId="27E71DBE">
      <w:pPr>
        <w:pStyle w:val="142"/>
        <w:snapToGrid w:val="0"/>
        <w:spacing w:line="360" w:lineRule="auto"/>
        <w:ind w:firstLine="420"/>
        <w:rPr>
          <w:rFonts w:ascii="Times New Roman" w:hAnsi="Times New Roman"/>
          <w:bCs/>
          <w:color w:val="auto"/>
          <w:highlight w:val="none"/>
        </w:rPr>
      </w:pPr>
      <w:r>
        <w:rPr>
          <w:rFonts w:ascii="Times New Roman" w:hAnsi="Times New Roman"/>
          <w:color w:val="auto"/>
          <w:highlight w:val="none"/>
        </w:rPr>
        <w:t>3.1.2</w:t>
      </w:r>
      <w:r>
        <w:rPr>
          <w:rFonts w:hint="eastAsia" w:ascii="Times New Roman" w:hAnsi="Times New Roman"/>
          <w:color w:val="auto"/>
          <w:highlight w:val="none"/>
        </w:rPr>
        <w:t>供应商</w:t>
      </w:r>
      <w:r>
        <w:rPr>
          <w:rFonts w:ascii="Times New Roman" w:hAnsi="Times New Roman"/>
          <w:color w:val="auto"/>
          <w:highlight w:val="none"/>
        </w:rPr>
        <w:t>必须按采购文件的要求提供相关资料，并对采购文件中提出的所有内容要求给予实质性响应，须保证投标文件的准确、真实、明确</w:t>
      </w:r>
      <w:r>
        <w:rPr>
          <w:rFonts w:ascii="Times New Roman" w:hAnsi="Times New Roman"/>
          <w:bCs/>
          <w:color w:val="auto"/>
          <w:highlight w:val="none"/>
        </w:rPr>
        <w:t>。投标文件响应内容对采购文件要求如有偏离均应填写偏离表。</w:t>
      </w:r>
    </w:p>
    <w:p w14:paraId="4512DE98">
      <w:pPr>
        <w:pStyle w:val="4"/>
        <w:spacing w:line="360" w:lineRule="auto"/>
        <w:ind w:firstLine="422"/>
        <w:rPr>
          <w:rFonts w:ascii="Times New Roman" w:hAnsi="Times New Roman"/>
          <w:color w:val="auto"/>
          <w:highlight w:val="none"/>
        </w:rPr>
      </w:pPr>
      <w:r>
        <w:rPr>
          <w:rFonts w:ascii="Times New Roman" w:hAnsi="Times New Roman"/>
          <w:color w:val="auto"/>
          <w:highlight w:val="none"/>
        </w:rPr>
        <w:t>3.2 投标文件组成</w:t>
      </w:r>
    </w:p>
    <w:p w14:paraId="7D6213AD">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3.2.1报价文件</w:t>
      </w:r>
    </w:p>
    <w:p w14:paraId="25B8AE3E">
      <w:pPr>
        <w:pStyle w:val="142"/>
        <w:snapToGrid w:val="0"/>
        <w:spacing w:line="360" w:lineRule="auto"/>
        <w:ind w:left="420" w:firstLine="0" w:firstLineChars="0"/>
        <w:rPr>
          <w:rFonts w:ascii="Times New Roman" w:hAnsi="Times New Roman"/>
          <w:color w:val="auto"/>
          <w:highlight w:val="none"/>
        </w:rPr>
      </w:pPr>
      <w:r>
        <w:rPr>
          <w:rFonts w:ascii="Times New Roman" w:hAnsi="Times New Roman"/>
          <w:color w:val="auto"/>
          <w:highlight w:val="none"/>
        </w:rPr>
        <w:t>（1）开标一览表；</w:t>
      </w:r>
    </w:p>
    <w:p w14:paraId="2726E74C">
      <w:pPr>
        <w:pStyle w:val="142"/>
        <w:tabs>
          <w:tab w:val="left" w:pos="454"/>
        </w:tabs>
        <w:snapToGrid w:val="0"/>
        <w:spacing w:line="360" w:lineRule="auto"/>
        <w:ind w:left="420" w:firstLine="0" w:firstLineChars="0"/>
        <w:rPr>
          <w:rFonts w:ascii="Times New Roman" w:hAnsi="Times New Roman"/>
          <w:color w:val="auto"/>
          <w:highlight w:val="none"/>
        </w:rPr>
      </w:pPr>
      <w:r>
        <w:rPr>
          <w:rFonts w:ascii="Times New Roman" w:hAnsi="Times New Roman"/>
          <w:color w:val="auto"/>
          <w:highlight w:val="none"/>
        </w:rPr>
        <w:t>（2）投标价格组成明细表；</w:t>
      </w:r>
    </w:p>
    <w:p w14:paraId="32F25E03">
      <w:pPr>
        <w:pStyle w:val="142"/>
        <w:tabs>
          <w:tab w:val="left" w:pos="454"/>
        </w:tabs>
        <w:snapToGrid w:val="0"/>
        <w:spacing w:line="360" w:lineRule="auto"/>
        <w:ind w:left="420" w:firstLine="0" w:firstLineChars="0"/>
        <w:rPr>
          <w:rFonts w:ascii="Times New Roman" w:hAnsi="Times New Roman"/>
          <w:color w:val="auto"/>
          <w:highlight w:val="none"/>
        </w:rPr>
      </w:pPr>
      <w:r>
        <w:rPr>
          <w:rFonts w:ascii="Times New Roman" w:hAnsi="Times New Roman"/>
          <w:color w:val="auto"/>
          <w:highlight w:val="none"/>
        </w:rPr>
        <w:t>（3）</w:t>
      </w:r>
      <w:r>
        <w:rPr>
          <w:rFonts w:ascii="Times New Roman" w:hAnsi="Times New Roman"/>
          <w:color w:val="auto"/>
          <w:highlight w:val="none"/>
        </w:rPr>
        <w:tab/>
      </w:r>
      <w:r>
        <w:rPr>
          <w:rFonts w:hint="eastAsia" w:ascii="Times New Roman" w:hAnsi="Times New Roman"/>
          <w:color w:val="auto"/>
          <w:highlight w:val="none"/>
        </w:rPr>
        <w:t>供应商</w:t>
      </w:r>
      <w:r>
        <w:rPr>
          <w:rFonts w:ascii="Times New Roman" w:hAnsi="Times New Roman"/>
          <w:color w:val="auto"/>
          <w:highlight w:val="none"/>
        </w:rPr>
        <w:t>认为有必要提供的其它文件。</w:t>
      </w:r>
    </w:p>
    <w:p w14:paraId="197F77C3">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3.2.2</w:t>
      </w:r>
      <w:r>
        <w:rPr>
          <w:rFonts w:hint="eastAsia" w:ascii="Times New Roman" w:hAnsi="Times New Roman"/>
          <w:color w:val="auto"/>
          <w:highlight w:val="none"/>
        </w:rPr>
        <w:t>资格文件</w:t>
      </w:r>
    </w:p>
    <w:p w14:paraId="36B80FA9">
      <w:pPr>
        <w:pStyle w:val="142"/>
        <w:snapToGrid w:val="0"/>
        <w:spacing w:line="360" w:lineRule="auto"/>
        <w:ind w:firstLine="420"/>
        <w:rPr>
          <w:rFonts w:ascii="Times New Roman" w:hAnsi="Times New Roman"/>
          <w:color w:val="auto"/>
          <w:szCs w:val="21"/>
          <w:highlight w:val="none"/>
        </w:rPr>
      </w:pPr>
      <w:r>
        <w:rPr>
          <w:rFonts w:hint="eastAsia"/>
          <w:color w:val="auto"/>
          <w:highlight w:val="none"/>
        </w:rPr>
        <w:t>以联合体形式参加本项目投标的，联合体各方均应当提供如下资格证明材料。</w:t>
      </w:r>
    </w:p>
    <w:p w14:paraId="78C3D315">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（1）符合《中华人民共和国政府采购法》第二十二条规定的相关证明材料；</w:t>
      </w:r>
    </w:p>
    <w:p w14:paraId="7954DC0C">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各投标人须在投标文件中出具对应证明材料。（商业信誉可提前自查，投标文件中可不提供）</w:t>
      </w:r>
    </w:p>
    <w:p w14:paraId="4127956C">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a.具有独立承担民事责任能力的证明材料；</w:t>
      </w:r>
    </w:p>
    <w:p w14:paraId="113BEB7B">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投标人须在投标文件中出具符合以下情况的证明材料复印件（五选一）：</w:t>
      </w:r>
    </w:p>
    <w:p w14:paraId="543D61CC">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①　如投标人是企业（包括合伙企业），提供在工商部门注册的有效“企业法人营业执照”或“营业执照”；</w:t>
      </w:r>
    </w:p>
    <w:p w14:paraId="493068F2">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②　如投标人是事业单位，提供有效的“事业单位法人证书”；</w:t>
      </w:r>
    </w:p>
    <w:p w14:paraId="7FB64A34">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③　如投标人是非企业专业服务机构的，提供执业许可证等证明文件；</w:t>
      </w:r>
    </w:p>
    <w:p w14:paraId="4103EFCE">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④　如投标人是个体工商户，提供有效的“个体工商户营业执照”；</w:t>
      </w:r>
    </w:p>
    <w:p w14:paraId="75B60604">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⑤　如投标人是自然人，提供有效的自然人身份证明（居民身份证正反面或公安机关出具的临时居民身份证正反面或港澳台胞证或护照）。</w:t>
      </w:r>
    </w:p>
    <w:p w14:paraId="180B8F86">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62A4391">
      <w:pPr>
        <w:pStyle w:val="142"/>
        <w:snapToGrid w:val="0"/>
        <w:spacing w:line="360" w:lineRule="auto"/>
        <w:ind w:firstLine="420"/>
        <w:rPr>
          <w:rFonts w:ascii="Times New Roman" w:hAnsi="Times New Roman"/>
          <w:color w:val="auto"/>
          <w:szCs w:val="21"/>
          <w:highlight w:val="none"/>
        </w:rPr>
      </w:pPr>
      <w:r>
        <w:rPr>
          <w:rFonts w:hint="eastAsia" w:ascii="Times New Roman" w:hAnsi="Times New Roman"/>
          <w:color w:val="auto"/>
          <w:szCs w:val="21"/>
          <w:highlight w:val="none"/>
        </w:rPr>
        <w:t>b.符合参与政府采购活动资格条件的承诺函；</w:t>
      </w:r>
    </w:p>
    <w:p w14:paraId="2434D7AB">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c.商业信誉：</w:t>
      </w:r>
    </w:p>
    <w:p w14:paraId="42C98B3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3731A6F4">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对列入失信被执行人、重大税收违法案件当事人名单、政府采购严重违法失信行为记录名单的投标人，其投标将作无效标处理。</w:t>
      </w:r>
    </w:p>
    <w:p w14:paraId="3030EBB1">
      <w:pPr>
        <w:pStyle w:val="142"/>
        <w:snapToGrid w:val="0"/>
        <w:spacing w:line="360" w:lineRule="auto"/>
        <w:ind w:firstLine="420"/>
        <w:rPr>
          <w:rFonts w:ascii="Times New Roman" w:hAnsi="Times New Roman"/>
          <w:color w:val="auto"/>
          <w:highlight w:val="none"/>
        </w:rPr>
      </w:pPr>
      <w:r>
        <w:rPr>
          <w:rFonts w:hint="eastAsia"/>
          <w:color w:val="auto"/>
          <w:highlight w:val="none"/>
        </w:rPr>
        <w:t>（2）落实政府采购政策需满足的资格要求：无</w:t>
      </w:r>
    </w:p>
    <w:p w14:paraId="3D4D63AB">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（3）特定资格条件：</w:t>
      </w:r>
      <w:r>
        <w:rPr>
          <w:rFonts w:hint="eastAsia" w:ascii="宋体" w:hAnsi="宋体" w:cs="宋体"/>
          <w:color w:val="auto"/>
          <w:highlight w:val="none"/>
        </w:rPr>
        <w:t>无</w:t>
      </w:r>
      <w:r>
        <w:rPr>
          <w:rFonts w:hint="eastAsia" w:ascii="Times New Roman" w:hAnsi="Times New Roman"/>
          <w:color w:val="auto"/>
          <w:highlight w:val="none"/>
        </w:rPr>
        <w:t>。</w:t>
      </w:r>
    </w:p>
    <w:p w14:paraId="3ED0047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（4）联合协议（如为联合体投标）。</w:t>
      </w:r>
    </w:p>
    <w:p w14:paraId="5E082419">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3.2.</w:t>
      </w:r>
      <w:r>
        <w:rPr>
          <w:rFonts w:hint="eastAsia" w:ascii="Times New Roman" w:hAnsi="Times New Roman"/>
          <w:color w:val="auto"/>
          <w:highlight w:val="none"/>
        </w:rPr>
        <w:t>3</w:t>
      </w:r>
      <w:r>
        <w:rPr>
          <w:rFonts w:ascii="Times New Roman" w:hAnsi="Times New Roman"/>
          <w:color w:val="auto"/>
          <w:highlight w:val="none"/>
        </w:rPr>
        <w:t>商务技术文件</w:t>
      </w:r>
    </w:p>
    <w:p w14:paraId="172B0240">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）投标函；</w:t>
      </w:r>
    </w:p>
    <w:p w14:paraId="47885F9D">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）法定代表人资格证明书；</w:t>
      </w:r>
    </w:p>
    <w:p w14:paraId="23836C7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）法定代表人授权委托书（法定代表人签署不需提供此书）；</w:t>
      </w:r>
    </w:p>
    <w:p w14:paraId="3A145267">
      <w:pPr>
        <w:pStyle w:val="142"/>
        <w:snapToGrid w:val="0"/>
        <w:spacing w:line="360" w:lineRule="auto"/>
        <w:ind w:firstLine="1050" w:firstLineChars="500"/>
        <w:rPr>
          <w:rFonts w:ascii="Times New Roman" w:hAnsi="Times New Roman"/>
          <w:color w:val="auto"/>
          <w:highlight w:val="none"/>
        </w:rPr>
      </w:pPr>
      <w:r>
        <w:rPr>
          <w:rFonts w:ascii="Times New Roman" w:hAnsi="Times New Roman"/>
          <w:color w:val="auto"/>
          <w:highlight w:val="none"/>
        </w:rPr>
        <w:t>法定代表人及授权代表身份证正反面复印件；</w:t>
      </w:r>
    </w:p>
    <w:p w14:paraId="4665ED52">
      <w:pPr>
        <w:pStyle w:val="142"/>
        <w:snapToGrid w:val="0"/>
        <w:spacing w:line="360" w:lineRule="auto"/>
        <w:ind w:firstLine="1050" w:firstLineChars="500"/>
        <w:rPr>
          <w:rFonts w:ascii="Times New Roman" w:hAnsi="Times New Roman"/>
          <w:color w:val="auto"/>
          <w:highlight w:val="none"/>
        </w:rPr>
      </w:pPr>
      <w:r>
        <w:rPr>
          <w:rFonts w:ascii="Times New Roman" w:hAnsi="Times New Roman"/>
          <w:color w:val="auto"/>
          <w:highlight w:val="none"/>
        </w:rPr>
        <w:t>社保机构出具的投标截止日前6个月内授权代表的投标单位社保缴纳证明，任职不足6个月的可提供劳动合同证明文件；</w:t>
      </w:r>
    </w:p>
    <w:p w14:paraId="45B859C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（4）分包意向协议（如有分包）；</w:t>
      </w:r>
    </w:p>
    <w:p w14:paraId="4FA188BC">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中标服务费支付承诺书</w:t>
      </w:r>
      <w:r>
        <w:rPr>
          <w:rFonts w:hint="eastAsia" w:ascii="Times New Roman" w:hAnsi="Times New Roman"/>
          <w:color w:val="auto"/>
          <w:highlight w:val="none"/>
        </w:rPr>
        <w:t>；</w:t>
      </w:r>
    </w:p>
    <w:p w14:paraId="75F98E5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（6）</w:t>
      </w:r>
      <w:r>
        <w:rPr>
          <w:rFonts w:hint="eastAsia" w:ascii="宋体" w:hAnsi="宋体" w:cs="宋体"/>
          <w:color w:val="auto"/>
          <w:szCs w:val="21"/>
          <w:highlight w:val="none"/>
        </w:rPr>
        <w:t>采购需求符合表</w:t>
      </w:r>
      <w:r>
        <w:rPr>
          <w:rFonts w:hint="eastAsia" w:ascii="Times New Roman" w:hAnsi="Times New Roman"/>
          <w:color w:val="auto"/>
          <w:highlight w:val="none"/>
        </w:rPr>
        <w:t>；</w:t>
      </w:r>
    </w:p>
    <w:p w14:paraId="4FAC130A">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（7）商务条款偏离表；</w:t>
      </w:r>
    </w:p>
    <w:p w14:paraId="19A0310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（8）采购清单；</w:t>
      </w:r>
    </w:p>
    <w:p w14:paraId="63F222D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（9）</w:t>
      </w:r>
      <w:r>
        <w:rPr>
          <w:rFonts w:hint="eastAsia" w:ascii="宋体" w:hAnsi="宋体" w:cs="宋体"/>
          <w:color w:val="auto"/>
          <w:highlight w:val="none"/>
        </w:rPr>
        <w:t>中小企业声明函（如有）；</w:t>
      </w:r>
    </w:p>
    <w:p w14:paraId="7FA04A27">
      <w:pPr>
        <w:pStyle w:val="142"/>
        <w:snapToGrid w:val="0"/>
        <w:spacing w:line="360" w:lineRule="auto"/>
        <w:ind w:firstLine="420"/>
        <w:rPr>
          <w:rFonts w:ascii="Times New Roman" w:hAnsi="Times New Roman"/>
          <w:color w:val="auto"/>
          <w:highlight w:val="none"/>
        </w:rPr>
      </w:pPr>
      <w:bookmarkStart w:id="18" w:name="OLE_LINK8"/>
      <w:r>
        <w:rPr>
          <w:rFonts w:hint="eastAsia" w:ascii="Times New Roman" w:hAnsi="Times New Roman"/>
          <w:color w:val="auto"/>
          <w:highlight w:val="none"/>
        </w:rPr>
        <w:t>（10）</w:t>
      </w:r>
      <w:r>
        <w:rPr>
          <w:rFonts w:hint="eastAsia" w:ascii="宋体" w:hAnsi="宋体" w:cs="宋体"/>
          <w:color w:val="auto"/>
          <w:highlight w:val="none"/>
        </w:rPr>
        <w:t>供应商为监狱企业的证明文件：省级以上监狱管理局、戒毒管理局（含新疆生产建设兵团）出具（如有）；</w:t>
      </w:r>
    </w:p>
    <w:p w14:paraId="776C820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（11）</w:t>
      </w:r>
      <w:r>
        <w:rPr>
          <w:rFonts w:hint="eastAsia" w:ascii="宋体" w:hAnsi="宋体" w:cs="宋体"/>
          <w:color w:val="auto"/>
          <w:highlight w:val="none"/>
        </w:rPr>
        <w:t>残疾人福利性单位声明函（如有）</w:t>
      </w:r>
      <w:r>
        <w:rPr>
          <w:rFonts w:hint="eastAsia" w:ascii="宋体" w:hAnsi="宋体" w:cs="宋体"/>
          <w:color w:val="auto"/>
          <w:highlight w:val="none"/>
        </w:rPr>
        <w:tab/>
      </w:r>
      <w:r>
        <w:rPr>
          <w:rFonts w:hint="eastAsia" w:ascii="宋体" w:hAnsi="宋体" w:cs="宋体"/>
          <w:color w:val="auto"/>
          <w:highlight w:val="none"/>
        </w:rPr>
        <w:t>；</w:t>
      </w:r>
    </w:p>
    <w:p w14:paraId="3E6E25A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（12）</w:t>
      </w:r>
      <w:r>
        <w:rPr>
          <w:rFonts w:hint="eastAsia"/>
          <w:color w:val="auto"/>
          <w:highlight w:val="none"/>
        </w:rPr>
        <w:t>《关于符合本国产品标准的声明函》或财政部会同有关部门规定的符合本国产品标准有关证明文件</w:t>
      </w:r>
    </w:p>
    <w:p w14:paraId="6BA348D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（13）</w:t>
      </w:r>
      <w:r>
        <w:rPr>
          <w:rFonts w:hint="eastAsia" w:ascii="宋体" w:hAnsi="宋体" w:cs="宋体"/>
          <w:bCs/>
          <w:color w:val="auto"/>
          <w:spacing w:val="-4"/>
          <w:szCs w:val="21"/>
          <w:highlight w:val="none"/>
        </w:rPr>
        <w:t>业绩：投标人自2023年1月1日（以合同签订日期为准）以来具有信息化建设项目或信息化迁建改造项目案例，提供合同复印件；</w:t>
      </w:r>
    </w:p>
    <w:p w14:paraId="137EC8AC">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（14）</w:t>
      </w:r>
      <w:r>
        <w:rPr>
          <w:rFonts w:hint="eastAsia"/>
          <w:color w:val="auto"/>
          <w:szCs w:val="21"/>
          <w:highlight w:val="none"/>
        </w:rPr>
        <w:t>投标人</w:t>
      </w:r>
      <w:r>
        <w:rPr>
          <w:rFonts w:hint="eastAsia" w:ascii="宋体" w:hAnsi="宋体" w:cs="宋体"/>
          <w:color w:val="auto"/>
          <w:szCs w:val="21"/>
          <w:highlight w:val="none"/>
        </w:rPr>
        <w:t>具有有效的IS09001质量管理体系认证证书（认证范围：软件开发或系统集成）、ISO20000信息技术服务管理体系认证证书（认证范围：信息系统运行维护）、ISO27001信息安全管理体系认证证书的（认证范围：软件开发或系统集成），</w:t>
      </w:r>
      <w:r>
        <w:rPr>
          <w:rFonts w:hint="eastAsia" w:ascii="宋体" w:hAnsi="宋体" w:cs="宋体"/>
          <w:bCs/>
          <w:color w:val="auto"/>
          <w:spacing w:val="-4"/>
          <w:szCs w:val="21"/>
          <w:highlight w:val="none"/>
        </w:rPr>
        <w:t>提供证书复印件和证书在全国认证认可信息公共服务平台查询截图；</w:t>
      </w:r>
    </w:p>
    <w:p w14:paraId="2641C84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（15）</w:t>
      </w:r>
      <w:r>
        <w:rPr>
          <w:rFonts w:hint="eastAsia" w:ascii="宋体" w:hAnsi="宋体" w:cs="宋体"/>
          <w:color w:val="auto"/>
          <w:szCs w:val="21"/>
          <w:highlight w:val="none"/>
        </w:rPr>
        <w:t>项目现状：包括对医院现有HIS系统、电子病历系统、集成平台系统、数据中心系统的现状分析；</w:t>
      </w:r>
    </w:p>
    <w:p w14:paraId="76BEA44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（16）核心组件迭代方案；</w:t>
      </w:r>
    </w:p>
    <w:p w14:paraId="09ABF2A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（17）核心业务流程改造方案；</w:t>
      </w:r>
    </w:p>
    <w:p w14:paraId="78E3E18B">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（18）多院区集成平台接口对接适配方案；</w:t>
      </w:r>
    </w:p>
    <w:p w14:paraId="126E2CE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（19）应急保障方案：包括应急方案、应急响应效率、应急处置流程、应急演练记录等；</w:t>
      </w:r>
    </w:p>
    <w:p w14:paraId="23535DB1">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（20）投标人项目团队：提供人员名单、分工、职责、证书复印件和近三个月中任意一个月投标人为其缴纳的社保证明；</w:t>
      </w:r>
    </w:p>
    <w:p w14:paraId="438B4DD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（21）培训方案；</w:t>
      </w:r>
    </w:p>
    <w:p w14:paraId="10785456">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（22）售后服务方案；</w:t>
      </w:r>
    </w:p>
    <w:p w14:paraId="3615DF3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（24）</w:t>
      </w:r>
      <w:r>
        <w:rPr>
          <w:rFonts w:hint="eastAsia" w:ascii="Times New Roman" w:hAnsi="Times New Roman"/>
          <w:color w:val="auto"/>
          <w:highlight w:val="none"/>
        </w:rPr>
        <w:tab/>
      </w:r>
      <w:r>
        <w:rPr>
          <w:rFonts w:hint="eastAsia" w:ascii="Times New Roman" w:hAnsi="Times New Roman"/>
          <w:color w:val="auto"/>
          <w:highlight w:val="none"/>
        </w:rPr>
        <w:t>供应商认为有必要提供的其它文件。</w:t>
      </w:r>
    </w:p>
    <w:bookmarkEnd w:id="18"/>
    <w:p w14:paraId="67BA3E61">
      <w:pPr>
        <w:pStyle w:val="4"/>
        <w:spacing w:line="360" w:lineRule="auto"/>
        <w:ind w:firstLine="422"/>
        <w:rPr>
          <w:rFonts w:ascii="Times New Roman" w:hAnsi="Times New Roman"/>
          <w:color w:val="auto"/>
          <w:highlight w:val="none"/>
        </w:rPr>
      </w:pPr>
      <w:r>
        <w:rPr>
          <w:rFonts w:ascii="Times New Roman" w:hAnsi="Times New Roman"/>
          <w:color w:val="auto"/>
          <w:highlight w:val="none"/>
        </w:rPr>
        <w:t>3.3 投标文件的编制</w:t>
      </w:r>
    </w:p>
    <w:p w14:paraId="6BA6181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3.3.1本项目实行网上投标。</w:t>
      </w:r>
    </w:p>
    <w:p w14:paraId="61A0A05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3.3.2</w:t>
      </w:r>
      <w:r>
        <w:rPr>
          <w:rFonts w:hint="eastAsia"/>
          <w:color w:val="auto"/>
          <w:szCs w:val="21"/>
          <w:highlight w:val="none"/>
        </w:rPr>
        <w:t>供应商应准备2种形式的投标文件：</w:t>
      </w:r>
      <w:r>
        <w:rPr>
          <w:rFonts w:hint="eastAsia" w:ascii="Times New Roman" w:hAnsi="Times New Roman"/>
          <w:color w:val="auto"/>
          <w:highlight w:val="none"/>
        </w:rPr>
        <w:t>电子加密投标文件、以介质存储的数据电文形式的备份投标文件。</w:t>
      </w:r>
    </w:p>
    <w:p w14:paraId="489125D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投标文件均由资格文件、报价文件、商务技术文件组成。</w:t>
      </w:r>
    </w:p>
    <w:p w14:paraId="103770D2">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（1）“电子加密投标文件”是指通过“政采云电子交易客户端”完成投标文件编制后生成并加密的数据电文形式的投标文件（后缀格式为.jmbs）</w:t>
      </w:r>
    </w:p>
    <w:p w14:paraId="7541C7A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备份投标文件”是指与“电子加密投标文件”同时生成的数据电文形式的电子文件（备份投标文件，用于供应商电子加密投标文件解密异常时应急使用），其他方式编制的备份投标文件视为无效备份投标文件。备份投标文件（后缀格式为.bfbs）以U盘形式提供。</w:t>
      </w:r>
    </w:p>
    <w:p w14:paraId="4319E86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3.3.3投标文件须按照采购文件要求加盖供应商公章或电子签章（除此之外的投标专用章、合同章等均视为无效）。</w:t>
      </w:r>
    </w:p>
    <w:p w14:paraId="5541E924">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3.3.4以联合体形式参与本项目投标的，联合协议中</w:t>
      </w:r>
      <w:r>
        <w:rPr>
          <w:rFonts w:ascii="Times New Roman" w:hAnsi="Times New Roman"/>
          <w:color w:val="auto"/>
          <w:kern w:val="0"/>
          <w:szCs w:val="21"/>
          <w:highlight w:val="none"/>
          <w:lang w:val="zh-CN"/>
        </w:rPr>
        <w:t>联合体成员</w:t>
      </w:r>
      <w:r>
        <w:rPr>
          <w:rFonts w:hint="eastAsia" w:ascii="Times New Roman" w:hAnsi="Times New Roman"/>
          <w:color w:val="auto"/>
          <w:kern w:val="0"/>
          <w:szCs w:val="21"/>
          <w:highlight w:val="none"/>
          <w:lang w:val="zh-CN"/>
        </w:rPr>
        <w:t>均需盖章。</w:t>
      </w:r>
      <w:r>
        <w:rPr>
          <w:rFonts w:hint="eastAsia" w:ascii="Times New Roman" w:hAnsi="Times New Roman"/>
          <w:color w:val="auto"/>
          <w:highlight w:val="none"/>
        </w:rPr>
        <w:t>其他采购文件要求需盖章的部分，仅由联合体牵头人加盖供应商公章或电子签章即可。</w:t>
      </w:r>
    </w:p>
    <w:p w14:paraId="46E3CA40">
      <w:pPr>
        <w:pStyle w:val="4"/>
        <w:spacing w:line="360" w:lineRule="auto"/>
        <w:ind w:firstLine="422"/>
        <w:rPr>
          <w:rFonts w:ascii="Times New Roman" w:hAnsi="Times New Roman"/>
          <w:color w:val="auto"/>
          <w:highlight w:val="none"/>
        </w:rPr>
      </w:pPr>
      <w:r>
        <w:rPr>
          <w:rFonts w:ascii="Times New Roman" w:hAnsi="Times New Roman"/>
          <w:color w:val="auto"/>
          <w:highlight w:val="none"/>
        </w:rPr>
        <w:t>3.4 投标报价</w:t>
      </w:r>
    </w:p>
    <w:p w14:paraId="7E5C9EB7">
      <w:pPr>
        <w:pStyle w:val="142"/>
        <w:snapToGrid w:val="0"/>
        <w:spacing w:line="360" w:lineRule="auto"/>
        <w:ind w:firstLine="420"/>
        <w:rPr>
          <w:rFonts w:ascii="Times New Roman" w:hAnsi="Times New Roman"/>
          <w:color w:val="auto"/>
          <w:highlight w:val="none"/>
          <w:u w:val="thick"/>
        </w:rPr>
      </w:pPr>
      <w:r>
        <w:rPr>
          <w:rFonts w:ascii="Times New Roman" w:hAnsi="Times New Roman"/>
          <w:color w:val="auto"/>
          <w:highlight w:val="none"/>
        </w:rPr>
        <w:t>▲3.4.1</w:t>
      </w:r>
      <w:r>
        <w:rPr>
          <w:rFonts w:ascii="Times New Roman" w:hAnsi="Times New Roman"/>
          <w:b/>
          <w:color w:val="auto"/>
          <w:highlight w:val="none"/>
          <w:u w:val="single"/>
        </w:rPr>
        <w:t>本次投标报价为含税人民币价</w:t>
      </w:r>
      <w:r>
        <w:rPr>
          <w:rFonts w:ascii="Times New Roman" w:hAnsi="Times New Roman"/>
          <w:color w:val="auto"/>
          <w:highlight w:val="none"/>
          <w:u w:val="single"/>
        </w:rPr>
        <w:t>。</w:t>
      </w:r>
    </w:p>
    <w:p w14:paraId="331CEC7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3.4.2投标报价包括完成所有产品供货及履行所有规定服务所产生的全部费用。产品及服务须达到采购文件规定的质量标准及使用要求。</w:t>
      </w:r>
    </w:p>
    <w:p w14:paraId="18865917">
      <w:pPr>
        <w:pStyle w:val="142"/>
        <w:snapToGrid w:val="0"/>
        <w:spacing w:line="360" w:lineRule="auto"/>
        <w:ind w:firstLine="420"/>
        <w:rPr>
          <w:rFonts w:ascii="Times New Roman" w:hAnsi="Times New Roman"/>
          <w:b/>
          <w:bCs/>
          <w:color w:val="auto"/>
          <w:highlight w:val="none"/>
          <w:u w:val="thick"/>
        </w:rPr>
      </w:pPr>
      <w:r>
        <w:rPr>
          <w:rFonts w:ascii="Times New Roman" w:hAnsi="Times New Roman"/>
          <w:color w:val="auto"/>
          <w:highlight w:val="none"/>
        </w:rPr>
        <w:t>3.4.3报价应按不同费用构成分开填写，具体详见“投标文件格式”。</w:t>
      </w:r>
    </w:p>
    <w:p w14:paraId="2DB26E7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▲3.4.4</w:t>
      </w:r>
      <w:r>
        <w:rPr>
          <w:rFonts w:ascii="Times New Roman" w:hAnsi="Times New Roman"/>
          <w:b/>
          <w:color w:val="auto"/>
          <w:highlight w:val="none"/>
          <w:u w:val="single"/>
        </w:rPr>
        <w:t>所投标项只允许有一个报价，不接受有选择报价的投标文件。</w:t>
      </w:r>
    </w:p>
    <w:p w14:paraId="2D0748E3">
      <w:pPr>
        <w:pStyle w:val="4"/>
        <w:spacing w:line="360" w:lineRule="auto"/>
        <w:ind w:firstLine="422"/>
        <w:rPr>
          <w:rFonts w:ascii="Times New Roman" w:hAnsi="Times New Roman"/>
          <w:color w:val="auto"/>
          <w:highlight w:val="none"/>
        </w:rPr>
      </w:pPr>
      <w:r>
        <w:rPr>
          <w:rFonts w:ascii="Times New Roman" w:hAnsi="Times New Roman"/>
          <w:color w:val="auto"/>
          <w:highlight w:val="none"/>
        </w:rPr>
        <w:t>3.5 投标保证金</w:t>
      </w:r>
    </w:p>
    <w:p w14:paraId="6206896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3.5.1 本项目不收取投标保证金</w:t>
      </w:r>
      <w:r>
        <w:rPr>
          <w:rFonts w:hint="eastAsia" w:ascii="Times New Roman" w:hAnsi="Times New Roman"/>
          <w:color w:val="auto"/>
          <w:highlight w:val="none"/>
        </w:rPr>
        <w:t>。</w:t>
      </w:r>
    </w:p>
    <w:p w14:paraId="22E6D817">
      <w:pPr>
        <w:pStyle w:val="4"/>
        <w:spacing w:line="360" w:lineRule="auto"/>
        <w:ind w:firstLine="422"/>
        <w:rPr>
          <w:rFonts w:ascii="Times New Roman" w:hAnsi="Times New Roman"/>
          <w:color w:val="auto"/>
          <w:highlight w:val="none"/>
        </w:rPr>
      </w:pPr>
      <w:r>
        <w:rPr>
          <w:rFonts w:ascii="Times New Roman" w:hAnsi="Times New Roman"/>
          <w:color w:val="auto"/>
          <w:highlight w:val="none"/>
        </w:rPr>
        <w:t>3.6 投标文件有效期</w:t>
      </w:r>
    </w:p>
    <w:p w14:paraId="0661D49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3.6.1 投标文件有效期按“</w:t>
      </w:r>
      <w:r>
        <w:rPr>
          <w:rFonts w:hint="eastAsia" w:ascii="Times New Roman" w:hAnsi="Times New Roman"/>
          <w:color w:val="auto"/>
          <w:highlight w:val="none"/>
        </w:rPr>
        <w:t>供应商</w:t>
      </w:r>
      <w:r>
        <w:rPr>
          <w:rFonts w:ascii="Times New Roman" w:hAnsi="Times New Roman"/>
          <w:color w:val="auto"/>
          <w:highlight w:val="none"/>
        </w:rPr>
        <w:t>须知前附表”规定，投标文件应在该有效期内保持有效。合同签订后，投标文件作为合同附件，投标文件有效期同合同有效期。</w:t>
      </w:r>
    </w:p>
    <w:p w14:paraId="3ED2429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3.6.2 在特殊情况下，采购人可与</w:t>
      </w:r>
      <w:r>
        <w:rPr>
          <w:rFonts w:hint="eastAsia" w:ascii="Times New Roman" w:hAnsi="Times New Roman"/>
          <w:color w:val="auto"/>
          <w:highlight w:val="none"/>
        </w:rPr>
        <w:t>供应商</w:t>
      </w:r>
      <w:r>
        <w:rPr>
          <w:rFonts w:ascii="Times New Roman" w:hAnsi="Times New Roman"/>
          <w:color w:val="auto"/>
          <w:highlight w:val="none"/>
        </w:rPr>
        <w:t>协商延长投标文件有效期，这种要求和答复均应以书面形式进行。</w:t>
      </w:r>
    </w:p>
    <w:p w14:paraId="4A7F191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3.6.3同意延长有效期的</w:t>
      </w:r>
      <w:r>
        <w:rPr>
          <w:rFonts w:hint="eastAsia" w:ascii="Times New Roman" w:hAnsi="Times New Roman"/>
          <w:color w:val="auto"/>
          <w:highlight w:val="none"/>
        </w:rPr>
        <w:t>供应商</w:t>
      </w:r>
      <w:r>
        <w:rPr>
          <w:rFonts w:ascii="Times New Roman" w:hAnsi="Times New Roman"/>
          <w:color w:val="auto"/>
          <w:highlight w:val="none"/>
        </w:rPr>
        <w:t>不能修改投标文件。</w:t>
      </w:r>
    </w:p>
    <w:p w14:paraId="09BCA600">
      <w:pPr>
        <w:pStyle w:val="3"/>
        <w:spacing w:line="360" w:lineRule="auto"/>
        <w:ind w:firstLine="422"/>
        <w:rPr>
          <w:rFonts w:ascii="Times New Roman" w:hAnsi="Times New Roman"/>
          <w:color w:val="auto"/>
          <w:highlight w:val="none"/>
        </w:rPr>
      </w:pPr>
      <w:bookmarkStart w:id="19" w:name="_Toc82338242"/>
      <w:bookmarkStart w:id="20" w:name="_Toc82873325"/>
      <w:r>
        <w:rPr>
          <w:rFonts w:ascii="Times New Roman" w:hAnsi="Times New Roman"/>
          <w:color w:val="auto"/>
          <w:highlight w:val="none"/>
        </w:rPr>
        <w:t>四、投标</w:t>
      </w:r>
      <w:bookmarkEnd w:id="19"/>
      <w:bookmarkEnd w:id="20"/>
    </w:p>
    <w:p w14:paraId="07B1C728">
      <w:pPr>
        <w:pStyle w:val="4"/>
        <w:spacing w:line="360" w:lineRule="auto"/>
        <w:ind w:firstLine="422"/>
        <w:rPr>
          <w:rFonts w:ascii="Times New Roman" w:hAnsi="Times New Roman"/>
          <w:color w:val="auto"/>
          <w:highlight w:val="none"/>
        </w:rPr>
      </w:pPr>
      <w:r>
        <w:rPr>
          <w:rFonts w:ascii="Times New Roman" w:hAnsi="Times New Roman"/>
          <w:color w:val="auto"/>
          <w:highlight w:val="none"/>
        </w:rPr>
        <w:t>4.1 投标文件的</w:t>
      </w:r>
      <w:r>
        <w:rPr>
          <w:rFonts w:hint="eastAsia" w:ascii="Times New Roman" w:hAnsi="Times New Roman"/>
          <w:color w:val="auto"/>
          <w:highlight w:val="none"/>
        </w:rPr>
        <w:t>上传和递交</w:t>
      </w:r>
    </w:p>
    <w:p w14:paraId="12010809">
      <w:pPr>
        <w:pStyle w:val="4"/>
        <w:spacing w:line="360" w:lineRule="auto"/>
        <w:ind w:firstLine="420"/>
        <w:rPr>
          <w:rFonts w:ascii="Times New Roman" w:hAnsi="Times New Roman"/>
          <w:b w:val="0"/>
          <w:bCs/>
          <w:color w:val="auto"/>
          <w:highlight w:val="none"/>
        </w:rPr>
      </w:pPr>
      <w:r>
        <w:rPr>
          <w:rFonts w:hint="eastAsia" w:ascii="Times New Roman" w:hAnsi="Times New Roman"/>
          <w:b w:val="0"/>
          <w:bCs/>
          <w:color w:val="auto"/>
          <w:highlight w:val="none"/>
        </w:rPr>
        <w:t>见供应商须知前附表“投标文件的上传和递交”。</w:t>
      </w:r>
    </w:p>
    <w:p w14:paraId="7AD46A57">
      <w:pPr>
        <w:pStyle w:val="4"/>
        <w:spacing w:line="360" w:lineRule="auto"/>
        <w:ind w:firstLine="422"/>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2</w:t>
      </w:r>
      <w:r>
        <w:rPr>
          <w:rFonts w:ascii="Times New Roman" w:hAnsi="Times New Roman"/>
          <w:color w:val="auto"/>
          <w:highlight w:val="none"/>
        </w:rPr>
        <w:t xml:space="preserve"> 投标文件的修改和撤回</w:t>
      </w:r>
    </w:p>
    <w:p w14:paraId="1597F7E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4.2.1 在投标截止时间前，供应商均可撤回其已上传的电子加密投标文件，进行内容修改。修改后重新上传、递交。投标截止时间前未完成上传、递交的，视为撤回投标文件。投标截止时间后递交的电子加密投标文件，“浙江政府采购网”将予以拒收。</w:t>
      </w:r>
    </w:p>
    <w:p w14:paraId="69FE6188">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4.2.2 从投标截止期至供应商在投标函格式中确定的投标有效期期满这段时间内，供应商不得撤回其投标。</w:t>
      </w:r>
    </w:p>
    <w:p w14:paraId="06199CA7">
      <w:pPr>
        <w:pStyle w:val="4"/>
        <w:spacing w:line="360" w:lineRule="auto"/>
        <w:ind w:firstLine="422"/>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3</w:t>
      </w:r>
      <w:r>
        <w:rPr>
          <w:rFonts w:ascii="Times New Roman" w:hAnsi="Times New Roman"/>
          <w:color w:val="auto"/>
          <w:highlight w:val="none"/>
        </w:rPr>
        <w:t xml:space="preserve"> 备选投标方案</w:t>
      </w:r>
    </w:p>
    <w:p w14:paraId="24B61817">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供应商</w:t>
      </w:r>
      <w:r>
        <w:rPr>
          <w:rFonts w:ascii="Times New Roman" w:hAnsi="Times New Roman"/>
          <w:color w:val="auto"/>
          <w:highlight w:val="none"/>
        </w:rPr>
        <w:t>不得提交备选投标方案，否则，投标文件将被判定为无效标。</w:t>
      </w:r>
    </w:p>
    <w:p w14:paraId="34277531">
      <w:pPr>
        <w:pStyle w:val="4"/>
        <w:spacing w:line="360" w:lineRule="auto"/>
        <w:ind w:firstLine="422"/>
        <w:rPr>
          <w:rFonts w:ascii="Times New Roman" w:hAnsi="Times New Roman"/>
          <w:color w:val="auto"/>
          <w:highlight w:val="none"/>
        </w:rPr>
      </w:pPr>
      <w:r>
        <w:rPr>
          <w:rFonts w:ascii="Times New Roman" w:hAnsi="Times New Roman"/>
          <w:color w:val="auto"/>
          <w:highlight w:val="none"/>
        </w:rPr>
        <w:t>4.</w:t>
      </w:r>
      <w:r>
        <w:rPr>
          <w:rFonts w:hint="eastAsia" w:ascii="Times New Roman" w:hAnsi="Times New Roman"/>
          <w:color w:val="auto"/>
          <w:highlight w:val="none"/>
        </w:rPr>
        <w:t>4</w:t>
      </w:r>
      <w:r>
        <w:rPr>
          <w:rFonts w:ascii="Times New Roman" w:hAnsi="Times New Roman"/>
          <w:color w:val="auto"/>
          <w:highlight w:val="none"/>
        </w:rPr>
        <w:t xml:space="preserve"> </w:t>
      </w:r>
      <w:r>
        <w:rPr>
          <w:rFonts w:hint="eastAsia" w:ascii="Times New Roman" w:hAnsi="Times New Roman"/>
          <w:color w:val="auto"/>
          <w:highlight w:val="none"/>
        </w:rPr>
        <w:t>供应商</w:t>
      </w:r>
      <w:r>
        <w:rPr>
          <w:rFonts w:ascii="Times New Roman" w:hAnsi="Times New Roman"/>
          <w:color w:val="auto"/>
          <w:highlight w:val="none"/>
        </w:rPr>
        <w:t>不足三家情况处理</w:t>
      </w:r>
    </w:p>
    <w:p w14:paraId="3717F1CA">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投标截止时间后参加标项投标的供应商不足三家的，本标项作废标处理，重新组织采购</w:t>
      </w:r>
      <w:r>
        <w:rPr>
          <w:rFonts w:hint="eastAsia" w:ascii="Times New Roman" w:hAnsi="Times New Roman"/>
          <w:color w:val="auto"/>
          <w:highlight w:val="none"/>
        </w:rPr>
        <w:t>。</w:t>
      </w:r>
    </w:p>
    <w:p w14:paraId="5025FBDC">
      <w:pPr>
        <w:pStyle w:val="3"/>
        <w:spacing w:line="360" w:lineRule="auto"/>
        <w:ind w:firstLine="422"/>
        <w:rPr>
          <w:rFonts w:ascii="Times New Roman" w:hAnsi="Times New Roman"/>
          <w:color w:val="auto"/>
          <w:highlight w:val="none"/>
        </w:rPr>
      </w:pPr>
      <w:bookmarkStart w:id="21" w:name="_Toc82873326"/>
      <w:bookmarkStart w:id="22" w:name="_Toc82338243"/>
      <w:r>
        <w:rPr>
          <w:rFonts w:ascii="Times New Roman" w:hAnsi="Times New Roman"/>
          <w:color w:val="auto"/>
          <w:highlight w:val="none"/>
        </w:rPr>
        <w:t>五、开标、评标</w:t>
      </w:r>
      <w:bookmarkEnd w:id="21"/>
      <w:bookmarkEnd w:id="22"/>
      <w:r>
        <w:rPr>
          <w:rFonts w:ascii="Times New Roman" w:hAnsi="Times New Roman"/>
          <w:color w:val="auto"/>
          <w:highlight w:val="none"/>
        </w:rPr>
        <w:t>及合同签订</w:t>
      </w:r>
    </w:p>
    <w:p w14:paraId="2ECCCB7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5.1 开标准备</w:t>
      </w:r>
    </w:p>
    <w:p w14:paraId="6F1A87C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5.1.1 采购代理机构将按照采购文件规定的时间通过浙江政府采购网组织开标、开启</w:t>
      </w:r>
      <w:r>
        <w:rPr>
          <w:color w:val="auto"/>
          <w:szCs w:val="21"/>
          <w:highlight w:val="none"/>
        </w:rPr>
        <w:t>电子加密投标文件</w:t>
      </w:r>
      <w:r>
        <w:rPr>
          <w:rFonts w:hint="eastAsia" w:ascii="Times New Roman" w:hAnsi="Times New Roman"/>
          <w:color w:val="auto"/>
          <w:highlight w:val="none"/>
        </w:rPr>
        <w:t>，所有供应商均应当准时在线参加。供应商因未在线参加开标而导致</w:t>
      </w:r>
      <w:r>
        <w:rPr>
          <w:color w:val="auto"/>
          <w:szCs w:val="21"/>
          <w:highlight w:val="none"/>
        </w:rPr>
        <w:t>电子加密投标文件</w:t>
      </w:r>
      <w:r>
        <w:rPr>
          <w:rFonts w:hint="eastAsia" w:ascii="Times New Roman" w:hAnsi="Times New Roman"/>
          <w:color w:val="auto"/>
          <w:highlight w:val="none"/>
        </w:rPr>
        <w:t>无法按时解密等一切后果由供应商自己承担。</w:t>
      </w:r>
      <w:r>
        <w:rPr>
          <w:rFonts w:hint="eastAsia"/>
          <w:color w:val="auto"/>
          <w:szCs w:val="21"/>
          <w:highlight w:val="none"/>
        </w:rPr>
        <w:t>（具体操作指南：详见政采云平台“服务中心-帮助文档-项目采购-操作流程-电子招投标-政府采购项目电子交易管理操作指南-供应商”。）</w:t>
      </w:r>
    </w:p>
    <w:p w14:paraId="3445CBB8">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5.2 开标流程（两阶段）</w:t>
      </w:r>
    </w:p>
    <w:p w14:paraId="355473C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5.2.1 开标第一阶段</w:t>
      </w:r>
    </w:p>
    <w:p w14:paraId="470CDC0F">
      <w:pPr>
        <w:pStyle w:val="142"/>
        <w:snapToGrid w:val="0"/>
        <w:spacing w:line="360" w:lineRule="auto"/>
        <w:ind w:left="420" w:leftChars="200" w:firstLine="0" w:firstLineChars="0"/>
        <w:rPr>
          <w:rFonts w:ascii="Times New Roman" w:hAnsi="Times New Roman"/>
          <w:color w:val="auto"/>
          <w:highlight w:val="none"/>
        </w:rPr>
      </w:pPr>
      <w:r>
        <w:rPr>
          <w:rFonts w:hint="eastAsia" w:ascii="Times New Roman" w:hAnsi="Times New Roman"/>
          <w:color w:val="auto"/>
          <w:highlight w:val="none"/>
        </w:rPr>
        <w:t>（1）采购代理机构开始解密，供应商在规定的时间内自行进行</w:t>
      </w:r>
      <w:r>
        <w:rPr>
          <w:color w:val="auto"/>
          <w:szCs w:val="21"/>
          <w:highlight w:val="none"/>
        </w:rPr>
        <w:t>电子加密投标文件</w:t>
      </w:r>
      <w:r>
        <w:rPr>
          <w:rFonts w:hint="eastAsia" w:ascii="Times New Roman" w:hAnsi="Times New Roman"/>
          <w:color w:val="auto"/>
          <w:highlight w:val="none"/>
        </w:rPr>
        <w:t>解密。</w:t>
      </w:r>
    </w:p>
    <w:p w14:paraId="4726D0E5">
      <w:pPr>
        <w:pStyle w:val="142"/>
        <w:snapToGrid w:val="0"/>
        <w:spacing w:line="360" w:lineRule="auto"/>
        <w:ind w:left="420" w:leftChars="200" w:firstLine="0" w:firstLineChars="0"/>
        <w:rPr>
          <w:rFonts w:ascii="Times New Roman" w:hAnsi="Times New Roman"/>
          <w:color w:val="auto"/>
          <w:highlight w:val="none"/>
        </w:rPr>
      </w:pPr>
      <w:r>
        <w:rPr>
          <w:rFonts w:hint="eastAsia" w:ascii="Times New Roman" w:hAnsi="Times New Roman"/>
          <w:color w:val="auto"/>
          <w:highlight w:val="none"/>
        </w:rPr>
        <w:t>（2）解密时间为开标后30分钟内。</w:t>
      </w:r>
    </w:p>
    <w:p w14:paraId="5B3FFBA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（3）解密失败的异常处理：供应商在规定的时间内无法完成已递交的</w:t>
      </w:r>
      <w:r>
        <w:rPr>
          <w:color w:val="auto"/>
          <w:szCs w:val="21"/>
          <w:highlight w:val="none"/>
        </w:rPr>
        <w:t>电子加密投标文件</w:t>
      </w:r>
      <w:r>
        <w:rPr>
          <w:rFonts w:hint="eastAsia" w:ascii="Times New Roman" w:hAnsi="Times New Roman"/>
          <w:color w:val="auto"/>
          <w:highlight w:val="none"/>
        </w:rPr>
        <w:t>解密的，如已按规定递交了备份投标文件的，将由采购代理机构将备份投标文件上传至浙江政府采购网，上传成功后，原</w:t>
      </w:r>
      <w:r>
        <w:rPr>
          <w:color w:val="auto"/>
          <w:szCs w:val="21"/>
          <w:highlight w:val="none"/>
        </w:rPr>
        <w:t>电子加密投标文件</w:t>
      </w:r>
      <w:r>
        <w:rPr>
          <w:rFonts w:hint="eastAsia" w:ascii="Times New Roman" w:hAnsi="Times New Roman"/>
          <w:color w:val="auto"/>
          <w:highlight w:val="none"/>
        </w:rPr>
        <w:t>自动失效。</w:t>
      </w:r>
    </w:p>
    <w:p w14:paraId="6B4B44C7">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（4）第一阶段开标结束。</w:t>
      </w:r>
    </w:p>
    <w:p w14:paraId="18BC3BE7">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（5）转入资格文件和商务技术文件评审。</w:t>
      </w:r>
    </w:p>
    <w:p w14:paraId="14A7808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（6）商务技术文件开启后30分钟内，供应商通过邮件形式将经授权代表签署的《政府采购活动现场确认声明书》（格式见附件）扫描件发至代理机构经办人邮箱（邮箱地址：14847913@qq.com，联系人：苑洪春）；</w:t>
      </w:r>
    </w:p>
    <w:p w14:paraId="116075E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说明：未按上述要求提供《政府采购活动现场确认声明书》的，视同</w:t>
      </w:r>
      <w:r>
        <w:rPr>
          <w:rFonts w:ascii="仿宋" w:hAnsi="仿宋"/>
          <w:color w:val="auto"/>
          <w:kern w:val="0"/>
          <w:szCs w:val="21"/>
          <w:highlight w:val="none"/>
        </w:rPr>
        <w:t>不存在</w:t>
      </w:r>
      <w:r>
        <w:rPr>
          <w:rFonts w:hint="eastAsia" w:ascii="Times New Roman" w:hAnsi="Times New Roman"/>
          <w:color w:val="auto"/>
          <w:highlight w:val="none"/>
        </w:rPr>
        <w:t>《声明书》中所涉及的利害关系。</w:t>
      </w:r>
    </w:p>
    <w:p w14:paraId="44E390D2">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5.2.2 开标第二阶段</w:t>
      </w:r>
    </w:p>
    <w:p w14:paraId="33946AD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（1）资格文件和商务技术文件评审结束后，进入开标大会第二阶段。公布无效供应商名称及理由，同时公布有效供应商的商务技术部分得分情况。</w:t>
      </w:r>
    </w:p>
    <w:p w14:paraId="4DD81C9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（2）开启有效供应商的报价文件，公布开标一览表有关内容。开标结束后，由评标委员会对报价的合理性、准确性等进行审查核实。</w:t>
      </w:r>
    </w:p>
    <w:p w14:paraId="1DECD25B">
      <w:pPr>
        <w:pStyle w:val="4"/>
        <w:spacing w:line="360" w:lineRule="auto"/>
        <w:ind w:firstLine="420"/>
        <w:rPr>
          <w:rFonts w:ascii="Times New Roman" w:hAnsi="Times New Roman"/>
          <w:b w:val="0"/>
          <w:bCs/>
          <w:color w:val="auto"/>
          <w:highlight w:val="none"/>
        </w:rPr>
      </w:pPr>
      <w:r>
        <w:rPr>
          <w:rFonts w:ascii="Times New Roman" w:hAnsi="Times New Roman"/>
          <w:b w:val="0"/>
          <w:bCs/>
          <w:color w:val="auto"/>
          <w:highlight w:val="none"/>
        </w:rPr>
        <w:t>5.3 投标文件初步评审</w:t>
      </w:r>
    </w:p>
    <w:p w14:paraId="451FA98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5.3.1采购人或采购代理机构将首先审查各供应商的资格条件是否满足采购文件的要求。</w:t>
      </w:r>
    </w:p>
    <w:p w14:paraId="78F38939">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5.3.2评标委员会将首先审查每份投标文件是否实质上响应了采购文件的要求，实质性响应的投标文件是指投标文件符合采购文件规定的实质性内容、条件和规定。</w:t>
      </w:r>
    </w:p>
    <w:p w14:paraId="44A3EBE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5.3.3重大偏离或保留是指将会影响到采购文件规定的服务范围、质量标准，或会给合同中规定的采购人的权利和</w:t>
      </w:r>
      <w:r>
        <w:rPr>
          <w:rFonts w:hint="eastAsia" w:ascii="Times New Roman" w:hAnsi="Times New Roman"/>
          <w:color w:val="auto"/>
          <w:highlight w:val="none"/>
        </w:rPr>
        <w:t>供应商</w:t>
      </w:r>
      <w:r>
        <w:rPr>
          <w:rFonts w:ascii="Times New Roman" w:hAnsi="Times New Roman"/>
          <w:color w:val="auto"/>
          <w:highlight w:val="none"/>
        </w:rPr>
        <w:t>的责任造成实质性限制，而纠正这些偏离或保留将对其他提交了实质性响应的投标文件的</w:t>
      </w:r>
      <w:r>
        <w:rPr>
          <w:rFonts w:hint="eastAsia" w:ascii="Times New Roman" w:hAnsi="Times New Roman"/>
          <w:color w:val="auto"/>
          <w:highlight w:val="none"/>
        </w:rPr>
        <w:t>供应商</w:t>
      </w:r>
      <w:r>
        <w:rPr>
          <w:rFonts w:ascii="Times New Roman" w:hAnsi="Times New Roman"/>
          <w:color w:val="auto"/>
          <w:highlight w:val="none"/>
        </w:rPr>
        <w:t>产生不公平影响的。</w:t>
      </w:r>
    </w:p>
    <w:p w14:paraId="560D0B5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5.3.4细微偏离是指投标文件对采购文件的非实质性内容存在不完全响应或不响应。</w:t>
      </w:r>
    </w:p>
    <w:p w14:paraId="35AF0ECE">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5.3.5重大偏离和保留、细微偏离由评标委员会界定。初步评审时如发现投标文件与采购文件要求有重大偏离和保留，其投标文件将被作无效标处理。</w:t>
      </w:r>
      <w:r>
        <w:rPr>
          <w:rFonts w:hint="eastAsia" w:ascii="Times New Roman" w:hAnsi="Times New Roman"/>
          <w:color w:val="auto"/>
          <w:highlight w:val="none"/>
        </w:rPr>
        <w:t>供应商</w:t>
      </w:r>
      <w:r>
        <w:rPr>
          <w:rFonts w:ascii="Times New Roman" w:hAnsi="Times New Roman"/>
          <w:color w:val="auto"/>
          <w:highlight w:val="none"/>
        </w:rPr>
        <w:t>不得通过修正或撤消不符合采购文件要求的重大偏离和保留从而使其投标文件实质性响应采购文件要求。但允许投标文件在实质性满足采购文件要求的前提下出现的细微偏差，在详细评审时可按评标办法对细微偏差做出不利于该</w:t>
      </w:r>
      <w:r>
        <w:rPr>
          <w:rFonts w:hint="eastAsia" w:ascii="Times New Roman" w:hAnsi="Times New Roman"/>
          <w:color w:val="auto"/>
          <w:highlight w:val="none"/>
        </w:rPr>
        <w:t>供应商</w:t>
      </w:r>
      <w:r>
        <w:rPr>
          <w:rFonts w:ascii="Times New Roman" w:hAnsi="Times New Roman"/>
          <w:color w:val="auto"/>
          <w:highlight w:val="none"/>
        </w:rPr>
        <w:t>的评审。</w:t>
      </w:r>
    </w:p>
    <w:p w14:paraId="5DCD309F">
      <w:pPr>
        <w:adjustRightInd w:val="0"/>
        <w:snapToGrid w:val="0"/>
        <w:spacing w:line="360" w:lineRule="auto"/>
        <w:ind w:firstLine="420" w:firstLineChars="200"/>
        <w:rPr>
          <w:color w:val="auto"/>
          <w:highlight w:val="none"/>
        </w:rPr>
      </w:pPr>
      <w:r>
        <w:rPr>
          <w:color w:val="auto"/>
          <w:highlight w:val="none"/>
        </w:rPr>
        <w:t>5.3.6初步评审工作内容</w:t>
      </w:r>
    </w:p>
    <w:p w14:paraId="6104072D">
      <w:pPr>
        <w:pStyle w:val="4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（1）资格性检查</w:t>
      </w:r>
    </w:p>
    <w:p w14:paraId="6A0E90BB">
      <w:pPr>
        <w:pStyle w:val="4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依据法律法规及采购文件的规定，对投标文件中的提供的资格证明材料进行审查，以确定</w:t>
      </w:r>
      <w:r>
        <w:rPr>
          <w:rFonts w:hint="eastAsia" w:ascii="Times New Roman" w:hAnsi="Times New Roman"/>
          <w:color w:val="auto"/>
          <w:highlight w:val="none"/>
        </w:rPr>
        <w:t>供应商</w:t>
      </w:r>
      <w:r>
        <w:rPr>
          <w:rFonts w:ascii="Times New Roman" w:hAnsi="Times New Roman"/>
          <w:color w:val="auto"/>
          <w:highlight w:val="none"/>
        </w:rPr>
        <w:t>是否具备投标资格。</w:t>
      </w:r>
    </w:p>
    <w:p w14:paraId="27C76DA0">
      <w:pPr>
        <w:pStyle w:val="4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（2）符合性检查</w:t>
      </w:r>
    </w:p>
    <w:p w14:paraId="3B924F1F">
      <w:pPr>
        <w:pStyle w:val="40"/>
        <w:snapToGrid w:val="0"/>
        <w:spacing w:line="360" w:lineRule="auto"/>
        <w:ind w:firstLine="420" w:firstLineChars="200"/>
        <w:rPr>
          <w:rFonts w:ascii="Times New Roman" w:hAnsi="Times New Roman"/>
          <w:color w:val="auto"/>
          <w:highlight w:val="none"/>
        </w:rPr>
      </w:pPr>
      <w:r>
        <w:rPr>
          <w:rFonts w:ascii="Times New Roman" w:hAnsi="Times New Roman"/>
          <w:color w:val="auto"/>
          <w:highlight w:val="none"/>
        </w:rPr>
        <w:t>依据采购文件的规定，从投标文件的有效性、完整性和对采购文件的响应程度进行审查，以确定是否对采购文件的实质性要求作出响应。</w:t>
      </w:r>
    </w:p>
    <w:p w14:paraId="59D7E1D2">
      <w:pPr>
        <w:adjustRightInd w:val="0"/>
        <w:snapToGrid w:val="0"/>
        <w:spacing w:line="360" w:lineRule="auto"/>
        <w:ind w:firstLine="420" w:firstLineChars="200"/>
        <w:rPr>
          <w:color w:val="auto"/>
          <w:highlight w:val="none"/>
        </w:rPr>
      </w:pPr>
      <w:r>
        <w:rPr>
          <w:color w:val="auto"/>
          <w:highlight w:val="none"/>
        </w:rPr>
        <w:t>5.3.7除符合5.6款规定外，评标委员会对投标文件的判定，只依据投标文件内容本身和按采购文件规定提交资料，不依靠开标后的任何外来证明。如</w:t>
      </w:r>
      <w:r>
        <w:rPr>
          <w:rFonts w:hint="eastAsia"/>
          <w:color w:val="auto"/>
          <w:highlight w:val="none"/>
        </w:rPr>
        <w:t>供应商</w:t>
      </w:r>
      <w:r>
        <w:rPr>
          <w:color w:val="auto"/>
          <w:highlight w:val="none"/>
        </w:rPr>
        <w:t>提交的资质证明或其他内容不齐全，由此造成的后果由</w:t>
      </w:r>
      <w:r>
        <w:rPr>
          <w:rFonts w:hint="eastAsia"/>
          <w:color w:val="auto"/>
          <w:highlight w:val="none"/>
        </w:rPr>
        <w:t>供应商</w:t>
      </w:r>
      <w:r>
        <w:rPr>
          <w:color w:val="auto"/>
          <w:highlight w:val="none"/>
        </w:rPr>
        <w:t>自己负责。</w:t>
      </w:r>
    </w:p>
    <w:p w14:paraId="7967C563">
      <w:pPr>
        <w:pStyle w:val="4"/>
        <w:spacing w:line="360" w:lineRule="auto"/>
        <w:ind w:firstLine="422"/>
        <w:rPr>
          <w:rFonts w:ascii="Times New Roman" w:hAnsi="Times New Roman"/>
          <w:color w:val="auto"/>
          <w:highlight w:val="none"/>
        </w:rPr>
      </w:pPr>
      <w:r>
        <w:rPr>
          <w:rFonts w:ascii="Times New Roman" w:hAnsi="Times New Roman"/>
          <w:color w:val="auto"/>
          <w:highlight w:val="none"/>
        </w:rPr>
        <w:t>5.4 投标文件的澄清</w:t>
      </w:r>
    </w:p>
    <w:p w14:paraId="41BA28E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5.4.1评标委员会可要求</w:t>
      </w:r>
      <w:r>
        <w:rPr>
          <w:rFonts w:hint="eastAsia" w:ascii="Times New Roman" w:hAnsi="Times New Roman"/>
          <w:color w:val="auto"/>
          <w:highlight w:val="none"/>
        </w:rPr>
        <w:t>供应商</w:t>
      </w:r>
      <w:r>
        <w:rPr>
          <w:rFonts w:ascii="Times New Roman" w:hAnsi="Times New Roman"/>
          <w:color w:val="auto"/>
          <w:highlight w:val="none"/>
        </w:rPr>
        <w:t>对投标文件中含义不明确、同类问题表述不一致、有明显的文字和计算错误的内容等进行澄清并做出书面答复。</w:t>
      </w:r>
    </w:p>
    <w:p w14:paraId="40E1320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 xml:space="preserve">5.4.2 </w:t>
      </w:r>
      <w:r>
        <w:rPr>
          <w:rFonts w:hint="eastAsia" w:ascii="Times New Roman" w:hAnsi="Times New Roman"/>
          <w:color w:val="auto"/>
          <w:highlight w:val="none"/>
        </w:rPr>
        <w:t>供应商</w:t>
      </w:r>
      <w:r>
        <w:rPr>
          <w:rFonts w:ascii="Times New Roman" w:hAnsi="Times New Roman"/>
          <w:color w:val="auto"/>
          <w:highlight w:val="none"/>
        </w:rPr>
        <w:t>对投标文件的澄清不得超出投标文件的范围或者改变投标文件的实质性内容。</w:t>
      </w:r>
    </w:p>
    <w:p w14:paraId="24C5922A">
      <w:pPr>
        <w:pStyle w:val="4"/>
        <w:spacing w:line="360" w:lineRule="auto"/>
        <w:ind w:firstLine="422"/>
        <w:rPr>
          <w:rFonts w:ascii="Times New Roman" w:hAnsi="Times New Roman"/>
          <w:color w:val="auto"/>
          <w:highlight w:val="none"/>
        </w:rPr>
      </w:pPr>
      <w:r>
        <w:rPr>
          <w:rFonts w:ascii="Times New Roman" w:hAnsi="Times New Roman"/>
          <w:color w:val="auto"/>
          <w:highlight w:val="none"/>
        </w:rPr>
        <w:t>5.5 错误修正</w:t>
      </w:r>
    </w:p>
    <w:p w14:paraId="14C134FA">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评标委员会将对确定为实质上响应采购文件要求的投标文件进行校核，看其在投标报价方面是否有计算、累计或表达上的错误，</w:t>
      </w:r>
      <w:r>
        <w:rPr>
          <w:rFonts w:ascii="Times New Roman" w:hAnsi="Times New Roman"/>
          <w:bCs/>
          <w:color w:val="auto"/>
          <w:highlight w:val="none"/>
        </w:rPr>
        <w:t>修正错误的原则及顺序如下：</w:t>
      </w:r>
    </w:p>
    <w:p w14:paraId="40BECA65">
      <w:pPr>
        <w:pStyle w:val="142"/>
        <w:snapToGrid w:val="0"/>
        <w:spacing w:line="360" w:lineRule="auto"/>
        <w:ind w:firstLine="420"/>
        <w:rPr>
          <w:rFonts w:ascii="Times New Roman" w:hAnsi="Times New Roman"/>
          <w:color w:val="auto"/>
          <w:highlight w:val="none"/>
        </w:rPr>
      </w:pPr>
      <w:r>
        <w:rPr>
          <w:rFonts w:ascii="Times New Roman" w:hAnsi="Times New Roman"/>
          <w:bCs/>
          <w:color w:val="auto"/>
          <w:highlight w:val="none"/>
        </w:rPr>
        <w:t>（1）</w:t>
      </w:r>
      <w:r>
        <w:rPr>
          <w:rFonts w:ascii="Times New Roman" w:hAnsi="Times New Roman"/>
          <w:color w:val="auto"/>
          <w:highlight w:val="none"/>
        </w:rPr>
        <w:t>正本与副本不一致时，以正本为准；</w:t>
      </w:r>
    </w:p>
    <w:p w14:paraId="427CE4BF">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（2）投标文件中开标一览表（报价表）内容与投标文件中相应内容不一致的，以开标一览表（报价表）为准；</w:t>
      </w:r>
    </w:p>
    <w:p w14:paraId="7B6FDBE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（3）大写金额和小写金额不一致的，以大写金额为准；</w:t>
      </w:r>
    </w:p>
    <w:p w14:paraId="0D23C16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（4）单价金额小数点或者百分比有明显错位的，以开标一览表的总价为准，并修改单价；</w:t>
      </w:r>
    </w:p>
    <w:p w14:paraId="6708EB2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（5）总价金额与按单价汇总金额不一致的，以单价金额计算结果为准。</w:t>
      </w:r>
    </w:p>
    <w:p w14:paraId="06DB6AD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（6）如</w:t>
      </w:r>
      <w:r>
        <w:rPr>
          <w:rFonts w:ascii="Times New Roman" w:hAnsi="Times New Roman"/>
          <w:color w:val="auto"/>
          <w:szCs w:val="21"/>
          <w:highlight w:val="none"/>
        </w:rPr>
        <w:t>投标文件中报价明细表</w:t>
      </w:r>
      <w:r>
        <w:rPr>
          <w:rFonts w:ascii="Times New Roman" w:hAnsi="Times New Roman"/>
          <w:color w:val="auto"/>
          <w:highlight w:val="none"/>
        </w:rPr>
        <w:t>分项价格或单价有遗报，应视作已含在投标总价中；其投标总价在评标过程中不予调整。其分项价或单价由评标委员会在投标总价不变的前提下根据合理的原则对其予以确定；</w:t>
      </w:r>
    </w:p>
    <w:p w14:paraId="1ECF72DF">
      <w:pPr>
        <w:pStyle w:val="142"/>
        <w:snapToGrid w:val="0"/>
        <w:spacing w:line="360" w:lineRule="auto"/>
        <w:ind w:firstLine="420"/>
        <w:rPr>
          <w:rFonts w:ascii="Times New Roman" w:hAnsi="Times New Roman"/>
          <w:color w:val="auto"/>
          <w:highlight w:val="none"/>
        </w:rPr>
      </w:pPr>
      <w:r>
        <w:rPr>
          <w:rFonts w:hint="eastAsia"/>
          <w:color w:val="auto"/>
          <w:highlight w:val="none"/>
        </w:rPr>
        <w:t>（7）</w:t>
      </w:r>
      <w:r>
        <w:rPr>
          <w:rFonts w:hint="eastAsia"/>
          <w:color w:val="auto"/>
          <w:highlight w:val="none"/>
        </w:rPr>
        <w:tab/>
      </w:r>
      <w:r>
        <w:rPr>
          <w:rFonts w:hint="eastAsia"/>
          <w:color w:val="auto"/>
          <w:highlight w:val="none"/>
        </w:rPr>
        <w:t>政采云平台填报的开标一览表中的价格与上传的报价文件中开标一览表的报价不一致的，以上传的报价文件为准。</w:t>
      </w:r>
    </w:p>
    <w:p w14:paraId="3D10547E">
      <w:pPr>
        <w:pStyle w:val="142"/>
        <w:snapToGrid w:val="0"/>
        <w:spacing w:line="360" w:lineRule="auto"/>
        <w:ind w:firstLine="420"/>
        <w:rPr>
          <w:rFonts w:ascii="Times New Roman" w:hAnsi="Times New Roman"/>
          <w:bCs/>
          <w:color w:val="auto"/>
          <w:highlight w:val="none"/>
        </w:rPr>
      </w:pPr>
      <w:r>
        <w:rPr>
          <w:rFonts w:ascii="Times New Roman" w:hAnsi="Times New Roman"/>
          <w:bCs/>
          <w:color w:val="auto"/>
          <w:highlight w:val="none"/>
        </w:rPr>
        <w:t>同时出现两种以上不一致的，按照前款规定的顺序修正。修正后的报价以澄清方式经</w:t>
      </w:r>
      <w:r>
        <w:rPr>
          <w:rFonts w:hint="eastAsia" w:ascii="Times New Roman" w:hAnsi="Times New Roman"/>
          <w:bCs/>
          <w:color w:val="auto"/>
          <w:highlight w:val="none"/>
        </w:rPr>
        <w:t>供应商</w:t>
      </w:r>
      <w:r>
        <w:rPr>
          <w:rFonts w:ascii="Times New Roman" w:hAnsi="Times New Roman"/>
          <w:bCs/>
          <w:color w:val="auto"/>
          <w:highlight w:val="none"/>
        </w:rPr>
        <w:t>确认后产生约束力，</w:t>
      </w:r>
      <w:r>
        <w:rPr>
          <w:rFonts w:hint="eastAsia" w:ascii="Times New Roman" w:hAnsi="Times New Roman"/>
          <w:bCs/>
          <w:color w:val="auto"/>
          <w:highlight w:val="none"/>
        </w:rPr>
        <w:t>供应商</w:t>
      </w:r>
      <w:r>
        <w:rPr>
          <w:rFonts w:ascii="Times New Roman" w:hAnsi="Times New Roman"/>
          <w:bCs/>
          <w:color w:val="auto"/>
          <w:highlight w:val="none"/>
        </w:rPr>
        <w:t>不确认的，其投标无效。</w:t>
      </w:r>
    </w:p>
    <w:p w14:paraId="15DD5BDF">
      <w:pPr>
        <w:pStyle w:val="4"/>
        <w:spacing w:line="360" w:lineRule="auto"/>
        <w:ind w:firstLine="422"/>
        <w:rPr>
          <w:rFonts w:ascii="Times New Roman" w:hAnsi="Times New Roman"/>
          <w:color w:val="auto"/>
          <w:highlight w:val="none"/>
        </w:rPr>
      </w:pPr>
      <w:r>
        <w:rPr>
          <w:rFonts w:ascii="Times New Roman" w:hAnsi="Times New Roman"/>
          <w:color w:val="auto"/>
          <w:highlight w:val="none"/>
        </w:rPr>
        <w:t>5.6 合理报价澄清说明</w:t>
      </w:r>
    </w:p>
    <w:p w14:paraId="61F7DE64">
      <w:pPr>
        <w:pStyle w:val="142"/>
        <w:snapToGrid w:val="0"/>
        <w:ind w:firstLine="420"/>
        <w:rPr>
          <w:rFonts w:ascii="Times New Roman" w:hAnsi="Times New Roman"/>
          <w:color w:val="auto"/>
          <w:highlight w:val="none"/>
        </w:rPr>
      </w:pPr>
      <w:r>
        <w:rPr>
          <w:rFonts w:hint="eastAsia" w:ascii="Times New Roman" w:hAnsi="Times New Roman"/>
          <w:color w:val="auto"/>
          <w:highlight w:val="none"/>
        </w:rPr>
        <w:t>（1）</w:t>
      </w:r>
      <w:r>
        <w:rPr>
          <w:rFonts w:ascii="Times New Roman" w:hAnsi="Times New Roman"/>
          <w:color w:val="auto"/>
          <w:highlight w:val="none"/>
        </w:rPr>
        <w:t>评标委员会认为</w:t>
      </w:r>
      <w:r>
        <w:rPr>
          <w:rFonts w:hint="eastAsia" w:ascii="Times New Roman" w:hAnsi="Times New Roman"/>
          <w:color w:val="auto"/>
          <w:highlight w:val="none"/>
        </w:rPr>
        <w:t>供应商</w:t>
      </w:r>
      <w:r>
        <w:rPr>
          <w:rFonts w:ascii="Times New Roman" w:hAnsi="Times New Roman"/>
          <w:color w:val="auto"/>
          <w:highlight w:val="none"/>
        </w:rPr>
        <w:t>的报价明显低于其他通过符合性审查</w:t>
      </w:r>
      <w:r>
        <w:rPr>
          <w:rFonts w:hint="eastAsia" w:ascii="Times New Roman" w:hAnsi="Times New Roman"/>
          <w:color w:val="auto"/>
          <w:highlight w:val="none"/>
        </w:rPr>
        <w:t>供应商</w:t>
      </w:r>
      <w:r>
        <w:rPr>
          <w:rFonts w:ascii="Times New Roman" w:hAnsi="Times New Roman"/>
          <w:color w:val="auto"/>
          <w:highlight w:val="none"/>
        </w:rPr>
        <w:t>的报价，有可能影响产品质量或者不能诚信履约的，应当要求其在30分钟内提供书面说明，必要时提交相关证明材料；</w:t>
      </w:r>
      <w:r>
        <w:rPr>
          <w:rFonts w:hint="eastAsia" w:ascii="Times New Roman" w:hAnsi="Times New Roman"/>
          <w:color w:val="auto"/>
          <w:highlight w:val="none"/>
        </w:rPr>
        <w:t>供应商</w:t>
      </w:r>
      <w:r>
        <w:rPr>
          <w:rFonts w:ascii="Times New Roman" w:hAnsi="Times New Roman"/>
          <w:color w:val="auto"/>
          <w:highlight w:val="none"/>
        </w:rPr>
        <w:t>不能证明其报价合理性的，评标委员会应当将其作为无效投标处理。</w:t>
      </w:r>
    </w:p>
    <w:p w14:paraId="13E82F27">
      <w:pPr>
        <w:pStyle w:val="142"/>
        <w:snapToGrid w:val="0"/>
        <w:ind w:firstLine="420"/>
        <w:rPr>
          <w:rFonts w:ascii="Times New Roman" w:hAnsi="Times New Roman"/>
          <w:color w:val="auto"/>
          <w:highlight w:val="none"/>
        </w:rPr>
      </w:pPr>
      <w:r>
        <w:rPr>
          <w:rFonts w:hint="eastAsia" w:ascii="Times New Roman" w:hAnsi="Times New Roman"/>
          <w:color w:val="auto"/>
          <w:highlight w:val="none"/>
        </w:rPr>
        <w:t>（2）政府采购评审中出现下列情形之一的，评审委员会应当启动异常低价投标（响应）审查程序：</w:t>
      </w:r>
    </w:p>
    <w:p w14:paraId="43EA2DC2">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1.投标（响应）报价低于全部通过符合性审查供应商投标（响应）报价平均值50%的，即投标（响应）报价&lt;全部通过符合性审查供应商投标（响应）报价平均值×50%；</w:t>
      </w:r>
    </w:p>
    <w:p w14:paraId="21904784">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2.投标（响应）报价低于通过符合性审查的次低报价供应商投标（响应）报价50%的，即投标（响应）报价&lt;通过符合性审查的次低报价供应商投标（响应）报价×50%；</w:t>
      </w:r>
    </w:p>
    <w:p w14:paraId="7E211022">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3.投标（响应）报价低于采购项目最高限价45%的，即投标（响应）报价&lt;采购项目最高限价×45%；</w:t>
      </w:r>
    </w:p>
    <w:p w14:paraId="49688C8E">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4.评审委员会基于专业判断，认为供应商报价过低，有可能影响产品质量或者不能诚信履约的其他情形。</w:t>
      </w:r>
    </w:p>
    <w:p w14:paraId="7AED42D0">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EF2EF03">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DD0DAF">
      <w:pPr>
        <w:pStyle w:val="74"/>
        <w:shd w:val="clear" w:color="auto" w:fill="FFFFFF"/>
        <w:spacing w:before="0" w:beforeAutospacing="0" w:after="0" w:afterAutospacing="0" w:line="360" w:lineRule="auto"/>
        <w:ind w:left="45" w:right="45" w:firstLine="420" w:firstLineChars="200"/>
        <w:jc w:val="both"/>
        <w:rPr>
          <w:rFonts w:ascii="Times New Roman" w:hAnsi="Times New Roman"/>
          <w:color w:val="auto"/>
          <w:kern w:val="2"/>
          <w:sz w:val="21"/>
          <w:highlight w:val="none"/>
        </w:rPr>
      </w:pPr>
      <w:r>
        <w:rPr>
          <w:rFonts w:hint="eastAsia" w:ascii="Times New Roman" w:hAnsi="Times New Roman"/>
          <w:color w:val="auto"/>
          <w:kern w:val="2"/>
          <w:sz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62C657">
      <w:pPr>
        <w:pStyle w:val="4"/>
        <w:spacing w:line="360" w:lineRule="auto"/>
        <w:ind w:firstLine="420"/>
        <w:rPr>
          <w:rFonts w:ascii="Times New Roman" w:hAnsi="Times New Roman"/>
          <w:color w:val="auto"/>
          <w:highlight w:val="none"/>
        </w:rPr>
      </w:pPr>
      <w:r>
        <w:rPr>
          <w:rFonts w:hint="eastAsia" w:ascii="Times New Roman" w:hAnsi="Times New Roman"/>
          <w:b w:val="0"/>
          <w:color w:val="auto"/>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7099A797">
      <w:pPr>
        <w:pStyle w:val="4"/>
        <w:spacing w:line="360" w:lineRule="auto"/>
        <w:ind w:firstLine="422"/>
        <w:rPr>
          <w:rFonts w:ascii="Times New Roman" w:hAnsi="Times New Roman"/>
          <w:color w:val="auto"/>
          <w:highlight w:val="none"/>
        </w:rPr>
      </w:pPr>
      <w:r>
        <w:rPr>
          <w:rFonts w:ascii="Times New Roman" w:hAnsi="Times New Roman"/>
          <w:color w:val="auto"/>
          <w:highlight w:val="none"/>
        </w:rPr>
        <w:t>5.7 无效标</w:t>
      </w:r>
    </w:p>
    <w:p w14:paraId="6FF2C5DA">
      <w:pPr>
        <w:snapToGrid w:val="0"/>
        <w:spacing w:line="360" w:lineRule="auto"/>
        <w:ind w:firstLine="411" w:firstLineChars="196"/>
        <w:rPr>
          <w:color w:val="auto"/>
          <w:highlight w:val="none"/>
        </w:rPr>
      </w:pPr>
      <w:r>
        <w:rPr>
          <w:rFonts w:hint="eastAsia"/>
          <w:color w:val="auto"/>
          <w:highlight w:val="none"/>
        </w:rPr>
        <w:t>5.7.1</w:t>
      </w:r>
      <w:r>
        <w:rPr>
          <w:color w:val="auto"/>
          <w:highlight w:val="none"/>
        </w:rPr>
        <w:t>资格证明</w:t>
      </w:r>
      <w:r>
        <w:rPr>
          <w:rFonts w:hint="eastAsia"/>
          <w:color w:val="auto"/>
          <w:highlight w:val="none"/>
        </w:rPr>
        <w:t>文件</w:t>
      </w:r>
      <w:r>
        <w:rPr>
          <w:color w:val="auto"/>
          <w:highlight w:val="none"/>
        </w:rPr>
        <w:t>评审阶段：</w:t>
      </w:r>
    </w:p>
    <w:p w14:paraId="757572F1">
      <w:pPr>
        <w:snapToGrid w:val="0"/>
        <w:spacing w:line="360" w:lineRule="auto"/>
        <w:ind w:firstLine="411" w:firstLineChars="196"/>
        <w:rPr>
          <w:color w:val="auto"/>
          <w:highlight w:val="none"/>
        </w:rPr>
      </w:pPr>
      <w:r>
        <w:rPr>
          <w:color w:val="auto"/>
          <w:highlight w:val="none"/>
        </w:rPr>
        <w:t>有下列情形之一的投标文件，经</w:t>
      </w:r>
      <w:r>
        <w:rPr>
          <w:rFonts w:hint="eastAsia"/>
          <w:color w:val="auto"/>
          <w:highlight w:val="none"/>
        </w:rPr>
        <w:t>采购人或采购代理机构</w:t>
      </w:r>
      <w:r>
        <w:rPr>
          <w:color w:val="auto"/>
          <w:highlight w:val="none"/>
        </w:rPr>
        <w:t>认定属实后将该投标文件作无效标处理：</w:t>
      </w:r>
    </w:p>
    <w:p w14:paraId="1C7E2526">
      <w:pPr>
        <w:snapToGrid w:val="0"/>
        <w:spacing w:line="360" w:lineRule="auto"/>
        <w:ind w:firstLine="411" w:firstLineChars="196"/>
        <w:rPr>
          <w:color w:val="auto"/>
          <w:highlight w:val="none"/>
        </w:rPr>
      </w:pPr>
      <w:r>
        <w:rPr>
          <w:color w:val="auto"/>
          <w:highlight w:val="none"/>
        </w:rPr>
        <w:t>1）</w:t>
      </w:r>
      <w:r>
        <w:rPr>
          <w:color w:val="auto"/>
          <w:highlight w:val="none"/>
        </w:rPr>
        <w:tab/>
      </w:r>
      <w:r>
        <w:rPr>
          <w:color w:val="auto"/>
          <w:highlight w:val="none"/>
        </w:rPr>
        <w:t>投标文件内容不能充分证明</w:t>
      </w:r>
      <w:r>
        <w:rPr>
          <w:rFonts w:hint="eastAsia"/>
          <w:color w:val="auto"/>
          <w:highlight w:val="none"/>
        </w:rPr>
        <w:t>供应商</w:t>
      </w:r>
      <w:r>
        <w:rPr>
          <w:color w:val="auto"/>
          <w:highlight w:val="none"/>
        </w:rPr>
        <w:t>符合投标资格条件的；</w:t>
      </w:r>
    </w:p>
    <w:p w14:paraId="1ACBABBB">
      <w:pPr>
        <w:snapToGrid w:val="0"/>
        <w:spacing w:line="360" w:lineRule="auto"/>
        <w:ind w:firstLine="420" w:firstLineChars="200"/>
        <w:rPr>
          <w:color w:val="auto"/>
          <w:highlight w:val="none"/>
        </w:rPr>
      </w:pPr>
      <w:r>
        <w:rPr>
          <w:rFonts w:hint="eastAsia" w:ascii="宋体" w:hAnsi="宋体" w:cs="宋体"/>
          <w:color w:val="auto"/>
          <w:szCs w:val="21"/>
          <w:highlight w:val="none"/>
        </w:rPr>
        <w:t>2）如以联合体形式参加政府采购活动的，</w:t>
      </w:r>
      <w:r>
        <w:rPr>
          <w:rFonts w:hint="eastAsia"/>
          <w:color w:val="auto"/>
          <w:highlight w:val="none"/>
        </w:rPr>
        <w:t>未出具联合协议或联合协议不符合采购文件规定的。</w:t>
      </w:r>
    </w:p>
    <w:p w14:paraId="2017FE3C">
      <w:pPr>
        <w:snapToGrid w:val="0"/>
        <w:spacing w:line="360" w:lineRule="auto"/>
        <w:ind w:firstLine="411" w:firstLineChars="196"/>
        <w:rPr>
          <w:color w:val="auto"/>
          <w:highlight w:val="none"/>
        </w:rPr>
      </w:pPr>
      <w:r>
        <w:rPr>
          <w:rFonts w:hint="eastAsia"/>
          <w:color w:val="auto"/>
          <w:highlight w:val="none"/>
        </w:rPr>
        <w:t>5.7.2</w:t>
      </w:r>
      <w:r>
        <w:rPr>
          <w:color w:val="auto"/>
          <w:highlight w:val="none"/>
        </w:rPr>
        <w:t>商务技术</w:t>
      </w:r>
      <w:r>
        <w:rPr>
          <w:rFonts w:hint="eastAsia"/>
          <w:color w:val="auto"/>
          <w:highlight w:val="none"/>
        </w:rPr>
        <w:t>文件</w:t>
      </w:r>
      <w:r>
        <w:rPr>
          <w:color w:val="auto"/>
          <w:highlight w:val="none"/>
        </w:rPr>
        <w:t>评审阶段：</w:t>
      </w:r>
    </w:p>
    <w:p w14:paraId="0A65BA78">
      <w:pPr>
        <w:spacing w:line="360" w:lineRule="auto"/>
        <w:ind w:firstLine="420" w:firstLineChars="200"/>
        <w:rPr>
          <w:color w:val="auto"/>
          <w:highlight w:val="none"/>
        </w:rPr>
      </w:pPr>
      <w:r>
        <w:rPr>
          <w:color w:val="auto"/>
          <w:highlight w:val="none"/>
        </w:rPr>
        <w:t>有下列情形之一的投标文件，由评标委员会按少数服从多数原则进行认定，经认定属实后将该投标文件作无效标处理：</w:t>
      </w:r>
    </w:p>
    <w:p w14:paraId="4BF13EB8">
      <w:pPr>
        <w:snapToGrid w:val="0"/>
        <w:spacing w:line="360" w:lineRule="auto"/>
        <w:ind w:firstLine="420" w:firstLineChars="200"/>
        <w:rPr>
          <w:color w:val="auto"/>
          <w:highlight w:val="none"/>
        </w:rPr>
      </w:pPr>
      <w:r>
        <w:rPr>
          <w:rFonts w:hint="eastAsia"/>
          <w:color w:val="auto"/>
          <w:highlight w:val="none"/>
        </w:rPr>
        <w:t>1</w:t>
      </w:r>
      <w:r>
        <w:rPr>
          <w:color w:val="auto"/>
          <w:highlight w:val="none"/>
        </w:rPr>
        <w:t>）</w:t>
      </w:r>
      <w:r>
        <w:rPr>
          <w:color w:val="auto"/>
          <w:highlight w:val="none"/>
        </w:rPr>
        <w:tab/>
      </w:r>
      <w:r>
        <w:rPr>
          <w:rFonts w:hint="eastAsia"/>
          <w:color w:val="auto"/>
          <w:highlight w:val="none"/>
        </w:rPr>
        <w:t>供应商</w:t>
      </w:r>
      <w:r>
        <w:rPr>
          <w:color w:val="auto"/>
          <w:highlight w:val="none"/>
        </w:rPr>
        <w:t>提交两份或两份以上内容不同的投标方案，未声明哪一份有效的；</w:t>
      </w:r>
    </w:p>
    <w:p w14:paraId="299038C0">
      <w:pPr>
        <w:snapToGrid w:val="0"/>
        <w:spacing w:line="360" w:lineRule="auto"/>
        <w:ind w:firstLine="420" w:firstLineChars="200"/>
        <w:rPr>
          <w:color w:val="auto"/>
          <w:highlight w:val="none"/>
        </w:rPr>
      </w:pPr>
      <w:r>
        <w:rPr>
          <w:rFonts w:hint="eastAsia"/>
          <w:color w:val="auto"/>
          <w:highlight w:val="none"/>
        </w:rPr>
        <w:t>2</w:t>
      </w:r>
      <w:r>
        <w:rPr>
          <w:color w:val="auto"/>
          <w:highlight w:val="none"/>
        </w:rPr>
        <w:t>）</w:t>
      </w:r>
      <w:r>
        <w:rPr>
          <w:color w:val="auto"/>
          <w:highlight w:val="none"/>
        </w:rPr>
        <w:tab/>
      </w:r>
      <w:r>
        <w:rPr>
          <w:color w:val="auto"/>
          <w:highlight w:val="none"/>
        </w:rPr>
        <w:t>投标文件非</w:t>
      </w:r>
      <w:r>
        <w:rPr>
          <w:rFonts w:hint="eastAsia"/>
          <w:color w:val="auto"/>
          <w:highlight w:val="none"/>
        </w:rPr>
        <w:t>供应商</w:t>
      </w:r>
      <w:r>
        <w:rPr>
          <w:color w:val="auto"/>
          <w:highlight w:val="none"/>
        </w:rPr>
        <w:t>法定代表人签署的，未提供或提供无效的法定代表人授权书；</w:t>
      </w:r>
    </w:p>
    <w:p w14:paraId="03BAB025">
      <w:pPr>
        <w:snapToGrid w:val="0"/>
        <w:spacing w:line="360" w:lineRule="auto"/>
        <w:ind w:firstLine="420" w:firstLineChars="200"/>
        <w:rPr>
          <w:color w:val="auto"/>
          <w:highlight w:val="none"/>
        </w:rPr>
      </w:pPr>
      <w:r>
        <w:rPr>
          <w:rFonts w:hint="eastAsia"/>
          <w:snapToGrid w:val="0"/>
          <w:color w:val="auto"/>
          <w:kern w:val="0"/>
          <w:highlight w:val="none"/>
        </w:rPr>
        <w:t>3</w:t>
      </w:r>
      <w:r>
        <w:rPr>
          <w:snapToGrid w:val="0"/>
          <w:color w:val="auto"/>
          <w:kern w:val="0"/>
          <w:highlight w:val="none"/>
        </w:rPr>
        <w:t>）投标文件中法定代表人和授权代表身份证复印件不齐全的；</w:t>
      </w:r>
    </w:p>
    <w:p w14:paraId="3D32CA66">
      <w:pPr>
        <w:snapToGrid w:val="0"/>
        <w:spacing w:line="360" w:lineRule="auto"/>
        <w:ind w:firstLine="420" w:firstLineChars="200"/>
        <w:rPr>
          <w:color w:val="auto"/>
          <w:highlight w:val="none"/>
        </w:rPr>
      </w:pPr>
      <w:r>
        <w:rPr>
          <w:rFonts w:hint="eastAsia"/>
          <w:color w:val="auto"/>
          <w:highlight w:val="none"/>
        </w:rPr>
        <w:t>4</w:t>
      </w:r>
      <w:r>
        <w:rPr>
          <w:color w:val="auto"/>
          <w:highlight w:val="none"/>
        </w:rPr>
        <w:t>）</w:t>
      </w:r>
      <w:r>
        <w:rPr>
          <w:color w:val="auto"/>
          <w:highlight w:val="none"/>
        </w:rPr>
        <w:tab/>
      </w:r>
      <w:r>
        <w:rPr>
          <w:color w:val="auto"/>
          <w:highlight w:val="none"/>
        </w:rPr>
        <w:t>投标文件内容未按采购文件规定盖章的；</w:t>
      </w:r>
    </w:p>
    <w:p w14:paraId="5ECC8BEA">
      <w:pPr>
        <w:snapToGrid w:val="0"/>
        <w:spacing w:line="360" w:lineRule="auto"/>
        <w:ind w:firstLine="420" w:firstLineChars="200"/>
        <w:rPr>
          <w:color w:val="auto"/>
          <w:highlight w:val="none"/>
        </w:rPr>
      </w:pPr>
      <w:r>
        <w:rPr>
          <w:rFonts w:hint="eastAsia"/>
          <w:color w:val="auto"/>
          <w:highlight w:val="none"/>
        </w:rPr>
        <w:t>5</w:t>
      </w:r>
      <w:r>
        <w:rPr>
          <w:color w:val="auto"/>
          <w:highlight w:val="none"/>
        </w:rPr>
        <w:t>）</w:t>
      </w:r>
      <w:r>
        <w:rPr>
          <w:color w:val="auto"/>
          <w:highlight w:val="none"/>
        </w:rPr>
        <w:tab/>
      </w:r>
      <w:r>
        <w:rPr>
          <w:color w:val="auto"/>
          <w:highlight w:val="none"/>
        </w:rPr>
        <w:t>投标文件内容不全或内容字迹模糊辨认不清的等而导致评标活动无法正常进行；</w:t>
      </w:r>
    </w:p>
    <w:p w14:paraId="3CE2319C">
      <w:pPr>
        <w:snapToGrid w:val="0"/>
        <w:spacing w:line="360" w:lineRule="auto"/>
        <w:ind w:firstLine="420" w:firstLineChars="200"/>
        <w:rPr>
          <w:color w:val="auto"/>
          <w:highlight w:val="none"/>
        </w:rPr>
      </w:pPr>
      <w:r>
        <w:rPr>
          <w:rFonts w:hint="eastAsia"/>
          <w:color w:val="auto"/>
          <w:highlight w:val="none"/>
        </w:rPr>
        <w:t>6</w:t>
      </w:r>
      <w:r>
        <w:rPr>
          <w:color w:val="auto"/>
          <w:highlight w:val="none"/>
        </w:rPr>
        <w:t>）</w:t>
      </w:r>
      <w:r>
        <w:rPr>
          <w:color w:val="auto"/>
          <w:highlight w:val="none"/>
        </w:rPr>
        <w:tab/>
      </w:r>
      <w:r>
        <w:rPr>
          <w:rFonts w:hint="eastAsia"/>
          <w:color w:val="auto"/>
          <w:highlight w:val="none"/>
        </w:rPr>
        <w:t>供应商</w:t>
      </w:r>
      <w:r>
        <w:rPr>
          <w:color w:val="auto"/>
          <w:highlight w:val="none"/>
        </w:rPr>
        <w:t>未按采购文件变更通知更改投标文件的；</w:t>
      </w:r>
    </w:p>
    <w:p w14:paraId="2DED68AA">
      <w:pPr>
        <w:snapToGrid w:val="0"/>
        <w:spacing w:line="360" w:lineRule="auto"/>
        <w:ind w:firstLine="420" w:firstLineChars="200"/>
        <w:rPr>
          <w:color w:val="auto"/>
          <w:highlight w:val="none"/>
        </w:rPr>
      </w:pPr>
      <w:r>
        <w:rPr>
          <w:rFonts w:hint="eastAsia"/>
          <w:color w:val="auto"/>
          <w:highlight w:val="none"/>
        </w:rPr>
        <w:t>7</w:t>
      </w:r>
      <w:r>
        <w:rPr>
          <w:color w:val="auto"/>
          <w:highlight w:val="none"/>
        </w:rPr>
        <w:t>）</w:t>
      </w:r>
      <w:r>
        <w:rPr>
          <w:color w:val="auto"/>
          <w:highlight w:val="none"/>
        </w:rPr>
        <w:tab/>
      </w:r>
      <w:r>
        <w:rPr>
          <w:color w:val="auto"/>
          <w:highlight w:val="none"/>
        </w:rPr>
        <w:t>未实质性响应采购文件中带“▲”条款要求的投标文件；</w:t>
      </w:r>
    </w:p>
    <w:p w14:paraId="062A4D1A">
      <w:pPr>
        <w:snapToGrid w:val="0"/>
        <w:spacing w:line="360" w:lineRule="auto"/>
        <w:ind w:firstLine="420" w:firstLineChars="200"/>
        <w:rPr>
          <w:color w:val="auto"/>
          <w:highlight w:val="none"/>
        </w:rPr>
      </w:pPr>
      <w:r>
        <w:rPr>
          <w:rFonts w:hint="eastAsia"/>
          <w:color w:val="auto"/>
          <w:highlight w:val="none"/>
        </w:rPr>
        <w:t>8</w:t>
      </w:r>
      <w:r>
        <w:rPr>
          <w:color w:val="auto"/>
          <w:highlight w:val="none"/>
        </w:rPr>
        <w:t>）</w:t>
      </w:r>
      <w:r>
        <w:rPr>
          <w:snapToGrid w:val="0"/>
          <w:color w:val="auto"/>
          <w:kern w:val="0"/>
          <w:highlight w:val="none"/>
        </w:rPr>
        <w:t>投标有效期、</w:t>
      </w:r>
      <w:r>
        <w:rPr>
          <w:rFonts w:hint="eastAsia"/>
          <w:snapToGrid w:val="0"/>
          <w:color w:val="auto"/>
          <w:kern w:val="0"/>
          <w:highlight w:val="none"/>
        </w:rPr>
        <w:t>服务期</w:t>
      </w:r>
      <w:r>
        <w:rPr>
          <w:snapToGrid w:val="0"/>
          <w:color w:val="auto"/>
          <w:kern w:val="0"/>
          <w:highlight w:val="none"/>
        </w:rPr>
        <w:t>不能满足</w:t>
      </w:r>
      <w:r>
        <w:rPr>
          <w:rFonts w:hint="eastAsia"/>
          <w:snapToGrid w:val="0"/>
          <w:color w:val="auto"/>
          <w:kern w:val="0"/>
          <w:highlight w:val="none"/>
        </w:rPr>
        <w:t>采购文件</w:t>
      </w:r>
      <w:r>
        <w:rPr>
          <w:snapToGrid w:val="0"/>
          <w:color w:val="auto"/>
          <w:kern w:val="0"/>
          <w:highlight w:val="none"/>
        </w:rPr>
        <w:t>要求的；</w:t>
      </w:r>
    </w:p>
    <w:p w14:paraId="0F4A87C7">
      <w:pPr>
        <w:snapToGrid w:val="0"/>
        <w:spacing w:line="360" w:lineRule="auto"/>
        <w:ind w:firstLine="420" w:firstLineChars="200"/>
        <w:rPr>
          <w:color w:val="auto"/>
          <w:highlight w:val="none"/>
        </w:rPr>
      </w:pPr>
      <w:r>
        <w:rPr>
          <w:rFonts w:hint="eastAsia"/>
          <w:color w:val="auto"/>
          <w:highlight w:val="none"/>
        </w:rPr>
        <w:t>9</w:t>
      </w:r>
      <w:r>
        <w:rPr>
          <w:color w:val="auto"/>
          <w:highlight w:val="none"/>
        </w:rPr>
        <w:t>）</w:t>
      </w:r>
      <w:r>
        <w:rPr>
          <w:color w:val="auto"/>
          <w:highlight w:val="none"/>
        </w:rPr>
        <w:tab/>
      </w:r>
      <w:r>
        <w:rPr>
          <w:color w:val="auto"/>
          <w:highlight w:val="none"/>
        </w:rPr>
        <w:t>投标文件附有采购人不能接受的条款；</w:t>
      </w:r>
    </w:p>
    <w:p w14:paraId="68016F6D">
      <w:pPr>
        <w:snapToGrid w:val="0"/>
        <w:spacing w:line="360" w:lineRule="auto"/>
        <w:ind w:firstLine="420" w:firstLineChars="200"/>
        <w:rPr>
          <w:color w:val="auto"/>
          <w:highlight w:val="none"/>
        </w:rPr>
      </w:pPr>
      <w:r>
        <w:rPr>
          <w:color w:val="auto"/>
          <w:highlight w:val="none"/>
        </w:rPr>
        <w:t>1</w:t>
      </w:r>
      <w:r>
        <w:rPr>
          <w:rFonts w:hint="eastAsia"/>
          <w:color w:val="auto"/>
          <w:highlight w:val="none"/>
        </w:rPr>
        <w:t>0</w:t>
      </w:r>
      <w:r>
        <w:rPr>
          <w:color w:val="auto"/>
          <w:highlight w:val="none"/>
        </w:rPr>
        <w:t>）</w:t>
      </w:r>
      <w:r>
        <w:rPr>
          <w:rFonts w:hint="eastAsia"/>
          <w:color w:val="auto"/>
          <w:highlight w:val="none"/>
        </w:rPr>
        <w:t>供应商有下列情形，且无法合理解释的：</w:t>
      </w:r>
    </w:p>
    <w:p w14:paraId="0CBAD09C">
      <w:pPr>
        <w:snapToGrid w:val="0"/>
        <w:spacing w:line="360" w:lineRule="auto"/>
        <w:ind w:firstLine="420" w:firstLineChars="200"/>
        <w:rPr>
          <w:color w:val="auto"/>
          <w:highlight w:val="none"/>
        </w:rPr>
      </w:pPr>
      <w:r>
        <w:rPr>
          <w:rFonts w:hint="eastAsia"/>
          <w:color w:val="auto"/>
          <w:highlight w:val="none"/>
        </w:rPr>
        <w:t>10.1不同供应商的电子投标（响应）文件上传计算机的网卡MAC地址或硬盘序列号等硬件信息相同的；</w:t>
      </w:r>
    </w:p>
    <w:p w14:paraId="62B90D92">
      <w:pPr>
        <w:snapToGrid w:val="0"/>
        <w:spacing w:line="360" w:lineRule="auto"/>
        <w:ind w:firstLine="420" w:firstLineChars="200"/>
        <w:rPr>
          <w:color w:val="auto"/>
          <w:highlight w:val="none"/>
        </w:rPr>
      </w:pPr>
      <w:r>
        <w:rPr>
          <w:rFonts w:hint="eastAsia"/>
          <w:color w:val="auto"/>
          <w:highlight w:val="none"/>
        </w:rPr>
        <w:t>10.2上传的电子投标（响应）文件若出现使用本项目其他投标（响应）供应商的数字证书加密的，或者加盖本项目其他投标（响应）供应商的电子印章的；</w:t>
      </w:r>
    </w:p>
    <w:p w14:paraId="79D44A9D">
      <w:pPr>
        <w:snapToGrid w:val="0"/>
        <w:spacing w:line="360" w:lineRule="auto"/>
        <w:ind w:firstLine="420" w:firstLineChars="200"/>
        <w:rPr>
          <w:color w:val="auto"/>
          <w:highlight w:val="none"/>
        </w:rPr>
      </w:pPr>
      <w:r>
        <w:rPr>
          <w:rFonts w:hint="eastAsia"/>
          <w:color w:val="auto"/>
          <w:highlight w:val="none"/>
        </w:rPr>
        <w:t>10.3不同供应商的投标（响应）文件的内容存在3处（含）以上错误一致的；</w:t>
      </w:r>
    </w:p>
    <w:p w14:paraId="02A742D5">
      <w:pPr>
        <w:snapToGrid w:val="0"/>
        <w:spacing w:line="360" w:lineRule="auto"/>
        <w:ind w:firstLine="420" w:firstLineChars="200"/>
        <w:rPr>
          <w:color w:val="auto"/>
          <w:highlight w:val="none"/>
        </w:rPr>
      </w:pPr>
      <w:r>
        <w:rPr>
          <w:rFonts w:hint="eastAsia"/>
          <w:color w:val="auto"/>
          <w:highlight w:val="none"/>
        </w:rPr>
        <w:t>10.4.不同供应商联系人为同一人或不同联系人的联系电话一致的；</w:t>
      </w:r>
    </w:p>
    <w:p w14:paraId="1835FC97">
      <w:pPr>
        <w:snapToGrid w:val="0"/>
        <w:spacing w:line="360" w:lineRule="auto"/>
        <w:ind w:firstLine="420" w:firstLineChars="200"/>
        <w:rPr>
          <w:color w:val="auto"/>
          <w:highlight w:val="none"/>
        </w:rPr>
      </w:pPr>
      <w:r>
        <w:rPr>
          <w:color w:val="auto"/>
          <w:highlight w:val="none"/>
        </w:rPr>
        <w:t>1</w:t>
      </w:r>
      <w:r>
        <w:rPr>
          <w:rFonts w:hint="eastAsia"/>
          <w:color w:val="auto"/>
          <w:highlight w:val="none"/>
        </w:rPr>
        <w:t>1</w:t>
      </w:r>
      <w:r>
        <w:rPr>
          <w:color w:val="auto"/>
          <w:highlight w:val="none"/>
        </w:rPr>
        <w:t>）供应商提供虚假材料投标的</w:t>
      </w:r>
      <w:r>
        <w:rPr>
          <w:rFonts w:hint="eastAsia"/>
          <w:color w:val="auto"/>
          <w:highlight w:val="none"/>
        </w:rPr>
        <w:t>，或投标响应情况与事实不符的</w:t>
      </w:r>
      <w:r>
        <w:rPr>
          <w:color w:val="auto"/>
          <w:highlight w:val="none"/>
        </w:rPr>
        <w:t>；</w:t>
      </w:r>
    </w:p>
    <w:p w14:paraId="2F07728D">
      <w:pPr>
        <w:snapToGrid w:val="0"/>
        <w:spacing w:line="360" w:lineRule="auto"/>
        <w:ind w:firstLine="420" w:firstLineChars="200"/>
        <w:rPr>
          <w:color w:val="auto"/>
          <w:highlight w:val="none"/>
        </w:rPr>
      </w:pPr>
      <w:r>
        <w:rPr>
          <w:color w:val="auto"/>
          <w:highlight w:val="none"/>
        </w:rPr>
        <w:t>1</w:t>
      </w:r>
      <w:r>
        <w:rPr>
          <w:rFonts w:hint="eastAsia"/>
          <w:color w:val="auto"/>
          <w:highlight w:val="none"/>
        </w:rPr>
        <w:t>2</w:t>
      </w:r>
      <w:r>
        <w:rPr>
          <w:color w:val="auto"/>
          <w:highlight w:val="none"/>
        </w:rPr>
        <w:t>）</w:t>
      </w:r>
      <w:r>
        <w:rPr>
          <w:color w:val="auto"/>
          <w:highlight w:val="none"/>
        </w:rPr>
        <w:tab/>
      </w:r>
      <w:r>
        <w:rPr>
          <w:color w:val="auto"/>
          <w:highlight w:val="none"/>
        </w:rPr>
        <w:t>投标文件中提供了与采购无关的赠品、回扣或者其他商品、服务；</w:t>
      </w:r>
    </w:p>
    <w:p w14:paraId="62C4FC89">
      <w:pPr>
        <w:snapToGrid w:val="0"/>
        <w:spacing w:line="360" w:lineRule="auto"/>
        <w:ind w:firstLine="420" w:firstLineChars="200"/>
        <w:rPr>
          <w:color w:val="auto"/>
          <w:highlight w:val="none"/>
        </w:rPr>
      </w:pPr>
      <w:r>
        <w:rPr>
          <w:color w:val="auto"/>
          <w:highlight w:val="none"/>
        </w:rPr>
        <w:tab/>
      </w:r>
      <w:r>
        <w:rPr>
          <w:color w:val="auto"/>
          <w:highlight w:val="none"/>
        </w:rPr>
        <w:t>1</w:t>
      </w:r>
      <w:r>
        <w:rPr>
          <w:rFonts w:hint="eastAsia"/>
          <w:color w:val="auto"/>
          <w:highlight w:val="none"/>
        </w:rPr>
        <w:t>3</w:t>
      </w:r>
      <w:r>
        <w:rPr>
          <w:color w:val="auto"/>
          <w:highlight w:val="none"/>
        </w:rPr>
        <w:t>）</w:t>
      </w:r>
      <w:r>
        <w:rPr>
          <w:rFonts w:hint="eastAsia"/>
          <w:color w:val="auto"/>
          <w:highlight w:val="none"/>
        </w:rPr>
        <w:t>供应商</w:t>
      </w:r>
      <w:r>
        <w:rPr>
          <w:color w:val="auto"/>
          <w:highlight w:val="none"/>
        </w:rPr>
        <w:t>串通投标，妨碍其他</w:t>
      </w:r>
      <w:r>
        <w:rPr>
          <w:rFonts w:hint="eastAsia"/>
          <w:color w:val="auto"/>
          <w:highlight w:val="none"/>
        </w:rPr>
        <w:t>供应商</w:t>
      </w:r>
      <w:r>
        <w:rPr>
          <w:color w:val="auto"/>
          <w:highlight w:val="none"/>
        </w:rPr>
        <w:t>的竞争行为，损害采购人或者其他</w:t>
      </w:r>
      <w:r>
        <w:rPr>
          <w:rFonts w:hint="eastAsia"/>
          <w:color w:val="auto"/>
          <w:highlight w:val="none"/>
        </w:rPr>
        <w:t>供应商</w:t>
      </w:r>
      <w:r>
        <w:rPr>
          <w:color w:val="auto"/>
          <w:highlight w:val="none"/>
        </w:rPr>
        <w:t>的合法权益；</w:t>
      </w:r>
    </w:p>
    <w:p w14:paraId="2BE93CCF">
      <w:pPr>
        <w:snapToGrid w:val="0"/>
        <w:spacing w:line="360" w:lineRule="auto"/>
        <w:ind w:firstLine="420" w:firstLineChars="200"/>
        <w:rPr>
          <w:color w:val="auto"/>
          <w:highlight w:val="none"/>
        </w:rPr>
      </w:pPr>
      <w:r>
        <w:rPr>
          <w:color w:val="auto"/>
          <w:highlight w:val="none"/>
        </w:rPr>
        <w:tab/>
      </w:r>
      <w:r>
        <w:rPr>
          <w:rFonts w:hint="eastAsia"/>
          <w:color w:val="auto"/>
          <w:highlight w:val="none"/>
        </w:rPr>
        <w:t>14）</w:t>
      </w:r>
      <w:r>
        <w:rPr>
          <w:color w:val="auto"/>
          <w:highlight w:val="none"/>
        </w:rPr>
        <w:t>违反国家及政府部门相关法律、法规、文件规定或经评标委员会认定的其他属于重大偏离。</w:t>
      </w:r>
    </w:p>
    <w:p w14:paraId="6B714F50">
      <w:pPr>
        <w:snapToGrid w:val="0"/>
        <w:spacing w:line="360" w:lineRule="auto"/>
        <w:ind w:firstLine="420" w:firstLineChars="200"/>
        <w:rPr>
          <w:color w:val="auto"/>
          <w:highlight w:val="none"/>
        </w:rPr>
      </w:pPr>
      <w:r>
        <w:rPr>
          <w:rFonts w:hint="eastAsia"/>
          <w:color w:val="auto"/>
          <w:highlight w:val="none"/>
        </w:rPr>
        <w:t>5.7.3</w:t>
      </w:r>
      <w:r>
        <w:rPr>
          <w:color w:val="auto"/>
          <w:highlight w:val="none"/>
        </w:rPr>
        <w:t>报价文件评审阶段：</w:t>
      </w:r>
    </w:p>
    <w:p w14:paraId="7059F2B6">
      <w:pPr>
        <w:snapToGrid w:val="0"/>
        <w:spacing w:line="360" w:lineRule="auto"/>
        <w:ind w:firstLine="420" w:firstLineChars="200"/>
        <w:rPr>
          <w:color w:val="auto"/>
          <w:highlight w:val="none"/>
        </w:rPr>
      </w:pPr>
      <w:r>
        <w:rPr>
          <w:color w:val="auto"/>
          <w:highlight w:val="none"/>
        </w:rPr>
        <w:t>有下列情形之一的投标文件，由评标委员会按少数服从多数原则进行认定，经认定属实后将该投标文件作无效标处理：</w:t>
      </w:r>
    </w:p>
    <w:p w14:paraId="6D7318D0">
      <w:pPr>
        <w:snapToGrid w:val="0"/>
        <w:spacing w:line="360" w:lineRule="auto"/>
        <w:ind w:firstLine="420" w:firstLineChars="200"/>
        <w:rPr>
          <w:color w:val="auto"/>
          <w:highlight w:val="none"/>
        </w:rPr>
      </w:pPr>
      <w:r>
        <w:rPr>
          <w:color w:val="auto"/>
          <w:highlight w:val="none"/>
        </w:rPr>
        <w:t>1）</w:t>
      </w:r>
      <w:r>
        <w:rPr>
          <w:color w:val="auto"/>
          <w:highlight w:val="none"/>
        </w:rPr>
        <w:tab/>
      </w:r>
      <w:r>
        <w:rPr>
          <w:rFonts w:hint="eastAsia"/>
          <w:color w:val="auto"/>
          <w:highlight w:val="none"/>
        </w:rPr>
        <w:t>供应商</w:t>
      </w:r>
      <w:r>
        <w:rPr>
          <w:color w:val="auto"/>
          <w:highlight w:val="none"/>
        </w:rPr>
        <w:t>提交两份或两份以上内容不同的投标报价，未声明哪一份有效的；</w:t>
      </w:r>
    </w:p>
    <w:p w14:paraId="1B8C2505">
      <w:pPr>
        <w:snapToGrid w:val="0"/>
        <w:spacing w:line="360" w:lineRule="auto"/>
        <w:ind w:firstLine="420" w:firstLineChars="200"/>
        <w:rPr>
          <w:color w:val="auto"/>
          <w:highlight w:val="none"/>
        </w:rPr>
      </w:pPr>
      <w:r>
        <w:rPr>
          <w:color w:val="auto"/>
          <w:highlight w:val="none"/>
        </w:rPr>
        <w:t>2）</w:t>
      </w:r>
      <w:r>
        <w:rPr>
          <w:color w:val="auto"/>
          <w:highlight w:val="none"/>
        </w:rPr>
        <w:tab/>
      </w:r>
      <w:r>
        <w:rPr>
          <w:color w:val="auto"/>
          <w:highlight w:val="none"/>
        </w:rPr>
        <w:t>投标文件内容未按采购文件规定盖章的；</w:t>
      </w:r>
    </w:p>
    <w:p w14:paraId="33FF07AE">
      <w:pPr>
        <w:snapToGrid w:val="0"/>
        <w:spacing w:line="360" w:lineRule="auto"/>
        <w:ind w:firstLine="420" w:firstLineChars="200"/>
        <w:rPr>
          <w:color w:val="auto"/>
          <w:highlight w:val="none"/>
        </w:rPr>
      </w:pPr>
      <w:r>
        <w:rPr>
          <w:color w:val="auto"/>
          <w:highlight w:val="none"/>
        </w:rPr>
        <w:t>3）</w:t>
      </w:r>
      <w:r>
        <w:rPr>
          <w:color w:val="auto"/>
          <w:highlight w:val="none"/>
        </w:rPr>
        <w:tab/>
      </w:r>
      <w:r>
        <w:rPr>
          <w:color w:val="auto"/>
          <w:highlight w:val="none"/>
        </w:rPr>
        <w:t>《开标一览表》和《投标价格组成明细表》内容不完整且不接受修正意见或字迹不能辨认的或未提供；</w:t>
      </w:r>
    </w:p>
    <w:p w14:paraId="0D18B5DF">
      <w:pPr>
        <w:snapToGrid w:val="0"/>
        <w:spacing w:line="360" w:lineRule="auto"/>
        <w:ind w:firstLine="420" w:firstLineChars="200"/>
        <w:rPr>
          <w:color w:val="auto"/>
          <w:highlight w:val="none"/>
        </w:rPr>
      </w:pPr>
      <w:r>
        <w:rPr>
          <w:color w:val="auto"/>
          <w:highlight w:val="none"/>
        </w:rPr>
        <w:t>4）</w:t>
      </w:r>
      <w:r>
        <w:rPr>
          <w:color w:val="auto"/>
          <w:highlight w:val="none"/>
        </w:rPr>
        <w:tab/>
      </w:r>
      <w:r>
        <w:rPr>
          <w:color w:val="auto"/>
          <w:highlight w:val="none"/>
        </w:rPr>
        <w:t>所投标项的投标报价超过采购文件规定的预算金额或最高限价；</w:t>
      </w:r>
    </w:p>
    <w:p w14:paraId="3A9F67D6">
      <w:pPr>
        <w:snapToGrid w:val="0"/>
        <w:spacing w:line="360" w:lineRule="auto"/>
        <w:ind w:firstLine="420" w:firstLineChars="200"/>
        <w:rPr>
          <w:color w:val="auto"/>
          <w:highlight w:val="none"/>
        </w:rPr>
      </w:pPr>
      <w:r>
        <w:rPr>
          <w:color w:val="auto"/>
          <w:highlight w:val="none"/>
        </w:rPr>
        <w:t>5）</w:t>
      </w:r>
      <w:r>
        <w:rPr>
          <w:color w:val="auto"/>
          <w:highlight w:val="none"/>
        </w:rPr>
        <w:tab/>
      </w:r>
      <w:r>
        <w:rPr>
          <w:color w:val="auto"/>
          <w:highlight w:val="none"/>
        </w:rPr>
        <w:t>《开标一览表》投标报价为零的，或其报价（大写）无法按正常书写方式进行报价唱标的或无投标报价的；</w:t>
      </w:r>
    </w:p>
    <w:p w14:paraId="00448778">
      <w:pPr>
        <w:snapToGrid w:val="0"/>
        <w:spacing w:line="360" w:lineRule="auto"/>
        <w:ind w:firstLine="420" w:firstLineChars="200"/>
        <w:rPr>
          <w:color w:val="auto"/>
          <w:highlight w:val="none"/>
        </w:rPr>
      </w:pPr>
      <w:r>
        <w:rPr>
          <w:rFonts w:hint="eastAsia"/>
          <w:color w:val="auto"/>
          <w:highlight w:val="none"/>
        </w:rPr>
        <w:t>6</w:t>
      </w:r>
      <w:r>
        <w:rPr>
          <w:color w:val="auto"/>
          <w:highlight w:val="none"/>
        </w:rPr>
        <w:t>）</w:t>
      </w:r>
      <w:r>
        <w:rPr>
          <w:rFonts w:hint="eastAsia"/>
          <w:color w:val="auto"/>
          <w:highlight w:val="none"/>
        </w:rPr>
        <w:t>供应商的报价明显低于其他通过符合性审查供应商的报价，有可能影响产品或服务质量或者不能诚信履约，评标委员会要求其在评标现场合理的时间内提供书面说明（必要时提交相关证明材料），供应商未提供书面说明的或提供的书面说明（相关证明材料）不能证明其报价合理性的</w:t>
      </w:r>
      <w:r>
        <w:rPr>
          <w:color w:val="auto"/>
          <w:highlight w:val="none"/>
        </w:rPr>
        <w:t>；</w:t>
      </w:r>
      <w:r>
        <w:rPr>
          <w:rFonts w:hint="eastAsia"/>
          <w:color w:val="auto"/>
          <w:highlight w:val="none"/>
        </w:rPr>
        <w:t>或供应商未通过异常低价投标（响应）审查的</w:t>
      </w:r>
      <w:r>
        <w:rPr>
          <w:color w:val="auto"/>
          <w:highlight w:val="none"/>
        </w:rPr>
        <w:t>；</w:t>
      </w:r>
    </w:p>
    <w:p w14:paraId="2B35F0C8">
      <w:pPr>
        <w:snapToGrid w:val="0"/>
        <w:spacing w:line="360" w:lineRule="auto"/>
        <w:ind w:firstLine="420" w:firstLineChars="200"/>
        <w:rPr>
          <w:color w:val="auto"/>
          <w:highlight w:val="none"/>
        </w:rPr>
      </w:pPr>
      <w:r>
        <w:rPr>
          <w:rFonts w:hint="eastAsia"/>
          <w:color w:val="auto"/>
          <w:highlight w:val="none"/>
        </w:rPr>
        <w:t>7</w:t>
      </w:r>
      <w:r>
        <w:rPr>
          <w:color w:val="auto"/>
          <w:highlight w:val="none"/>
        </w:rPr>
        <w:t>）投标文件内容不全或内容字迹模糊辨认不清的等而导致评标活动无法正常进行；</w:t>
      </w:r>
    </w:p>
    <w:p w14:paraId="17DEEB42">
      <w:pPr>
        <w:snapToGrid w:val="0"/>
        <w:spacing w:line="360" w:lineRule="auto"/>
        <w:ind w:firstLine="420" w:firstLineChars="200"/>
        <w:rPr>
          <w:color w:val="auto"/>
          <w:highlight w:val="none"/>
        </w:rPr>
      </w:pPr>
      <w:r>
        <w:rPr>
          <w:rFonts w:hint="eastAsia"/>
          <w:color w:val="auto"/>
          <w:highlight w:val="none"/>
        </w:rPr>
        <w:t>8</w:t>
      </w:r>
      <w:r>
        <w:rPr>
          <w:color w:val="auto"/>
          <w:highlight w:val="none"/>
        </w:rPr>
        <w:t>）</w:t>
      </w:r>
      <w:r>
        <w:rPr>
          <w:color w:val="auto"/>
          <w:highlight w:val="none"/>
        </w:rPr>
        <w:tab/>
      </w:r>
      <w:r>
        <w:rPr>
          <w:rFonts w:hint="eastAsia"/>
          <w:color w:val="auto"/>
          <w:highlight w:val="none"/>
        </w:rPr>
        <w:t>供应商</w:t>
      </w:r>
      <w:r>
        <w:rPr>
          <w:color w:val="auto"/>
          <w:highlight w:val="none"/>
        </w:rPr>
        <w:t>未按采购文件变更通知更改投标文件的；</w:t>
      </w:r>
    </w:p>
    <w:p w14:paraId="1FB10031">
      <w:pPr>
        <w:snapToGrid w:val="0"/>
        <w:spacing w:line="360" w:lineRule="auto"/>
        <w:ind w:firstLine="420" w:firstLineChars="200"/>
        <w:rPr>
          <w:color w:val="auto"/>
          <w:highlight w:val="none"/>
        </w:rPr>
      </w:pPr>
      <w:r>
        <w:rPr>
          <w:rFonts w:hint="eastAsia"/>
          <w:color w:val="auto"/>
          <w:highlight w:val="none"/>
        </w:rPr>
        <w:t>9</w:t>
      </w:r>
      <w:r>
        <w:rPr>
          <w:color w:val="auto"/>
          <w:highlight w:val="none"/>
        </w:rPr>
        <w:t>）</w:t>
      </w:r>
      <w:r>
        <w:rPr>
          <w:color w:val="auto"/>
          <w:highlight w:val="none"/>
        </w:rPr>
        <w:tab/>
      </w:r>
      <w:r>
        <w:rPr>
          <w:color w:val="auto"/>
          <w:highlight w:val="none"/>
        </w:rPr>
        <w:t>未实质性响应采购文件中带“▲”条款要求的投标文件；</w:t>
      </w:r>
    </w:p>
    <w:p w14:paraId="276CB3AB">
      <w:pPr>
        <w:snapToGrid w:val="0"/>
        <w:spacing w:line="360" w:lineRule="auto"/>
        <w:ind w:firstLine="420" w:firstLineChars="200"/>
        <w:rPr>
          <w:color w:val="auto"/>
          <w:highlight w:val="none"/>
        </w:rPr>
      </w:pPr>
      <w:r>
        <w:rPr>
          <w:color w:val="auto"/>
          <w:highlight w:val="none"/>
        </w:rPr>
        <w:t>1</w:t>
      </w:r>
      <w:r>
        <w:rPr>
          <w:rFonts w:hint="eastAsia"/>
          <w:color w:val="auto"/>
          <w:highlight w:val="none"/>
        </w:rPr>
        <w:t>0</w:t>
      </w:r>
      <w:r>
        <w:rPr>
          <w:color w:val="auto"/>
          <w:highlight w:val="none"/>
        </w:rPr>
        <w:t>）</w:t>
      </w:r>
      <w:r>
        <w:rPr>
          <w:color w:val="auto"/>
          <w:highlight w:val="none"/>
        </w:rPr>
        <w:tab/>
      </w:r>
      <w:r>
        <w:rPr>
          <w:color w:val="auto"/>
          <w:highlight w:val="none"/>
        </w:rPr>
        <w:t>投标文件附有采购人不能接受的条款；</w:t>
      </w:r>
    </w:p>
    <w:p w14:paraId="2D8A9673">
      <w:pPr>
        <w:snapToGrid w:val="0"/>
        <w:spacing w:line="360" w:lineRule="auto"/>
        <w:ind w:firstLine="420" w:firstLineChars="200"/>
        <w:rPr>
          <w:color w:val="auto"/>
          <w:highlight w:val="none"/>
        </w:rPr>
      </w:pPr>
      <w:r>
        <w:rPr>
          <w:color w:val="auto"/>
          <w:highlight w:val="none"/>
        </w:rPr>
        <w:t>11）供应商提供虚假材料投标的</w:t>
      </w:r>
      <w:r>
        <w:rPr>
          <w:rFonts w:hint="eastAsia"/>
          <w:color w:val="auto"/>
          <w:highlight w:val="none"/>
        </w:rPr>
        <w:t>，或投标响应情况与事实不符的</w:t>
      </w:r>
      <w:r>
        <w:rPr>
          <w:color w:val="auto"/>
          <w:highlight w:val="none"/>
        </w:rPr>
        <w:t>；</w:t>
      </w:r>
    </w:p>
    <w:p w14:paraId="3FE7C885">
      <w:pPr>
        <w:snapToGrid w:val="0"/>
        <w:spacing w:line="360" w:lineRule="auto"/>
        <w:ind w:firstLine="420" w:firstLineChars="200"/>
        <w:rPr>
          <w:color w:val="auto"/>
          <w:highlight w:val="none"/>
        </w:rPr>
      </w:pPr>
      <w:r>
        <w:rPr>
          <w:rFonts w:hint="eastAsia"/>
          <w:color w:val="auto"/>
          <w:highlight w:val="none"/>
        </w:rPr>
        <w:t>12</w:t>
      </w:r>
      <w:r>
        <w:rPr>
          <w:color w:val="auto"/>
          <w:highlight w:val="none"/>
        </w:rPr>
        <w:t>）投标文件中提供了与采购无关的赠品、回扣或者其他商品、服务；</w:t>
      </w:r>
    </w:p>
    <w:p w14:paraId="1BDEF7C7">
      <w:pPr>
        <w:snapToGrid w:val="0"/>
        <w:spacing w:line="360" w:lineRule="auto"/>
        <w:ind w:firstLine="420" w:firstLineChars="200"/>
        <w:rPr>
          <w:color w:val="auto"/>
          <w:highlight w:val="none"/>
        </w:rPr>
      </w:pPr>
      <w:r>
        <w:rPr>
          <w:color w:val="auto"/>
          <w:highlight w:val="none"/>
        </w:rPr>
        <w:t>1</w:t>
      </w:r>
      <w:r>
        <w:rPr>
          <w:rFonts w:hint="eastAsia"/>
          <w:color w:val="auto"/>
          <w:highlight w:val="none"/>
        </w:rPr>
        <w:t>3</w:t>
      </w:r>
      <w:r>
        <w:rPr>
          <w:color w:val="auto"/>
          <w:highlight w:val="none"/>
        </w:rPr>
        <w:t>）</w:t>
      </w:r>
      <w:r>
        <w:rPr>
          <w:color w:val="auto"/>
          <w:highlight w:val="none"/>
        </w:rPr>
        <w:tab/>
      </w:r>
      <w:r>
        <w:rPr>
          <w:rFonts w:hint="eastAsia"/>
          <w:color w:val="auto"/>
          <w:highlight w:val="none"/>
        </w:rPr>
        <w:t>供应商</w:t>
      </w:r>
      <w:r>
        <w:rPr>
          <w:color w:val="auto"/>
          <w:highlight w:val="none"/>
        </w:rPr>
        <w:t>串通投标，妨碍其他</w:t>
      </w:r>
      <w:r>
        <w:rPr>
          <w:rFonts w:hint="eastAsia"/>
          <w:color w:val="auto"/>
          <w:highlight w:val="none"/>
        </w:rPr>
        <w:t>供应商</w:t>
      </w:r>
      <w:r>
        <w:rPr>
          <w:color w:val="auto"/>
          <w:highlight w:val="none"/>
        </w:rPr>
        <w:t>的竞争行为，损害采购人或者其他</w:t>
      </w:r>
      <w:r>
        <w:rPr>
          <w:rFonts w:hint="eastAsia"/>
          <w:color w:val="auto"/>
          <w:highlight w:val="none"/>
        </w:rPr>
        <w:t>供应商</w:t>
      </w:r>
      <w:r>
        <w:rPr>
          <w:color w:val="auto"/>
          <w:highlight w:val="none"/>
        </w:rPr>
        <w:t>的合法权益；</w:t>
      </w:r>
    </w:p>
    <w:p w14:paraId="314B8AC4">
      <w:pPr>
        <w:snapToGrid w:val="0"/>
        <w:spacing w:line="360" w:lineRule="auto"/>
        <w:ind w:firstLine="420" w:firstLineChars="200"/>
        <w:rPr>
          <w:color w:val="auto"/>
          <w:highlight w:val="none"/>
        </w:rPr>
      </w:pPr>
      <w:r>
        <w:rPr>
          <w:color w:val="auto"/>
          <w:highlight w:val="none"/>
        </w:rPr>
        <w:t>1</w:t>
      </w:r>
      <w:r>
        <w:rPr>
          <w:rFonts w:hint="eastAsia"/>
          <w:color w:val="auto"/>
          <w:highlight w:val="none"/>
        </w:rPr>
        <w:t>4</w:t>
      </w:r>
      <w:r>
        <w:rPr>
          <w:color w:val="auto"/>
          <w:highlight w:val="none"/>
        </w:rPr>
        <w:t>）</w:t>
      </w:r>
      <w:r>
        <w:rPr>
          <w:color w:val="auto"/>
          <w:highlight w:val="none"/>
        </w:rPr>
        <w:tab/>
      </w:r>
      <w:r>
        <w:rPr>
          <w:color w:val="auto"/>
          <w:highlight w:val="none"/>
        </w:rPr>
        <w:t>违反国家及政府部门相关法律、法规、文件规定或经评标委员会认定的其他属于重大偏离。</w:t>
      </w:r>
    </w:p>
    <w:p w14:paraId="6CB32BEC">
      <w:pPr>
        <w:pStyle w:val="4"/>
        <w:spacing w:line="360" w:lineRule="auto"/>
        <w:ind w:firstLine="422"/>
        <w:rPr>
          <w:rFonts w:ascii="Times New Roman" w:hAnsi="Times New Roman"/>
          <w:color w:val="auto"/>
          <w:highlight w:val="none"/>
        </w:rPr>
      </w:pPr>
      <w:r>
        <w:rPr>
          <w:rFonts w:ascii="Times New Roman" w:hAnsi="Times New Roman"/>
          <w:color w:val="auto"/>
          <w:highlight w:val="none"/>
        </w:rPr>
        <w:t>5.8 串通投标</w:t>
      </w:r>
    </w:p>
    <w:p w14:paraId="396C984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有下列情形之一的，视为</w:t>
      </w:r>
      <w:r>
        <w:rPr>
          <w:rFonts w:hint="eastAsia" w:ascii="Times New Roman" w:hAnsi="Times New Roman"/>
          <w:color w:val="auto"/>
          <w:highlight w:val="none"/>
        </w:rPr>
        <w:t>供应商</w:t>
      </w:r>
      <w:r>
        <w:rPr>
          <w:rFonts w:ascii="Times New Roman" w:hAnsi="Times New Roman"/>
          <w:color w:val="auto"/>
          <w:highlight w:val="none"/>
        </w:rPr>
        <w:t>串通投标：</w:t>
      </w:r>
    </w:p>
    <w:p w14:paraId="6F97FA3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1）不同</w:t>
      </w:r>
      <w:r>
        <w:rPr>
          <w:rFonts w:hint="eastAsia" w:ascii="Times New Roman" w:hAnsi="Times New Roman"/>
          <w:color w:val="auto"/>
          <w:highlight w:val="none"/>
        </w:rPr>
        <w:t>供应商</w:t>
      </w:r>
      <w:r>
        <w:rPr>
          <w:rFonts w:ascii="Times New Roman" w:hAnsi="Times New Roman"/>
          <w:color w:val="auto"/>
          <w:highlight w:val="none"/>
        </w:rPr>
        <w:t>的投标文件由同一单位或者个人编制；</w:t>
      </w:r>
    </w:p>
    <w:p w14:paraId="4A40392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2）不同</w:t>
      </w:r>
      <w:r>
        <w:rPr>
          <w:rFonts w:hint="eastAsia" w:ascii="Times New Roman" w:hAnsi="Times New Roman"/>
          <w:color w:val="auto"/>
          <w:highlight w:val="none"/>
        </w:rPr>
        <w:t>供应商</w:t>
      </w:r>
      <w:r>
        <w:rPr>
          <w:rFonts w:ascii="Times New Roman" w:hAnsi="Times New Roman"/>
          <w:color w:val="auto"/>
          <w:highlight w:val="none"/>
        </w:rPr>
        <w:t>委托同一单位或者个人办理投标事宜；</w:t>
      </w:r>
    </w:p>
    <w:p w14:paraId="76C005B1">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3）不同</w:t>
      </w:r>
      <w:r>
        <w:rPr>
          <w:rFonts w:hint="eastAsia" w:ascii="Times New Roman" w:hAnsi="Times New Roman"/>
          <w:color w:val="auto"/>
          <w:highlight w:val="none"/>
        </w:rPr>
        <w:t>供应商</w:t>
      </w:r>
      <w:r>
        <w:rPr>
          <w:rFonts w:ascii="Times New Roman" w:hAnsi="Times New Roman"/>
          <w:color w:val="auto"/>
          <w:highlight w:val="none"/>
        </w:rPr>
        <w:t>的投标文件载明的项目管理成员或者联系人员为同一人；</w:t>
      </w:r>
    </w:p>
    <w:p w14:paraId="67F0BB1F">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4）不同</w:t>
      </w:r>
      <w:r>
        <w:rPr>
          <w:rFonts w:hint="eastAsia" w:ascii="Times New Roman" w:hAnsi="Times New Roman"/>
          <w:color w:val="auto"/>
          <w:highlight w:val="none"/>
        </w:rPr>
        <w:t>供应商</w:t>
      </w:r>
      <w:r>
        <w:rPr>
          <w:rFonts w:ascii="Times New Roman" w:hAnsi="Times New Roman"/>
          <w:color w:val="auto"/>
          <w:highlight w:val="none"/>
        </w:rPr>
        <w:t>的投标文件异常一致或者投标报价呈规律性差异；</w:t>
      </w:r>
    </w:p>
    <w:p w14:paraId="2FE0B9F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5）不同</w:t>
      </w:r>
      <w:r>
        <w:rPr>
          <w:rFonts w:hint="eastAsia" w:ascii="Times New Roman" w:hAnsi="Times New Roman"/>
          <w:color w:val="auto"/>
          <w:highlight w:val="none"/>
        </w:rPr>
        <w:t>供应商</w:t>
      </w:r>
      <w:r>
        <w:rPr>
          <w:rFonts w:ascii="Times New Roman" w:hAnsi="Times New Roman"/>
          <w:color w:val="auto"/>
          <w:highlight w:val="none"/>
        </w:rPr>
        <w:t>的投标文件相互混装。</w:t>
      </w:r>
    </w:p>
    <w:p w14:paraId="01D53FEE">
      <w:pPr>
        <w:pStyle w:val="4"/>
        <w:spacing w:line="360" w:lineRule="auto"/>
        <w:ind w:firstLine="422"/>
        <w:rPr>
          <w:rFonts w:ascii="Times New Roman" w:hAnsi="Times New Roman"/>
          <w:color w:val="auto"/>
          <w:highlight w:val="none"/>
        </w:rPr>
      </w:pPr>
      <w:r>
        <w:rPr>
          <w:rFonts w:ascii="Times New Roman" w:hAnsi="Times New Roman"/>
          <w:color w:val="auto"/>
          <w:highlight w:val="none"/>
        </w:rPr>
        <w:t>5.9 评标</w:t>
      </w:r>
    </w:p>
    <w:p w14:paraId="7ADB1DA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5.9.1 采购人将按相关规定组织评标委员会，对投标文件进行审查、比较和评价。</w:t>
      </w:r>
    </w:p>
    <w:p w14:paraId="78951A1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5.9.2评标办法</w:t>
      </w:r>
    </w:p>
    <w:p w14:paraId="6C725641">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评标办法详见第四章。</w:t>
      </w:r>
    </w:p>
    <w:p w14:paraId="6166A3A7">
      <w:pPr>
        <w:pStyle w:val="4"/>
        <w:spacing w:line="360" w:lineRule="auto"/>
        <w:ind w:firstLine="422"/>
        <w:rPr>
          <w:rFonts w:ascii="Times New Roman" w:hAnsi="Times New Roman"/>
          <w:color w:val="auto"/>
          <w:highlight w:val="none"/>
        </w:rPr>
      </w:pPr>
      <w:r>
        <w:rPr>
          <w:rFonts w:ascii="Times New Roman" w:hAnsi="Times New Roman"/>
          <w:color w:val="auto"/>
          <w:highlight w:val="none"/>
        </w:rPr>
        <w:t>5.10 有效</w:t>
      </w:r>
      <w:r>
        <w:rPr>
          <w:rFonts w:hint="eastAsia" w:ascii="Times New Roman" w:hAnsi="Times New Roman"/>
          <w:color w:val="auto"/>
          <w:highlight w:val="none"/>
        </w:rPr>
        <w:t>供应商</w:t>
      </w:r>
      <w:r>
        <w:rPr>
          <w:rFonts w:ascii="Times New Roman" w:hAnsi="Times New Roman"/>
          <w:color w:val="auto"/>
          <w:highlight w:val="none"/>
        </w:rPr>
        <w:t>少于三家的情况处理</w:t>
      </w:r>
    </w:p>
    <w:p w14:paraId="44103EDA">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评审期间，出现符合资格条件的供应商或者对采购文件做出实质响应的供应商不足三家，本标项作废标处理，重新组织采购</w:t>
      </w:r>
      <w:r>
        <w:rPr>
          <w:rFonts w:hint="eastAsia" w:ascii="Times New Roman" w:hAnsi="Times New Roman"/>
          <w:color w:val="auto"/>
          <w:highlight w:val="none"/>
        </w:rPr>
        <w:t>。</w:t>
      </w:r>
    </w:p>
    <w:p w14:paraId="2090D795">
      <w:pPr>
        <w:pStyle w:val="4"/>
        <w:spacing w:line="360" w:lineRule="auto"/>
        <w:ind w:firstLine="422"/>
        <w:rPr>
          <w:rFonts w:ascii="Times New Roman" w:hAnsi="Times New Roman"/>
          <w:color w:val="auto"/>
          <w:highlight w:val="none"/>
        </w:rPr>
      </w:pPr>
      <w:r>
        <w:rPr>
          <w:rFonts w:ascii="Times New Roman" w:hAnsi="Times New Roman"/>
          <w:color w:val="auto"/>
          <w:highlight w:val="none"/>
        </w:rPr>
        <w:t>5.11 废标</w:t>
      </w:r>
    </w:p>
    <w:p w14:paraId="72785036">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在招标采购中，出现下列情形之一的，应予废标：</w:t>
      </w:r>
    </w:p>
    <w:p w14:paraId="6453263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（1）符合采购文件规定废标情形的；</w:t>
      </w:r>
    </w:p>
    <w:p w14:paraId="19FB32E3">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（2）出现影响采购公正的违法、违规行为的；</w:t>
      </w:r>
    </w:p>
    <w:p w14:paraId="64F0853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（3）</w:t>
      </w:r>
      <w:r>
        <w:rPr>
          <w:rFonts w:hint="eastAsia" w:ascii="Times New Roman" w:hAnsi="Times New Roman"/>
          <w:color w:val="auto"/>
          <w:highlight w:val="none"/>
        </w:rPr>
        <w:t>供应商</w:t>
      </w:r>
      <w:r>
        <w:rPr>
          <w:rFonts w:ascii="Times New Roman" w:hAnsi="Times New Roman"/>
          <w:color w:val="auto"/>
          <w:highlight w:val="none"/>
        </w:rPr>
        <w:t>的报价均超过了采购预算，采购人不能支付的；</w:t>
      </w:r>
    </w:p>
    <w:p w14:paraId="42937BA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（4）因重大变故，采购任务取消的；</w:t>
      </w:r>
    </w:p>
    <w:p w14:paraId="6C9C90F5">
      <w:pPr>
        <w:pStyle w:val="4"/>
        <w:spacing w:line="360" w:lineRule="auto"/>
        <w:ind w:firstLine="422"/>
        <w:rPr>
          <w:rFonts w:ascii="Times New Roman" w:hAnsi="Times New Roman"/>
          <w:color w:val="auto"/>
          <w:highlight w:val="none"/>
        </w:rPr>
      </w:pPr>
      <w:r>
        <w:rPr>
          <w:rFonts w:ascii="Times New Roman" w:hAnsi="Times New Roman"/>
          <w:color w:val="auto"/>
          <w:highlight w:val="none"/>
        </w:rPr>
        <w:t>5.12 确定采购结果</w:t>
      </w:r>
    </w:p>
    <w:p w14:paraId="2AC7304B">
      <w:pPr>
        <w:pStyle w:val="142"/>
        <w:snapToGrid w:val="0"/>
        <w:spacing w:line="360" w:lineRule="auto"/>
        <w:ind w:firstLine="420"/>
        <w:rPr>
          <w:rFonts w:ascii="Times New Roman" w:hAnsi="Times New Roman"/>
          <w:color w:val="auto"/>
          <w:highlight w:val="none"/>
        </w:rPr>
      </w:pPr>
      <w:r>
        <w:rPr>
          <w:rFonts w:ascii="Times New Roman" w:hAnsi="Times New Roman"/>
          <w:color w:val="auto"/>
          <w:szCs w:val="21"/>
          <w:highlight w:val="none"/>
        </w:rPr>
        <w:t>采购代理机构自评审结束之日起2个工作日内将评审报告送交采购人。采购人自收到评审报告之日起5个工作日内在评审报告推荐的中标候选人中按顺序确定中标人。</w:t>
      </w:r>
    </w:p>
    <w:p w14:paraId="5735D3F4">
      <w:pPr>
        <w:pStyle w:val="4"/>
        <w:spacing w:line="360" w:lineRule="auto"/>
        <w:ind w:firstLine="422"/>
        <w:rPr>
          <w:rFonts w:ascii="Times New Roman" w:hAnsi="Times New Roman"/>
          <w:color w:val="auto"/>
          <w:highlight w:val="none"/>
        </w:rPr>
      </w:pPr>
      <w:r>
        <w:rPr>
          <w:rFonts w:ascii="Times New Roman" w:hAnsi="Times New Roman"/>
          <w:color w:val="auto"/>
          <w:highlight w:val="none"/>
        </w:rPr>
        <w:t>5.13 结果公告</w:t>
      </w:r>
    </w:p>
    <w:p w14:paraId="7EC0CEC2">
      <w:pPr>
        <w:pStyle w:val="142"/>
        <w:snapToGrid w:val="0"/>
        <w:spacing w:line="360" w:lineRule="auto"/>
        <w:ind w:firstLine="420"/>
        <w:rPr>
          <w:rFonts w:ascii="Times New Roman" w:hAnsi="Times New Roman"/>
          <w:color w:val="auto"/>
          <w:szCs w:val="21"/>
          <w:highlight w:val="none"/>
        </w:rPr>
      </w:pPr>
      <w:r>
        <w:rPr>
          <w:rFonts w:ascii="Times New Roman" w:hAnsi="Times New Roman"/>
          <w:color w:val="auto"/>
          <w:szCs w:val="21"/>
          <w:highlight w:val="none"/>
        </w:rPr>
        <w:t>采购代理机构自中标人确定之日起2个工作日内，在省级以上财政部门指定的媒体上公告中标结果，在公告中标结果的同时，采购代理机构向中标人发出中标通知书。</w:t>
      </w:r>
    </w:p>
    <w:p w14:paraId="67A39589">
      <w:pPr>
        <w:pStyle w:val="4"/>
        <w:spacing w:line="360" w:lineRule="auto"/>
        <w:ind w:firstLine="422"/>
        <w:rPr>
          <w:rFonts w:ascii="Times New Roman" w:hAnsi="Times New Roman"/>
          <w:color w:val="auto"/>
          <w:highlight w:val="none"/>
        </w:rPr>
      </w:pPr>
      <w:r>
        <w:rPr>
          <w:rFonts w:ascii="Times New Roman" w:hAnsi="Times New Roman"/>
          <w:color w:val="auto"/>
          <w:highlight w:val="none"/>
        </w:rPr>
        <w:t>5.</w:t>
      </w:r>
      <w:r>
        <w:rPr>
          <w:rFonts w:ascii="Times New Roman" w:hAnsi="Times New Roman"/>
          <w:bCs/>
          <w:color w:val="auto"/>
          <w:highlight w:val="none"/>
        </w:rPr>
        <w:t xml:space="preserve">14 </w:t>
      </w:r>
      <w:r>
        <w:rPr>
          <w:rFonts w:ascii="Times New Roman" w:hAnsi="Times New Roman"/>
          <w:color w:val="auto"/>
          <w:highlight w:val="none"/>
        </w:rPr>
        <w:t>采购过程、采购结果质疑</w:t>
      </w:r>
    </w:p>
    <w:p w14:paraId="7020E2B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5.14.1</w:t>
      </w:r>
      <w:r>
        <w:rPr>
          <w:rFonts w:hint="eastAsia" w:ascii="Times New Roman" w:hAnsi="Times New Roman"/>
          <w:color w:val="auto"/>
          <w:highlight w:val="none"/>
        </w:rPr>
        <w:t>供应商</w:t>
      </w:r>
      <w:r>
        <w:rPr>
          <w:rFonts w:ascii="Times New Roman" w:hAnsi="Times New Roman"/>
          <w:color w:val="auto"/>
          <w:highlight w:val="none"/>
        </w:rPr>
        <w:t>认为采购过程、采购结果使自己的合法权益受到损害的，</w:t>
      </w:r>
      <w:r>
        <w:rPr>
          <w:rFonts w:hint="eastAsia" w:ascii="Times New Roman" w:hAnsi="Times New Roman"/>
          <w:color w:val="auto"/>
          <w:highlight w:val="none"/>
        </w:rPr>
        <w:t>供应商</w:t>
      </w:r>
      <w:r>
        <w:rPr>
          <w:rFonts w:ascii="Times New Roman" w:hAnsi="Times New Roman"/>
          <w:color w:val="auto"/>
          <w:highlight w:val="none"/>
        </w:rPr>
        <w:t>可以提出书面质疑。</w:t>
      </w:r>
    </w:p>
    <w:p w14:paraId="1CD3C60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5.14.2质疑书须包括以下内容：</w:t>
      </w:r>
    </w:p>
    <w:p w14:paraId="7148BC67">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（一）供应商的姓名或者名称、地址、邮编、联系人及联系电话；</w:t>
      </w:r>
    </w:p>
    <w:p w14:paraId="258308A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（二）质疑项目的名称、编号；</w:t>
      </w:r>
    </w:p>
    <w:p w14:paraId="77DA57FA">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（三）具体、明确的质疑事项和与质疑事项相关的请求；</w:t>
      </w:r>
    </w:p>
    <w:p w14:paraId="601BC110">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（四）事实依据；</w:t>
      </w:r>
    </w:p>
    <w:p w14:paraId="5423BEA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（五）必要的法律依据；</w:t>
      </w:r>
    </w:p>
    <w:p w14:paraId="65AB2DE8">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（六）提出质疑的日期。</w:t>
      </w:r>
    </w:p>
    <w:p w14:paraId="6323B4E9">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5.14.3采购过程的质疑期限自各采购程序环节结束之日起计算，7个工作日内向采购代理机构提出，逾期提出不予受理。</w:t>
      </w:r>
    </w:p>
    <w:p w14:paraId="247F031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采购结果的质疑期限自采购结果公告</w:t>
      </w:r>
      <w:r>
        <w:rPr>
          <w:rFonts w:ascii="Times New Roman" w:hAnsi="Times New Roman"/>
          <w:color w:val="auto"/>
          <w:szCs w:val="21"/>
          <w:highlight w:val="none"/>
        </w:rPr>
        <w:t>期限届满之日（自本公告发布之日起至第2日24时止）</w:t>
      </w:r>
      <w:r>
        <w:rPr>
          <w:rFonts w:ascii="Times New Roman" w:hAnsi="Times New Roman"/>
          <w:color w:val="auto"/>
          <w:highlight w:val="none"/>
        </w:rPr>
        <w:t>之日起计算，7个工作日内向采购代理机构提出，逾期提出不予受理。</w:t>
      </w:r>
    </w:p>
    <w:p w14:paraId="05BFBF42">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5.14.4质疑书中涉及的相关材料中有外文资料的，应当将与质疑相关的外文资料完整、客观、真实地翻译为中文，并注明翻译人员姓名、工作单位、联系方式等信息。</w:t>
      </w:r>
    </w:p>
    <w:p w14:paraId="407F9A3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5.14.5质疑书必须署名，供应商为自然人的，应当由本人签字；供应商为法人或者其他组织的，应当由法定代表人、主要负责人，或者其授权代表签字或者盖章，并加盖公章，否则不予受理。</w:t>
      </w:r>
    </w:p>
    <w:p w14:paraId="463348C3">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5.14.6质疑书以直接提交、传真或邮寄方式提交（一式三份）。</w:t>
      </w:r>
    </w:p>
    <w:p w14:paraId="0AC396A1">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5.14.7质疑书以传真形式提交后，同时须向采购代理机构提交质疑书原件，采购代理机构以收到原件之日作为收到质疑日。</w:t>
      </w:r>
    </w:p>
    <w:p w14:paraId="7F7D0F2B">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5.14.8供应商不得捏造事实、提供虚假材料或者以非法手段取得证明材料进行质疑。</w:t>
      </w:r>
    </w:p>
    <w:p w14:paraId="01EDA48B">
      <w:pPr>
        <w:pStyle w:val="4"/>
        <w:spacing w:line="360" w:lineRule="auto"/>
        <w:ind w:firstLine="422"/>
        <w:rPr>
          <w:rFonts w:ascii="Times New Roman" w:hAnsi="Times New Roman"/>
          <w:color w:val="auto"/>
          <w:highlight w:val="none"/>
        </w:rPr>
      </w:pPr>
      <w:r>
        <w:rPr>
          <w:rFonts w:ascii="Times New Roman" w:hAnsi="Times New Roman"/>
          <w:color w:val="auto"/>
          <w:highlight w:val="none"/>
        </w:rPr>
        <w:t>5.15 发出中标通知书</w:t>
      </w:r>
    </w:p>
    <w:p w14:paraId="476D68F0">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5.15.1采购人及采购代理机构将以书面形式向中标人发出中标通知书。中标通知书发出后，采购人不得违法改变中标结果，中标人无正当理由不得放弃中标。</w:t>
      </w:r>
    </w:p>
    <w:p w14:paraId="215D5207">
      <w:pPr>
        <w:pStyle w:val="4"/>
        <w:spacing w:line="360" w:lineRule="auto"/>
        <w:ind w:firstLine="422"/>
        <w:rPr>
          <w:rFonts w:ascii="Times New Roman" w:hAnsi="Times New Roman"/>
          <w:color w:val="auto"/>
          <w:highlight w:val="none"/>
        </w:rPr>
      </w:pPr>
      <w:r>
        <w:rPr>
          <w:rFonts w:ascii="Times New Roman" w:hAnsi="Times New Roman"/>
          <w:color w:val="auto"/>
          <w:highlight w:val="none"/>
        </w:rPr>
        <w:t>5.16 签订合同</w:t>
      </w:r>
    </w:p>
    <w:p w14:paraId="4744A87C">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5.16.1采购人应当自中标通知书发出之日起30日内，按照采购文件和中标人投标文件的规定，与中标人签订书面合同。所签订的合同不得对采购文件确定的事项和中标人投标文件作实质性修改。</w:t>
      </w:r>
    </w:p>
    <w:p w14:paraId="04E5B67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5.16.2采购文件及补充文件、中标人的投标文件及投标修改文件、评标过程中有关澄清文件和中标通知书均作为合同附件。</w:t>
      </w:r>
    </w:p>
    <w:p w14:paraId="5FCD1CB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5.16.3拒签合同的责任</w:t>
      </w:r>
    </w:p>
    <w:p w14:paraId="047E155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中标人接到中标通知书后，在规定时间内借故否认已经承诺的条件而拒签合同者，以投标违约处理，应赔偿采购人由此造成的直接经济损失。</w:t>
      </w:r>
    </w:p>
    <w:p w14:paraId="73D47699">
      <w:pPr>
        <w:pStyle w:val="4"/>
        <w:spacing w:line="360" w:lineRule="auto"/>
        <w:ind w:firstLine="422"/>
        <w:rPr>
          <w:rFonts w:ascii="Times New Roman" w:hAnsi="Times New Roman"/>
          <w:color w:val="auto"/>
          <w:highlight w:val="none"/>
        </w:rPr>
      </w:pPr>
      <w:r>
        <w:rPr>
          <w:rFonts w:ascii="Times New Roman" w:hAnsi="Times New Roman"/>
          <w:color w:val="auto"/>
          <w:highlight w:val="none"/>
        </w:rPr>
        <w:t>5.17 采购代理服务费</w:t>
      </w:r>
    </w:p>
    <w:p w14:paraId="12807225">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5.17.1 中标人须向采购代理机构按如下标准和规定交纳中标服务费。</w:t>
      </w:r>
    </w:p>
    <w:p w14:paraId="0162F4A1">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5.17.2 以</w:t>
      </w:r>
      <w:r>
        <w:rPr>
          <w:rFonts w:hint="eastAsia" w:ascii="Times New Roman" w:hAnsi="Times New Roman"/>
          <w:color w:val="auto"/>
          <w:highlight w:val="none"/>
        </w:rPr>
        <w:t>中标金额</w:t>
      </w:r>
      <w:r>
        <w:rPr>
          <w:rFonts w:ascii="Times New Roman" w:hAnsi="Times New Roman"/>
          <w:color w:val="auto"/>
          <w:highlight w:val="none"/>
        </w:rPr>
        <w:t>作为收费的计算基数。</w:t>
      </w:r>
    </w:p>
    <w:p w14:paraId="21498554">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5.17.3 中标服务费按计价[2002]1980号文规定</w:t>
      </w:r>
      <w:r>
        <w:rPr>
          <w:rFonts w:hint="eastAsia" w:ascii="宋体" w:hAnsi="宋体" w:cs="宋体"/>
          <w:color w:val="auto"/>
          <w:szCs w:val="21"/>
          <w:highlight w:val="none"/>
        </w:rPr>
        <w:t>×80%</w:t>
      </w:r>
      <w:r>
        <w:rPr>
          <w:rFonts w:ascii="Times New Roman" w:hAnsi="Times New Roman"/>
          <w:color w:val="auto"/>
          <w:highlight w:val="none"/>
        </w:rPr>
        <w:t>（见下）收取：</w:t>
      </w:r>
    </w:p>
    <w:tbl>
      <w:tblPr>
        <w:tblStyle w:val="80"/>
        <w:tblW w:w="0" w:type="auto"/>
        <w:tblInd w:w="10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13"/>
        <w:gridCol w:w="4315"/>
      </w:tblGrid>
      <w:tr w14:paraId="007D3B9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370E9824">
            <w:pPr>
              <w:widowControl/>
              <w:spacing w:after="156" w:line="360" w:lineRule="auto"/>
              <w:jc w:val="center"/>
              <w:rPr>
                <w:color w:val="auto"/>
                <w:kern w:val="0"/>
                <w:szCs w:val="21"/>
                <w:highlight w:val="none"/>
              </w:rPr>
            </w:pPr>
            <w:r>
              <w:rPr>
                <w:color w:val="auto"/>
                <w:kern w:val="0"/>
                <w:szCs w:val="21"/>
                <w:highlight w:val="none"/>
              </w:rPr>
              <w:t>中标金额</w:t>
            </w:r>
            <w:r>
              <w:rPr>
                <w:color w:val="auto"/>
                <w:spacing w:val="20"/>
                <w:szCs w:val="21"/>
                <w:highlight w:val="none"/>
              </w:rPr>
              <w:t>P</w:t>
            </w:r>
            <w:r>
              <w:rPr>
                <w:color w:val="auto"/>
                <w:kern w:val="0"/>
                <w:szCs w:val="21"/>
                <w:highlight w:val="none"/>
              </w:rPr>
              <w:t>（万元人民币）</w:t>
            </w:r>
          </w:p>
        </w:tc>
        <w:tc>
          <w:tcPr>
            <w:tcW w:w="4315" w:type="dxa"/>
          </w:tcPr>
          <w:p w14:paraId="241F8A9F">
            <w:pPr>
              <w:widowControl/>
              <w:spacing w:after="156" w:line="360" w:lineRule="auto"/>
              <w:jc w:val="center"/>
              <w:rPr>
                <w:color w:val="auto"/>
                <w:kern w:val="0"/>
                <w:szCs w:val="21"/>
                <w:highlight w:val="none"/>
              </w:rPr>
            </w:pPr>
            <w:r>
              <w:rPr>
                <w:rFonts w:hint="eastAsia"/>
                <w:color w:val="auto"/>
                <w:kern w:val="0"/>
                <w:szCs w:val="21"/>
                <w:highlight w:val="none"/>
              </w:rPr>
              <w:t>服务采购代理</w:t>
            </w:r>
            <w:r>
              <w:rPr>
                <w:color w:val="auto"/>
                <w:kern w:val="0"/>
                <w:szCs w:val="21"/>
                <w:highlight w:val="none"/>
              </w:rPr>
              <w:t>服务费（万元人民币）</w:t>
            </w:r>
          </w:p>
        </w:tc>
      </w:tr>
      <w:tr w14:paraId="7092583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5F11925C">
            <w:pPr>
              <w:widowControl/>
              <w:spacing w:after="156" w:line="360" w:lineRule="auto"/>
              <w:jc w:val="center"/>
              <w:rPr>
                <w:color w:val="auto"/>
                <w:kern w:val="0"/>
                <w:szCs w:val="21"/>
                <w:highlight w:val="none"/>
              </w:rPr>
            </w:pPr>
            <w:r>
              <w:rPr>
                <w:color w:val="auto"/>
                <w:kern w:val="0"/>
                <w:szCs w:val="21"/>
                <w:highlight w:val="none"/>
              </w:rPr>
              <w:t>100以下</w:t>
            </w:r>
          </w:p>
        </w:tc>
        <w:tc>
          <w:tcPr>
            <w:tcW w:w="4315" w:type="dxa"/>
            <w:vAlign w:val="center"/>
          </w:tcPr>
          <w:p w14:paraId="3C2714A5">
            <w:pPr>
              <w:jc w:val="center"/>
              <w:rPr>
                <w:color w:val="auto"/>
                <w:highlight w:val="none"/>
              </w:rPr>
            </w:pPr>
            <w:r>
              <w:rPr>
                <w:color w:val="auto"/>
                <w:highlight w:val="none"/>
              </w:rPr>
              <w:t>P*1.5%</w:t>
            </w:r>
          </w:p>
        </w:tc>
      </w:tr>
      <w:tr w14:paraId="20F6B20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1F1CA692">
            <w:pPr>
              <w:widowControl/>
              <w:spacing w:after="156" w:line="360" w:lineRule="auto"/>
              <w:jc w:val="center"/>
              <w:rPr>
                <w:color w:val="auto"/>
                <w:kern w:val="0"/>
                <w:szCs w:val="21"/>
                <w:highlight w:val="none"/>
              </w:rPr>
            </w:pPr>
            <w:r>
              <w:rPr>
                <w:color w:val="auto"/>
                <w:kern w:val="0"/>
                <w:szCs w:val="21"/>
                <w:highlight w:val="none"/>
              </w:rPr>
              <w:t>100-500</w:t>
            </w:r>
          </w:p>
        </w:tc>
        <w:tc>
          <w:tcPr>
            <w:tcW w:w="4315" w:type="dxa"/>
            <w:vAlign w:val="center"/>
          </w:tcPr>
          <w:p w14:paraId="34EC1C4C">
            <w:pPr>
              <w:jc w:val="center"/>
              <w:rPr>
                <w:color w:val="auto"/>
                <w:highlight w:val="none"/>
              </w:rPr>
            </w:pPr>
            <w:r>
              <w:rPr>
                <w:color w:val="auto"/>
                <w:highlight w:val="none"/>
              </w:rPr>
              <w:t>0.7+P*0.8%</w:t>
            </w:r>
          </w:p>
        </w:tc>
      </w:tr>
      <w:tr w14:paraId="4ECECB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7619A1E0">
            <w:pPr>
              <w:widowControl/>
              <w:spacing w:after="156" w:line="360" w:lineRule="auto"/>
              <w:jc w:val="center"/>
              <w:rPr>
                <w:color w:val="auto"/>
                <w:kern w:val="0"/>
                <w:szCs w:val="21"/>
                <w:highlight w:val="none"/>
              </w:rPr>
            </w:pPr>
            <w:r>
              <w:rPr>
                <w:color w:val="auto"/>
                <w:kern w:val="0"/>
                <w:szCs w:val="21"/>
                <w:highlight w:val="none"/>
              </w:rPr>
              <w:t>500-1000</w:t>
            </w:r>
          </w:p>
        </w:tc>
        <w:tc>
          <w:tcPr>
            <w:tcW w:w="4315" w:type="dxa"/>
            <w:vAlign w:val="center"/>
          </w:tcPr>
          <w:p w14:paraId="27EE23D3">
            <w:pPr>
              <w:jc w:val="center"/>
              <w:rPr>
                <w:color w:val="auto"/>
                <w:highlight w:val="none"/>
              </w:rPr>
            </w:pPr>
            <w:r>
              <w:rPr>
                <w:color w:val="auto"/>
                <w:highlight w:val="none"/>
              </w:rPr>
              <w:t>2.45+P*0.45%</w:t>
            </w:r>
          </w:p>
        </w:tc>
      </w:tr>
      <w:tr w14:paraId="54AA7A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6B956BDC">
            <w:pPr>
              <w:widowControl/>
              <w:spacing w:after="156" w:line="360" w:lineRule="auto"/>
              <w:jc w:val="center"/>
              <w:rPr>
                <w:color w:val="auto"/>
                <w:kern w:val="0"/>
                <w:szCs w:val="21"/>
                <w:highlight w:val="none"/>
              </w:rPr>
            </w:pPr>
            <w:r>
              <w:rPr>
                <w:color w:val="auto"/>
                <w:kern w:val="0"/>
                <w:szCs w:val="21"/>
                <w:highlight w:val="none"/>
              </w:rPr>
              <w:t>1000-5000</w:t>
            </w:r>
          </w:p>
        </w:tc>
        <w:tc>
          <w:tcPr>
            <w:tcW w:w="4315" w:type="dxa"/>
            <w:vAlign w:val="center"/>
          </w:tcPr>
          <w:p w14:paraId="62238DD8">
            <w:pPr>
              <w:jc w:val="center"/>
              <w:rPr>
                <w:color w:val="auto"/>
                <w:highlight w:val="none"/>
              </w:rPr>
            </w:pPr>
            <w:r>
              <w:rPr>
                <w:color w:val="auto"/>
                <w:highlight w:val="none"/>
              </w:rPr>
              <w:t>4.45+P*0.25%</w:t>
            </w:r>
          </w:p>
        </w:tc>
      </w:tr>
      <w:tr w14:paraId="38B927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37F20ECA">
            <w:pPr>
              <w:widowControl/>
              <w:spacing w:after="156" w:line="360" w:lineRule="auto"/>
              <w:jc w:val="center"/>
              <w:rPr>
                <w:color w:val="auto"/>
                <w:kern w:val="0"/>
                <w:szCs w:val="21"/>
                <w:highlight w:val="none"/>
              </w:rPr>
            </w:pPr>
            <w:r>
              <w:rPr>
                <w:color w:val="auto"/>
                <w:kern w:val="0"/>
                <w:szCs w:val="21"/>
                <w:highlight w:val="none"/>
              </w:rPr>
              <w:t>5000-10000</w:t>
            </w:r>
          </w:p>
        </w:tc>
        <w:tc>
          <w:tcPr>
            <w:tcW w:w="4315" w:type="dxa"/>
            <w:vAlign w:val="center"/>
          </w:tcPr>
          <w:p w14:paraId="680CBA3E">
            <w:pPr>
              <w:jc w:val="center"/>
              <w:rPr>
                <w:color w:val="auto"/>
                <w:highlight w:val="none"/>
              </w:rPr>
            </w:pPr>
            <w:r>
              <w:rPr>
                <w:color w:val="auto"/>
                <w:highlight w:val="none"/>
              </w:rPr>
              <w:t>11.95+P*0.1%</w:t>
            </w:r>
          </w:p>
        </w:tc>
      </w:tr>
      <w:tr w14:paraId="37A2E1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3413" w:type="dxa"/>
          </w:tcPr>
          <w:p w14:paraId="129A75E8">
            <w:pPr>
              <w:widowControl/>
              <w:spacing w:after="156" w:line="360" w:lineRule="auto"/>
              <w:jc w:val="center"/>
              <w:rPr>
                <w:color w:val="auto"/>
                <w:kern w:val="0"/>
                <w:szCs w:val="21"/>
                <w:highlight w:val="none"/>
              </w:rPr>
            </w:pPr>
            <w:r>
              <w:rPr>
                <w:color w:val="auto"/>
                <w:kern w:val="0"/>
                <w:szCs w:val="21"/>
                <w:highlight w:val="none"/>
              </w:rPr>
              <w:t>10000-100000</w:t>
            </w:r>
          </w:p>
        </w:tc>
        <w:tc>
          <w:tcPr>
            <w:tcW w:w="4315" w:type="dxa"/>
            <w:vAlign w:val="center"/>
          </w:tcPr>
          <w:p w14:paraId="5D0BFD77">
            <w:pPr>
              <w:jc w:val="center"/>
              <w:rPr>
                <w:color w:val="auto"/>
                <w:highlight w:val="none"/>
              </w:rPr>
            </w:pPr>
            <w:r>
              <w:rPr>
                <w:color w:val="auto"/>
                <w:highlight w:val="none"/>
              </w:rPr>
              <w:t>16.95+P*0.05%</w:t>
            </w:r>
          </w:p>
        </w:tc>
      </w:tr>
    </w:tbl>
    <w:p w14:paraId="08F142C6">
      <w:pPr>
        <w:pStyle w:val="2"/>
        <w:snapToGrid w:val="0"/>
        <w:rPr>
          <w:rFonts w:ascii="Times New Roman" w:hAnsi="Times New Roman" w:eastAsia="宋体"/>
          <w:color w:val="auto"/>
          <w:highlight w:val="none"/>
        </w:rPr>
      </w:pPr>
      <w:r>
        <w:rPr>
          <w:rFonts w:ascii="Times New Roman" w:hAnsi="Times New Roman" w:eastAsia="宋体"/>
          <w:color w:val="auto"/>
          <w:highlight w:val="none"/>
        </w:rPr>
        <w:br w:type="page"/>
      </w:r>
      <w:bookmarkStart w:id="23" w:name="_Toc495317671"/>
      <w:r>
        <w:rPr>
          <w:rFonts w:ascii="Times New Roman" w:hAnsi="Times New Roman" w:eastAsia="宋体"/>
          <w:color w:val="auto"/>
          <w:highlight w:val="none"/>
        </w:rPr>
        <w:t>第四章  评标办法</w:t>
      </w:r>
      <w:bookmarkEnd w:id="23"/>
    </w:p>
    <w:p w14:paraId="72EFA6E8">
      <w:pPr>
        <w:adjustRightInd w:val="0"/>
        <w:snapToGrid w:val="0"/>
        <w:spacing w:line="360" w:lineRule="auto"/>
        <w:ind w:firstLine="420" w:firstLineChars="200"/>
        <w:rPr>
          <w:color w:val="auto"/>
          <w:highlight w:val="none"/>
        </w:rPr>
      </w:pPr>
      <w:r>
        <w:rPr>
          <w:color w:val="auto"/>
          <w:highlight w:val="none"/>
        </w:rPr>
        <w:t>根据《中华人民共和国政府采购法》、《中华人民共和国政府采购法实施条例》、《政府采购货物和服务招标投标管理办法》、《浙江省政府采购活动现场组织管理办法》等有关规定，结合本项目的实际情况，制定本评标办法。</w:t>
      </w:r>
    </w:p>
    <w:p w14:paraId="2BA2972C">
      <w:pPr>
        <w:adjustRightInd w:val="0"/>
        <w:snapToGrid w:val="0"/>
        <w:spacing w:line="360" w:lineRule="auto"/>
        <w:ind w:firstLine="422" w:firstLineChars="200"/>
        <w:rPr>
          <w:b/>
          <w:bCs/>
          <w:color w:val="auto"/>
          <w:highlight w:val="none"/>
        </w:rPr>
      </w:pPr>
      <w:r>
        <w:rPr>
          <w:b/>
          <w:bCs/>
          <w:color w:val="auto"/>
          <w:highlight w:val="none"/>
        </w:rPr>
        <w:t>一、总则</w:t>
      </w:r>
    </w:p>
    <w:p w14:paraId="253E1300">
      <w:pPr>
        <w:snapToGrid w:val="0"/>
        <w:spacing w:line="360" w:lineRule="auto"/>
        <w:ind w:firstLine="420" w:firstLineChars="200"/>
        <w:rPr>
          <w:color w:val="auto"/>
          <w:highlight w:val="none"/>
        </w:rPr>
      </w:pPr>
      <w:r>
        <w:rPr>
          <w:color w:val="auto"/>
          <w:highlight w:val="none"/>
        </w:rPr>
        <w:t>评标工作遵循公正、公平、科学、择优的原则，评标人员将本着认真、公正、诚实、廉洁的精神，进行评标工作，择优推荐中标候选人。在评标期间，评标委员及相关工作人员必须严格遵守保密规定，不得泄露评标的有关情况。</w:t>
      </w:r>
    </w:p>
    <w:p w14:paraId="230A0996">
      <w:pPr>
        <w:snapToGrid w:val="0"/>
        <w:spacing w:line="360" w:lineRule="auto"/>
        <w:ind w:firstLine="420" w:firstLineChars="200"/>
        <w:rPr>
          <w:color w:val="auto"/>
          <w:highlight w:val="none"/>
        </w:rPr>
      </w:pPr>
      <w:r>
        <w:rPr>
          <w:color w:val="auto"/>
          <w:highlight w:val="none"/>
        </w:rPr>
        <w:t>对未中标人，评标委员会不作任何落标解释。</w:t>
      </w:r>
    </w:p>
    <w:p w14:paraId="6F88ACB3">
      <w:pPr>
        <w:snapToGrid w:val="0"/>
        <w:spacing w:line="360" w:lineRule="auto"/>
        <w:ind w:firstLine="420" w:firstLineChars="200"/>
        <w:rPr>
          <w:color w:val="auto"/>
          <w:highlight w:val="none"/>
        </w:rPr>
      </w:pPr>
      <w:r>
        <w:rPr>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560F7A26">
      <w:pPr>
        <w:adjustRightInd w:val="0"/>
        <w:snapToGrid w:val="0"/>
        <w:spacing w:line="360" w:lineRule="auto"/>
        <w:ind w:firstLine="422" w:firstLineChars="200"/>
        <w:rPr>
          <w:b/>
          <w:bCs/>
          <w:color w:val="auto"/>
          <w:highlight w:val="none"/>
        </w:rPr>
      </w:pPr>
      <w:r>
        <w:rPr>
          <w:b/>
          <w:bCs/>
          <w:color w:val="auto"/>
          <w:highlight w:val="none"/>
        </w:rPr>
        <w:t>二、评标组织</w:t>
      </w:r>
    </w:p>
    <w:p w14:paraId="0BA5DCD6">
      <w:pPr>
        <w:snapToGrid w:val="0"/>
        <w:spacing w:line="360" w:lineRule="auto"/>
        <w:ind w:firstLine="420" w:firstLineChars="200"/>
        <w:rPr>
          <w:color w:val="auto"/>
          <w:highlight w:val="none"/>
        </w:rPr>
      </w:pPr>
      <w:r>
        <w:rPr>
          <w:color w:val="auto"/>
          <w:highlight w:val="none"/>
        </w:rPr>
        <w:t>评标工作由招标采购单位依法组建的评标委员会负责。评标委员会负责审标、询标、评审等工作，并向采购人提出评审意见和评标报告。</w:t>
      </w:r>
    </w:p>
    <w:p w14:paraId="0ED94479">
      <w:pPr>
        <w:adjustRightInd w:val="0"/>
        <w:snapToGrid w:val="0"/>
        <w:spacing w:line="360" w:lineRule="auto"/>
        <w:ind w:firstLine="422" w:firstLineChars="200"/>
        <w:rPr>
          <w:b/>
          <w:bCs/>
          <w:color w:val="auto"/>
          <w:highlight w:val="none"/>
        </w:rPr>
      </w:pPr>
      <w:r>
        <w:rPr>
          <w:b/>
          <w:bCs/>
          <w:color w:val="auto"/>
          <w:highlight w:val="none"/>
        </w:rPr>
        <w:t>三、评标纪律</w:t>
      </w:r>
    </w:p>
    <w:p w14:paraId="256726AC">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1.评标是招标工作的重要环节，评标工作在评标委员会内独立进行。评标委员会将按照评标原则的要求，公正、平等地对待所有</w:t>
      </w:r>
      <w:r>
        <w:rPr>
          <w:rFonts w:hint="eastAsia"/>
          <w:snapToGrid w:val="0"/>
          <w:color w:val="auto"/>
          <w:kern w:val="0"/>
          <w:szCs w:val="21"/>
          <w:highlight w:val="none"/>
        </w:rPr>
        <w:t>供应商</w:t>
      </w:r>
      <w:r>
        <w:rPr>
          <w:snapToGrid w:val="0"/>
          <w:color w:val="auto"/>
          <w:kern w:val="0"/>
          <w:szCs w:val="21"/>
          <w:highlight w:val="none"/>
        </w:rPr>
        <w:t>。</w:t>
      </w:r>
    </w:p>
    <w:p w14:paraId="07BC616D">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2.所有评标人员应忠于职守、廉洁自律、秉公办事、不徇私情。</w:t>
      </w:r>
    </w:p>
    <w:p w14:paraId="6054CA04">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3.评标人员不得接受或参加</w:t>
      </w:r>
      <w:r>
        <w:rPr>
          <w:rFonts w:hint="eastAsia"/>
          <w:snapToGrid w:val="0"/>
          <w:color w:val="auto"/>
          <w:kern w:val="0"/>
          <w:szCs w:val="21"/>
          <w:highlight w:val="none"/>
        </w:rPr>
        <w:t>供应商</w:t>
      </w:r>
      <w:r>
        <w:rPr>
          <w:snapToGrid w:val="0"/>
          <w:color w:val="auto"/>
          <w:kern w:val="0"/>
          <w:szCs w:val="21"/>
          <w:highlight w:val="none"/>
        </w:rPr>
        <w:t>或与投标有关的单位、组织或个人的有碍公务的宴请、娱乐活动等，不得以任何形式弄虚作假。</w:t>
      </w:r>
    </w:p>
    <w:p w14:paraId="6DA1B06B">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4.评标期间，评标人员不得随意出入评标地点、与外界通讯、会客等。</w:t>
      </w:r>
    </w:p>
    <w:p w14:paraId="2170AF3F">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5.在投标文件的审查、澄清、评价和比较以及授予合同的过程中，</w:t>
      </w:r>
      <w:r>
        <w:rPr>
          <w:rFonts w:hint="eastAsia"/>
          <w:snapToGrid w:val="0"/>
          <w:color w:val="auto"/>
          <w:kern w:val="0"/>
          <w:szCs w:val="21"/>
          <w:highlight w:val="none"/>
        </w:rPr>
        <w:t>供应商</w:t>
      </w:r>
      <w:r>
        <w:rPr>
          <w:snapToGrid w:val="0"/>
          <w:color w:val="auto"/>
          <w:kern w:val="0"/>
          <w:szCs w:val="21"/>
          <w:highlight w:val="none"/>
        </w:rPr>
        <w:t>对采购人、采购机构人员及评标委员会成员施加影响的任何行为，都将导致被取消投标资格。</w:t>
      </w:r>
    </w:p>
    <w:p w14:paraId="33C9C49B">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6.为保证评标的公正性，在评标过程中，评标委员会成员不得与</w:t>
      </w:r>
      <w:r>
        <w:rPr>
          <w:rFonts w:hint="eastAsia"/>
          <w:snapToGrid w:val="0"/>
          <w:color w:val="auto"/>
          <w:kern w:val="0"/>
          <w:szCs w:val="21"/>
          <w:highlight w:val="none"/>
        </w:rPr>
        <w:t>供应商</w:t>
      </w:r>
      <w:r>
        <w:rPr>
          <w:snapToGrid w:val="0"/>
          <w:color w:val="auto"/>
          <w:kern w:val="0"/>
          <w:szCs w:val="21"/>
          <w:highlight w:val="none"/>
        </w:rPr>
        <w:t>或与中标结果有利害关系的人进行私下接触。在评标工作结束后，凡与评标情况有接触的任何人，不得将评标情况扩散出评标委员会以外。</w:t>
      </w:r>
    </w:p>
    <w:p w14:paraId="7055DDD5">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7.评标过程中，评标专家对</w:t>
      </w:r>
      <w:r>
        <w:rPr>
          <w:rFonts w:hint="eastAsia"/>
          <w:snapToGrid w:val="0"/>
          <w:color w:val="auto"/>
          <w:kern w:val="0"/>
          <w:szCs w:val="21"/>
          <w:highlight w:val="none"/>
        </w:rPr>
        <w:t>供应商</w:t>
      </w:r>
      <w:r>
        <w:rPr>
          <w:snapToGrid w:val="0"/>
          <w:color w:val="auto"/>
          <w:kern w:val="0"/>
          <w:szCs w:val="21"/>
          <w:highlight w:val="none"/>
        </w:rPr>
        <w:t>的优劣情况，以及认为差异较大的情况等，应以书面意见作出真实、专业、诚恳负责的表述，不得违背客观、公正的原则。</w:t>
      </w:r>
    </w:p>
    <w:p w14:paraId="04D663D0">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8.评标结束后，各评标人员应将全部资料整理上交采购人，严禁将评标过程中的任何资料带出评标现场向</w:t>
      </w:r>
      <w:r>
        <w:rPr>
          <w:rFonts w:hint="eastAsia"/>
          <w:snapToGrid w:val="0"/>
          <w:color w:val="auto"/>
          <w:kern w:val="0"/>
          <w:szCs w:val="21"/>
          <w:highlight w:val="none"/>
        </w:rPr>
        <w:t>供应商</w:t>
      </w:r>
      <w:r>
        <w:rPr>
          <w:snapToGrid w:val="0"/>
          <w:color w:val="auto"/>
          <w:kern w:val="0"/>
          <w:szCs w:val="21"/>
          <w:highlight w:val="none"/>
        </w:rPr>
        <w:t>或其他单位提供。</w:t>
      </w:r>
    </w:p>
    <w:p w14:paraId="23386650">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9.在中标结果公布前应对评标委员会成员名单予以保密。</w:t>
      </w:r>
    </w:p>
    <w:p w14:paraId="3CB69E8C">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10.评标委员会对各</w:t>
      </w:r>
      <w:r>
        <w:rPr>
          <w:rFonts w:hint="eastAsia"/>
          <w:snapToGrid w:val="0"/>
          <w:color w:val="auto"/>
          <w:kern w:val="0"/>
          <w:szCs w:val="21"/>
          <w:highlight w:val="none"/>
        </w:rPr>
        <w:t>供应商</w:t>
      </w:r>
      <w:r>
        <w:rPr>
          <w:snapToGrid w:val="0"/>
          <w:color w:val="auto"/>
          <w:kern w:val="0"/>
          <w:szCs w:val="21"/>
          <w:highlight w:val="none"/>
        </w:rPr>
        <w:t>的商业秘密予以保密。</w:t>
      </w:r>
    </w:p>
    <w:p w14:paraId="1ED77FC6">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11.评标委员会成员应当客观、公正地履行职责，遵守职业道德，对所提出的评审意见承担个人责任。</w:t>
      </w:r>
    </w:p>
    <w:p w14:paraId="32718A52">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12.在整个评标过程中，</w:t>
      </w:r>
      <w:r>
        <w:rPr>
          <w:rFonts w:hint="eastAsia"/>
          <w:snapToGrid w:val="0"/>
          <w:color w:val="auto"/>
          <w:kern w:val="0"/>
          <w:szCs w:val="21"/>
          <w:highlight w:val="none"/>
        </w:rPr>
        <w:t>供应商</w:t>
      </w:r>
      <w:r>
        <w:rPr>
          <w:snapToGrid w:val="0"/>
          <w:color w:val="auto"/>
          <w:kern w:val="0"/>
          <w:szCs w:val="21"/>
          <w:highlight w:val="none"/>
        </w:rPr>
        <w:t>企图影响招标结果的任何活动，可能导致其投标失败。如有违法行为，将依法追究其法律责任。</w:t>
      </w:r>
    </w:p>
    <w:p w14:paraId="151D4C3E">
      <w:pPr>
        <w:adjustRightInd w:val="0"/>
        <w:snapToGrid w:val="0"/>
        <w:spacing w:line="360" w:lineRule="auto"/>
        <w:ind w:firstLine="422" w:firstLineChars="200"/>
        <w:rPr>
          <w:b/>
          <w:bCs/>
          <w:color w:val="auto"/>
          <w:highlight w:val="none"/>
        </w:rPr>
      </w:pPr>
      <w:r>
        <w:rPr>
          <w:b/>
          <w:bCs/>
          <w:color w:val="auto"/>
          <w:highlight w:val="none"/>
        </w:rPr>
        <w:t>四、评标程序</w:t>
      </w:r>
    </w:p>
    <w:p w14:paraId="5C0BFC42">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1.本项目采用不公开方式评标，评标的依据为采购文件和投标文件。</w:t>
      </w:r>
    </w:p>
    <w:p w14:paraId="7302545D">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2.熟悉采购文件和评标办法。</w:t>
      </w:r>
    </w:p>
    <w:p w14:paraId="694EFCC6">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3.</w:t>
      </w:r>
      <w:r>
        <w:rPr>
          <w:rFonts w:hint="eastAsia"/>
          <w:snapToGrid w:val="0"/>
          <w:color w:val="auto"/>
          <w:kern w:val="0"/>
          <w:szCs w:val="21"/>
          <w:highlight w:val="none"/>
        </w:rPr>
        <w:t>采购代理机构</w:t>
      </w:r>
      <w:r>
        <w:rPr>
          <w:snapToGrid w:val="0"/>
          <w:color w:val="auto"/>
          <w:kern w:val="0"/>
          <w:szCs w:val="21"/>
          <w:highlight w:val="none"/>
        </w:rPr>
        <w:t>按照采购文件规定的时间、地点及程序组织评审。评审程序如下：</w:t>
      </w:r>
    </w:p>
    <w:p w14:paraId="1320D9DA">
      <w:pPr>
        <w:adjustRightInd w:val="0"/>
        <w:snapToGrid w:val="0"/>
        <w:spacing w:line="360" w:lineRule="auto"/>
        <w:ind w:firstLine="420" w:firstLineChars="200"/>
        <w:rPr>
          <w:color w:val="auto"/>
          <w:szCs w:val="21"/>
          <w:highlight w:val="none"/>
        </w:rPr>
      </w:pPr>
      <w:r>
        <w:rPr>
          <w:color w:val="auto"/>
          <w:szCs w:val="21"/>
          <w:highlight w:val="none"/>
        </w:rPr>
        <w:t>1）开启评审场地的录音录像采集设备，并确保其正常运行。</w:t>
      </w:r>
    </w:p>
    <w:p w14:paraId="79D6EA9C">
      <w:pPr>
        <w:adjustRightInd w:val="0"/>
        <w:snapToGrid w:val="0"/>
        <w:spacing w:line="360" w:lineRule="auto"/>
        <w:ind w:firstLine="420" w:firstLineChars="200"/>
        <w:rPr>
          <w:color w:val="auto"/>
          <w:szCs w:val="21"/>
          <w:highlight w:val="none"/>
        </w:rPr>
      </w:pPr>
      <w:r>
        <w:rPr>
          <w:color w:val="auto"/>
          <w:szCs w:val="21"/>
          <w:highlight w:val="none"/>
        </w:rPr>
        <w:t>2）核验出席评审活动现场的评审小组各成员和相关监督人员身份，并要求其分别登记、签到，按规定统一收缴、保存其通讯工具，无关人员一律拒绝其进入评审现场。</w:t>
      </w:r>
    </w:p>
    <w:p w14:paraId="1336A6AA">
      <w:pPr>
        <w:adjustRightInd w:val="0"/>
        <w:snapToGrid w:val="0"/>
        <w:spacing w:line="360" w:lineRule="auto"/>
        <w:ind w:firstLine="420" w:firstLineChars="200"/>
        <w:rPr>
          <w:color w:val="auto"/>
          <w:szCs w:val="21"/>
          <w:highlight w:val="none"/>
        </w:rPr>
      </w:pPr>
      <w:r>
        <w:rPr>
          <w:color w:val="auto"/>
          <w:szCs w:val="21"/>
          <w:highlight w:val="none"/>
        </w:rPr>
        <w:t>3）介绍评审现场的人员情况，宣布评审工作纪律，告知评审人员应当回避情形；组织推选评审小组组长。</w:t>
      </w:r>
    </w:p>
    <w:p w14:paraId="72AE5F86">
      <w:pPr>
        <w:adjustRightInd w:val="0"/>
        <w:snapToGrid w:val="0"/>
        <w:spacing w:line="360" w:lineRule="auto"/>
        <w:ind w:firstLine="420" w:firstLineChars="200"/>
        <w:rPr>
          <w:color w:val="auto"/>
          <w:szCs w:val="21"/>
          <w:highlight w:val="none"/>
        </w:rPr>
      </w:pPr>
      <w:r>
        <w:rPr>
          <w:color w:val="auto"/>
          <w:szCs w:val="21"/>
          <w:highlight w:val="none"/>
        </w:rPr>
        <w:t>4）通报报名参加本项目采购的</w:t>
      </w:r>
      <w:r>
        <w:rPr>
          <w:rFonts w:hint="eastAsia"/>
          <w:color w:val="auto"/>
          <w:szCs w:val="21"/>
          <w:highlight w:val="none"/>
        </w:rPr>
        <w:t>供应商</w:t>
      </w:r>
      <w:r>
        <w:rPr>
          <w:color w:val="auto"/>
          <w:szCs w:val="21"/>
          <w:highlight w:val="none"/>
        </w:rPr>
        <w:t>名单及资格预审情况（如有），宣读最终提交采购响应文件的</w:t>
      </w:r>
      <w:r>
        <w:rPr>
          <w:rFonts w:hint="eastAsia"/>
          <w:color w:val="auto"/>
          <w:szCs w:val="21"/>
          <w:highlight w:val="none"/>
        </w:rPr>
        <w:t>供应商</w:t>
      </w:r>
      <w:r>
        <w:rPr>
          <w:color w:val="auto"/>
          <w:szCs w:val="21"/>
          <w:highlight w:val="none"/>
        </w:rPr>
        <w:t>名单，组织评审小组各位成员签订《政府采购评审人员廉洁自律承诺书》。</w:t>
      </w:r>
    </w:p>
    <w:p w14:paraId="2B291274">
      <w:pPr>
        <w:adjustRightInd w:val="0"/>
        <w:snapToGrid w:val="0"/>
        <w:spacing w:line="360" w:lineRule="auto"/>
        <w:ind w:firstLine="420" w:firstLineChars="200"/>
        <w:rPr>
          <w:color w:val="auto"/>
          <w:szCs w:val="21"/>
          <w:highlight w:val="none"/>
        </w:rPr>
      </w:pPr>
      <w:r>
        <w:rPr>
          <w:color w:val="auto"/>
          <w:szCs w:val="21"/>
          <w:highlight w:val="none"/>
        </w:rPr>
        <w:t>5）根据需要简要介绍采购文件（含补充文件）制定及质疑答复情况、按书面陈述项目基本情况及评审工作需注意事项等。</w:t>
      </w:r>
    </w:p>
    <w:p w14:paraId="70974EF3">
      <w:pPr>
        <w:adjustRightInd w:val="0"/>
        <w:snapToGrid w:val="0"/>
        <w:spacing w:line="360" w:lineRule="auto"/>
        <w:ind w:firstLine="420" w:firstLineChars="200"/>
        <w:rPr>
          <w:color w:val="auto"/>
          <w:szCs w:val="21"/>
          <w:highlight w:val="none"/>
        </w:rPr>
      </w:pPr>
      <w:r>
        <w:rPr>
          <w:color w:val="auto"/>
          <w:szCs w:val="21"/>
          <w:highlight w:val="none"/>
        </w:rPr>
        <w:t>6）评审小组组长组织评审人员独立评审。评审小组对拟认定为采购响应文件无效、</w:t>
      </w:r>
      <w:r>
        <w:rPr>
          <w:rFonts w:hint="eastAsia"/>
          <w:color w:val="auto"/>
          <w:szCs w:val="21"/>
          <w:highlight w:val="none"/>
        </w:rPr>
        <w:t>供应商</w:t>
      </w:r>
      <w:r>
        <w:rPr>
          <w:color w:val="auto"/>
          <w:szCs w:val="21"/>
          <w:highlight w:val="none"/>
        </w:rPr>
        <w:t>资格不符合的，应组织相关</w:t>
      </w:r>
      <w:r>
        <w:rPr>
          <w:rFonts w:hint="eastAsia"/>
          <w:color w:val="auto"/>
          <w:szCs w:val="21"/>
          <w:highlight w:val="none"/>
        </w:rPr>
        <w:t>供应商</w:t>
      </w:r>
      <w:r>
        <w:rPr>
          <w:color w:val="auto"/>
          <w:szCs w:val="21"/>
          <w:highlight w:val="none"/>
        </w:rPr>
        <w:t>代表进行陈述、澄清或申辩。</w:t>
      </w:r>
    </w:p>
    <w:p w14:paraId="7425BA0A">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授权代表对澄清、说明或者补正内容未签字确认的，将自行承担由此可能导致的对其不利的评审结果，评标委员会按少数服从多数原则对相关内容进行评判。</w:t>
      </w:r>
    </w:p>
    <w:p w14:paraId="5B19EA84">
      <w:pPr>
        <w:adjustRightInd w:val="0"/>
        <w:snapToGrid w:val="0"/>
        <w:spacing w:line="360" w:lineRule="auto"/>
        <w:ind w:firstLine="420" w:firstLineChars="200"/>
        <w:rPr>
          <w:color w:val="auto"/>
          <w:szCs w:val="21"/>
          <w:highlight w:val="none"/>
        </w:rPr>
      </w:pPr>
      <w:r>
        <w:rPr>
          <w:color w:val="auto"/>
          <w:szCs w:val="21"/>
          <w:highlight w:val="none"/>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15D0E027">
      <w:pPr>
        <w:adjustRightInd w:val="0"/>
        <w:snapToGrid w:val="0"/>
        <w:spacing w:line="360" w:lineRule="auto"/>
        <w:ind w:firstLine="420" w:firstLineChars="200"/>
        <w:rPr>
          <w:color w:val="auto"/>
          <w:szCs w:val="21"/>
          <w:highlight w:val="none"/>
        </w:rPr>
      </w:pPr>
      <w:r>
        <w:rPr>
          <w:color w:val="auto"/>
          <w:szCs w:val="21"/>
          <w:highlight w:val="none"/>
        </w:rPr>
        <w:t>4.起草评审报告，所有评审人员须在评审报告上签字确认。</w:t>
      </w:r>
    </w:p>
    <w:p w14:paraId="3BE3BD4A">
      <w:pPr>
        <w:adjustRightInd w:val="0"/>
        <w:snapToGrid w:val="0"/>
        <w:spacing w:line="360" w:lineRule="auto"/>
        <w:ind w:firstLine="420" w:firstLineChars="200"/>
        <w:rPr>
          <w:color w:val="auto"/>
          <w:szCs w:val="21"/>
          <w:highlight w:val="none"/>
        </w:rPr>
      </w:pPr>
      <w:r>
        <w:rPr>
          <w:color w:val="auto"/>
          <w:szCs w:val="21"/>
          <w:highlight w:val="none"/>
        </w:rPr>
        <w:t>评审人员对有关采购文件、采购响应文件、样品、演示（如有）的说明、解释、要求、标准存在不同意见的，持不同意见的评审人员及其意见或理由应予以完整记录，并在评审过程中按照少数服从多数的原则表决执行。对采购文件本身不明确或存在歧义、矛盾的内容，应作对供应商而非采购人有利的解释；评标委员会发现</w:t>
      </w:r>
      <w:r>
        <w:rPr>
          <w:rFonts w:hint="eastAsia"/>
          <w:color w:val="auto"/>
          <w:szCs w:val="21"/>
          <w:highlight w:val="none"/>
        </w:rPr>
        <w:t>采购文件</w:t>
      </w:r>
      <w:r>
        <w:rPr>
          <w:color w:val="auto"/>
          <w:szCs w:val="21"/>
          <w:highlight w:val="none"/>
        </w:rPr>
        <w:t>存在歧义、重大缺陷导致评标工作无法进行，或者</w:t>
      </w:r>
      <w:r>
        <w:rPr>
          <w:rFonts w:hint="eastAsia"/>
          <w:color w:val="auto"/>
          <w:szCs w:val="21"/>
          <w:highlight w:val="none"/>
        </w:rPr>
        <w:t>采购文件</w:t>
      </w:r>
      <w:r>
        <w:rPr>
          <w:color w:val="auto"/>
          <w:szCs w:val="21"/>
          <w:highlight w:val="none"/>
        </w:rPr>
        <w:t>内容违反国家有关强制性规定的，可停止评标工作，重新组织采购活动。评审人员拒绝在评审报告中签字又不说明其不同意见或理由的，由现场监督员记录在案后，可视为同意评审结果。</w:t>
      </w:r>
    </w:p>
    <w:p w14:paraId="60095B88">
      <w:pPr>
        <w:adjustRightInd w:val="0"/>
        <w:snapToGrid w:val="0"/>
        <w:spacing w:line="360" w:lineRule="auto"/>
        <w:ind w:firstLine="420" w:firstLineChars="200"/>
        <w:rPr>
          <w:snapToGrid w:val="0"/>
          <w:color w:val="auto"/>
          <w:kern w:val="0"/>
          <w:szCs w:val="21"/>
          <w:highlight w:val="none"/>
        </w:rPr>
      </w:pPr>
      <w:r>
        <w:rPr>
          <w:snapToGrid w:val="0"/>
          <w:color w:val="auto"/>
          <w:kern w:val="0"/>
          <w:szCs w:val="21"/>
          <w:highlight w:val="none"/>
        </w:rPr>
        <w:t>评审报告是根据</w:t>
      </w:r>
      <w:r>
        <w:rPr>
          <w:color w:val="auto"/>
          <w:szCs w:val="21"/>
          <w:highlight w:val="none"/>
        </w:rPr>
        <w:t>评审人员</w:t>
      </w:r>
      <w:r>
        <w:rPr>
          <w:snapToGrid w:val="0"/>
          <w:color w:val="auto"/>
          <w:kern w:val="0"/>
          <w:szCs w:val="21"/>
          <w:highlight w:val="none"/>
        </w:rPr>
        <w:t>签字的原始评标记录和评标结果编写的报告，其主要内容包括：</w:t>
      </w:r>
    </w:p>
    <w:p w14:paraId="1814C249">
      <w:pPr>
        <w:adjustRightInd w:val="0"/>
        <w:snapToGrid w:val="0"/>
        <w:spacing w:line="360" w:lineRule="auto"/>
        <w:ind w:firstLine="420" w:firstLineChars="200"/>
        <w:rPr>
          <w:color w:val="auto"/>
          <w:szCs w:val="21"/>
          <w:highlight w:val="none"/>
        </w:rPr>
      </w:pPr>
      <w:r>
        <w:rPr>
          <w:snapToGrid w:val="0"/>
          <w:color w:val="auto"/>
          <w:kern w:val="0"/>
          <w:szCs w:val="21"/>
          <w:highlight w:val="none"/>
        </w:rPr>
        <w:t>1）</w:t>
      </w:r>
      <w:r>
        <w:rPr>
          <w:color w:val="auto"/>
          <w:szCs w:val="21"/>
          <w:highlight w:val="none"/>
        </w:rPr>
        <w:t>采购项目基本情况：</w:t>
      </w:r>
      <w:r>
        <w:rPr>
          <w:rFonts w:hint="eastAsia"/>
          <w:color w:val="auto"/>
          <w:szCs w:val="21"/>
          <w:highlight w:val="none"/>
        </w:rPr>
        <w:t>采购代理机构</w:t>
      </w:r>
      <w:r>
        <w:rPr>
          <w:color w:val="auto"/>
          <w:szCs w:val="21"/>
          <w:highlight w:val="none"/>
        </w:rPr>
        <w:t>，项目名称，项目编号，采购内容，预算执行确认书编号，采购预算金额，采购方式，发布公告时间；公告发布网站，采购响应截止时间，购买采购文件单位情况，采购响应单位情况等</w:t>
      </w:r>
    </w:p>
    <w:p w14:paraId="3D5DD565">
      <w:pPr>
        <w:adjustRightInd w:val="0"/>
        <w:snapToGrid w:val="0"/>
        <w:spacing w:line="360" w:lineRule="auto"/>
        <w:ind w:firstLine="420" w:firstLineChars="200"/>
        <w:rPr>
          <w:color w:val="auto"/>
          <w:szCs w:val="21"/>
          <w:highlight w:val="none"/>
        </w:rPr>
      </w:pPr>
      <w:r>
        <w:rPr>
          <w:color w:val="auto"/>
          <w:szCs w:val="21"/>
          <w:highlight w:val="none"/>
        </w:rPr>
        <w:t>2）评审小组组成；</w:t>
      </w:r>
    </w:p>
    <w:p w14:paraId="7C148F54">
      <w:pPr>
        <w:adjustRightInd w:val="0"/>
        <w:snapToGrid w:val="0"/>
        <w:spacing w:line="360" w:lineRule="auto"/>
        <w:ind w:firstLine="420" w:firstLineChars="200"/>
        <w:rPr>
          <w:color w:val="auto"/>
          <w:szCs w:val="21"/>
          <w:highlight w:val="none"/>
        </w:rPr>
      </w:pPr>
      <w:r>
        <w:rPr>
          <w:color w:val="auto"/>
          <w:szCs w:val="21"/>
          <w:highlight w:val="none"/>
        </w:rPr>
        <w:t>3）评审方法和标准；</w:t>
      </w:r>
    </w:p>
    <w:p w14:paraId="182A0917">
      <w:pPr>
        <w:adjustRightInd w:val="0"/>
        <w:snapToGrid w:val="0"/>
        <w:spacing w:line="360" w:lineRule="auto"/>
        <w:ind w:firstLine="420" w:firstLineChars="200"/>
        <w:rPr>
          <w:color w:val="auto"/>
          <w:szCs w:val="21"/>
          <w:highlight w:val="none"/>
        </w:rPr>
      </w:pPr>
      <w:r>
        <w:rPr>
          <w:color w:val="auto"/>
          <w:szCs w:val="21"/>
          <w:highlight w:val="none"/>
        </w:rPr>
        <w:t>4）评审情况及说明；</w:t>
      </w:r>
    </w:p>
    <w:p w14:paraId="709002A0">
      <w:pPr>
        <w:adjustRightInd w:val="0"/>
        <w:snapToGrid w:val="0"/>
        <w:spacing w:line="360" w:lineRule="auto"/>
        <w:ind w:firstLine="420" w:firstLineChars="200"/>
        <w:rPr>
          <w:color w:val="auto"/>
          <w:szCs w:val="21"/>
          <w:highlight w:val="none"/>
        </w:rPr>
      </w:pPr>
      <w:r>
        <w:rPr>
          <w:color w:val="auto"/>
          <w:szCs w:val="21"/>
          <w:highlight w:val="none"/>
        </w:rPr>
        <w:t>5）评标结果和中标候选人排序；</w:t>
      </w:r>
    </w:p>
    <w:p w14:paraId="707AF4FB">
      <w:pPr>
        <w:adjustRightInd w:val="0"/>
        <w:snapToGrid w:val="0"/>
        <w:spacing w:line="360" w:lineRule="auto"/>
        <w:ind w:firstLine="420" w:firstLineChars="200"/>
        <w:rPr>
          <w:color w:val="auto"/>
          <w:highlight w:val="none"/>
        </w:rPr>
      </w:pPr>
      <w:r>
        <w:rPr>
          <w:color w:val="auto"/>
          <w:szCs w:val="21"/>
          <w:highlight w:val="none"/>
        </w:rPr>
        <w:t>6）评标委员会的授标建议。</w:t>
      </w:r>
    </w:p>
    <w:p w14:paraId="2D8809F8">
      <w:pPr>
        <w:adjustRightInd w:val="0"/>
        <w:snapToGrid w:val="0"/>
        <w:spacing w:line="360" w:lineRule="auto"/>
        <w:ind w:firstLine="422" w:firstLineChars="200"/>
        <w:rPr>
          <w:b/>
          <w:bCs/>
          <w:color w:val="auto"/>
          <w:highlight w:val="none"/>
        </w:rPr>
      </w:pPr>
      <w:r>
        <w:rPr>
          <w:b/>
          <w:bCs/>
          <w:color w:val="auto"/>
          <w:highlight w:val="none"/>
        </w:rPr>
        <w:t>五、评标细则</w:t>
      </w:r>
    </w:p>
    <w:p w14:paraId="7D744A1B">
      <w:pPr>
        <w:pStyle w:val="48"/>
        <w:adjustRightInd w:val="0"/>
        <w:snapToGrid w:val="0"/>
        <w:spacing w:line="360" w:lineRule="auto"/>
        <w:ind w:firstLine="420" w:firstLineChars="200"/>
        <w:rPr>
          <w:rFonts w:ascii="Times New Roman"/>
          <w:color w:val="auto"/>
          <w:sz w:val="21"/>
          <w:szCs w:val="21"/>
          <w:highlight w:val="none"/>
        </w:rPr>
      </w:pPr>
      <w:r>
        <w:rPr>
          <w:rFonts w:ascii="Times New Roman"/>
          <w:color w:val="auto"/>
          <w:sz w:val="21"/>
          <w:szCs w:val="21"/>
          <w:highlight w:val="none"/>
        </w:rPr>
        <w:t>1.本项目采用综合评分法（总分100分），评标委员会根据本评审办法进行评审，对各供应商的价格、商务、技术等评分因素在分值范围内进行各自打分。每个供应商最终得分=价格分+商务技术分。</w:t>
      </w:r>
    </w:p>
    <w:p w14:paraId="33E9BDD2">
      <w:pPr>
        <w:pStyle w:val="48"/>
        <w:adjustRightInd w:val="0"/>
        <w:snapToGrid w:val="0"/>
        <w:spacing w:line="360" w:lineRule="auto"/>
        <w:ind w:firstLine="420" w:firstLineChars="200"/>
        <w:rPr>
          <w:rFonts w:ascii="Times New Roman"/>
          <w:color w:val="auto"/>
          <w:sz w:val="21"/>
          <w:szCs w:val="21"/>
          <w:highlight w:val="none"/>
        </w:rPr>
      </w:pPr>
      <w:r>
        <w:rPr>
          <w:rFonts w:ascii="Times New Roman"/>
          <w:color w:val="auto"/>
          <w:sz w:val="21"/>
          <w:szCs w:val="21"/>
          <w:highlight w:val="none"/>
        </w:rPr>
        <w:t>2.评审时，评标委员会各成员应当独立对每个有效响应的文件进行评价、打分，然后汇总每个供应商每项评分因素的得分。</w:t>
      </w:r>
    </w:p>
    <w:p w14:paraId="57DF7227">
      <w:pPr>
        <w:pStyle w:val="48"/>
        <w:adjustRightInd w:val="0"/>
        <w:snapToGrid w:val="0"/>
        <w:spacing w:line="360" w:lineRule="auto"/>
        <w:ind w:firstLine="420" w:firstLineChars="200"/>
        <w:rPr>
          <w:rFonts w:ascii="Times New Roman"/>
          <w:color w:val="auto"/>
          <w:sz w:val="21"/>
          <w:szCs w:val="21"/>
          <w:highlight w:val="none"/>
        </w:rPr>
      </w:pPr>
      <w:r>
        <w:rPr>
          <w:rFonts w:ascii="Times New Roman"/>
          <w:color w:val="auto"/>
          <w:sz w:val="21"/>
          <w:szCs w:val="21"/>
          <w:highlight w:val="none"/>
        </w:rPr>
        <w:t>3.对供应商的价格分等客观评分项的评分应当一致，对其他需要借助专业知识评判的主观评分项，应当严格按照评分细则公正评分。</w:t>
      </w:r>
      <w:r>
        <w:rPr>
          <w:rFonts w:hint="eastAsia" w:ascii="Times New Roman"/>
          <w:color w:val="auto"/>
          <w:sz w:val="21"/>
          <w:szCs w:val="21"/>
          <w:highlight w:val="none"/>
        </w:rPr>
        <w:t>评审小组成员个人主观打分偏离所有评审小组成员主观打分平均值30%以上的，由评审委员会启动评分畸高、畸低行为认定程序。</w:t>
      </w:r>
    </w:p>
    <w:p w14:paraId="353F4C7F">
      <w:pPr>
        <w:pStyle w:val="48"/>
        <w:adjustRightInd w:val="0"/>
        <w:snapToGrid w:val="0"/>
        <w:spacing w:line="360" w:lineRule="auto"/>
        <w:ind w:firstLine="420" w:firstLineChars="200"/>
        <w:rPr>
          <w:rFonts w:ascii="Times New Roman"/>
          <w:color w:val="auto"/>
          <w:sz w:val="21"/>
          <w:szCs w:val="21"/>
          <w:highlight w:val="none"/>
        </w:rPr>
      </w:pPr>
      <w:r>
        <w:rPr>
          <w:rFonts w:ascii="Times New Roman"/>
          <w:color w:val="auto"/>
          <w:sz w:val="21"/>
          <w:szCs w:val="21"/>
          <w:highlight w:val="none"/>
        </w:rPr>
        <w:t>4.采用综合评分法的，评标结果按评审后得分由高到低顺序排列。得分相同的，按投标报价由低到高顺序排列。得分且投标报价相同的并列。投标文件满足</w:t>
      </w:r>
      <w:r>
        <w:rPr>
          <w:rFonts w:hint="eastAsia" w:ascii="Times New Roman"/>
          <w:color w:val="auto"/>
          <w:sz w:val="21"/>
          <w:szCs w:val="21"/>
          <w:highlight w:val="none"/>
        </w:rPr>
        <w:t>采购文件</w:t>
      </w:r>
      <w:r>
        <w:rPr>
          <w:rFonts w:ascii="Times New Roman"/>
          <w:color w:val="auto"/>
          <w:sz w:val="21"/>
          <w:szCs w:val="21"/>
          <w:highlight w:val="none"/>
        </w:rPr>
        <w:t>全部实质性要求，且按照评审因素的量化指标评审得分最高的</w:t>
      </w:r>
      <w:r>
        <w:rPr>
          <w:rFonts w:hint="eastAsia" w:ascii="Times New Roman"/>
          <w:color w:val="auto"/>
          <w:sz w:val="21"/>
          <w:szCs w:val="21"/>
          <w:highlight w:val="none"/>
        </w:rPr>
        <w:t>供应商</w:t>
      </w:r>
      <w:r>
        <w:rPr>
          <w:rFonts w:ascii="Times New Roman"/>
          <w:color w:val="auto"/>
          <w:sz w:val="21"/>
          <w:szCs w:val="21"/>
          <w:highlight w:val="none"/>
        </w:rPr>
        <w:t>为排名第一的中标候选人。</w:t>
      </w:r>
      <w:r>
        <w:rPr>
          <w:rFonts w:hint="eastAsia" w:ascii="Times New Roman"/>
          <w:color w:val="auto"/>
          <w:sz w:val="21"/>
          <w:szCs w:val="21"/>
          <w:highlight w:val="none"/>
        </w:rPr>
        <w:t>本项目推荐一名中标候选人。</w:t>
      </w:r>
    </w:p>
    <w:p w14:paraId="29A5EC2A">
      <w:pPr>
        <w:pStyle w:val="48"/>
        <w:adjustRightInd w:val="0"/>
        <w:snapToGrid w:val="0"/>
        <w:spacing w:line="360" w:lineRule="auto"/>
        <w:ind w:firstLine="420" w:firstLineChars="200"/>
        <w:rPr>
          <w:rFonts w:ascii="Times New Roman"/>
          <w:color w:val="auto"/>
          <w:sz w:val="21"/>
          <w:szCs w:val="21"/>
          <w:highlight w:val="none"/>
        </w:rPr>
      </w:pPr>
      <w:r>
        <w:rPr>
          <w:rFonts w:ascii="Times New Roman"/>
          <w:color w:val="auto"/>
          <w:sz w:val="21"/>
          <w:szCs w:val="21"/>
          <w:highlight w:val="none"/>
        </w:rPr>
        <w:t>5.评分因素及分值范围</w:t>
      </w:r>
    </w:p>
    <w:p w14:paraId="170224DA">
      <w:pPr>
        <w:snapToGrid w:val="0"/>
        <w:spacing w:line="360" w:lineRule="auto"/>
        <w:ind w:firstLine="420" w:firstLineChars="200"/>
        <w:rPr>
          <w:color w:val="auto"/>
          <w:szCs w:val="21"/>
          <w:highlight w:val="none"/>
        </w:rPr>
      </w:pPr>
      <w:bookmarkStart w:id="24" w:name="_Toc345320402"/>
      <w:r>
        <w:rPr>
          <w:color w:val="auto"/>
          <w:szCs w:val="21"/>
          <w:highlight w:val="none"/>
        </w:rPr>
        <w:t>1）</w:t>
      </w:r>
      <w:r>
        <w:rPr>
          <w:b/>
          <w:bCs/>
          <w:color w:val="auto"/>
          <w:szCs w:val="21"/>
          <w:highlight w:val="none"/>
        </w:rPr>
        <w:t>商务技术分</w:t>
      </w:r>
      <w:bookmarkEnd w:id="24"/>
    </w:p>
    <w:p w14:paraId="29A69AC9">
      <w:pPr>
        <w:pStyle w:val="65"/>
        <w:adjustRightInd w:val="0"/>
        <w:snapToGrid w:val="0"/>
        <w:spacing w:line="360" w:lineRule="auto"/>
        <w:ind w:firstLine="420"/>
        <w:rPr>
          <w:rFonts w:eastAsia="宋体"/>
          <w:color w:val="auto"/>
          <w:sz w:val="21"/>
          <w:szCs w:val="21"/>
          <w:highlight w:val="none"/>
        </w:rPr>
      </w:pPr>
      <w:r>
        <w:rPr>
          <w:rFonts w:eastAsia="宋体"/>
          <w:color w:val="auto"/>
          <w:sz w:val="21"/>
          <w:szCs w:val="21"/>
          <w:highlight w:val="none"/>
        </w:rPr>
        <w:t>该评分分值由评标委员会根据</w:t>
      </w:r>
      <w:r>
        <w:rPr>
          <w:rFonts w:hint="eastAsia" w:eastAsia="宋体"/>
          <w:color w:val="auto"/>
          <w:sz w:val="21"/>
          <w:szCs w:val="21"/>
          <w:highlight w:val="none"/>
        </w:rPr>
        <w:t>评分细则</w:t>
      </w:r>
      <w:r>
        <w:rPr>
          <w:rFonts w:eastAsia="宋体"/>
          <w:color w:val="auto"/>
          <w:sz w:val="21"/>
          <w:szCs w:val="21"/>
          <w:highlight w:val="none"/>
        </w:rPr>
        <w:t>在分值范围内独立打分（具体分值设定详见表格），小数点后保留</w:t>
      </w:r>
      <w:r>
        <w:rPr>
          <w:rFonts w:hint="eastAsia" w:eastAsia="宋体"/>
          <w:color w:val="auto"/>
          <w:sz w:val="21"/>
          <w:szCs w:val="21"/>
          <w:highlight w:val="none"/>
        </w:rPr>
        <w:t>一</w:t>
      </w:r>
      <w:r>
        <w:rPr>
          <w:rFonts w:eastAsia="宋体"/>
          <w:color w:val="auto"/>
          <w:sz w:val="21"/>
          <w:szCs w:val="21"/>
          <w:highlight w:val="none"/>
        </w:rPr>
        <w:t>位小数。每个</w:t>
      </w:r>
      <w:r>
        <w:rPr>
          <w:rFonts w:hint="eastAsia" w:eastAsia="宋体"/>
          <w:color w:val="auto"/>
          <w:sz w:val="21"/>
          <w:szCs w:val="21"/>
          <w:highlight w:val="none"/>
        </w:rPr>
        <w:t>供应商</w:t>
      </w:r>
      <w:r>
        <w:rPr>
          <w:rFonts w:eastAsia="宋体"/>
          <w:color w:val="auto"/>
          <w:sz w:val="21"/>
          <w:szCs w:val="21"/>
          <w:highlight w:val="none"/>
        </w:rPr>
        <w:t>的最终得分为评标委员会打分汇总后的算术平均值</w:t>
      </w:r>
      <w:r>
        <w:rPr>
          <w:rFonts w:eastAsia="宋体"/>
          <w:color w:val="auto"/>
          <w:kern w:val="0"/>
          <w:sz w:val="21"/>
          <w:szCs w:val="21"/>
          <w:highlight w:val="none"/>
        </w:rPr>
        <w:t>（小数点后保留二位小数，第三位四舍五入）</w:t>
      </w:r>
      <w:r>
        <w:rPr>
          <w:rFonts w:eastAsia="宋体"/>
          <w:color w:val="auto"/>
          <w:sz w:val="21"/>
          <w:szCs w:val="21"/>
          <w:highlight w:val="none"/>
        </w:rPr>
        <w:t>。</w:t>
      </w:r>
    </w:p>
    <w:tbl>
      <w:tblPr>
        <w:tblStyle w:val="80"/>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6476"/>
        <w:gridCol w:w="1394"/>
        <w:gridCol w:w="828"/>
      </w:tblGrid>
      <w:tr w14:paraId="61F44D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2B031B">
            <w:pPr>
              <w:spacing w:line="360" w:lineRule="auto"/>
              <w:jc w:val="center"/>
              <w:rPr>
                <w:rFonts w:hint="eastAsia" w:ascii="宋体" w:hAnsi="宋体" w:cs="宋体"/>
                <w:color w:val="auto"/>
                <w:highlight w:val="none"/>
              </w:rPr>
            </w:pPr>
            <w:bookmarkStart w:id="25" w:name="_Toc345320401"/>
            <w:r>
              <w:rPr>
                <w:rFonts w:hint="eastAsia" w:ascii="宋体" w:hAnsi="宋体" w:cs="宋体"/>
                <w:color w:val="auto"/>
                <w:highlight w:val="none"/>
              </w:rPr>
              <w:t>序号</w:t>
            </w:r>
          </w:p>
        </w:tc>
        <w:tc>
          <w:tcPr>
            <w:tcW w:w="3443" w:type="pct"/>
            <w:vAlign w:val="center"/>
          </w:tcPr>
          <w:p w14:paraId="45DADA12">
            <w:pPr>
              <w:spacing w:line="360" w:lineRule="auto"/>
              <w:jc w:val="center"/>
              <w:rPr>
                <w:rFonts w:hint="eastAsia" w:ascii="宋体" w:hAnsi="宋体" w:cs="宋体"/>
                <w:color w:val="auto"/>
                <w:highlight w:val="none"/>
              </w:rPr>
            </w:pPr>
            <w:r>
              <w:rPr>
                <w:rFonts w:hint="eastAsia" w:ascii="宋体" w:hAnsi="宋体" w:cs="宋体"/>
                <w:color w:val="auto"/>
                <w:highlight w:val="none"/>
              </w:rPr>
              <w:t>评标细则</w:t>
            </w:r>
          </w:p>
        </w:tc>
        <w:tc>
          <w:tcPr>
            <w:tcW w:w="741" w:type="pct"/>
            <w:vAlign w:val="center"/>
          </w:tcPr>
          <w:p w14:paraId="34CDE4D3">
            <w:pPr>
              <w:spacing w:line="360" w:lineRule="auto"/>
              <w:jc w:val="center"/>
              <w:rPr>
                <w:rFonts w:hint="eastAsia" w:ascii="宋体" w:hAnsi="宋体" w:cs="宋体"/>
                <w:color w:val="auto"/>
                <w:highlight w:val="none"/>
              </w:rPr>
            </w:pPr>
            <w:r>
              <w:rPr>
                <w:rFonts w:hint="eastAsia" w:ascii="宋体" w:hAnsi="宋体" w:cs="宋体"/>
                <w:color w:val="auto"/>
                <w:highlight w:val="none"/>
              </w:rPr>
              <w:t>说明</w:t>
            </w:r>
          </w:p>
        </w:tc>
        <w:tc>
          <w:tcPr>
            <w:tcW w:w="440" w:type="pct"/>
            <w:vAlign w:val="center"/>
          </w:tcPr>
          <w:p w14:paraId="297FF202">
            <w:pPr>
              <w:spacing w:line="360" w:lineRule="auto"/>
              <w:jc w:val="center"/>
              <w:rPr>
                <w:rFonts w:hint="eastAsia" w:ascii="宋体" w:hAnsi="宋体" w:cs="宋体"/>
                <w:color w:val="auto"/>
                <w:highlight w:val="none"/>
              </w:rPr>
            </w:pPr>
            <w:r>
              <w:rPr>
                <w:rFonts w:hint="eastAsia" w:ascii="宋体" w:hAnsi="宋体" w:cs="宋体"/>
                <w:color w:val="auto"/>
                <w:highlight w:val="none"/>
              </w:rPr>
              <w:t>分值</w:t>
            </w:r>
          </w:p>
        </w:tc>
      </w:tr>
      <w:tr w14:paraId="34901D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57C56BC">
            <w:pPr>
              <w:spacing w:line="360" w:lineRule="auto"/>
              <w:jc w:val="center"/>
              <w:rPr>
                <w:rFonts w:hint="eastAsia" w:ascii="宋体" w:hAnsi="宋体" w:cs="宋体"/>
                <w:color w:val="auto"/>
                <w:highlight w:val="none"/>
              </w:rPr>
            </w:pPr>
            <w:r>
              <w:rPr>
                <w:rFonts w:hint="eastAsia" w:ascii="宋体" w:hAnsi="宋体" w:cs="宋体"/>
                <w:color w:val="auto"/>
                <w:highlight w:val="none"/>
              </w:rPr>
              <w:t>一</w:t>
            </w:r>
          </w:p>
        </w:tc>
        <w:tc>
          <w:tcPr>
            <w:tcW w:w="3443" w:type="pct"/>
            <w:vAlign w:val="center"/>
          </w:tcPr>
          <w:p w14:paraId="460BDE9A">
            <w:pPr>
              <w:spacing w:line="360" w:lineRule="auto"/>
              <w:jc w:val="left"/>
              <w:rPr>
                <w:rFonts w:hint="eastAsia" w:ascii="宋体" w:hAnsi="宋体" w:cs="宋体"/>
                <w:color w:val="auto"/>
                <w:highlight w:val="none"/>
              </w:rPr>
            </w:pPr>
            <w:r>
              <w:rPr>
                <w:rFonts w:hint="eastAsia" w:ascii="宋体" w:hAnsi="宋体" w:cs="宋体"/>
                <w:bCs/>
                <w:color w:val="auto"/>
                <w:spacing w:val="-4"/>
                <w:szCs w:val="21"/>
                <w:highlight w:val="none"/>
              </w:rPr>
              <w:t>投标人</w:t>
            </w:r>
            <w:r>
              <w:rPr>
                <w:rFonts w:hint="eastAsia" w:ascii="宋体" w:hAnsi="宋体" w:cs="宋体"/>
                <w:color w:val="auto"/>
                <w:highlight w:val="none"/>
              </w:rPr>
              <w:t>资信</w:t>
            </w:r>
          </w:p>
        </w:tc>
        <w:tc>
          <w:tcPr>
            <w:tcW w:w="741" w:type="pct"/>
            <w:vAlign w:val="center"/>
          </w:tcPr>
          <w:p w14:paraId="6D40E3D8">
            <w:pPr>
              <w:spacing w:line="360" w:lineRule="auto"/>
              <w:jc w:val="center"/>
              <w:rPr>
                <w:rFonts w:hint="eastAsia" w:ascii="宋体" w:hAnsi="宋体" w:cs="宋体"/>
                <w:color w:val="auto"/>
                <w:highlight w:val="none"/>
              </w:rPr>
            </w:pPr>
          </w:p>
        </w:tc>
        <w:tc>
          <w:tcPr>
            <w:tcW w:w="440" w:type="pct"/>
            <w:vAlign w:val="center"/>
          </w:tcPr>
          <w:p w14:paraId="55228788">
            <w:pPr>
              <w:spacing w:line="360" w:lineRule="auto"/>
              <w:jc w:val="center"/>
              <w:rPr>
                <w:rFonts w:hint="eastAsia" w:ascii="宋体" w:hAnsi="宋体" w:cs="宋体"/>
                <w:color w:val="auto"/>
                <w:highlight w:val="none"/>
              </w:rPr>
            </w:pPr>
          </w:p>
        </w:tc>
      </w:tr>
      <w:tr w14:paraId="28F97C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8D7421F">
            <w:pPr>
              <w:numPr>
                <w:ilvl w:val="0"/>
                <w:numId w:val="3"/>
              </w:numPr>
              <w:spacing w:line="360" w:lineRule="auto"/>
              <w:jc w:val="center"/>
              <w:rPr>
                <w:rFonts w:hint="eastAsia" w:ascii="宋体" w:hAnsi="宋体" w:cs="宋体"/>
                <w:color w:val="auto"/>
                <w:highlight w:val="none"/>
              </w:rPr>
            </w:pPr>
          </w:p>
        </w:tc>
        <w:tc>
          <w:tcPr>
            <w:tcW w:w="3443" w:type="pct"/>
            <w:vAlign w:val="center"/>
          </w:tcPr>
          <w:p w14:paraId="6B51643C">
            <w:pPr>
              <w:spacing w:line="360" w:lineRule="auto"/>
              <w:jc w:val="left"/>
              <w:rPr>
                <w:rFonts w:hint="eastAsia" w:ascii="宋体" w:hAnsi="宋体" w:cs="宋体"/>
                <w:bCs/>
                <w:color w:val="auto"/>
                <w:spacing w:val="-4"/>
                <w:szCs w:val="21"/>
                <w:highlight w:val="none"/>
              </w:rPr>
            </w:pPr>
            <w:r>
              <w:rPr>
                <w:rFonts w:hint="eastAsia" w:ascii="宋体" w:hAnsi="宋体" w:cs="宋体"/>
                <w:bCs/>
                <w:color w:val="auto"/>
                <w:spacing w:val="-4"/>
                <w:szCs w:val="21"/>
                <w:highlight w:val="none"/>
              </w:rPr>
              <w:t>业绩：投标人自2023年1月1日（以合同签订日期为准）以来具有信息化建设项目或信息化迁建改造项目案例的，每个得0.5分，最高得1分，提供合同复印件，未提供不得分，同一用户不重复得分。</w:t>
            </w:r>
          </w:p>
          <w:p w14:paraId="02FDC499">
            <w:pPr>
              <w:spacing w:line="360" w:lineRule="auto"/>
              <w:jc w:val="left"/>
              <w:rPr>
                <w:rFonts w:hint="eastAsia" w:ascii="宋体" w:hAnsi="宋体" w:cs="宋体"/>
                <w:color w:val="auto"/>
                <w:highlight w:val="none"/>
              </w:rPr>
            </w:pPr>
            <w:r>
              <w:rPr>
                <w:rFonts w:hint="eastAsia" w:ascii="宋体" w:hAnsi="宋体" w:cs="宋体"/>
                <w:b/>
                <w:bCs/>
                <w:color w:val="auto"/>
                <w:szCs w:val="21"/>
                <w:highlight w:val="none"/>
              </w:rPr>
              <w:t>注：如联合体投标以联合体牵头人提供为准。</w:t>
            </w:r>
          </w:p>
        </w:tc>
        <w:tc>
          <w:tcPr>
            <w:tcW w:w="741" w:type="pct"/>
            <w:vAlign w:val="center"/>
          </w:tcPr>
          <w:p w14:paraId="18E97C0F">
            <w:pPr>
              <w:spacing w:line="360" w:lineRule="auto"/>
              <w:jc w:val="center"/>
              <w:rPr>
                <w:rFonts w:hint="eastAsia" w:ascii="宋体" w:hAnsi="宋体" w:cs="宋体"/>
                <w:color w:val="auto"/>
                <w:highlight w:val="none"/>
              </w:rPr>
            </w:pPr>
            <w:r>
              <w:rPr>
                <w:rFonts w:hint="eastAsia" w:ascii="宋体" w:hAnsi="宋体" w:cs="宋体"/>
                <w:color w:val="auto"/>
                <w:highlight w:val="none"/>
              </w:rPr>
              <w:t>客观分</w:t>
            </w:r>
          </w:p>
        </w:tc>
        <w:tc>
          <w:tcPr>
            <w:tcW w:w="440" w:type="pct"/>
            <w:vAlign w:val="center"/>
          </w:tcPr>
          <w:p w14:paraId="6412142E">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r>
      <w:tr w14:paraId="0DB624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7921638">
            <w:pPr>
              <w:numPr>
                <w:ilvl w:val="0"/>
                <w:numId w:val="3"/>
              </w:numPr>
              <w:spacing w:line="360" w:lineRule="auto"/>
              <w:jc w:val="center"/>
              <w:rPr>
                <w:rFonts w:hint="eastAsia" w:ascii="宋体" w:hAnsi="宋体" w:cs="宋体"/>
                <w:color w:val="auto"/>
                <w:highlight w:val="none"/>
              </w:rPr>
            </w:pPr>
          </w:p>
        </w:tc>
        <w:tc>
          <w:tcPr>
            <w:tcW w:w="3443" w:type="pct"/>
            <w:vAlign w:val="center"/>
          </w:tcPr>
          <w:p w14:paraId="190FEC54">
            <w:pPr>
              <w:spacing w:line="360" w:lineRule="auto"/>
              <w:rPr>
                <w:rFonts w:hint="eastAsia" w:ascii="宋体" w:hAnsi="宋体" w:cs="宋体"/>
                <w:bCs/>
                <w:color w:val="auto"/>
                <w:spacing w:val="-4"/>
                <w:szCs w:val="21"/>
                <w:highlight w:val="none"/>
              </w:rPr>
            </w:pPr>
            <w:r>
              <w:rPr>
                <w:rFonts w:hint="eastAsia"/>
                <w:color w:val="auto"/>
                <w:szCs w:val="21"/>
                <w:highlight w:val="none"/>
              </w:rPr>
              <w:t>投标人</w:t>
            </w:r>
            <w:r>
              <w:rPr>
                <w:rFonts w:hint="eastAsia" w:ascii="宋体" w:hAnsi="宋体" w:cs="宋体"/>
                <w:color w:val="auto"/>
                <w:szCs w:val="21"/>
                <w:highlight w:val="none"/>
              </w:rPr>
              <w:t>具有有效的IS09001质量管理体系认证证书（认证范围：软件开发或系统集成）、ISO20000信息技术服务管理体系认证证书（认证范围：信息系统运行维护）、ISO27001信息安全管理体系认证证书的（认证范围：软件开发或系统集成）</w:t>
            </w:r>
            <w:r>
              <w:rPr>
                <w:rFonts w:hint="eastAsia"/>
                <w:color w:val="auto"/>
                <w:szCs w:val="21"/>
                <w:highlight w:val="none"/>
              </w:rPr>
              <w:t>，每项证书得1分，最多得3分。</w:t>
            </w:r>
            <w:r>
              <w:rPr>
                <w:rFonts w:hint="eastAsia" w:ascii="宋体" w:hAnsi="宋体" w:cs="宋体"/>
                <w:bCs/>
                <w:color w:val="auto"/>
                <w:spacing w:val="-4"/>
                <w:szCs w:val="21"/>
                <w:highlight w:val="none"/>
              </w:rPr>
              <w:t>提供证书复印件和证书在全国认证认可信息公共服务平台查询截图（查询状态为：有效），未提供不得分。</w:t>
            </w:r>
          </w:p>
          <w:p w14:paraId="78C2CE70">
            <w:pPr>
              <w:spacing w:line="360" w:lineRule="auto"/>
              <w:rPr>
                <w:color w:val="auto"/>
                <w:highlight w:val="none"/>
              </w:rPr>
            </w:pPr>
            <w:r>
              <w:rPr>
                <w:rFonts w:hint="eastAsia" w:ascii="宋体" w:hAnsi="宋体" w:cs="宋体"/>
                <w:b/>
                <w:bCs/>
                <w:color w:val="auto"/>
                <w:szCs w:val="21"/>
                <w:highlight w:val="none"/>
              </w:rPr>
              <w:t>注：如联合体投标以联合体牵头人提供为准。</w:t>
            </w:r>
          </w:p>
        </w:tc>
        <w:tc>
          <w:tcPr>
            <w:tcW w:w="741" w:type="pct"/>
            <w:vAlign w:val="center"/>
          </w:tcPr>
          <w:p w14:paraId="2304FC64">
            <w:pPr>
              <w:spacing w:line="360" w:lineRule="auto"/>
              <w:jc w:val="center"/>
              <w:rPr>
                <w:rFonts w:hint="eastAsia" w:ascii="宋体" w:hAnsi="宋体" w:cs="宋体"/>
                <w:color w:val="auto"/>
                <w:highlight w:val="none"/>
              </w:rPr>
            </w:pPr>
            <w:r>
              <w:rPr>
                <w:rFonts w:hint="eastAsia"/>
                <w:color w:val="auto"/>
                <w:highlight w:val="none"/>
              </w:rPr>
              <w:t>客观分</w:t>
            </w:r>
          </w:p>
        </w:tc>
        <w:tc>
          <w:tcPr>
            <w:tcW w:w="440" w:type="pct"/>
            <w:vAlign w:val="center"/>
          </w:tcPr>
          <w:p w14:paraId="4AD031BF">
            <w:pPr>
              <w:spacing w:line="360" w:lineRule="auto"/>
              <w:jc w:val="center"/>
              <w:rPr>
                <w:rFonts w:hint="eastAsia" w:ascii="宋体" w:hAnsi="宋体" w:cs="宋体"/>
                <w:color w:val="auto"/>
                <w:highlight w:val="none"/>
              </w:rPr>
            </w:pPr>
            <w:r>
              <w:rPr>
                <w:rFonts w:hint="eastAsia"/>
                <w:color w:val="auto"/>
                <w:highlight w:val="none"/>
              </w:rPr>
              <w:t>3</w:t>
            </w:r>
          </w:p>
        </w:tc>
      </w:tr>
      <w:tr w14:paraId="2C05F6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C19FDD4">
            <w:pPr>
              <w:spacing w:line="360" w:lineRule="auto"/>
              <w:jc w:val="center"/>
              <w:rPr>
                <w:rFonts w:hint="eastAsia" w:ascii="宋体" w:hAnsi="宋体" w:cs="宋体"/>
                <w:color w:val="auto"/>
                <w:highlight w:val="none"/>
              </w:rPr>
            </w:pPr>
            <w:r>
              <w:rPr>
                <w:rFonts w:hint="eastAsia" w:ascii="宋体" w:hAnsi="宋体" w:cs="宋体"/>
                <w:color w:val="auto"/>
                <w:highlight w:val="none"/>
              </w:rPr>
              <w:t>二</w:t>
            </w:r>
          </w:p>
        </w:tc>
        <w:tc>
          <w:tcPr>
            <w:tcW w:w="3443" w:type="pct"/>
            <w:vAlign w:val="center"/>
          </w:tcPr>
          <w:p w14:paraId="78541C2C">
            <w:pPr>
              <w:spacing w:line="360" w:lineRule="auto"/>
              <w:jc w:val="left"/>
              <w:rPr>
                <w:rFonts w:hint="eastAsia" w:ascii="宋体" w:hAnsi="宋体" w:cs="宋体"/>
                <w:color w:val="auto"/>
                <w:highlight w:val="none"/>
              </w:rPr>
            </w:pPr>
            <w:r>
              <w:rPr>
                <w:rFonts w:hint="eastAsia" w:ascii="宋体" w:hAnsi="宋体" w:cs="宋体"/>
                <w:color w:val="auto"/>
                <w:highlight w:val="none"/>
              </w:rPr>
              <w:t>技术</w:t>
            </w:r>
          </w:p>
        </w:tc>
        <w:tc>
          <w:tcPr>
            <w:tcW w:w="741" w:type="pct"/>
            <w:vAlign w:val="center"/>
          </w:tcPr>
          <w:p w14:paraId="57A05EF2">
            <w:pPr>
              <w:spacing w:line="360" w:lineRule="auto"/>
              <w:jc w:val="center"/>
              <w:rPr>
                <w:rFonts w:hint="eastAsia" w:ascii="宋体" w:hAnsi="宋体" w:cs="宋体"/>
                <w:color w:val="auto"/>
                <w:highlight w:val="none"/>
              </w:rPr>
            </w:pPr>
          </w:p>
        </w:tc>
        <w:tc>
          <w:tcPr>
            <w:tcW w:w="440" w:type="pct"/>
            <w:vAlign w:val="center"/>
          </w:tcPr>
          <w:p w14:paraId="7EFD2F88">
            <w:pPr>
              <w:spacing w:line="360" w:lineRule="auto"/>
              <w:jc w:val="center"/>
              <w:rPr>
                <w:rFonts w:hint="eastAsia" w:ascii="宋体" w:hAnsi="宋体" w:cs="宋体"/>
                <w:color w:val="auto"/>
                <w:highlight w:val="none"/>
              </w:rPr>
            </w:pPr>
          </w:p>
        </w:tc>
      </w:tr>
      <w:tr w14:paraId="3FB50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0BF4FB3">
            <w:pPr>
              <w:numPr>
                <w:ilvl w:val="0"/>
                <w:numId w:val="3"/>
              </w:numPr>
              <w:spacing w:line="360" w:lineRule="auto"/>
              <w:jc w:val="center"/>
              <w:rPr>
                <w:rFonts w:hint="eastAsia" w:ascii="宋体" w:hAnsi="宋体" w:cs="宋体"/>
                <w:color w:val="auto"/>
                <w:highlight w:val="none"/>
              </w:rPr>
            </w:pPr>
          </w:p>
        </w:tc>
        <w:tc>
          <w:tcPr>
            <w:tcW w:w="3443" w:type="pct"/>
            <w:vAlign w:val="center"/>
          </w:tcPr>
          <w:p w14:paraId="6E29AF2A">
            <w:pPr>
              <w:spacing w:line="360" w:lineRule="auto"/>
              <w:rPr>
                <w:rFonts w:hint="eastAsia" w:ascii="宋体" w:hAnsi="宋体" w:cs="宋体"/>
                <w:bCs/>
                <w:color w:val="auto"/>
                <w:spacing w:val="-4"/>
                <w:szCs w:val="21"/>
                <w:highlight w:val="none"/>
              </w:rPr>
            </w:pPr>
            <w:r>
              <w:rPr>
                <w:rFonts w:hint="eastAsia" w:ascii="宋体" w:hAnsi="宋体" w:cs="宋体"/>
                <w:color w:val="auto"/>
                <w:szCs w:val="21"/>
                <w:highlight w:val="none"/>
              </w:rPr>
              <w:t>技术功能符合度：对应于采购文件“采购需求”</w:t>
            </w:r>
            <w:r>
              <w:rPr>
                <w:rFonts w:hint="eastAsia" w:ascii="宋体" w:hAnsi="宋体" w:cs="宋体"/>
                <w:color w:val="auto"/>
                <w:szCs w:val="21"/>
                <w:highlight w:val="none"/>
                <w:lang w:val="en-US" w:eastAsia="zh-CN"/>
              </w:rPr>
              <w:t>三、技术要求</w:t>
            </w:r>
            <w:r>
              <w:rPr>
                <w:rFonts w:hint="eastAsia" w:ascii="宋体" w:hAnsi="宋体" w:cs="宋体"/>
                <w:color w:val="auto"/>
                <w:szCs w:val="21"/>
                <w:highlight w:val="none"/>
              </w:rPr>
              <w:t>的符合度，带</w:t>
            </w:r>
            <w:r>
              <w:rPr>
                <w:color w:val="auto"/>
                <w:kern w:val="0"/>
                <w:szCs w:val="21"/>
                <w:highlight w:val="none"/>
                <w:lang w:bidi="ar"/>
              </w:rPr>
              <w:t>△</w:t>
            </w:r>
            <w:r>
              <w:rPr>
                <w:rFonts w:hint="eastAsia" w:ascii="宋体" w:hAnsi="宋体" w:cs="宋体"/>
                <w:color w:val="auto"/>
                <w:szCs w:val="21"/>
                <w:highlight w:val="none"/>
              </w:rPr>
              <w:t>条款每一项不满足采购文件要求扣1.5分。未按照采购文件要求提供演示视频的均视为不符合采购文件要求。</w:t>
            </w:r>
          </w:p>
        </w:tc>
        <w:tc>
          <w:tcPr>
            <w:tcW w:w="741" w:type="pct"/>
            <w:vAlign w:val="center"/>
          </w:tcPr>
          <w:p w14:paraId="00B40852">
            <w:pPr>
              <w:spacing w:line="360" w:lineRule="auto"/>
              <w:jc w:val="center"/>
              <w:rPr>
                <w:rFonts w:hint="eastAsia" w:ascii="宋体" w:hAnsi="宋体" w:cs="宋体"/>
                <w:color w:val="auto"/>
                <w:highlight w:val="none"/>
              </w:rPr>
            </w:pPr>
            <w:r>
              <w:rPr>
                <w:rFonts w:hint="eastAsia" w:ascii="宋体" w:hAnsi="宋体" w:cs="宋体"/>
                <w:color w:val="auto"/>
                <w:highlight w:val="none"/>
              </w:rPr>
              <w:t>客观分</w:t>
            </w:r>
          </w:p>
        </w:tc>
        <w:tc>
          <w:tcPr>
            <w:tcW w:w="440" w:type="pct"/>
            <w:vAlign w:val="center"/>
          </w:tcPr>
          <w:p w14:paraId="1AF9EC52">
            <w:pPr>
              <w:spacing w:line="360" w:lineRule="auto"/>
              <w:jc w:val="center"/>
              <w:rPr>
                <w:rFonts w:hint="eastAsia" w:ascii="宋体" w:hAnsi="宋体" w:cs="宋体"/>
                <w:color w:val="auto"/>
                <w:highlight w:val="none"/>
              </w:rPr>
            </w:pPr>
            <w:r>
              <w:rPr>
                <w:rFonts w:hint="eastAsia" w:ascii="宋体" w:hAnsi="宋体" w:cs="宋体"/>
                <w:color w:val="auto"/>
                <w:highlight w:val="none"/>
              </w:rPr>
              <w:t>15</w:t>
            </w:r>
          </w:p>
        </w:tc>
      </w:tr>
      <w:tr w14:paraId="56000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374" w:type="pct"/>
            <w:vAlign w:val="center"/>
          </w:tcPr>
          <w:p w14:paraId="787EC49E">
            <w:pPr>
              <w:numPr>
                <w:ilvl w:val="0"/>
                <w:numId w:val="3"/>
              </w:numPr>
              <w:spacing w:line="360" w:lineRule="auto"/>
              <w:jc w:val="center"/>
              <w:rPr>
                <w:rFonts w:hint="eastAsia" w:ascii="宋体" w:hAnsi="宋体" w:cs="宋体"/>
                <w:color w:val="auto"/>
                <w:highlight w:val="none"/>
              </w:rPr>
            </w:pPr>
          </w:p>
        </w:tc>
        <w:tc>
          <w:tcPr>
            <w:tcW w:w="3443" w:type="pct"/>
            <w:vAlign w:val="center"/>
          </w:tcPr>
          <w:p w14:paraId="6E19700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技术功能符合度：对应于采购文件“采购需求”</w:t>
            </w:r>
            <w:r>
              <w:rPr>
                <w:rFonts w:hint="eastAsia" w:ascii="宋体" w:hAnsi="宋体" w:cs="宋体"/>
                <w:color w:val="auto"/>
                <w:szCs w:val="21"/>
                <w:highlight w:val="none"/>
                <w:lang w:val="en-US" w:eastAsia="zh-CN"/>
              </w:rPr>
              <w:t>三、技术要求</w:t>
            </w:r>
            <w:r>
              <w:rPr>
                <w:rFonts w:hint="eastAsia" w:ascii="宋体" w:hAnsi="宋体" w:cs="宋体"/>
                <w:color w:val="auto"/>
                <w:szCs w:val="21"/>
                <w:highlight w:val="none"/>
              </w:rPr>
              <w:t>的符合度，不带</w:t>
            </w:r>
            <w:r>
              <w:rPr>
                <w:color w:val="auto"/>
                <w:kern w:val="0"/>
                <w:szCs w:val="21"/>
                <w:highlight w:val="none"/>
                <w:lang w:bidi="ar"/>
              </w:rPr>
              <w:t>△</w:t>
            </w:r>
            <w:r>
              <w:rPr>
                <w:rFonts w:hint="eastAsia" w:ascii="宋体" w:hAnsi="宋体" w:cs="宋体"/>
                <w:color w:val="auto"/>
                <w:szCs w:val="21"/>
                <w:highlight w:val="none"/>
              </w:rPr>
              <w:t>条款每一项不满足采购文件要求扣1分。</w:t>
            </w:r>
          </w:p>
        </w:tc>
        <w:tc>
          <w:tcPr>
            <w:tcW w:w="741" w:type="pct"/>
            <w:vAlign w:val="center"/>
          </w:tcPr>
          <w:p w14:paraId="299064BC">
            <w:pPr>
              <w:spacing w:line="360" w:lineRule="auto"/>
              <w:jc w:val="center"/>
              <w:rPr>
                <w:rFonts w:hint="eastAsia" w:ascii="宋体" w:hAnsi="宋体" w:cs="宋体"/>
                <w:color w:val="auto"/>
                <w:highlight w:val="none"/>
              </w:rPr>
            </w:pPr>
            <w:r>
              <w:rPr>
                <w:rFonts w:hint="eastAsia" w:ascii="宋体" w:hAnsi="宋体" w:cs="宋体"/>
                <w:color w:val="auto"/>
                <w:highlight w:val="none"/>
              </w:rPr>
              <w:t>客观分</w:t>
            </w:r>
          </w:p>
        </w:tc>
        <w:tc>
          <w:tcPr>
            <w:tcW w:w="440" w:type="pct"/>
            <w:vAlign w:val="center"/>
          </w:tcPr>
          <w:p w14:paraId="333548CB">
            <w:pPr>
              <w:spacing w:line="360" w:lineRule="auto"/>
              <w:jc w:val="center"/>
              <w:rPr>
                <w:rFonts w:hint="eastAsia" w:ascii="宋体" w:hAnsi="宋体" w:cs="宋体"/>
                <w:color w:val="auto"/>
                <w:highlight w:val="none"/>
              </w:rPr>
            </w:pPr>
            <w:r>
              <w:rPr>
                <w:rFonts w:hint="eastAsia" w:ascii="宋体" w:hAnsi="宋体" w:cs="宋体"/>
                <w:color w:val="auto"/>
                <w:highlight w:val="none"/>
              </w:rPr>
              <w:t>44</w:t>
            </w:r>
          </w:p>
        </w:tc>
      </w:tr>
      <w:tr w14:paraId="55E244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229908F">
            <w:pPr>
              <w:rPr>
                <w:color w:val="auto"/>
                <w:highlight w:val="none"/>
              </w:rPr>
            </w:pPr>
          </w:p>
        </w:tc>
        <w:tc>
          <w:tcPr>
            <w:tcW w:w="3443" w:type="pct"/>
            <w:vAlign w:val="center"/>
          </w:tcPr>
          <w:p w14:paraId="06C51C03">
            <w:pPr>
              <w:rPr>
                <w:color w:val="auto"/>
                <w:highlight w:val="none"/>
              </w:rPr>
            </w:pPr>
          </w:p>
        </w:tc>
        <w:tc>
          <w:tcPr>
            <w:tcW w:w="741" w:type="pct"/>
            <w:vAlign w:val="center"/>
          </w:tcPr>
          <w:p w14:paraId="7699CAAE">
            <w:pPr>
              <w:rPr>
                <w:color w:val="auto"/>
                <w:highlight w:val="none"/>
              </w:rPr>
            </w:pPr>
          </w:p>
        </w:tc>
        <w:tc>
          <w:tcPr>
            <w:tcW w:w="440" w:type="pct"/>
            <w:vAlign w:val="center"/>
          </w:tcPr>
          <w:p w14:paraId="4A0A41D8">
            <w:pPr>
              <w:rPr>
                <w:color w:val="auto"/>
                <w:highlight w:val="none"/>
              </w:rPr>
            </w:pPr>
          </w:p>
        </w:tc>
      </w:tr>
      <w:tr w14:paraId="697DE5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9EDB453">
            <w:pPr>
              <w:spacing w:line="360" w:lineRule="auto"/>
              <w:jc w:val="center"/>
              <w:rPr>
                <w:rFonts w:hint="eastAsia" w:ascii="宋体" w:hAnsi="宋体" w:cs="宋体"/>
                <w:color w:val="auto"/>
                <w:highlight w:val="none"/>
              </w:rPr>
            </w:pPr>
            <w:r>
              <w:rPr>
                <w:rFonts w:hint="eastAsia" w:ascii="宋体" w:hAnsi="宋体" w:cs="宋体"/>
                <w:color w:val="auto"/>
                <w:highlight w:val="none"/>
              </w:rPr>
              <w:t>三</w:t>
            </w:r>
          </w:p>
        </w:tc>
        <w:tc>
          <w:tcPr>
            <w:tcW w:w="3443" w:type="pct"/>
            <w:vAlign w:val="center"/>
          </w:tcPr>
          <w:p w14:paraId="4D45BE5B">
            <w:pPr>
              <w:spacing w:line="360" w:lineRule="auto"/>
              <w:rPr>
                <w:rFonts w:hint="eastAsia" w:ascii="宋体" w:hAnsi="宋体" w:cs="宋体"/>
                <w:color w:val="auto"/>
                <w:highlight w:val="none"/>
              </w:rPr>
            </w:pPr>
            <w:r>
              <w:rPr>
                <w:rFonts w:hint="eastAsia" w:ascii="宋体" w:hAnsi="宋体" w:cs="宋体"/>
                <w:color w:val="auto"/>
                <w:highlight w:val="none"/>
              </w:rPr>
              <w:t>实施方案</w:t>
            </w:r>
          </w:p>
        </w:tc>
        <w:tc>
          <w:tcPr>
            <w:tcW w:w="741" w:type="pct"/>
            <w:vAlign w:val="center"/>
          </w:tcPr>
          <w:p w14:paraId="3E785FF5">
            <w:pPr>
              <w:spacing w:line="360" w:lineRule="auto"/>
              <w:jc w:val="center"/>
              <w:rPr>
                <w:rFonts w:hint="eastAsia" w:ascii="宋体" w:hAnsi="宋体" w:cs="宋体"/>
                <w:color w:val="auto"/>
                <w:highlight w:val="none"/>
              </w:rPr>
            </w:pPr>
          </w:p>
        </w:tc>
        <w:tc>
          <w:tcPr>
            <w:tcW w:w="440" w:type="pct"/>
            <w:vAlign w:val="center"/>
          </w:tcPr>
          <w:p w14:paraId="06D7E45C">
            <w:pPr>
              <w:spacing w:line="360" w:lineRule="auto"/>
              <w:jc w:val="center"/>
              <w:rPr>
                <w:rFonts w:hint="eastAsia" w:ascii="宋体" w:hAnsi="宋体" w:cs="宋体"/>
                <w:color w:val="auto"/>
                <w:highlight w:val="none"/>
              </w:rPr>
            </w:pPr>
          </w:p>
        </w:tc>
      </w:tr>
      <w:tr w14:paraId="7F683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AA47602">
            <w:pPr>
              <w:numPr>
                <w:ilvl w:val="0"/>
                <w:numId w:val="3"/>
              </w:numPr>
              <w:spacing w:line="360" w:lineRule="auto"/>
              <w:jc w:val="center"/>
              <w:rPr>
                <w:rFonts w:hint="eastAsia" w:ascii="宋体" w:hAnsi="宋体" w:cs="宋体"/>
                <w:color w:val="auto"/>
                <w:highlight w:val="none"/>
              </w:rPr>
            </w:pPr>
          </w:p>
        </w:tc>
        <w:tc>
          <w:tcPr>
            <w:tcW w:w="3443" w:type="pct"/>
            <w:vAlign w:val="center"/>
          </w:tcPr>
          <w:p w14:paraId="06B8EF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项目现状：包括对医院现有HIS系统、电子病历系统、集成平台系统、数据中心系统的现状分析。</w:t>
            </w:r>
          </w:p>
          <w:p w14:paraId="18A4FEFB">
            <w:pPr>
              <w:spacing w:line="360" w:lineRule="auto"/>
              <w:rPr>
                <w:color w:val="auto"/>
                <w:highlight w:val="none"/>
              </w:rPr>
            </w:pPr>
            <w:r>
              <w:rPr>
                <w:rFonts w:hint="eastAsia" w:ascii="宋体" w:hAnsi="宋体" w:cs="宋体"/>
                <w:color w:val="auto"/>
                <w:szCs w:val="21"/>
                <w:highlight w:val="none"/>
              </w:rPr>
              <w:t>现状</w:t>
            </w:r>
            <w:r>
              <w:rPr>
                <w:rFonts w:hint="eastAsia"/>
                <w:color w:val="auto"/>
                <w:highlight w:val="none"/>
              </w:rPr>
              <w:t>分析详细且完善，内容要素齐全，贴合采购需求及实际特点，对项目实施有显著支撑作用的得3分；</w:t>
            </w:r>
          </w:p>
          <w:p w14:paraId="44FE5DBA">
            <w:pPr>
              <w:spacing w:line="360" w:lineRule="auto"/>
              <w:rPr>
                <w:color w:val="auto"/>
                <w:highlight w:val="none"/>
              </w:rPr>
            </w:pPr>
            <w:r>
              <w:rPr>
                <w:rFonts w:hint="eastAsia"/>
                <w:color w:val="auto"/>
                <w:highlight w:val="none"/>
              </w:rPr>
              <w:t>现状分析较详细较完善，内容要素较齐全，基本贴合采购需求及实际特点，对项目实施有较强支撑作用的得2分；</w:t>
            </w:r>
          </w:p>
          <w:p w14:paraId="1371D23A">
            <w:pPr>
              <w:spacing w:line="360" w:lineRule="auto"/>
              <w:rPr>
                <w:color w:val="auto"/>
                <w:highlight w:val="none"/>
              </w:rPr>
            </w:pPr>
            <w:r>
              <w:rPr>
                <w:rFonts w:hint="eastAsia"/>
                <w:color w:val="auto"/>
                <w:highlight w:val="none"/>
              </w:rPr>
              <w:t>内容具备基本专业性，内容要素基本齐全，基本贴合采购需求及实际特点，对项目实施有一定支撑作用的得1分；</w:t>
            </w:r>
          </w:p>
          <w:p w14:paraId="39D3B5D2">
            <w:pPr>
              <w:spacing w:line="360" w:lineRule="auto"/>
              <w:rPr>
                <w:rFonts w:hint="eastAsia" w:ascii="宋体" w:hAnsi="宋体" w:cs="宋体"/>
                <w:color w:val="auto"/>
                <w:szCs w:val="21"/>
                <w:highlight w:val="none"/>
              </w:rPr>
            </w:pPr>
            <w:r>
              <w:rPr>
                <w:rFonts w:hint="eastAsia"/>
                <w:color w:val="auto"/>
                <w:highlight w:val="none"/>
              </w:rPr>
              <w:t>内容专业性不足，内容要素不齐全，与采购需求及实际特点有偏差，对项目实施支撑作用有限的得0.5分；未提供不得分。</w:t>
            </w:r>
          </w:p>
        </w:tc>
        <w:tc>
          <w:tcPr>
            <w:tcW w:w="741" w:type="pct"/>
            <w:vAlign w:val="center"/>
          </w:tcPr>
          <w:p w14:paraId="3FD2A8FB">
            <w:pPr>
              <w:spacing w:line="360" w:lineRule="auto"/>
              <w:jc w:val="center"/>
              <w:rPr>
                <w:rFonts w:hint="eastAsia" w:ascii="宋体" w:hAnsi="宋体" w:cs="宋体"/>
                <w:color w:val="auto"/>
                <w:highlight w:val="none"/>
              </w:rPr>
            </w:pPr>
            <w:r>
              <w:rPr>
                <w:rFonts w:hint="eastAsia" w:ascii="宋体" w:hAnsi="宋体" w:cs="宋体"/>
                <w:color w:val="auto"/>
                <w:highlight w:val="none"/>
              </w:rPr>
              <w:t>主观分</w:t>
            </w:r>
          </w:p>
        </w:tc>
        <w:tc>
          <w:tcPr>
            <w:tcW w:w="440" w:type="pct"/>
            <w:vAlign w:val="center"/>
          </w:tcPr>
          <w:p w14:paraId="5A16C1CF">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r>
      <w:tr w14:paraId="43E220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D6492C2">
            <w:pPr>
              <w:numPr>
                <w:ilvl w:val="0"/>
                <w:numId w:val="3"/>
              </w:numPr>
              <w:spacing w:line="360" w:lineRule="auto"/>
              <w:jc w:val="center"/>
              <w:rPr>
                <w:rFonts w:hint="eastAsia" w:ascii="宋体" w:hAnsi="宋体" w:cs="宋体"/>
                <w:color w:val="auto"/>
                <w:highlight w:val="none"/>
              </w:rPr>
            </w:pPr>
          </w:p>
        </w:tc>
        <w:tc>
          <w:tcPr>
            <w:tcW w:w="3443" w:type="pct"/>
            <w:vAlign w:val="center"/>
          </w:tcPr>
          <w:p w14:paraId="19E1BD5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核心组件迭代方案：投标人提供核心组件升级迭代详细方案，在保障原系统稳定运行基础上，不改动核心代码库，通过服务框架优化、容器编排部署、中间件升级等方式，实现系统性能显著提升，确保系统稳定高效、易于扩展，满足业务高并发需求。</w:t>
            </w:r>
          </w:p>
          <w:p w14:paraId="26693C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方案内容详细且完善，贴合采购需求及实际特点，针对性和实施性强，对项目实施有显著支撑作用的得3分；</w:t>
            </w:r>
          </w:p>
          <w:p w14:paraId="5A5119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方案内容较详细较完善，基本贴合采购需求及实际特点，针对性和实施性较强，对项目实施有较强支撑作用的得2分；</w:t>
            </w:r>
          </w:p>
          <w:p w14:paraId="13381BB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方案内容完整，基本贴合采购需求及实际特点，对项目实施有一定支撑作用的得1分；</w:t>
            </w:r>
          </w:p>
          <w:p w14:paraId="36BA60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方案内容不全，与采购需求及实际特点有偏差，对项目实施支撑作用有限的得0.5分；未提供不得分。</w:t>
            </w:r>
          </w:p>
        </w:tc>
        <w:tc>
          <w:tcPr>
            <w:tcW w:w="741" w:type="pct"/>
            <w:vAlign w:val="center"/>
          </w:tcPr>
          <w:p w14:paraId="765C0593">
            <w:pPr>
              <w:spacing w:line="360" w:lineRule="auto"/>
              <w:jc w:val="center"/>
              <w:rPr>
                <w:rFonts w:hint="eastAsia" w:ascii="宋体" w:hAnsi="宋体" w:cs="宋体"/>
                <w:color w:val="auto"/>
                <w:highlight w:val="none"/>
              </w:rPr>
            </w:pPr>
            <w:r>
              <w:rPr>
                <w:rFonts w:hint="eastAsia" w:ascii="宋体" w:hAnsi="宋体" w:cs="宋体"/>
                <w:color w:val="auto"/>
                <w:highlight w:val="none"/>
              </w:rPr>
              <w:t>主观分</w:t>
            </w:r>
          </w:p>
        </w:tc>
        <w:tc>
          <w:tcPr>
            <w:tcW w:w="440" w:type="pct"/>
            <w:vAlign w:val="center"/>
          </w:tcPr>
          <w:p w14:paraId="2CDD5035">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r>
      <w:tr w14:paraId="162BDB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A43357F">
            <w:pPr>
              <w:numPr>
                <w:ilvl w:val="0"/>
                <w:numId w:val="3"/>
              </w:numPr>
              <w:spacing w:line="360" w:lineRule="auto"/>
              <w:jc w:val="center"/>
              <w:rPr>
                <w:rFonts w:hint="eastAsia" w:ascii="宋体" w:hAnsi="宋体" w:cs="宋体"/>
                <w:color w:val="auto"/>
                <w:highlight w:val="none"/>
              </w:rPr>
            </w:pPr>
          </w:p>
        </w:tc>
        <w:tc>
          <w:tcPr>
            <w:tcW w:w="3443" w:type="pct"/>
            <w:vAlign w:val="center"/>
          </w:tcPr>
          <w:p w14:paraId="083F5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核心业务流程改造方案：投标人提供详细的核心业务系统流程改造方案，从业务层、数据层、技术层等多维度阐述，实现系统界面一致性，临床业务的连续性，系统功能的高可用性和可扩展性。</w:t>
            </w:r>
          </w:p>
          <w:p w14:paraId="7D53951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方案内容详细且完善，贴合采购需求及实际特点，针对性和实施性强，对项目实施有显著支撑作用的得3分；</w:t>
            </w:r>
          </w:p>
          <w:p w14:paraId="3514CF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方案内容较详细较完善，基本贴合采购需求及实际特点，针对性和实施性较强，对项目实施有较强支撑作用的得2分；</w:t>
            </w:r>
          </w:p>
          <w:p w14:paraId="6BB310C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方案内容完整，基本贴合采购需求及实际特点，对项目实施有一定支撑作用的得1分；</w:t>
            </w:r>
          </w:p>
          <w:p w14:paraId="4E5E5B8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方案内容不全，与采购需求及实际特点有偏差，对项目实施支撑作用有限的得0.5分；未提供不得分。</w:t>
            </w:r>
          </w:p>
        </w:tc>
        <w:tc>
          <w:tcPr>
            <w:tcW w:w="741" w:type="pct"/>
            <w:vAlign w:val="center"/>
          </w:tcPr>
          <w:p w14:paraId="588EF60F">
            <w:pPr>
              <w:spacing w:line="360" w:lineRule="auto"/>
              <w:jc w:val="center"/>
              <w:rPr>
                <w:rFonts w:hint="eastAsia" w:ascii="宋体" w:hAnsi="宋体" w:cs="宋体"/>
                <w:color w:val="auto"/>
                <w:highlight w:val="none"/>
              </w:rPr>
            </w:pPr>
            <w:r>
              <w:rPr>
                <w:rFonts w:hint="eastAsia" w:ascii="宋体" w:hAnsi="宋体" w:cs="宋体"/>
                <w:color w:val="auto"/>
                <w:highlight w:val="none"/>
              </w:rPr>
              <w:t>主观分</w:t>
            </w:r>
          </w:p>
        </w:tc>
        <w:tc>
          <w:tcPr>
            <w:tcW w:w="440" w:type="pct"/>
            <w:vAlign w:val="center"/>
          </w:tcPr>
          <w:p w14:paraId="4524AC1A">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r>
      <w:tr w14:paraId="3BFCCC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49AB245">
            <w:pPr>
              <w:numPr>
                <w:ilvl w:val="0"/>
                <w:numId w:val="3"/>
              </w:numPr>
              <w:spacing w:line="360" w:lineRule="auto"/>
              <w:jc w:val="center"/>
              <w:rPr>
                <w:rFonts w:hint="eastAsia" w:ascii="宋体" w:hAnsi="宋体" w:cs="宋体"/>
                <w:color w:val="auto"/>
                <w:highlight w:val="none"/>
              </w:rPr>
            </w:pPr>
          </w:p>
        </w:tc>
        <w:tc>
          <w:tcPr>
            <w:tcW w:w="3443" w:type="pct"/>
            <w:vAlign w:val="center"/>
          </w:tcPr>
          <w:p w14:paraId="2B8EFA9D">
            <w:pPr>
              <w:spacing w:line="360" w:lineRule="auto"/>
              <w:rPr>
                <w:color w:val="auto"/>
                <w:highlight w:val="none"/>
              </w:rPr>
            </w:pPr>
            <w:r>
              <w:rPr>
                <w:rFonts w:hint="eastAsia"/>
                <w:color w:val="auto"/>
                <w:highlight w:val="none"/>
              </w:rPr>
              <w:t>多院区集成平台接口对接适配方案：投标人提供详细的集成平台接口对接方案，满足新老院区接口标准的一致性要求，实现多院区医疗业务的连续性发展，保障跨院区的业务闭环管理。</w:t>
            </w:r>
          </w:p>
          <w:p w14:paraId="4B48D6D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方案内容详细且完善，贴合采购需求及实际特点，针对性和实施性强，对项目实施有显著支撑作用的得3分；</w:t>
            </w:r>
          </w:p>
          <w:p w14:paraId="5C6AB0F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方案内容完整，基本贴合采购需求及实际特点，对项目实施有支撑作用的得2分；</w:t>
            </w:r>
          </w:p>
          <w:p w14:paraId="2C2D1926">
            <w:pPr>
              <w:spacing w:line="360" w:lineRule="auto"/>
              <w:rPr>
                <w:color w:val="auto"/>
                <w:highlight w:val="none"/>
              </w:rPr>
            </w:pPr>
            <w:r>
              <w:rPr>
                <w:rFonts w:hint="eastAsia" w:ascii="宋体" w:hAnsi="宋体" w:cs="宋体"/>
                <w:color w:val="auto"/>
                <w:szCs w:val="21"/>
                <w:highlight w:val="none"/>
              </w:rPr>
              <w:t>方案内容不全，与采购需求及实际特点有偏差，对项目实施支撑作用有限的得1分；未提供不得分。</w:t>
            </w:r>
          </w:p>
        </w:tc>
        <w:tc>
          <w:tcPr>
            <w:tcW w:w="741" w:type="pct"/>
            <w:vAlign w:val="center"/>
          </w:tcPr>
          <w:p w14:paraId="43C38D73">
            <w:pPr>
              <w:spacing w:line="360" w:lineRule="auto"/>
              <w:jc w:val="center"/>
              <w:rPr>
                <w:rFonts w:hint="eastAsia" w:ascii="宋体" w:hAnsi="宋体" w:cs="宋体"/>
                <w:color w:val="auto"/>
                <w:highlight w:val="none"/>
              </w:rPr>
            </w:pPr>
            <w:r>
              <w:rPr>
                <w:rFonts w:hint="eastAsia" w:ascii="宋体" w:hAnsi="宋体" w:cs="宋体"/>
                <w:color w:val="auto"/>
                <w:highlight w:val="none"/>
              </w:rPr>
              <w:t>主观分</w:t>
            </w:r>
          </w:p>
        </w:tc>
        <w:tc>
          <w:tcPr>
            <w:tcW w:w="440" w:type="pct"/>
            <w:vAlign w:val="center"/>
          </w:tcPr>
          <w:p w14:paraId="6BD83FED">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r>
      <w:tr w14:paraId="58636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EFC66AC">
            <w:pPr>
              <w:numPr>
                <w:ilvl w:val="0"/>
                <w:numId w:val="3"/>
              </w:numPr>
              <w:spacing w:line="360" w:lineRule="auto"/>
              <w:jc w:val="center"/>
              <w:rPr>
                <w:rFonts w:hint="eastAsia" w:ascii="宋体" w:hAnsi="宋体" w:cs="宋体"/>
                <w:color w:val="auto"/>
                <w:highlight w:val="none"/>
              </w:rPr>
            </w:pPr>
          </w:p>
        </w:tc>
        <w:tc>
          <w:tcPr>
            <w:tcW w:w="3443" w:type="pct"/>
            <w:vAlign w:val="center"/>
          </w:tcPr>
          <w:p w14:paraId="7097264B">
            <w:pPr>
              <w:spacing w:line="360" w:lineRule="auto"/>
              <w:rPr>
                <w:color w:val="auto"/>
                <w:highlight w:val="none"/>
              </w:rPr>
            </w:pPr>
            <w:r>
              <w:rPr>
                <w:rFonts w:hint="eastAsia"/>
                <w:color w:val="auto"/>
                <w:highlight w:val="none"/>
              </w:rPr>
              <w:t>应急保障方案（包括应急方案、应急响应效率、应急处置流程、应急演练记录等）：</w:t>
            </w:r>
          </w:p>
          <w:p w14:paraId="544EBDE9">
            <w:pPr>
              <w:spacing w:line="360" w:lineRule="auto"/>
              <w:rPr>
                <w:color w:val="auto"/>
                <w:highlight w:val="none"/>
              </w:rPr>
            </w:pPr>
            <w:r>
              <w:rPr>
                <w:rFonts w:hint="eastAsia"/>
                <w:color w:val="auto"/>
                <w:highlight w:val="none"/>
              </w:rPr>
              <w:t>具备完善的应急处理方案，应急响应迅速，处置流程规范，有完整应急演练记录及支撑材料，能有效应对系统故障、数据异常等突发情况的得3分；</w:t>
            </w:r>
          </w:p>
          <w:p w14:paraId="2B69E05A">
            <w:pPr>
              <w:spacing w:line="360" w:lineRule="auto"/>
              <w:rPr>
                <w:color w:val="auto"/>
                <w:highlight w:val="none"/>
              </w:rPr>
            </w:pPr>
            <w:r>
              <w:rPr>
                <w:rFonts w:hint="eastAsia"/>
                <w:color w:val="auto"/>
                <w:highlight w:val="none"/>
              </w:rPr>
              <w:t>具备较完善的应急处理方案，应急响应较迅速，处置流程较规范，有完整应急演练记录及基本支撑材料，能较好应对系统故障、数据异常等突发情况的得2分；</w:t>
            </w:r>
          </w:p>
          <w:p w14:paraId="2C20C128">
            <w:pPr>
              <w:spacing w:line="360" w:lineRule="auto"/>
              <w:rPr>
                <w:color w:val="auto"/>
                <w:highlight w:val="none"/>
              </w:rPr>
            </w:pPr>
            <w:r>
              <w:rPr>
                <w:rFonts w:hint="eastAsia"/>
                <w:color w:val="auto"/>
                <w:highlight w:val="none"/>
              </w:rPr>
              <w:t>具备基本的应急处理方案，应急响应基本及时，处置流程基本规范，有部分应急演练记录及支撑材料，能基本应对系统故障、数据异常等突发情况的得1分；</w:t>
            </w:r>
          </w:p>
          <w:p w14:paraId="1353F75A">
            <w:pPr>
              <w:spacing w:line="360" w:lineRule="auto"/>
              <w:rPr>
                <w:color w:val="auto"/>
                <w:highlight w:val="none"/>
              </w:rPr>
            </w:pPr>
            <w:r>
              <w:rPr>
                <w:rFonts w:hint="eastAsia"/>
                <w:color w:val="auto"/>
                <w:highlight w:val="none"/>
              </w:rPr>
              <w:t>应急处理方案不全，应急响应不及时，处置流程不规范，缺乏应急演练记录及支撑材料，难以有效应对系统故障、数据异常等突发情况的得0.5分；未提供不得分。</w:t>
            </w:r>
          </w:p>
        </w:tc>
        <w:tc>
          <w:tcPr>
            <w:tcW w:w="741" w:type="pct"/>
            <w:vAlign w:val="center"/>
          </w:tcPr>
          <w:p w14:paraId="43333570">
            <w:pPr>
              <w:spacing w:line="360" w:lineRule="auto"/>
              <w:jc w:val="center"/>
              <w:rPr>
                <w:rFonts w:hint="eastAsia" w:ascii="宋体" w:hAnsi="宋体" w:cs="宋体"/>
                <w:color w:val="auto"/>
                <w:highlight w:val="none"/>
              </w:rPr>
            </w:pPr>
            <w:r>
              <w:rPr>
                <w:rFonts w:hint="eastAsia" w:ascii="宋体" w:hAnsi="宋体" w:cs="宋体"/>
                <w:color w:val="auto"/>
                <w:highlight w:val="none"/>
              </w:rPr>
              <w:t>主观分</w:t>
            </w:r>
          </w:p>
        </w:tc>
        <w:tc>
          <w:tcPr>
            <w:tcW w:w="440" w:type="pct"/>
            <w:vAlign w:val="center"/>
          </w:tcPr>
          <w:p w14:paraId="3D860CE8">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r>
      <w:tr w14:paraId="798AE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3737E8DB">
            <w:pPr>
              <w:spacing w:line="360" w:lineRule="auto"/>
              <w:jc w:val="center"/>
              <w:rPr>
                <w:rFonts w:hint="eastAsia" w:ascii="宋体" w:hAnsi="宋体" w:cs="宋体"/>
                <w:color w:val="auto"/>
                <w:highlight w:val="none"/>
              </w:rPr>
            </w:pPr>
            <w:r>
              <w:rPr>
                <w:rFonts w:hint="eastAsia" w:ascii="宋体" w:hAnsi="宋体" w:cs="宋体"/>
                <w:color w:val="auto"/>
                <w:highlight w:val="none"/>
              </w:rPr>
              <w:t>四</w:t>
            </w:r>
          </w:p>
        </w:tc>
        <w:tc>
          <w:tcPr>
            <w:tcW w:w="3443" w:type="pct"/>
            <w:vAlign w:val="center"/>
          </w:tcPr>
          <w:p w14:paraId="151C3EA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项目组人员组成情况</w:t>
            </w:r>
          </w:p>
        </w:tc>
        <w:tc>
          <w:tcPr>
            <w:tcW w:w="741" w:type="pct"/>
            <w:vAlign w:val="center"/>
          </w:tcPr>
          <w:p w14:paraId="31DF5490">
            <w:pPr>
              <w:spacing w:line="360" w:lineRule="auto"/>
              <w:jc w:val="center"/>
              <w:rPr>
                <w:rFonts w:hint="eastAsia" w:ascii="宋体" w:hAnsi="宋体" w:cs="宋体"/>
                <w:color w:val="auto"/>
                <w:highlight w:val="none"/>
              </w:rPr>
            </w:pPr>
          </w:p>
        </w:tc>
        <w:tc>
          <w:tcPr>
            <w:tcW w:w="440" w:type="pct"/>
            <w:vAlign w:val="center"/>
          </w:tcPr>
          <w:p w14:paraId="4554E73C">
            <w:pPr>
              <w:spacing w:line="360" w:lineRule="auto"/>
              <w:jc w:val="center"/>
              <w:rPr>
                <w:rFonts w:hint="eastAsia" w:ascii="宋体" w:hAnsi="宋体" w:cs="宋体"/>
                <w:color w:val="auto"/>
                <w:highlight w:val="none"/>
              </w:rPr>
            </w:pPr>
          </w:p>
        </w:tc>
      </w:tr>
      <w:tr w14:paraId="581610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D50A456">
            <w:pPr>
              <w:numPr>
                <w:ilvl w:val="0"/>
                <w:numId w:val="3"/>
              </w:numPr>
              <w:spacing w:line="360" w:lineRule="auto"/>
              <w:jc w:val="center"/>
              <w:rPr>
                <w:rFonts w:hint="eastAsia" w:ascii="宋体" w:hAnsi="宋体" w:cs="宋体"/>
                <w:color w:val="auto"/>
                <w:highlight w:val="none"/>
              </w:rPr>
            </w:pPr>
          </w:p>
        </w:tc>
        <w:tc>
          <w:tcPr>
            <w:tcW w:w="3443" w:type="pct"/>
            <w:vAlign w:val="center"/>
          </w:tcPr>
          <w:p w14:paraId="77B4767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投标人项目团队：</w:t>
            </w:r>
          </w:p>
        </w:tc>
        <w:tc>
          <w:tcPr>
            <w:tcW w:w="741" w:type="pct"/>
            <w:vAlign w:val="center"/>
          </w:tcPr>
          <w:p w14:paraId="7BBB7E73">
            <w:pPr>
              <w:spacing w:line="360" w:lineRule="auto"/>
              <w:jc w:val="center"/>
              <w:rPr>
                <w:rFonts w:hint="eastAsia" w:ascii="宋体" w:hAnsi="宋体" w:cs="宋体"/>
                <w:color w:val="auto"/>
                <w:highlight w:val="none"/>
              </w:rPr>
            </w:pPr>
          </w:p>
        </w:tc>
        <w:tc>
          <w:tcPr>
            <w:tcW w:w="440" w:type="pct"/>
            <w:vAlign w:val="center"/>
          </w:tcPr>
          <w:p w14:paraId="6A08DB37">
            <w:pPr>
              <w:spacing w:line="360" w:lineRule="auto"/>
              <w:jc w:val="center"/>
              <w:rPr>
                <w:rFonts w:hint="eastAsia" w:ascii="宋体" w:hAnsi="宋体" w:cs="宋体"/>
                <w:color w:val="auto"/>
                <w:highlight w:val="none"/>
              </w:rPr>
            </w:pPr>
          </w:p>
        </w:tc>
      </w:tr>
      <w:tr w14:paraId="3363CD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B634362">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1</w:t>
            </w:r>
          </w:p>
        </w:tc>
        <w:tc>
          <w:tcPr>
            <w:tcW w:w="3443" w:type="pct"/>
            <w:vAlign w:val="center"/>
          </w:tcPr>
          <w:p w14:paraId="2BF97C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项目经理具备信息类正高级工程师职称证书得2分，信息类副高级工程师职称得1分，最多得2分。提供证书复印件和近三个月中任意一个月投标人为其缴纳的社保证明，未提供不得分。</w:t>
            </w:r>
          </w:p>
        </w:tc>
        <w:tc>
          <w:tcPr>
            <w:tcW w:w="741" w:type="pct"/>
            <w:vAlign w:val="center"/>
          </w:tcPr>
          <w:p w14:paraId="38DDCE5A">
            <w:pPr>
              <w:spacing w:line="360" w:lineRule="auto"/>
              <w:jc w:val="center"/>
              <w:rPr>
                <w:color w:val="auto"/>
                <w:highlight w:val="none"/>
              </w:rPr>
            </w:pPr>
            <w:r>
              <w:rPr>
                <w:rFonts w:hint="eastAsia"/>
                <w:color w:val="auto"/>
                <w:highlight w:val="none"/>
              </w:rPr>
              <w:t>客观分</w:t>
            </w:r>
          </w:p>
        </w:tc>
        <w:tc>
          <w:tcPr>
            <w:tcW w:w="440" w:type="pct"/>
            <w:vAlign w:val="center"/>
          </w:tcPr>
          <w:p w14:paraId="126BD1E5">
            <w:pPr>
              <w:spacing w:line="360" w:lineRule="auto"/>
              <w:jc w:val="center"/>
              <w:rPr>
                <w:color w:val="auto"/>
                <w:highlight w:val="none"/>
              </w:rPr>
            </w:pPr>
            <w:r>
              <w:rPr>
                <w:rFonts w:hint="eastAsia"/>
                <w:color w:val="auto"/>
                <w:highlight w:val="none"/>
              </w:rPr>
              <w:t>2</w:t>
            </w:r>
          </w:p>
        </w:tc>
      </w:tr>
      <w:tr w14:paraId="4E908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9AED165">
            <w:pPr>
              <w:spacing w:line="36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hint="eastAsia" w:ascii="宋体" w:hAnsi="宋体" w:cs="宋体"/>
                <w:color w:val="auto"/>
                <w:highlight w:val="none"/>
              </w:rPr>
              <w:t>.2</w:t>
            </w:r>
          </w:p>
        </w:tc>
        <w:tc>
          <w:tcPr>
            <w:tcW w:w="3443" w:type="pct"/>
            <w:vAlign w:val="center"/>
          </w:tcPr>
          <w:p w14:paraId="51AEEAF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项目组成员（除项目经理外）具有信息系统项目管理师证书、系统架构设计师证书、系统分析师证书</w:t>
            </w:r>
            <w:r>
              <w:rPr>
                <w:rFonts w:hint="eastAsia"/>
                <w:color w:val="auto"/>
                <w:highlight w:val="none"/>
              </w:rPr>
              <w:t>、软件设计师证书</w:t>
            </w:r>
            <w:r>
              <w:rPr>
                <w:rFonts w:hint="eastAsia" w:ascii="宋体" w:hAnsi="宋体" w:cs="宋体"/>
                <w:color w:val="auto"/>
                <w:szCs w:val="21"/>
                <w:highlight w:val="none"/>
              </w:rPr>
              <w:t>。每具有1种证书得1分，最多得4分，一人具有多本证书不重复计分，提供人社单位颁发的证书复印件和近三个月中任意一个月投标人为其缴纳的社保证明，未提供不得分。</w:t>
            </w:r>
          </w:p>
        </w:tc>
        <w:tc>
          <w:tcPr>
            <w:tcW w:w="741" w:type="pct"/>
            <w:vAlign w:val="center"/>
          </w:tcPr>
          <w:p w14:paraId="02187D68">
            <w:pPr>
              <w:spacing w:line="360" w:lineRule="auto"/>
              <w:jc w:val="center"/>
              <w:rPr>
                <w:color w:val="auto"/>
                <w:highlight w:val="none"/>
              </w:rPr>
            </w:pPr>
            <w:r>
              <w:rPr>
                <w:rFonts w:hint="eastAsia"/>
                <w:color w:val="auto"/>
                <w:highlight w:val="none"/>
              </w:rPr>
              <w:t>客观分</w:t>
            </w:r>
          </w:p>
        </w:tc>
        <w:tc>
          <w:tcPr>
            <w:tcW w:w="440" w:type="pct"/>
            <w:vAlign w:val="center"/>
          </w:tcPr>
          <w:p w14:paraId="3D16CB18">
            <w:pPr>
              <w:spacing w:line="360" w:lineRule="auto"/>
              <w:jc w:val="center"/>
              <w:rPr>
                <w:color w:val="auto"/>
                <w:highlight w:val="none"/>
              </w:rPr>
            </w:pPr>
            <w:r>
              <w:rPr>
                <w:rFonts w:hint="eastAsia"/>
                <w:color w:val="auto"/>
                <w:highlight w:val="none"/>
              </w:rPr>
              <w:t>4</w:t>
            </w:r>
          </w:p>
        </w:tc>
      </w:tr>
      <w:tr w14:paraId="6E46D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588470DB">
            <w:pPr>
              <w:spacing w:line="360" w:lineRule="auto"/>
              <w:jc w:val="center"/>
              <w:rPr>
                <w:rFonts w:hint="eastAsia" w:ascii="宋体" w:hAnsi="宋体" w:cs="宋体"/>
                <w:color w:val="auto"/>
                <w:highlight w:val="none"/>
              </w:rPr>
            </w:pPr>
            <w:r>
              <w:rPr>
                <w:rFonts w:hint="eastAsia" w:ascii="宋体" w:hAnsi="宋体" w:cs="宋体"/>
                <w:color w:val="auto"/>
                <w:highlight w:val="none"/>
              </w:rPr>
              <w:t>五</w:t>
            </w:r>
          </w:p>
        </w:tc>
        <w:tc>
          <w:tcPr>
            <w:tcW w:w="3443" w:type="pct"/>
            <w:vAlign w:val="center"/>
          </w:tcPr>
          <w:p w14:paraId="4C941C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741" w:type="pct"/>
            <w:vAlign w:val="center"/>
          </w:tcPr>
          <w:p w14:paraId="77D3890A">
            <w:pPr>
              <w:spacing w:line="360" w:lineRule="auto"/>
              <w:jc w:val="center"/>
              <w:rPr>
                <w:color w:val="auto"/>
                <w:highlight w:val="none"/>
              </w:rPr>
            </w:pPr>
          </w:p>
        </w:tc>
        <w:tc>
          <w:tcPr>
            <w:tcW w:w="440" w:type="pct"/>
            <w:vAlign w:val="center"/>
          </w:tcPr>
          <w:p w14:paraId="58993BA3">
            <w:pPr>
              <w:spacing w:line="360" w:lineRule="auto"/>
              <w:jc w:val="center"/>
              <w:rPr>
                <w:color w:val="auto"/>
                <w:highlight w:val="none"/>
              </w:rPr>
            </w:pPr>
          </w:p>
        </w:tc>
      </w:tr>
      <w:tr w14:paraId="08FC0B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9452A6D">
            <w:pPr>
              <w:numPr>
                <w:ilvl w:val="0"/>
                <w:numId w:val="3"/>
              </w:numPr>
              <w:spacing w:line="360" w:lineRule="auto"/>
              <w:jc w:val="center"/>
              <w:rPr>
                <w:rFonts w:hint="eastAsia" w:ascii="宋体" w:hAnsi="宋体" w:cs="宋体"/>
                <w:color w:val="auto"/>
                <w:highlight w:val="none"/>
              </w:rPr>
            </w:pPr>
          </w:p>
        </w:tc>
        <w:tc>
          <w:tcPr>
            <w:tcW w:w="3443" w:type="pct"/>
            <w:vAlign w:val="center"/>
          </w:tcPr>
          <w:p w14:paraId="3538535B">
            <w:pPr>
              <w:spacing w:line="360" w:lineRule="auto"/>
              <w:jc w:val="left"/>
              <w:rPr>
                <w:color w:val="auto"/>
                <w:highlight w:val="none"/>
              </w:rPr>
            </w:pPr>
            <w:r>
              <w:rPr>
                <w:rFonts w:hint="eastAsia"/>
                <w:color w:val="auto"/>
                <w:highlight w:val="none"/>
              </w:rPr>
              <w:t>培训方案：</w:t>
            </w:r>
          </w:p>
          <w:p w14:paraId="2AF8B090">
            <w:pPr>
              <w:spacing w:line="360" w:lineRule="auto"/>
              <w:jc w:val="left"/>
              <w:rPr>
                <w:rFonts w:hint="eastAsia" w:ascii="宋体" w:hAnsi="宋体" w:cs="宋体"/>
                <w:color w:val="auto"/>
                <w:szCs w:val="21"/>
                <w:highlight w:val="none"/>
              </w:rPr>
            </w:pPr>
            <w:r>
              <w:rPr>
                <w:rFonts w:hint="eastAsia"/>
                <w:color w:val="auto"/>
                <w:highlight w:val="none"/>
              </w:rPr>
              <w:t>方案完整详实、逻辑清晰、要素齐全，全面响应采购人培训需求的得</w:t>
            </w:r>
            <w:r>
              <w:rPr>
                <w:rFonts w:hint="eastAsia"/>
                <w:color w:val="auto"/>
                <w:highlight w:val="none"/>
                <w:lang w:val="en-US" w:eastAsia="zh-CN"/>
              </w:rPr>
              <w:t>3</w:t>
            </w:r>
            <w:r>
              <w:rPr>
                <w:rFonts w:hint="eastAsia"/>
                <w:color w:val="auto"/>
                <w:highlight w:val="none"/>
              </w:rPr>
              <w:t>分；方案基本完整，核心要素无缺失，能满足基础培训要求的得</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kern w:val="0"/>
                <w:szCs w:val="21"/>
                <w:highlight w:val="none"/>
              </w:rPr>
              <w:t>方案内容有缺失</w:t>
            </w:r>
            <w:r>
              <w:rPr>
                <w:rFonts w:hint="eastAsia"/>
                <w:color w:val="auto"/>
                <w:highlight w:val="none"/>
              </w:rPr>
              <w:t>，未完整响应采购培训需求的得</w:t>
            </w:r>
            <w:r>
              <w:rPr>
                <w:rFonts w:hint="eastAsia"/>
                <w:color w:val="auto"/>
                <w:highlight w:val="none"/>
                <w:lang w:val="en-US" w:eastAsia="zh-CN"/>
              </w:rPr>
              <w:t>1</w:t>
            </w:r>
            <w:r>
              <w:rPr>
                <w:rFonts w:hint="eastAsia"/>
                <w:color w:val="auto"/>
                <w:highlight w:val="none"/>
              </w:rPr>
              <w:t>分，</w:t>
            </w:r>
            <w:r>
              <w:rPr>
                <w:rFonts w:hint="eastAsia" w:ascii="宋体" w:hAnsi="宋体" w:cs="宋体"/>
                <w:color w:val="auto"/>
                <w:kern w:val="0"/>
                <w:szCs w:val="21"/>
                <w:highlight w:val="none"/>
              </w:rPr>
              <w:t>无方案得0分。</w:t>
            </w:r>
          </w:p>
        </w:tc>
        <w:tc>
          <w:tcPr>
            <w:tcW w:w="741" w:type="pct"/>
            <w:vAlign w:val="center"/>
          </w:tcPr>
          <w:p w14:paraId="6DABECC7">
            <w:pPr>
              <w:spacing w:line="360" w:lineRule="auto"/>
              <w:jc w:val="center"/>
              <w:rPr>
                <w:color w:val="auto"/>
                <w:highlight w:val="none"/>
              </w:rPr>
            </w:pPr>
            <w:r>
              <w:rPr>
                <w:rFonts w:hint="eastAsia"/>
                <w:color w:val="auto"/>
                <w:highlight w:val="none"/>
              </w:rPr>
              <w:t>主观分</w:t>
            </w:r>
          </w:p>
        </w:tc>
        <w:tc>
          <w:tcPr>
            <w:tcW w:w="440" w:type="pct"/>
            <w:vAlign w:val="center"/>
          </w:tcPr>
          <w:p w14:paraId="37DE3CE2">
            <w:pPr>
              <w:spacing w:line="360" w:lineRule="auto"/>
              <w:jc w:val="center"/>
              <w:rPr>
                <w:color w:val="auto"/>
                <w:highlight w:val="none"/>
              </w:rPr>
            </w:pPr>
            <w:r>
              <w:rPr>
                <w:rFonts w:hint="eastAsia"/>
                <w:color w:val="auto"/>
                <w:highlight w:val="none"/>
              </w:rPr>
              <w:t>3</w:t>
            </w:r>
          </w:p>
        </w:tc>
      </w:tr>
      <w:tr w14:paraId="42B7D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939B50B">
            <w:pPr>
              <w:numPr>
                <w:ilvl w:val="0"/>
                <w:numId w:val="3"/>
              </w:numPr>
              <w:spacing w:line="360" w:lineRule="auto"/>
              <w:jc w:val="center"/>
              <w:rPr>
                <w:rFonts w:hint="eastAsia" w:ascii="宋体" w:hAnsi="宋体" w:cs="宋体"/>
                <w:color w:val="auto"/>
                <w:highlight w:val="none"/>
              </w:rPr>
            </w:pPr>
          </w:p>
        </w:tc>
        <w:tc>
          <w:tcPr>
            <w:tcW w:w="3443" w:type="pct"/>
            <w:vAlign w:val="center"/>
          </w:tcPr>
          <w:p w14:paraId="1FEDA949">
            <w:pPr>
              <w:spacing w:line="360" w:lineRule="auto"/>
              <w:jc w:val="left"/>
              <w:rPr>
                <w:color w:val="auto"/>
                <w:highlight w:val="none"/>
              </w:rPr>
            </w:pPr>
            <w:r>
              <w:rPr>
                <w:rFonts w:hint="eastAsia"/>
                <w:color w:val="auto"/>
                <w:highlight w:val="none"/>
              </w:rPr>
              <w:t>售后服务方案：</w:t>
            </w:r>
          </w:p>
          <w:p w14:paraId="74834CC8">
            <w:pPr>
              <w:spacing w:line="360" w:lineRule="auto"/>
              <w:jc w:val="left"/>
              <w:rPr>
                <w:color w:val="auto"/>
                <w:highlight w:val="none"/>
              </w:rPr>
            </w:pPr>
            <w:r>
              <w:rPr>
                <w:rFonts w:hint="eastAsia"/>
                <w:color w:val="auto"/>
                <w:highlight w:val="none"/>
              </w:rPr>
              <w:t>售后服务响应高效，具备远程支持能力，售后团队配置充足、从业经验丰富、技术资质齐全，支撑材料充分，对项目后期稳定运行有显著支撑作用的，得3分；</w:t>
            </w:r>
          </w:p>
          <w:p w14:paraId="152F94BE">
            <w:pPr>
              <w:spacing w:line="360" w:lineRule="auto"/>
              <w:jc w:val="left"/>
              <w:rPr>
                <w:color w:val="auto"/>
                <w:highlight w:val="none"/>
              </w:rPr>
            </w:pPr>
            <w:r>
              <w:rPr>
                <w:rFonts w:hint="eastAsia"/>
                <w:color w:val="auto"/>
                <w:highlight w:val="none"/>
              </w:rPr>
              <w:t>售后服务响应较高效，具备远程支持能力，售后团队配置较充足、有一定从业经验、技术资质基本齐全，支撑材料较充分，对项目后期稳定运行有较强支撑作用的，得2分；</w:t>
            </w:r>
          </w:p>
          <w:p w14:paraId="04B51F79">
            <w:pPr>
              <w:spacing w:line="360" w:lineRule="auto"/>
              <w:jc w:val="left"/>
              <w:rPr>
                <w:color w:val="auto"/>
                <w:highlight w:val="none"/>
              </w:rPr>
            </w:pPr>
            <w:r>
              <w:rPr>
                <w:rFonts w:hint="eastAsia"/>
                <w:color w:val="auto"/>
                <w:highlight w:val="none"/>
              </w:rPr>
              <w:t>售后服务响应基本及时，具备基础远程支持能力，售后团队配置基本满足需求、有基础从业经验，支撑材料基本齐全，可满足项目基础售后需求的，得1分；</w:t>
            </w:r>
          </w:p>
          <w:p w14:paraId="16337B3C">
            <w:pPr>
              <w:spacing w:line="360" w:lineRule="auto"/>
              <w:jc w:val="left"/>
              <w:rPr>
                <w:color w:val="auto"/>
                <w:highlight w:val="none"/>
              </w:rPr>
            </w:pPr>
            <w:r>
              <w:rPr>
                <w:rFonts w:hint="eastAsia"/>
                <w:color w:val="auto"/>
                <w:highlight w:val="none"/>
              </w:rPr>
              <w:t>售后服务响应较慢，远程支持能力不足，售后团队配置不足、从业经验有限，支撑材料不足，难以保障项目后期稳定运行的，得0.5分；未提供不得分。</w:t>
            </w:r>
          </w:p>
        </w:tc>
        <w:tc>
          <w:tcPr>
            <w:tcW w:w="741" w:type="pct"/>
            <w:vAlign w:val="center"/>
          </w:tcPr>
          <w:p w14:paraId="6ACC2E5D">
            <w:pPr>
              <w:spacing w:line="360" w:lineRule="auto"/>
              <w:jc w:val="center"/>
              <w:rPr>
                <w:color w:val="auto"/>
                <w:highlight w:val="none"/>
              </w:rPr>
            </w:pPr>
            <w:r>
              <w:rPr>
                <w:rFonts w:hint="eastAsia"/>
                <w:color w:val="auto"/>
                <w:highlight w:val="none"/>
              </w:rPr>
              <w:t>主观分</w:t>
            </w:r>
          </w:p>
        </w:tc>
        <w:tc>
          <w:tcPr>
            <w:tcW w:w="440" w:type="pct"/>
            <w:vAlign w:val="center"/>
          </w:tcPr>
          <w:p w14:paraId="3C1A0B6A">
            <w:pPr>
              <w:spacing w:line="360" w:lineRule="auto"/>
              <w:jc w:val="center"/>
              <w:rPr>
                <w:color w:val="auto"/>
                <w:highlight w:val="none"/>
              </w:rPr>
            </w:pPr>
            <w:r>
              <w:rPr>
                <w:rFonts w:hint="eastAsia"/>
                <w:color w:val="auto"/>
                <w:highlight w:val="none"/>
              </w:rPr>
              <w:t>3</w:t>
            </w:r>
          </w:p>
        </w:tc>
      </w:tr>
    </w:tbl>
    <w:p w14:paraId="258F69B9">
      <w:pPr>
        <w:pStyle w:val="65"/>
        <w:adjustRightInd w:val="0"/>
        <w:snapToGrid w:val="0"/>
        <w:spacing w:line="360" w:lineRule="auto"/>
        <w:ind w:firstLine="420"/>
        <w:rPr>
          <w:rFonts w:eastAsia="宋体"/>
          <w:color w:val="auto"/>
          <w:sz w:val="21"/>
          <w:szCs w:val="21"/>
          <w:highlight w:val="none"/>
        </w:rPr>
      </w:pPr>
    </w:p>
    <w:p w14:paraId="58BA5193">
      <w:pPr>
        <w:pStyle w:val="65"/>
        <w:adjustRightInd w:val="0"/>
        <w:snapToGrid w:val="0"/>
        <w:spacing w:line="360" w:lineRule="auto"/>
        <w:ind w:firstLine="420"/>
        <w:rPr>
          <w:rFonts w:eastAsia="宋体"/>
          <w:color w:val="auto"/>
          <w:sz w:val="21"/>
          <w:szCs w:val="21"/>
          <w:highlight w:val="none"/>
        </w:rPr>
      </w:pPr>
      <w:r>
        <w:rPr>
          <w:rFonts w:eastAsia="宋体"/>
          <w:color w:val="auto"/>
          <w:sz w:val="21"/>
          <w:szCs w:val="21"/>
          <w:highlight w:val="none"/>
        </w:rPr>
        <w:t>2）</w:t>
      </w:r>
      <w:r>
        <w:rPr>
          <w:rFonts w:eastAsia="宋体"/>
          <w:b/>
          <w:color w:val="auto"/>
          <w:sz w:val="21"/>
          <w:szCs w:val="21"/>
          <w:highlight w:val="none"/>
        </w:rPr>
        <w:t>价格分</w:t>
      </w:r>
      <w:bookmarkEnd w:id="25"/>
    </w:p>
    <w:p w14:paraId="5D88C0DB">
      <w:pPr>
        <w:widowControl/>
        <w:snapToGrid w:val="0"/>
        <w:spacing w:line="360" w:lineRule="auto"/>
        <w:ind w:firstLine="420" w:firstLineChars="200"/>
        <w:rPr>
          <w:color w:val="auto"/>
          <w:kern w:val="0"/>
          <w:szCs w:val="21"/>
          <w:highlight w:val="none"/>
        </w:rPr>
      </w:pPr>
      <w:r>
        <w:rPr>
          <w:color w:val="auto"/>
          <w:kern w:val="0"/>
          <w:szCs w:val="21"/>
          <w:highlight w:val="none"/>
        </w:rPr>
        <w:t>价格评分将在有效</w:t>
      </w:r>
      <w:r>
        <w:rPr>
          <w:rFonts w:hint="eastAsia"/>
          <w:color w:val="auto"/>
          <w:kern w:val="0"/>
          <w:szCs w:val="21"/>
          <w:highlight w:val="none"/>
        </w:rPr>
        <w:t>供应商</w:t>
      </w:r>
      <w:r>
        <w:rPr>
          <w:color w:val="auto"/>
          <w:kern w:val="0"/>
          <w:szCs w:val="21"/>
          <w:highlight w:val="none"/>
        </w:rPr>
        <w:t>范围内进行，最高得</w:t>
      </w:r>
      <w:r>
        <w:rPr>
          <w:rFonts w:hint="eastAsia"/>
          <w:color w:val="auto"/>
          <w:kern w:val="0"/>
          <w:szCs w:val="21"/>
          <w:highlight w:val="none"/>
        </w:rPr>
        <w:t>1</w:t>
      </w:r>
      <w:r>
        <w:rPr>
          <w:color w:val="auto"/>
          <w:kern w:val="0"/>
          <w:szCs w:val="21"/>
          <w:highlight w:val="none"/>
        </w:rPr>
        <w:t>0分，最低得0分（小数点后保留二位小数，第三位四舍五入）。满足采购文件要求且投标价格最低的</w:t>
      </w:r>
      <w:r>
        <w:rPr>
          <w:b/>
          <w:color w:val="auto"/>
          <w:kern w:val="0"/>
          <w:szCs w:val="21"/>
          <w:highlight w:val="none"/>
          <w:u w:val="thick"/>
        </w:rPr>
        <w:t>投标报价</w:t>
      </w:r>
      <w:r>
        <w:rPr>
          <w:color w:val="auto"/>
          <w:kern w:val="0"/>
          <w:szCs w:val="21"/>
          <w:highlight w:val="none"/>
        </w:rPr>
        <w:t>为</w:t>
      </w:r>
      <w:r>
        <w:rPr>
          <w:b/>
          <w:color w:val="auto"/>
          <w:kern w:val="0"/>
          <w:szCs w:val="21"/>
          <w:highlight w:val="none"/>
          <w:u w:val="thick"/>
        </w:rPr>
        <w:t>评标基准价</w:t>
      </w:r>
      <w:r>
        <w:rPr>
          <w:color w:val="auto"/>
          <w:kern w:val="0"/>
          <w:szCs w:val="21"/>
          <w:highlight w:val="none"/>
        </w:rPr>
        <w:t>，</w:t>
      </w:r>
      <w:r>
        <w:rPr>
          <w:rFonts w:hint="eastAsia"/>
          <w:color w:val="auto"/>
          <w:kern w:val="0"/>
          <w:szCs w:val="21"/>
          <w:highlight w:val="none"/>
        </w:rPr>
        <w:t>供应商</w:t>
      </w:r>
      <w:r>
        <w:rPr>
          <w:color w:val="auto"/>
          <w:kern w:val="0"/>
          <w:szCs w:val="21"/>
          <w:highlight w:val="none"/>
        </w:rPr>
        <w:t>的价格分统一按照下列公式计算：</w:t>
      </w:r>
    </w:p>
    <w:p w14:paraId="7EB72399">
      <w:pPr>
        <w:widowControl/>
        <w:snapToGrid w:val="0"/>
        <w:spacing w:line="360" w:lineRule="auto"/>
        <w:ind w:firstLine="420" w:firstLineChars="200"/>
        <w:rPr>
          <w:color w:val="auto"/>
          <w:kern w:val="0"/>
          <w:szCs w:val="21"/>
          <w:highlight w:val="none"/>
        </w:rPr>
      </w:pPr>
      <w:r>
        <w:rPr>
          <w:color w:val="auto"/>
          <w:kern w:val="0"/>
          <w:szCs w:val="21"/>
          <w:highlight w:val="none"/>
        </w:rPr>
        <w:t>投标报价得分=（</w:t>
      </w:r>
      <w:r>
        <w:rPr>
          <w:b/>
          <w:color w:val="auto"/>
          <w:kern w:val="0"/>
          <w:szCs w:val="21"/>
          <w:highlight w:val="none"/>
          <w:u w:val="thick"/>
        </w:rPr>
        <w:t>评标基准价</w:t>
      </w:r>
      <w:r>
        <w:rPr>
          <w:color w:val="auto"/>
          <w:kern w:val="0"/>
          <w:szCs w:val="21"/>
          <w:highlight w:val="none"/>
        </w:rPr>
        <w:t>/</w:t>
      </w:r>
      <w:r>
        <w:rPr>
          <w:b/>
          <w:color w:val="auto"/>
          <w:kern w:val="0"/>
          <w:szCs w:val="21"/>
          <w:highlight w:val="none"/>
          <w:u w:val="thick"/>
        </w:rPr>
        <w:t>投标报价</w:t>
      </w:r>
      <w:r>
        <w:rPr>
          <w:color w:val="auto"/>
          <w:kern w:val="0"/>
          <w:szCs w:val="21"/>
          <w:highlight w:val="none"/>
        </w:rPr>
        <w:t>）×</w:t>
      </w:r>
      <w:r>
        <w:rPr>
          <w:rFonts w:hint="eastAsia"/>
          <w:color w:val="auto"/>
          <w:kern w:val="0"/>
          <w:szCs w:val="21"/>
          <w:highlight w:val="none"/>
        </w:rPr>
        <w:t>1</w:t>
      </w:r>
      <w:r>
        <w:rPr>
          <w:color w:val="auto"/>
          <w:kern w:val="0"/>
          <w:szCs w:val="21"/>
          <w:highlight w:val="none"/>
        </w:rPr>
        <w:t>0%×100</w:t>
      </w:r>
    </w:p>
    <w:p w14:paraId="290AB543">
      <w:pPr>
        <w:widowControl/>
        <w:snapToGrid w:val="0"/>
        <w:spacing w:line="360" w:lineRule="auto"/>
        <w:ind w:firstLine="422" w:firstLineChars="200"/>
        <w:rPr>
          <w:b/>
          <w:color w:val="auto"/>
          <w:szCs w:val="21"/>
          <w:highlight w:val="none"/>
        </w:rPr>
      </w:pPr>
      <w:r>
        <w:rPr>
          <w:b/>
          <w:color w:val="auto"/>
          <w:szCs w:val="21"/>
          <w:highlight w:val="none"/>
        </w:rPr>
        <w:t>扶持政策说明：</w:t>
      </w:r>
    </w:p>
    <w:p w14:paraId="6C348DE0">
      <w:pPr>
        <w:widowControl/>
        <w:snapToGrid w:val="0"/>
        <w:spacing w:line="360" w:lineRule="auto"/>
        <w:ind w:firstLine="420" w:firstLineChars="200"/>
        <w:rPr>
          <w:color w:val="auto"/>
          <w:szCs w:val="21"/>
          <w:highlight w:val="none"/>
        </w:rPr>
      </w:pPr>
      <w:r>
        <w:rPr>
          <w:rFonts w:hint="eastAsia"/>
          <w:color w:val="auto"/>
          <w:szCs w:val="21"/>
          <w:highlight w:val="none"/>
        </w:rPr>
        <w:t>（一）小微企业扶持政策</w:t>
      </w:r>
    </w:p>
    <w:p w14:paraId="44BF6841">
      <w:pPr>
        <w:widowControl/>
        <w:snapToGrid w:val="0"/>
        <w:spacing w:line="360" w:lineRule="auto"/>
        <w:ind w:firstLine="420" w:firstLineChars="200"/>
        <w:rPr>
          <w:color w:val="auto"/>
          <w:szCs w:val="21"/>
          <w:highlight w:val="none"/>
        </w:rPr>
      </w:pPr>
      <w:r>
        <w:rPr>
          <w:color w:val="auto"/>
          <w:szCs w:val="21"/>
          <w:highlight w:val="none"/>
        </w:rPr>
        <w:t>（1）根据</w:t>
      </w:r>
      <w:r>
        <w:rPr>
          <w:rFonts w:hint="eastAsia"/>
          <w:color w:val="auto"/>
          <w:szCs w:val="21"/>
          <w:highlight w:val="none"/>
        </w:rPr>
        <w:t>《政府采购促进中小企业发展管理办法》（财库（2020）46号）</w:t>
      </w:r>
      <w:r>
        <w:rPr>
          <w:color w:val="auto"/>
          <w:szCs w:val="21"/>
          <w:highlight w:val="none"/>
        </w:rPr>
        <w:t>的规定，</w:t>
      </w:r>
      <w:r>
        <w:rPr>
          <w:rFonts w:hint="eastAsia"/>
          <w:color w:val="auto"/>
          <w:szCs w:val="21"/>
          <w:highlight w:val="none"/>
        </w:rPr>
        <w:t>对符合规定的小微企业（含小型企业）</w:t>
      </w:r>
      <w:r>
        <w:rPr>
          <w:color w:val="auto"/>
          <w:szCs w:val="21"/>
          <w:highlight w:val="none"/>
        </w:rPr>
        <w:t>，其投标报价扣除</w:t>
      </w:r>
      <w:r>
        <w:rPr>
          <w:rFonts w:hint="eastAsia"/>
          <w:color w:val="auto"/>
          <w:szCs w:val="21"/>
          <w:highlight w:val="none"/>
        </w:rPr>
        <w:t>10</w:t>
      </w:r>
      <w:r>
        <w:rPr>
          <w:color w:val="auto"/>
          <w:szCs w:val="21"/>
          <w:highlight w:val="none"/>
        </w:rPr>
        <w:t>%后参与评审。</w:t>
      </w:r>
    </w:p>
    <w:p w14:paraId="06735706">
      <w:pPr>
        <w:widowControl/>
        <w:snapToGrid w:val="0"/>
        <w:spacing w:line="360" w:lineRule="auto"/>
        <w:ind w:firstLine="420" w:firstLineChars="200"/>
        <w:rPr>
          <w:color w:val="auto"/>
          <w:szCs w:val="21"/>
          <w:highlight w:val="none"/>
        </w:rPr>
      </w:pPr>
      <w:r>
        <w:rPr>
          <w:color w:val="auto"/>
          <w:szCs w:val="21"/>
          <w:highlight w:val="none"/>
        </w:rPr>
        <w:t>（2）根据《关于政府采购支持监狱企业发展有关问题的通知》（财库[2014]68号）的规定，监狱企业</w:t>
      </w:r>
      <w:r>
        <w:rPr>
          <w:rFonts w:hint="eastAsia"/>
          <w:color w:val="auto"/>
          <w:szCs w:val="21"/>
          <w:highlight w:val="none"/>
        </w:rPr>
        <w:t>视同小型、微型企业，</w:t>
      </w:r>
      <w:r>
        <w:rPr>
          <w:color w:val="auto"/>
          <w:szCs w:val="21"/>
          <w:highlight w:val="none"/>
          <w:shd w:val="clear" w:color="auto" w:fill="FFFFFF"/>
        </w:rPr>
        <w:t>享受预留份额、评审中价格扣除等促进中小企业发展的政府采购政策。</w:t>
      </w:r>
    </w:p>
    <w:p w14:paraId="0A43A9DA">
      <w:pPr>
        <w:widowControl/>
        <w:snapToGrid w:val="0"/>
        <w:spacing w:line="360" w:lineRule="auto"/>
        <w:ind w:firstLine="420" w:firstLineChars="200"/>
        <w:rPr>
          <w:color w:val="auto"/>
          <w:szCs w:val="21"/>
          <w:highlight w:val="none"/>
          <w:shd w:val="clear" w:color="auto" w:fill="FFFFFF"/>
        </w:rPr>
      </w:pPr>
      <w:r>
        <w:rPr>
          <w:color w:val="auto"/>
          <w:szCs w:val="21"/>
          <w:highlight w:val="none"/>
        </w:rPr>
        <w:t>（3）根据《财政部、民政部、中国残疾人联合会关于促进残疾人就业政府采购政策的通知》（财库〔2017〕141号）的规定，</w:t>
      </w:r>
      <w:r>
        <w:rPr>
          <w:color w:val="auto"/>
          <w:szCs w:val="21"/>
          <w:highlight w:val="none"/>
          <w:shd w:val="clear" w:color="auto" w:fill="FFFFFF"/>
        </w:rPr>
        <w:t>残疾人福利性单位视同小型、微型企业，享受预留份额、评审中价格扣除等促进中小企业发展的政府采购政策。</w:t>
      </w:r>
    </w:p>
    <w:p w14:paraId="63E1969A">
      <w:pPr>
        <w:widowControl/>
        <w:snapToGrid w:val="0"/>
        <w:spacing w:line="360" w:lineRule="auto"/>
        <w:ind w:firstLine="420" w:firstLineChars="200"/>
        <w:rPr>
          <w:color w:val="auto"/>
          <w:highlight w:val="none"/>
        </w:rPr>
      </w:pPr>
      <w:r>
        <w:rPr>
          <w:rFonts w:hint="eastAsia"/>
          <w:color w:val="auto"/>
          <w:highlight w:val="none"/>
        </w:rPr>
        <w:t>（4）对于联合协议约定小微企业（货物由小微企业制造）的合同份额占到合同总金额30%以上的，其报价给予4%的扣除，用扣除后的价格参加评审。组成联合体的小微企业与联合体内其他企业之间存在直接控股、管理关系的，不享受价格扣除优惠政策。</w:t>
      </w:r>
    </w:p>
    <w:p w14:paraId="570AE5D7">
      <w:pPr>
        <w:widowControl/>
        <w:snapToGrid w:val="0"/>
        <w:spacing w:line="360" w:lineRule="auto"/>
        <w:ind w:firstLine="420" w:firstLineChars="200"/>
        <w:rPr>
          <w:color w:val="auto"/>
          <w:szCs w:val="21"/>
          <w:highlight w:val="none"/>
        </w:rPr>
      </w:pPr>
      <w:r>
        <w:rPr>
          <w:rFonts w:hint="eastAsia"/>
          <w:color w:val="auto"/>
          <w:highlight w:val="none"/>
        </w:rPr>
        <w:t>（5）对于分包意向协议约定小微企业（货物由小微企业制造）的合同份额占到合同总金额30%以上的，其报价给予4%的扣除，用扣除后的价格参加评审。接受分包的小微企业与分包企业之间存在直接控股、管理关系的，不享受价格扣除优惠政策。</w:t>
      </w:r>
    </w:p>
    <w:p w14:paraId="47A68895">
      <w:pPr>
        <w:widowControl/>
        <w:snapToGrid w:val="0"/>
        <w:spacing w:line="360" w:lineRule="auto"/>
        <w:ind w:firstLine="420" w:firstLineChars="200"/>
        <w:rPr>
          <w:color w:val="auto"/>
          <w:szCs w:val="21"/>
          <w:highlight w:val="none"/>
        </w:rPr>
      </w:pPr>
      <w:r>
        <w:rPr>
          <w:color w:val="auto"/>
          <w:szCs w:val="21"/>
          <w:highlight w:val="none"/>
        </w:rPr>
        <w:t>上述（1），（2），（3）</w:t>
      </w:r>
      <w:r>
        <w:rPr>
          <w:rFonts w:hint="eastAsia"/>
          <w:color w:val="auto"/>
          <w:szCs w:val="21"/>
          <w:highlight w:val="none"/>
        </w:rPr>
        <w:t>，（4），（5）</w:t>
      </w:r>
      <w:r>
        <w:rPr>
          <w:color w:val="auto"/>
          <w:szCs w:val="21"/>
          <w:highlight w:val="none"/>
        </w:rPr>
        <w:t>政策不重复计算。</w:t>
      </w:r>
    </w:p>
    <w:p w14:paraId="62B73B1A">
      <w:pPr>
        <w:widowControl/>
        <w:snapToGrid w:val="0"/>
        <w:spacing w:line="360" w:lineRule="auto"/>
        <w:ind w:firstLine="420" w:firstLineChars="200"/>
        <w:rPr>
          <w:color w:val="auto"/>
          <w:szCs w:val="21"/>
          <w:highlight w:val="none"/>
        </w:rPr>
      </w:pPr>
      <w:r>
        <w:rPr>
          <w:rFonts w:hint="eastAsia"/>
          <w:color w:val="auto"/>
          <w:szCs w:val="21"/>
          <w:highlight w:val="none"/>
        </w:rPr>
        <w:t>（二）本国产品政策（适用于</w:t>
      </w:r>
      <w:r>
        <w:rPr>
          <w:color w:val="auto"/>
          <w:spacing w:val="12"/>
          <w:highlight w:val="none"/>
        </w:rPr>
        <w:t>政府采购活动中既有本国产</w:t>
      </w:r>
      <w:r>
        <w:rPr>
          <w:color w:val="auto"/>
          <w:spacing w:val="1"/>
          <w:highlight w:val="none"/>
        </w:rPr>
        <w:t>品又有非本国产品参与竞争的</w:t>
      </w:r>
      <w:r>
        <w:rPr>
          <w:rFonts w:hint="eastAsia"/>
          <w:color w:val="auto"/>
          <w:spacing w:val="1"/>
          <w:highlight w:val="none"/>
        </w:rPr>
        <w:t>项目</w:t>
      </w:r>
      <w:r>
        <w:rPr>
          <w:rFonts w:hint="eastAsia"/>
          <w:color w:val="auto"/>
          <w:szCs w:val="21"/>
          <w:highlight w:val="none"/>
        </w:rPr>
        <w:t>）</w:t>
      </w:r>
    </w:p>
    <w:p w14:paraId="71B64CA8">
      <w:pPr>
        <w:widowControl/>
        <w:snapToGrid w:val="0"/>
        <w:spacing w:line="360" w:lineRule="auto"/>
        <w:ind w:firstLine="440" w:firstLineChars="200"/>
        <w:rPr>
          <w:rFonts w:hint="eastAsia" w:ascii="宋体" w:hAnsi="宋体" w:cs="宋体"/>
          <w:color w:val="auto"/>
          <w:spacing w:val="5"/>
          <w:szCs w:val="21"/>
          <w:highlight w:val="none"/>
        </w:rPr>
      </w:pPr>
      <w:r>
        <w:rPr>
          <w:rFonts w:hint="eastAsia" w:ascii="宋体" w:hAnsi="宋体" w:cs="宋体"/>
          <w:color w:val="auto"/>
          <w:spacing w:val="5"/>
          <w:szCs w:val="21"/>
          <w:highlight w:val="none"/>
        </w:rPr>
        <w:t>（1）根据《国务院办公厅关于在政府采购中实施本国产品标准及相关政策的通知》（国办发〔2025〕34号）,《财政部工业和信息化部关于贯彻落实&lt;国务院办公厅关于在政府采购中实施本国产品标准及相关政策的通知&gt;的意见》（财库〔2025〕30号）的规定，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2F756E55">
      <w:pPr>
        <w:widowControl/>
        <w:snapToGrid w:val="0"/>
        <w:spacing w:line="360" w:lineRule="auto"/>
        <w:ind w:firstLine="420" w:firstLineChars="200"/>
        <w:rPr>
          <w:color w:val="auto"/>
          <w:highlight w:val="none"/>
        </w:rPr>
      </w:pPr>
      <w:r>
        <w:rPr>
          <w:rFonts w:hint="eastAsia"/>
          <w:color w:val="auto"/>
          <w:highlight w:val="none"/>
        </w:rPr>
        <w:t>（三）对同时符合</w:t>
      </w:r>
      <w:r>
        <w:rPr>
          <w:rFonts w:hint="eastAsia"/>
          <w:color w:val="auto"/>
          <w:szCs w:val="21"/>
          <w:highlight w:val="none"/>
        </w:rPr>
        <w:t>（一）小微企业扶持政策和（二）本国产品政策的产品，其参加评审的价格=产品报价－产品报价×（小微企业价格扣除率＋本国产品价格扣除率）。</w:t>
      </w:r>
    </w:p>
    <w:p w14:paraId="27685270">
      <w:pPr>
        <w:widowControl/>
        <w:adjustRightInd w:val="0"/>
        <w:snapToGrid w:val="0"/>
        <w:spacing w:line="360" w:lineRule="auto"/>
        <w:ind w:firstLine="420" w:firstLineChars="200"/>
        <w:rPr>
          <w:color w:val="auto"/>
          <w:szCs w:val="21"/>
          <w:highlight w:val="none"/>
        </w:rPr>
      </w:pPr>
      <w:r>
        <w:rPr>
          <w:color w:val="auto"/>
          <w:szCs w:val="21"/>
          <w:highlight w:val="none"/>
        </w:rPr>
        <w:t>此项由评标委员会集体核实后统一打分。</w:t>
      </w:r>
    </w:p>
    <w:p w14:paraId="0BC00B2E">
      <w:pPr>
        <w:pStyle w:val="65"/>
        <w:adjustRightInd w:val="0"/>
        <w:snapToGrid w:val="0"/>
        <w:spacing w:line="360" w:lineRule="auto"/>
        <w:ind w:firstLine="422"/>
        <w:rPr>
          <w:rFonts w:eastAsia="宋体"/>
          <w:b/>
          <w:bCs/>
          <w:color w:val="auto"/>
          <w:sz w:val="21"/>
          <w:szCs w:val="21"/>
          <w:highlight w:val="none"/>
        </w:rPr>
      </w:pPr>
      <w:r>
        <w:rPr>
          <w:rFonts w:eastAsia="宋体"/>
          <w:b/>
          <w:bCs/>
          <w:color w:val="auto"/>
          <w:sz w:val="21"/>
          <w:szCs w:val="21"/>
          <w:highlight w:val="none"/>
        </w:rPr>
        <w:t>六、询标</w:t>
      </w:r>
    </w:p>
    <w:p w14:paraId="673A3D01">
      <w:pPr>
        <w:pStyle w:val="65"/>
        <w:adjustRightInd w:val="0"/>
        <w:snapToGrid w:val="0"/>
        <w:spacing w:line="360" w:lineRule="auto"/>
        <w:ind w:firstLine="420"/>
        <w:rPr>
          <w:rFonts w:eastAsia="宋体"/>
          <w:color w:val="auto"/>
          <w:sz w:val="21"/>
          <w:szCs w:val="21"/>
          <w:highlight w:val="none"/>
        </w:rPr>
      </w:pPr>
      <w:r>
        <w:rPr>
          <w:rFonts w:eastAsia="宋体"/>
          <w:color w:val="auto"/>
          <w:sz w:val="21"/>
          <w:szCs w:val="21"/>
          <w:highlight w:val="none"/>
        </w:rPr>
        <w:t>对投标文件中存在含义不清楚的内容，必要时评标委员会要求</w:t>
      </w:r>
      <w:r>
        <w:rPr>
          <w:rFonts w:hint="eastAsia" w:eastAsia="宋体"/>
          <w:color w:val="auto"/>
          <w:sz w:val="21"/>
          <w:szCs w:val="21"/>
          <w:highlight w:val="none"/>
        </w:rPr>
        <w:t>供应商</w:t>
      </w:r>
      <w:r>
        <w:rPr>
          <w:rFonts w:eastAsia="宋体"/>
          <w:color w:val="auto"/>
          <w:sz w:val="21"/>
          <w:szCs w:val="21"/>
          <w:highlight w:val="none"/>
        </w:rPr>
        <w:t>作必要的澄清、说明或补正。询标记录需</w:t>
      </w:r>
      <w:r>
        <w:rPr>
          <w:rFonts w:hint="eastAsia" w:eastAsia="宋体"/>
          <w:color w:val="auto"/>
          <w:sz w:val="21"/>
          <w:szCs w:val="21"/>
          <w:highlight w:val="none"/>
        </w:rPr>
        <w:t>供应商</w:t>
      </w:r>
      <w:r>
        <w:rPr>
          <w:rFonts w:eastAsia="宋体"/>
          <w:color w:val="auto"/>
          <w:sz w:val="21"/>
          <w:szCs w:val="21"/>
          <w:highlight w:val="none"/>
        </w:rPr>
        <w:t>授权代表签字确认，它将作为投标文件的一部分。</w:t>
      </w:r>
    </w:p>
    <w:p w14:paraId="4E48E6B6">
      <w:pPr>
        <w:adjustRightInd w:val="0"/>
        <w:snapToGrid w:val="0"/>
        <w:spacing w:line="360" w:lineRule="auto"/>
        <w:ind w:firstLine="422" w:firstLineChars="200"/>
        <w:rPr>
          <w:b/>
          <w:bCs/>
          <w:color w:val="auto"/>
          <w:szCs w:val="21"/>
          <w:highlight w:val="none"/>
        </w:rPr>
      </w:pPr>
      <w:r>
        <w:rPr>
          <w:b/>
          <w:bCs/>
          <w:color w:val="auto"/>
          <w:szCs w:val="21"/>
          <w:highlight w:val="none"/>
        </w:rPr>
        <w:t>七、修改评标结果</w:t>
      </w:r>
    </w:p>
    <w:p w14:paraId="7BB75966">
      <w:pPr>
        <w:adjustRightInd w:val="0"/>
        <w:snapToGrid w:val="0"/>
        <w:spacing w:line="360" w:lineRule="auto"/>
        <w:ind w:firstLine="420" w:firstLineChars="200"/>
        <w:rPr>
          <w:b/>
          <w:bCs/>
          <w:color w:val="auto"/>
          <w:szCs w:val="21"/>
          <w:highlight w:val="none"/>
        </w:rPr>
      </w:pPr>
      <w:r>
        <w:rPr>
          <w:rStyle w:val="489"/>
          <w:rFonts w:hint="default" w:ascii="Times New Roman" w:hAnsi="Times New Roman"/>
          <w:color w:val="auto"/>
          <w:sz w:val="21"/>
          <w:szCs w:val="21"/>
          <w:highlight w:val="none"/>
        </w:rPr>
        <w:t>评标结果汇总完成后，除下列情形外，任何人不得修改评标结果：</w:t>
      </w:r>
    </w:p>
    <w:p w14:paraId="4E5B7A26">
      <w:pPr>
        <w:adjustRightInd w:val="0"/>
        <w:snapToGrid w:val="0"/>
        <w:spacing w:line="360" w:lineRule="auto"/>
        <w:ind w:firstLine="420" w:firstLineChars="200"/>
        <w:rPr>
          <w:rStyle w:val="489"/>
          <w:rFonts w:hint="default" w:ascii="Times New Roman" w:hAnsi="Times New Roman"/>
          <w:color w:val="auto"/>
          <w:sz w:val="21"/>
          <w:szCs w:val="21"/>
          <w:highlight w:val="none"/>
        </w:rPr>
      </w:pPr>
      <w:r>
        <w:rPr>
          <w:rStyle w:val="489"/>
          <w:rFonts w:hint="default" w:ascii="Times New Roman" w:hAnsi="Times New Roman"/>
          <w:color w:val="auto"/>
          <w:sz w:val="21"/>
          <w:szCs w:val="21"/>
          <w:highlight w:val="none"/>
        </w:rPr>
        <w:t>（一）分值汇总计算错误的</w:t>
      </w:r>
    </w:p>
    <w:p w14:paraId="71DDC35B">
      <w:pPr>
        <w:adjustRightInd w:val="0"/>
        <w:snapToGrid w:val="0"/>
        <w:spacing w:line="360" w:lineRule="auto"/>
        <w:ind w:firstLine="420" w:firstLineChars="200"/>
        <w:rPr>
          <w:rStyle w:val="489"/>
          <w:rFonts w:hint="default" w:ascii="Times New Roman" w:hAnsi="Times New Roman"/>
          <w:color w:val="auto"/>
          <w:sz w:val="21"/>
          <w:szCs w:val="21"/>
          <w:highlight w:val="none"/>
        </w:rPr>
      </w:pPr>
      <w:r>
        <w:rPr>
          <w:rStyle w:val="489"/>
          <w:rFonts w:hint="default" w:ascii="Times New Roman" w:hAnsi="Times New Roman"/>
          <w:color w:val="auto"/>
          <w:sz w:val="21"/>
          <w:szCs w:val="21"/>
          <w:highlight w:val="none"/>
        </w:rPr>
        <w:t>（二）分项评分超出评分标准范围的；</w:t>
      </w:r>
    </w:p>
    <w:p w14:paraId="12F31858">
      <w:pPr>
        <w:adjustRightInd w:val="0"/>
        <w:snapToGrid w:val="0"/>
        <w:spacing w:line="360" w:lineRule="auto"/>
        <w:ind w:firstLine="420" w:firstLineChars="200"/>
        <w:rPr>
          <w:rStyle w:val="489"/>
          <w:rFonts w:hint="default" w:ascii="Times New Roman" w:hAnsi="Times New Roman"/>
          <w:color w:val="auto"/>
          <w:sz w:val="21"/>
          <w:szCs w:val="21"/>
          <w:highlight w:val="none"/>
        </w:rPr>
      </w:pPr>
      <w:r>
        <w:rPr>
          <w:rStyle w:val="489"/>
          <w:rFonts w:hint="default" w:ascii="Times New Roman" w:hAnsi="Times New Roman"/>
          <w:color w:val="auto"/>
          <w:sz w:val="21"/>
          <w:szCs w:val="21"/>
          <w:highlight w:val="none"/>
        </w:rPr>
        <w:t>（三）评标委员会成员对客观评审因素评分不一致的；</w:t>
      </w:r>
    </w:p>
    <w:p w14:paraId="452BB400">
      <w:pPr>
        <w:adjustRightInd w:val="0"/>
        <w:snapToGrid w:val="0"/>
        <w:spacing w:line="360" w:lineRule="auto"/>
        <w:ind w:firstLine="420" w:firstLineChars="200"/>
        <w:rPr>
          <w:rStyle w:val="489"/>
          <w:rFonts w:hint="default" w:ascii="Times New Roman" w:hAnsi="Times New Roman"/>
          <w:color w:val="auto"/>
          <w:sz w:val="21"/>
          <w:szCs w:val="21"/>
          <w:highlight w:val="none"/>
        </w:rPr>
      </w:pPr>
      <w:r>
        <w:rPr>
          <w:rStyle w:val="489"/>
          <w:rFonts w:hint="default" w:ascii="Times New Roman" w:hAnsi="Times New Roman"/>
          <w:color w:val="auto"/>
          <w:sz w:val="21"/>
          <w:szCs w:val="21"/>
          <w:highlight w:val="none"/>
        </w:rPr>
        <w:t>（四）经评标委员会认定评分畸高、畸低的。</w:t>
      </w:r>
    </w:p>
    <w:p w14:paraId="09E31214">
      <w:pPr>
        <w:pStyle w:val="2"/>
        <w:snapToGrid w:val="0"/>
        <w:rPr>
          <w:rFonts w:ascii="Times New Roman" w:hAnsi="Times New Roman" w:eastAsia="宋体"/>
          <w:color w:val="auto"/>
          <w:highlight w:val="none"/>
        </w:rPr>
      </w:pPr>
      <w:r>
        <w:rPr>
          <w:rFonts w:ascii="Times New Roman" w:hAnsi="Times New Roman" w:eastAsia="宋体"/>
          <w:color w:val="auto"/>
          <w:highlight w:val="none"/>
        </w:rPr>
        <w:br w:type="page"/>
      </w:r>
      <w:bookmarkStart w:id="26" w:name="_Toc82873328"/>
      <w:bookmarkStart w:id="27" w:name="_Toc82338245"/>
      <w:bookmarkStart w:id="28" w:name="_Toc495317672"/>
      <w:bookmarkStart w:id="29" w:name="_Toc211745569"/>
      <w:r>
        <w:rPr>
          <w:rFonts w:ascii="Times New Roman" w:hAnsi="Times New Roman" w:eastAsia="宋体"/>
          <w:color w:val="auto"/>
          <w:highlight w:val="none"/>
        </w:rPr>
        <w:t>第五章  采购合同</w:t>
      </w:r>
      <w:bookmarkEnd w:id="26"/>
      <w:bookmarkEnd w:id="27"/>
      <w:bookmarkEnd w:id="28"/>
      <w:bookmarkEnd w:id="29"/>
    </w:p>
    <w:p w14:paraId="7B5AB104">
      <w:pPr>
        <w:spacing w:line="360" w:lineRule="auto"/>
        <w:jc w:val="center"/>
        <w:rPr>
          <w:rFonts w:hint="eastAsia" w:ascii="宋体" w:hAnsi="宋体" w:cs="宋体"/>
          <w:color w:val="auto"/>
          <w:sz w:val="28"/>
          <w:szCs w:val="20"/>
          <w:highlight w:val="none"/>
        </w:rPr>
      </w:pPr>
      <w:bookmarkStart w:id="30" w:name="_Toc82873329"/>
      <w:bookmarkStart w:id="31" w:name="_Toc82338246"/>
      <w:r>
        <w:rPr>
          <w:rFonts w:hint="eastAsia" w:ascii="宋体" w:hAnsi="宋体" w:cs="宋体"/>
          <w:color w:val="auto"/>
          <w:sz w:val="28"/>
          <w:szCs w:val="20"/>
          <w:highlight w:val="none"/>
        </w:rPr>
        <w:t>嘉兴市第二医院新院区信息化迁建改造项目合同</w:t>
      </w:r>
    </w:p>
    <w:p w14:paraId="7F05953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合同编号：</w:t>
      </w:r>
    </w:p>
    <w:p w14:paraId="06ED654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政府采购计划（预算）确认号：</w:t>
      </w:r>
    </w:p>
    <w:p w14:paraId="162382E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预算金额：万元</w:t>
      </w:r>
    </w:p>
    <w:p w14:paraId="640F6E1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采购人（以下称甲方）：</w:t>
      </w:r>
      <w:r>
        <w:rPr>
          <w:rFonts w:hint="eastAsia" w:ascii="宋体" w:hAnsi="宋体" w:cs="宋体"/>
          <w:color w:val="auto"/>
          <w:szCs w:val="21"/>
          <w:highlight w:val="none"/>
          <w:u w:val="single"/>
        </w:rPr>
        <w:t xml:space="preserve">嘉兴市第二医院 </w:t>
      </w:r>
      <w:r>
        <w:rPr>
          <w:rFonts w:hint="eastAsia" w:ascii="宋体" w:hAnsi="宋体" w:cs="宋体"/>
          <w:color w:val="auto"/>
          <w:szCs w:val="21"/>
          <w:highlight w:val="none"/>
        </w:rPr>
        <w:t xml:space="preserve"> </w:t>
      </w:r>
    </w:p>
    <w:p w14:paraId="6EA827A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投标人（以下称乙方）：</w:t>
      </w:r>
      <w:r>
        <w:rPr>
          <w:rFonts w:hint="eastAsia" w:ascii="宋体" w:hAnsi="宋体" w:cs="宋体"/>
          <w:color w:val="auto"/>
          <w:szCs w:val="21"/>
          <w:highlight w:val="none"/>
          <w:u w:val="single"/>
        </w:rPr>
        <w:t xml:space="preserve">               </w:t>
      </w:r>
    </w:p>
    <w:p w14:paraId="20C162A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采购代理机构：浙江国际招投标有限公司</w:t>
      </w:r>
    </w:p>
    <w:p w14:paraId="054F194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采购方式：公开招标</w:t>
      </w:r>
    </w:p>
    <w:p w14:paraId="45F9F55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开标日期：2026年月日</w:t>
      </w:r>
    </w:p>
    <w:p w14:paraId="6902BF9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    根据《中华人民共和国政府采购法》、《中华人民共和国民法典》等法律法规的规定，甲乙双方按照 </w:t>
      </w:r>
      <w:r>
        <w:rPr>
          <w:rFonts w:hint="eastAsia" w:ascii="宋体" w:hAnsi="宋体" w:cs="宋体"/>
          <w:color w:val="auto"/>
          <w:szCs w:val="21"/>
          <w:highlight w:val="none"/>
          <w:u w:val="single"/>
        </w:rPr>
        <w:t xml:space="preserve">                         项目（招标编号：        ）</w:t>
      </w:r>
      <w:r>
        <w:rPr>
          <w:rFonts w:hint="eastAsia" w:ascii="宋体" w:hAnsi="宋体" w:cs="宋体"/>
          <w:color w:val="auto"/>
          <w:szCs w:val="21"/>
          <w:highlight w:val="none"/>
        </w:rPr>
        <w:t>，采购结果签订本合同。</w:t>
      </w:r>
    </w:p>
    <w:p w14:paraId="351D2608">
      <w:pPr>
        <w:pStyle w:val="76"/>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一、通用必备条款部分</w:t>
      </w:r>
    </w:p>
    <w:p w14:paraId="767F276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第一条 合同组成</w:t>
      </w:r>
    </w:p>
    <w:p w14:paraId="67052E8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本次政府采购活动的相关文件为本合同的组成部分，这些文件包括但不限于：</w:t>
      </w:r>
    </w:p>
    <w:p w14:paraId="194BDA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（1）本合同文本；</w:t>
      </w:r>
    </w:p>
    <w:p w14:paraId="0631121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（2）采购文件与采购响应文件；</w:t>
      </w:r>
    </w:p>
    <w:p w14:paraId="235D72B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（3）中标或成交通知书；</w:t>
      </w:r>
    </w:p>
    <w:p w14:paraId="1EAA2E1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组成本合同的所有文件必须为书面形式。政府采购合同备案时，须提供以上（1）、（3）两项，如由社会中介机构代理，须提供代理协议，合同如有变更的，须提供变更协议。</w:t>
      </w:r>
    </w:p>
    <w:p w14:paraId="4AAB833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第二条 合同标的与相关属性</w:t>
      </w:r>
    </w:p>
    <w:p w14:paraId="08CF47F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1、本次采购的是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5E15D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2、乙方是否属于中小微企业：□是□否</w:t>
      </w:r>
    </w:p>
    <w:p w14:paraId="4D300E2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第三条 合同价款</w:t>
      </w:r>
    </w:p>
    <w:p w14:paraId="0CE1E42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1、本合同项下总价款为（大写）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人民币，分项价款见“价格清单”（如有）”。</w:t>
      </w:r>
    </w:p>
    <w:p w14:paraId="0A071B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2、本合同总价款含所有税费(包括货款、标准附件、备品备件、专用工具、包装、运输、装卸、保险、税金、货到就位以及安装、调试、培训、保修等一切税金和费用。)</w:t>
      </w:r>
    </w:p>
    <w:p w14:paraId="261A40A2">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3、</w:t>
      </w:r>
      <w:r>
        <w:rPr>
          <w:rFonts w:hint="eastAsia" w:ascii="宋体" w:hAnsi="宋体"/>
          <w:color w:val="auto"/>
          <w:szCs w:val="21"/>
          <w:highlight w:val="none"/>
        </w:rPr>
        <w:t>本合同付款方式为以下第</w:t>
      </w:r>
      <w:r>
        <w:rPr>
          <w:rFonts w:hint="eastAsia" w:ascii="宋体" w:hAnsi="宋体"/>
          <w:color w:val="auto"/>
          <w:szCs w:val="21"/>
          <w:highlight w:val="none"/>
          <w:u w:val="single"/>
        </w:rPr>
        <w:t xml:space="preserve">           </w:t>
      </w:r>
      <w:r>
        <w:rPr>
          <w:rFonts w:hint="eastAsia" w:ascii="宋体" w:hAnsi="宋体"/>
          <w:color w:val="auto"/>
          <w:szCs w:val="21"/>
          <w:highlight w:val="none"/>
        </w:rPr>
        <w:t>项：</w:t>
      </w:r>
    </w:p>
    <w:p w14:paraId="290CA138">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（1）本合同项下的采购资金系甲方自行支付，付款程序为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84EE2B2">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（2）本合同项下的采购资金须财政直接支付，付款程序为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93E9BC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（3）其他方式：</w:t>
      </w:r>
    </w:p>
    <w:p w14:paraId="2A07A14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第四条 履约保证金</w:t>
      </w:r>
    </w:p>
    <w:p w14:paraId="08758F79">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按以下第</w:t>
      </w:r>
      <w:r>
        <w:rPr>
          <w:rFonts w:hint="eastAsia" w:ascii="宋体" w:hAnsi="宋体"/>
          <w:color w:val="auto"/>
          <w:szCs w:val="21"/>
          <w:highlight w:val="none"/>
          <w:u w:val="single"/>
        </w:rPr>
        <w:t xml:space="preserve">    </w:t>
      </w:r>
      <w:r>
        <w:rPr>
          <w:rFonts w:hint="eastAsia" w:ascii="宋体" w:hAnsi="宋体"/>
          <w:color w:val="auto"/>
          <w:szCs w:val="21"/>
          <w:highlight w:val="none"/>
        </w:rPr>
        <w:t>项处理：</w:t>
      </w:r>
    </w:p>
    <w:p w14:paraId="1F41480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1、本项目设置履约保证金，</w:t>
      </w:r>
      <w:r>
        <w:rPr>
          <w:rFonts w:hint="eastAsia" w:ascii="宋体" w:hAnsi="宋体" w:cs="宋体"/>
          <w:color w:val="auto"/>
          <w:szCs w:val="21"/>
          <w:highlight w:val="none"/>
        </w:rPr>
        <w:t>乙方必须在本合同签订后向甲方缴纳合同总价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%（共计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元）的履约保证金，可优先以银行、保险公司、担保机构等金融机构出具的保函、保险等形式提交，也可以电汇、银行汇票、转账支票等形式提交。</w:t>
      </w:r>
    </w:p>
    <w:p w14:paraId="72103F67">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olor w:val="auto"/>
          <w:szCs w:val="21"/>
          <w:highlight w:val="none"/>
        </w:rPr>
      </w:pPr>
      <w:r>
        <w:rPr>
          <w:rFonts w:hint="eastAsia" w:ascii="宋体" w:hAnsi="宋体"/>
          <w:color w:val="auto"/>
          <w:szCs w:val="21"/>
          <w:highlight w:val="none"/>
        </w:rPr>
        <w:t>2、本项目不设置履约保证金。</w:t>
      </w:r>
    </w:p>
    <w:p w14:paraId="5778D09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第五条 合同的变更和终止</w:t>
      </w:r>
    </w:p>
    <w:p w14:paraId="208BA8E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除《中华人民共和国政府采购法》第49条、第50条第二款规定的情形外，本合同一经签订，甲乙双方不得擅自终止合同或对合同实质性条款进行变更。确有特殊情况的，须经同级财政部门备案同意。</w:t>
      </w:r>
    </w:p>
    <w:p w14:paraId="00948A7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第六条 合同的转让与分包</w:t>
      </w:r>
    </w:p>
    <w:p w14:paraId="67D1F18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乙方不得擅自部分或全部转让其应履行的合同义务。乙方分包的，应经过甲方书面同意，否则应承担相应</w:t>
      </w:r>
      <w:r>
        <w:rPr>
          <w:rFonts w:hint="eastAsia" w:ascii="宋体" w:hAnsi="宋体"/>
          <w:color w:val="auto"/>
          <w:szCs w:val="21"/>
          <w:highlight w:val="none"/>
        </w:rPr>
        <w:t>违约</w:t>
      </w:r>
      <w:r>
        <w:rPr>
          <w:rFonts w:hint="eastAsia" w:ascii="宋体" w:hAnsi="宋体" w:cs="宋体"/>
          <w:color w:val="auto"/>
          <w:szCs w:val="21"/>
          <w:highlight w:val="none"/>
        </w:rPr>
        <w:t>责任。</w:t>
      </w:r>
    </w:p>
    <w:p w14:paraId="1845A06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第七条 争议的解决</w:t>
      </w:r>
    </w:p>
    <w:p w14:paraId="2FC6FAF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1、因履行本合同引起的或与本合同有关的争议，甲、乙双方应首先通过友好协商解决，如果协商不能解决争议，则采取以下第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种方式解决争议：</w:t>
      </w:r>
    </w:p>
    <w:p w14:paraId="45A76470">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（1）向甲方所在地有管辖权的人民法院提起诉讼；</w:t>
      </w:r>
    </w:p>
    <w:p w14:paraId="7C75F863">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仲裁委员会申请仲裁。</w:t>
      </w:r>
    </w:p>
    <w:p w14:paraId="246C4D22">
      <w:pPr>
        <w:pStyle w:val="35"/>
        <w:ind w:left="0" w:firstLine="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2、任何一方违约，应向守约方承担违约责任外，还应承担包括但不限于评估费、鉴定费、诉讼费、保全费、律师费等为实现债权的全部费用。</w:t>
      </w:r>
    </w:p>
    <w:p w14:paraId="2A3A2B9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第八条 合同生效及其他</w:t>
      </w:r>
    </w:p>
    <w:p w14:paraId="7653EAE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本合同一式五份，甲乙双方各执两份，招标代理机构一份，经甲乙双方签字盖章（加盖骑缝章）和采购代理机构盖章后生效，具有同等法律效力。本协议未尽事宜，双方可另行签订补充协议，补充协议内容与本协议不一致的，以补充协议为准。</w:t>
      </w:r>
    </w:p>
    <w:p w14:paraId="196DA26E">
      <w:pPr>
        <w:pStyle w:val="76"/>
        <w:rPr>
          <w:rFonts w:hint="eastAsia" w:ascii="宋体" w:hAnsi="宋体" w:cs="宋体"/>
          <w:b/>
          <w:color w:val="auto"/>
          <w:sz w:val="21"/>
          <w:szCs w:val="21"/>
          <w:highlight w:val="none"/>
        </w:rPr>
      </w:pPr>
      <w:r>
        <w:rPr>
          <w:rFonts w:hint="eastAsia" w:ascii="宋体" w:hAnsi="宋体" w:cs="宋体"/>
          <w:b/>
          <w:color w:val="auto"/>
          <w:sz w:val="21"/>
          <w:szCs w:val="21"/>
          <w:highlight w:val="none"/>
        </w:rPr>
        <w:t>二、特殊专用条款部分</w:t>
      </w:r>
    </w:p>
    <w:p w14:paraId="4F117BD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第九条 采购内容</w:t>
      </w:r>
    </w:p>
    <w:p w14:paraId="3AA484B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1、采购清单：                                   </w:t>
      </w:r>
    </w:p>
    <w:p w14:paraId="741DA07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2、工期：本次项目要求系统在合同签订后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个月内完成系统调试、部署、初始化、上线等工作。如在规定的时间内由于乙方的原因不能完成安装、调试、上线，乙方应承担由此给甲方造成的损失。</w:t>
      </w:r>
    </w:p>
    <w:p w14:paraId="023B15A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3、系统主要功能需求与技术参数：详见附件。</w:t>
      </w:r>
    </w:p>
    <w:p w14:paraId="6AAB14B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4、其他要求：</w:t>
      </w:r>
    </w:p>
    <w:p w14:paraId="6A835EF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第十条 技术资料</w:t>
      </w:r>
    </w:p>
    <w:p w14:paraId="4A6AF79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1、乙方应按招标文件规定的时间向甲方提供使用货物的有关技术资料。</w:t>
      </w:r>
    </w:p>
    <w:p w14:paraId="06DD32C6">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否则应承担相应责任。</w:t>
      </w:r>
    </w:p>
    <w:p w14:paraId="25F3416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第十一条 知识产权</w:t>
      </w:r>
    </w:p>
    <w:p w14:paraId="4F98BEFA">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乙方应保证所提供的货物或其任何一部分均不会侵犯任何第三方的知识产权。如第三方主张权利的，由乙方承担一切责任，与甲方无关。</w:t>
      </w:r>
    </w:p>
    <w:p w14:paraId="7AB781B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第十二条 产权担保</w:t>
      </w:r>
    </w:p>
    <w:p w14:paraId="07D56D5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乙方保证所交付的货物的所有权完全属于乙方且无任何抵押、查封等产权瑕疵。如因产权瑕疵导致甲方损失的，甲方有权解除合同，且不承担责任，乙方应退还甲方已付款项并赔偿甲方损失。</w:t>
      </w:r>
    </w:p>
    <w:p w14:paraId="610BEEA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第十三条 免费维保期</w:t>
      </w:r>
    </w:p>
    <w:p w14:paraId="4A419A2D">
      <w:pPr>
        <w:numPr>
          <w:ilvl w:val="0"/>
          <w:numId w:val="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免费维保期      年。（自最终验收合格之日起计算） </w:t>
      </w:r>
    </w:p>
    <w:p w14:paraId="03CACCA6">
      <w:pPr>
        <w:numPr>
          <w:ilvl w:val="0"/>
          <w:numId w:val="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免费维保期过后，如甲方需要乙方提供维保服务的，每年的维保费用不超过合同金额的6%。</w:t>
      </w:r>
    </w:p>
    <w:p w14:paraId="237D862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第十四条 质量保证及售后服务</w:t>
      </w:r>
    </w:p>
    <w:p w14:paraId="533FA71E">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1、乙方应按招标文件规定的系统、技术要求、质量标准向甲方提供产品和服务。</w:t>
      </w:r>
    </w:p>
    <w:p w14:paraId="157626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乙方提供永久性7×24小时技术支持，包括各种软件系统故障及对各种突发事件采取应急措施等，服务响应时间为2小时。在维护期，乙方须通过电话提供解决方案，或者利用远程维护方式解决问题。若不能在4小时内解决故障问题，乙方应48小时内到达现场服务，排除故障，并分析故障原因，提出书面故障分析报告及防范措施。</w:t>
      </w:r>
    </w:p>
    <w:p w14:paraId="6EC4E13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在免费维保期内，乙方应对产品出现的质量及安全问题负责处理解决，并承担一切费用；乙方对甲方提出的软件问题要求免费进行更改，乙方如有同一版本的软件更新，必须在这期间对甲方软件免费升级，免费提供与甲方业务系统的对接，不另外收取任何费用。</w:t>
      </w:r>
    </w:p>
    <w:p w14:paraId="0BB6E37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4、乙方产品为（或含）软件系统的，应保证</w:t>
      </w:r>
    </w:p>
    <w:p w14:paraId="35FE8BD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（1）可与医院其他系统正常联网共享信息，不收取接口费；</w:t>
      </w:r>
    </w:p>
    <w:p w14:paraId="2DCBC2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（2）保证系统运行及系统内信息的安全，且不损害其他系统正常运行环境；</w:t>
      </w:r>
    </w:p>
    <w:p w14:paraId="3371F75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（3）免费提供因操作系统升级所致软件升级；</w:t>
      </w:r>
    </w:p>
    <w:p w14:paraId="4A7EE17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（4）免费提供标书或合同所列技术需求范围内的内容调整所致的系统修改；</w:t>
      </w:r>
    </w:p>
    <w:p w14:paraId="5EB91DF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（5）保修期外也应免费提供因本采购软件自身因素所致补丁、更新、升级；</w:t>
      </w:r>
    </w:p>
    <w:p w14:paraId="24DB03D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（6）保修期外如医院对系统没有修改维护的需求，不额外收取年维护费；如后期有需求，按招标约定协商；</w:t>
      </w:r>
    </w:p>
    <w:p w14:paraId="02085B6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（7）未经甲方授权，不得将获取的任何信息数据透露给第三方，或进行非法复制、解密、扩散。如乙方擅自提取、复制、传播信息数据侵犯他人隐私的，由乙方承担一切责任。</w:t>
      </w:r>
    </w:p>
    <w:p w14:paraId="0126337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第十五条 培训</w:t>
      </w:r>
    </w:p>
    <w:p w14:paraId="61B5C6B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培训：乙方应制定详细的培训计划，对甲方进行操作及相关技术培训。乙方负责甲方的现场技术培训，包括产品的功能、部署条件、部署步骤和注意事项、产品升级、日常维护事项等方面，使甲方达到能独立进行管理、维护测试和故障处理等工作，以使所提供的软件产品能够正常、安全的运行。</w:t>
      </w:r>
    </w:p>
    <w:p w14:paraId="4F4BC1F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2、所有的培训费用含在投标总价中。</w:t>
      </w:r>
    </w:p>
    <w:p w14:paraId="738531B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第十六条 调试和验收</w:t>
      </w:r>
    </w:p>
    <w:p w14:paraId="4368722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1、甲方对乙方提交的产品依据招标文件与合同约定，进行验收。</w:t>
      </w:r>
    </w:p>
    <w:p w14:paraId="7B3932D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2、甲方对乙方提供的产品在使用前进行调试时，乙方需负责安装并培训甲方的使用操作人员，并协助甲方一起调试，直到符合技术要求，甲方才做最终验收。</w:t>
      </w:r>
    </w:p>
    <w:p w14:paraId="1D4AB82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3、验收时乙方必须在现场，验收完毕后作出验收结果报告；验收费用由乙方负责。</w:t>
      </w:r>
    </w:p>
    <w:p w14:paraId="0C3466B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 xml:space="preserve">第十七条 </w:t>
      </w:r>
      <w:r>
        <w:rPr>
          <w:rFonts w:hint="eastAsia" w:ascii="宋体" w:hAnsi="宋体" w:cs="宋体"/>
          <w:b/>
          <w:color w:val="auto"/>
          <w:szCs w:val="21"/>
          <w:highlight w:val="none"/>
        </w:rPr>
        <w:t>违约责任</w:t>
      </w:r>
    </w:p>
    <w:p w14:paraId="33F56CC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1、甲方无正当理由拒收货物和服务的，甲方向乙方偿付合同款项总值的百分之五违约金。</w:t>
      </w:r>
    </w:p>
    <w:p w14:paraId="6787CD2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2、如乙方完全履约，甲方逾期验收和办理合同款项支付手续的，甲方应按逾期付款总额每日万分之五向乙方支付违约金。</w:t>
      </w:r>
    </w:p>
    <w:p w14:paraId="2C52048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3、乙方逾期交付货物和服务的，乙方应按逾期交付项目总额每日0.5%向甲方支付违约金，由甲方从待支付款项中扣除。逾期超过约定日期10个工作日不能交付的，甲方可解除本合同且不承担任何责任。乙方因逾期交付或因其他违约行为导致甲方解除合同的，乙方应向甲方支付合同总值5%的违约金，如造成甲方损失超过违约金的，超出部分由乙方继续承担赔偿责任。 </w:t>
      </w:r>
    </w:p>
    <w:p w14:paraId="4DA25B4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4、如因遇到不可抗力、政策</w:t>
      </w:r>
      <w:bookmarkStart w:id="32" w:name="OLE_LINK36"/>
      <w:r>
        <w:rPr>
          <w:rFonts w:hint="eastAsia" w:ascii="宋体" w:hAnsi="宋体" w:cs="宋体"/>
          <w:color w:val="auto"/>
          <w:szCs w:val="21"/>
          <w:highlight w:val="none"/>
        </w:rPr>
        <w:t>法规原因等因素导致的合同不能继续履行时，甲乙方应及时通知对方以将损失控制在最小范围并共同协商变更或者解除本合同，任何一方不得提前单方面终止本合同。</w:t>
      </w:r>
      <w:bookmarkEnd w:id="32"/>
    </w:p>
    <w:p w14:paraId="25C02EE5">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5、违约方需赔偿守约方因维权而支出</w:t>
      </w:r>
      <w:bookmarkStart w:id="33" w:name="OLE_LINK28"/>
      <w:r>
        <w:rPr>
          <w:rFonts w:hint="eastAsia" w:ascii="宋体" w:hAnsi="宋体" w:cs="宋体"/>
          <w:color w:val="auto"/>
          <w:szCs w:val="21"/>
          <w:highlight w:val="none"/>
        </w:rPr>
        <w:t>的全部费用，包括但不限于：律师</w:t>
      </w:r>
      <w:bookmarkEnd w:id="33"/>
      <w:r>
        <w:rPr>
          <w:rFonts w:hint="eastAsia" w:ascii="宋体" w:hAnsi="宋体" w:cs="宋体"/>
          <w:color w:val="auto"/>
          <w:szCs w:val="21"/>
          <w:highlight w:val="none"/>
        </w:rPr>
        <w:t>费、保全费、鉴定费、公证费、证人出庭费等。</w:t>
      </w:r>
    </w:p>
    <w:p w14:paraId="7E304B7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rPr>
        <w:t>第十八条 不可抗力事件处理</w:t>
      </w:r>
    </w:p>
    <w:p w14:paraId="2AB5539F">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2C083E70">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2、不可抗力事件发生后，应立即书面通知对方。</w:t>
      </w:r>
    </w:p>
    <w:p w14:paraId="559D340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3、不可抗力事件延续120天以上，双方应通过友好协商，确定是否继续履行合同。</w:t>
      </w:r>
    </w:p>
    <w:tbl>
      <w:tblPr>
        <w:tblStyle w:val="80"/>
        <w:tblpPr w:leftFromText="180" w:rightFromText="180" w:vertAnchor="text" w:horzAnchor="page" w:tblpX="1540" w:tblpY="244"/>
        <w:tblOverlap w:val="never"/>
        <w:tblW w:w="9072" w:type="dxa"/>
        <w:tblInd w:w="0" w:type="dxa"/>
        <w:tblLayout w:type="fixed"/>
        <w:tblCellMar>
          <w:top w:w="0" w:type="dxa"/>
          <w:left w:w="108" w:type="dxa"/>
          <w:bottom w:w="0" w:type="dxa"/>
          <w:right w:w="108" w:type="dxa"/>
        </w:tblCellMar>
      </w:tblPr>
      <w:tblGrid>
        <w:gridCol w:w="4661"/>
        <w:gridCol w:w="4411"/>
      </w:tblGrid>
      <w:tr w14:paraId="1ED6C121">
        <w:tblPrEx>
          <w:tblCellMar>
            <w:top w:w="0" w:type="dxa"/>
            <w:left w:w="108" w:type="dxa"/>
            <w:bottom w:w="0" w:type="dxa"/>
            <w:right w:w="108" w:type="dxa"/>
          </w:tblCellMar>
        </w:tblPrEx>
        <w:trPr>
          <w:trHeight w:val="591" w:hRule="atLeast"/>
        </w:trPr>
        <w:tc>
          <w:tcPr>
            <w:tcW w:w="4661" w:type="dxa"/>
            <w:noWrap/>
          </w:tcPr>
          <w:p w14:paraId="30FCBDCD">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甲方</w:t>
            </w:r>
            <w:r>
              <w:rPr>
                <w:rFonts w:hint="eastAsia" w:ascii="宋体" w:hAnsi="宋体" w:cs="宋体"/>
                <w:color w:val="auto"/>
                <w:szCs w:val="21"/>
                <w:highlight w:val="none"/>
              </w:rPr>
              <w:t>(盖章)： 嘉兴市第二医院</w:t>
            </w:r>
          </w:p>
        </w:tc>
        <w:tc>
          <w:tcPr>
            <w:tcW w:w="4411" w:type="dxa"/>
            <w:noWrap/>
          </w:tcPr>
          <w:p w14:paraId="22CB59BA">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乙方</w:t>
            </w:r>
            <w:r>
              <w:rPr>
                <w:rFonts w:hint="eastAsia" w:ascii="宋体" w:hAnsi="宋体" w:cs="宋体"/>
                <w:color w:val="auto"/>
                <w:szCs w:val="21"/>
                <w:highlight w:val="none"/>
              </w:rPr>
              <w:t xml:space="preserve">(盖章)： </w:t>
            </w:r>
          </w:p>
        </w:tc>
      </w:tr>
      <w:tr w14:paraId="2D12EFD8">
        <w:tblPrEx>
          <w:tblCellMar>
            <w:top w:w="0" w:type="dxa"/>
            <w:left w:w="108" w:type="dxa"/>
            <w:bottom w:w="0" w:type="dxa"/>
            <w:right w:w="108" w:type="dxa"/>
          </w:tblCellMar>
        </w:tblPrEx>
        <w:trPr>
          <w:trHeight w:val="939" w:hRule="atLeast"/>
        </w:trPr>
        <w:tc>
          <w:tcPr>
            <w:tcW w:w="4661" w:type="dxa"/>
            <w:noWrap/>
          </w:tcPr>
          <w:p w14:paraId="291D51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法定（授权）代表人：</w:t>
            </w:r>
          </w:p>
        </w:tc>
        <w:tc>
          <w:tcPr>
            <w:tcW w:w="4411" w:type="dxa"/>
            <w:noWrap/>
          </w:tcPr>
          <w:p w14:paraId="1A2C44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法定（授权）代表人：                </w:t>
            </w:r>
          </w:p>
        </w:tc>
      </w:tr>
      <w:tr w14:paraId="11D48A26">
        <w:tblPrEx>
          <w:tblCellMar>
            <w:top w:w="0" w:type="dxa"/>
            <w:left w:w="108" w:type="dxa"/>
            <w:bottom w:w="0" w:type="dxa"/>
            <w:right w:w="108" w:type="dxa"/>
          </w:tblCellMar>
        </w:tblPrEx>
        <w:trPr>
          <w:trHeight w:val="482" w:hRule="atLeast"/>
        </w:trPr>
        <w:tc>
          <w:tcPr>
            <w:tcW w:w="4661" w:type="dxa"/>
            <w:noWrap/>
          </w:tcPr>
          <w:p w14:paraId="7ADB390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地址： 嘉兴市环城北路1518号</w:t>
            </w:r>
          </w:p>
        </w:tc>
        <w:tc>
          <w:tcPr>
            <w:tcW w:w="4411" w:type="dxa"/>
            <w:noWrap/>
          </w:tcPr>
          <w:p w14:paraId="6D26EFE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地址： </w:t>
            </w:r>
          </w:p>
        </w:tc>
      </w:tr>
      <w:tr w14:paraId="2388570D">
        <w:tblPrEx>
          <w:tblCellMar>
            <w:top w:w="0" w:type="dxa"/>
            <w:left w:w="108" w:type="dxa"/>
            <w:bottom w:w="0" w:type="dxa"/>
            <w:right w:w="108" w:type="dxa"/>
          </w:tblCellMar>
        </w:tblPrEx>
        <w:trPr>
          <w:trHeight w:val="510" w:hRule="atLeast"/>
        </w:trPr>
        <w:tc>
          <w:tcPr>
            <w:tcW w:w="4661" w:type="dxa"/>
            <w:noWrap/>
          </w:tcPr>
          <w:p w14:paraId="0FC4CDD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4411" w:type="dxa"/>
            <w:noWrap/>
          </w:tcPr>
          <w:p w14:paraId="0A0DD5E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电话：</w:t>
            </w:r>
          </w:p>
        </w:tc>
      </w:tr>
      <w:tr w14:paraId="312B06DD">
        <w:tblPrEx>
          <w:tblCellMar>
            <w:top w:w="0" w:type="dxa"/>
            <w:left w:w="108" w:type="dxa"/>
            <w:bottom w:w="0" w:type="dxa"/>
            <w:right w:w="108" w:type="dxa"/>
          </w:tblCellMar>
        </w:tblPrEx>
        <w:trPr>
          <w:trHeight w:val="510" w:hRule="atLeast"/>
        </w:trPr>
        <w:tc>
          <w:tcPr>
            <w:tcW w:w="4661" w:type="dxa"/>
            <w:noWrap/>
          </w:tcPr>
          <w:p w14:paraId="26DCAA0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4411" w:type="dxa"/>
            <w:noWrap/>
          </w:tcPr>
          <w:p w14:paraId="45BBD28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联系人：</w:t>
            </w:r>
          </w:p>
        </w:tc>
      </w:tr>
      <w:tr w14:paraId="46DB0D95">
        <w:tblPrEx>
          <w:tblCellMar>
            <w:top w:w="0" w:type="dxa"/>
            <w:left w:w="108" w:type="dxa"/>
            <w:bottom w:w="0" w:type="dxa"/>
            <w:right w:w="108" w:type="dxa"/>
          </w:tblCellMar>
        </w:tblPrEx>
        <w:trPr>
          <w:trHeight w:val="510" w:hRule="atLeast"/>
        </w:trPr>
        <w:tc>
          <w:tcPr>
            <w:tcW w:w="4661" w:type="dxa"/>
            <w:noWrap/>
          </w:tcPr>
          <w:p w14:paraId="50A503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税号：12330400470890343J</w:t>
            </w:r>
          </w:p>
        </w:tc>
        <w:tc>
          <w:tcPr>
            <w:tcW w:w="4411" w:type="dxa"/>
            <w:noWrap/>
          </w:tcPr>
          <w:p w14:paraId="7CA84D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开户银行： </w:t>
            </w:r>
          </w:p>
        </w:tc>
      </w:tr>
      <w:tr w14:paraId="4360DC5C">
        <w:tblPrEx>
          <w:tblCellMar>
            <w:top w:w="0" w:type="dxa"/>
            <w:left w:w="108" w:type="dxa"/>
            <w:bottom w:w="0" w:type="dxa"/>
            <w:right w:w="108" w:type="dxa"/>
          </w:tblCellMar>
        </w:tblPrEx>
        <w:trPr>
          <w:trHeight w:val="495" w:hRule="atLeast"/>
        </w:trPr>
        <w:tc>
          <w:tcPr>
            <w:tcW w:w="4661" w:type="dxa"/>
            <w:noWrap/>
          </w:tcPr>
          <w:p w14:paraId="64E2EF6A">
            <w:pPr>
              <w:spacing w:line="360" w:lineRule="auto"/>
              <w:rPr>
                <w:rFonts w:hint="eastAsia" w:ascii="宋体" w:hAnsi="宋体" w:cs="宋体"/>
                <w:color w:val="auto"/>
                <w:szCs w:val="21"/>
                <w:highlight w:val="none"/>
              </w:rPr>
            </w:pPr>
          </w:p>
        </w:tc>
        <w:tc>
          <w:tcPr>
            <w:tcW w:w="4411" w:type="dxa"/>
            <w:noWrap/>
          </w:tcPr>
          <w:p w14:paraId="344308D9">
            <w:pPr>
              <w:pStyle w:val="40"/>
              <w:tabs>
                <w:tab w:val="left" w:pos="0"/>
              </w:tabs>
              <w:snapToGrid w:val="0"/>
              <w:spacing w:line="360" w:lineRule="auto"/>
              <w:rPr>
                <w:rFonts w:hint="eastAsia" w:hAnsi="宋体" w:cs="宋体"/>
                <w:color w:val="auto"/>
                <w:szCs w:val="21"/>
                <w:highlight w:val="none"/>
              </w:rPr>
            </w:pPr>
            <w:r>
              <w:rPr>
                <w:rFonts w:hint="eastAsia" w:hAnsi="宋体" w:cs="宋体"/>
                <w:color w:val="auto"/>
                <w:szCs w:val="21"/>
                <w:highlight w:val="none"/>
              </w:rPr>
              <w:t>账号：</w:t>
            </w:r>
          </w:p>
        </w:tc>
      </w:tr>
      <w:tr w14:paraId="407E6E1C">
        <w:tblPrEx>
          <w:tblCellMar>
            <w:top w:w="0" w:type="dxa"/>
            <w:left w:w="108" w:type="dxa"/>
            <w:bottom w:w="0" w:type="dxa"/>
            <w:right w:w="108" w:type="dxa"/>
          </w:tblCellMar>
        </w:tblPrEx>
        <w:trPr>
          <w:trHeight w:val="510" w:hRule="atLeast"/>
        </w:trPr>
        <w:tc>
          <w:tcPr>
            <w:tcW w:w="4661" w:type="dxa"/>
            <w:noWrap/>
          </w:tcPr>
          <w:p w14:paraId="7B95F3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单位邮编：314000</w:t>
            </w:r>
          </w:p>
        </w:tc>
        <w:tc>
          <w:tcPr>
            <w:tcW w:w="4411" w:type="dxa"/>
            <w:noWrap/>
          </w:tcPr>
          <w:p w14:paraId="09AF4D4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单位邮编：</w:t>
            </w:r>
          </w:p>
        </w:tc>
      </w:tr>
      <w:tr w14:paraId="2232ECBA">
        <w:tblPrEx>
          <w:tblCellMar>
            <w:top w:w="0" w:type="dxa"/>
            <w:left w:w="108" w:type="dxa"/>
            <w:bottom w:w="0" w:type="dxa"/>
            <w:right w:w="108" w:type="dxa"/>
          </w:tblCellMar>
        </w:tblPrEx>
        <w:trPr>
          <w:trHeight w:val="510" w:hRule="atLeast"/>
        </w:trPr>
        <w:tc>
          <w:tcPr>
            <w:tcW w:w="4661" w:type="dxa"/>
            <w:noWrap/>
          </w:tcPr>
          <w:p w14:paraId="0863082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签订时间：2026年   月   日</w:t>
            </w:r>
          </w:p>
        </w:tc>
        <w:tc>
          <w:tcPr>
            <w:tcW w:w="4411" w:type="dxa"/>
            <w:noWrap/>
          </w:tcPr>
          <w:p w14:paraId="01E47F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签订时间：2026年    月    日</w:t>
            </w:r>
          </w:p>
        </w:tc>
      </w:tr>
      <w:tr w14:paraId="48CD4CA4">
        <w:tblPrEx>
          <w:tblCellMar>
            <w:top w:w="0" w:type="dxa"/>
            <w:left w:w="108" w:type="dxa"/>
            <w:bottom w:w="0" w:type="dxa"/>
            <w:right w:w="108" w:type="dxa"/>
          </w:tblCellMar>
        </w:tblPrEx>
        <w:trPr>
          <w:trHeight w:val="510" w:hRule="atLeast"/>
        </w:trPr>
        <w:tc>
          <w:tcPr>
            <w:tcW w:w="4661" w:type="dxa"/>
            <w:noWrap/>
          </w:tcPr>
          <w:p w14:paraId="76EC9AF1">
            <w:pPr>
              <w:spacing w:line="360" w:lineRule="auto"/>
              <w:rPr>
                <w:rFonts w:hint="eastAsia" w:ascii="宋体" w:hAnsi="宋体" w:cs="宋体"/>
                <w:color w:val="auto"/>
                <w:szCs w:val="21"/>
                <w:highlight w:val="none"/>
              </w:rPr>
            </w:pPr>
          </w:p>
        </w:tc>
        <w:tc>
          <w:tcPr>
            <w:tcW w:w="4411" w:type="dxa"/>
            <w:noWrap/>
          </w:tcPr>
          <w:p w14:paraId="44965FE4">
            <w:pPr>
              <w:spacing w:line="360" w:lineRule="auto"/>
              <w:rPr>
                <w:rFonts w:hint="eastAsia" w:ascii="宋体" w:hAnsi="宋体" w:cs="宋体"/>
                <w:color w:val="auto"/>
                <w:szCs w:val="21"/>
                <w:highlight w:val="none"/>
              </w:rPr>
            </w:pPr>
          </w:p>
        </w:tc>
      </w:tr>
      <w:tr w14:paraId="73186384">
        <w:tblPrEx>
          <w:tblCellMar>
            <w:top w:w="0" w:type="dxa"/>
            <w:left w:w="108" w:type="dxa"/>
            <w:bottom w:w="0" w:type="dxa"/>
            <w:right w:w="108" w:type="dxa"/>
          </w:tblCellMar>
        </w:tblPrEx>
        <w:trPr>
          <w:trHeight w:val="510" w:hRule="atLeast"/>
        </w:trPr>
        <w:tc>
          <w:tcPr>
            <w:tcW w:w="4661" w:type="dxa"/>
            <w:noWrap/>
          </w:tcPr>
          <w:p w14:paraId="0EBD1E74">
            <w:pPr>
              <w:widowControl/>
              <w:numPr>
                <w:ilvl w:val="0"/>
                <w:numId w:val="7"/>
              </w:numPr>
              <w:suppressAutoHyphens/>
              <w:autoSpaceDE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鉴证方：浙江国际招投标有限公司</w:t>
            </w:r>
          </w:p>
        </w:tc>
        <w:tc>
          <w:tcPr>
            <w:tcW w:w="4411" w:type="dxa"/>
            <w:noWrap/>
          </w:tcPr>
          <w:p w14:paraId="1A7E68EF">
            <w:pPr>
              <w:spacing w:line="360" w:lineRule="auto"/>
              <w:rPr>
                <w:rFonts w:hint="eastAsia" w:ascii="宋体" w:hAnsi="宋体" w:cs="宋体"/>
                <w:color w:val="auto"/>
                <w:szCs w:val="21"/>
                <w:highlight w:val="none"/>
              </w:rPr>
            </w:pPr>
          </w:p>
        </w:tc>
      </w:tr>
      <w:tr w14:paraId="2B056AC2">
        <w:tblPrEx>
          <w:tblCellMar>
            <w:top w:w="0" w:type="dxa"/>
            <w:left w:w="108" w:type="dxa"/>
            <w:bottom w:w="0" w:type="dxa"/>
            <w:right w:w="108" w:type="dxa"/>
          </w:tblCellMar>
        </w:tblPrEx>
        <w:trPr>
          <w:trHeight w:val="510" w:hRule="atLeast"/>
        </w:trPr>
        <w:tc>
          <w:tcPr>
            <w:tcW w:w="4661" w:type="dxa"/>
            <w:noWrap/>
          </w:tcPr>
          <w:p w14:paraId="39DD3299">
            <w:pPr>
              <w:widowControl/>
              <w:numPr>
                <w:ilvl w:val="0"/>
                <w:numId w:val="7"/>
              </w:numPr>
              <w:suppressAutoHyphens/>
              <w:autoSpaceDE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日期：2026年   月    日</w:t>
            </w:r>
          </w:p>
        </w:tc>
        <w:tc>
          <w:tcPr>
            <w:tcW w:w="4411" w:type="dxa"/>
            <w:noWrap/>
          </w:tcPr>
          <w:p w14:paraId="20C4ADAD">
            <w:pPr>
              <w:spacing w:line="360" w:lineRule="auto"/>
              <w:rPr>
                <w:rFonts w:hint="eastAsia" w:ascii="宋体" w:hAnsi="宋体" w:cs="宋体"/>
                <w:color w:val="auto"/>
                <w:szCs w:val="21"/>
                <w:highlight w:val="none"/>
              </w:rPr>
            </w:pPr>
          </w:p>
        </w:tc>
      </w:tr>
    </w:tbl>
    <w:p w14:paraId="48D667BD">
      <w:pPr>
        <w:tabs>
          <w:tab w:val="left" w:pos="4395"/>
          <w:tab w:val="left" w:pos="4678"/>
          <w:tab w:val="left" w:pos="7938"/>
        </w:tabs>
        <w:spacing w:line="360" w:lineRule="auto"/>
        <w:ind w:right="-57" w:rightChars="-27"/>
        <w:rPr>
          <w:rFonts w:hint="eastAsia" w:ascii="宋体" w:hAnsi="宋体" w:cs="宋体"/>
          <w:color w:val="auto"/>
          <w:szCs w:val="21"/>
          <w:highlight w:val="none"/>
        </w:rPr>
      </w:pPr>
    </w:p>
    <w:p w14:paraId="6D7A72B9">
      <w:pPr>
        <w:pStyle w:val="2"/>
        <w:snapToGrid w:val="0"/>
        <w:rPr>
          <w:rFonts w:ascii="Times New Roman" w:hAnsi="Times New Roman" w:eastAsia="宋体"/>
          <w:color w:val="auto"/>
          <w:highlight w:val="none"/>
        </w:rPr>
      </w:pPr>
      <w:r>
        <w:rPr>
          <w:rFonts w:ascii="Times New Roman" w:hAnsi="Times New Roman" w:eastAsia="宋体"/>
          <w:bCs/>
          <w:color w:val="auto"/>
          <w:sz w:val="21"/>
          <w:szCs w:val="21"/>
          <w:highlight w:val="none"/>
        </w:rPr>
        <w:br w:type="page"/>
      </w:r>
      <w:bookmarkStart w:id="34" w:name="_Toc211745570"/>
      <w:bookmarkStart w:id="35" w:name="_Toc495317673"/>
      <w:r>
        <w:rPr>
          <w:rFonts w:ascii="Times New Roman" w:hAnsi="Times New Roman" w:eastAsia="宋体"/>
          <w:color w:val="auto"/>
          <w:highlight w:val="none"/>
        </w:rPr>
        <w:t>第六章  投标文件格式</w:t>
      </w:r>
      <w:bookmarkEnd w:id="30"/>
      <w:bookmarkEnd w:id="31"/>
      <w:bookmarkEnd w:id="34"/>
      <w:bookmarkEnd w:id="35"/>
    </w:p>
    <w:p w14:paraId="3B77B5CE">
      <w:pPr>
        <w:snapToGrid w:val="0"/>
        <w:spacing w:line="300" w:lineRule="auto"/>
        <w:jc w:val="center"/>
        <w:rPr>
          <w:color w:val="auto"/>
          <w:highlight w:val="none"/>
        </w:rPr>
      </w:pPr>
      <w:r>
        <w:rPr>
          <w:color w:val="auto"/>
          <w:highlight w:val="none"/>
        </w:rPr>
        <w:t>（未提供格式的由</w:t>
      </w:r>
      <w:r>
        <w:rPr>
          <w:rFonts w:hint="eastAsia"/>
          <w:color w:val="auto"/>
          <w:highlight w:val="none"/>
        </w:rPr>
        <w:t>供应商</w:t>
      </w:r>
      <w:r>
        <w:rPr>
          <w:color w:val="auto"/>
          <w:highlight w:val="none"/>
        </w:rPr>
        <w:t>自拟）</w:t>
      </w:r>
    </w:p>
    <w:p w14:paraId="229F43CE">
      <w:pPr>
        <w:snapToGrid w:val="0"/>
        <w:spacing w:line="300" w:lineRule="auto"/>
        <w:jc w:val="center"/>
        <w:rPr>
          <w:color w:val="auto"/>
          <w:highlight w:val="none"/>
        </w:rPr>
      </w:pPr>
    </w:p>
    <w:p w14:paraId="2881AB6A">
      <w:pPr>
        <w:pStyle w:val="3"/>
        <w:ind w:firstLine="422"/>
        <w:rPr>
          <w:rFonts w:ascii="Times New Roman" w:hAnsi="Times New Roman"/>
          <w:color w:val="auto"/>
          <w:highlight w:val="none"/>
        </w:rPr>
      </w:pPr>
      <w:bookmarkStart w:id="36" w:name="_Toc345575534"/>
      <w:bookmarkStart w:id="37" w:name="_Toc437953145"/>
      <w:r>
        <w:rPr>
          <w:rFonts w:ascii="Times New Roman" w:hAnsi="Times New Roman"/>
          <w:color w:val="auto"/>
          <w:highlight w:val="none"/>
        </w:rPr>
        <w:t>报价文件封面</w:t>
      </w:r>
      <w:bookmarkEnd w:id="36"/>
      <w:bookmarkEnd w:id="37"/>
    </w:p>
    <w:p w14:paraId="55BF3EAA">
      <w:pPr>
        <w:tabs>
          <w:tab w:val="left" w:pos="2580"/>
          <w:tab w:val="left" w:pos="5940"/>
        </w:tabs>
        <w:autoSpaceDE w:val="0"/>
        <w:autoSpaceDN w:val="0"/>
        <w:adjustRightInd w:val="0"/>
        <w:snapToGrid w:val="0"/>
        <w:spacing w:line="300" w:lineRule="auto"/>
        <w:ind w:right="-20"/>
        <w:jc w:val="right"/>
        <w:rPr>
          <w:color w:val="auto"/>
          <w:kern w:val="0"/>
          <w:sz w:val="28"/>
          <w:highlight w:val="none"/>
        </w:rPr>
      </w:pPr>
    </w:p>
    <w:p w14:paraId="3DD93479">
      <w:pPr>
        <w:tabs>
          <w:tab w:val="left" w:pos="2580"/>
          <w:tab w:val="left" w:pos="5940"/>
        </w:tabs>
        <w:autoSpaceDE w:val="0"/>
        <w:autoSpaceDN w:val="0"/>
        <w:adjustRightInd w:val="0"/>
        <w:snapToGrid w:val="0"/>
        <w:spacing w:line="300" w:lineRule="auto"/>
        <w:ind w:right="-20"/>
        <w:jc w:val="right"/>
        <w:rPr>
          <w:color w:val="auto"/>
          <w:kern w:val="0"/>
          <w:sz w:val="28"/>
          <w:highlight w:val="none"/>
        </w:rPr>
      </w:pPr>
      <w:r>
        <w:rPr>
          <w:color w:val="auto"/>
          <w:kern w:val="0"/>
          <w:sz w:val="28"/>
          <w:highlight w:val="none"/>
        </w:rPr>
        <w:t>正本/副本</w:t>
      </w:r>
    </w:p>
    <w:p w14:paraId="314D3C0A">
      <w:pPr>
        <w:tabs>
          <w:tab w:val="left" w:pos="2580"/>
          <w:tab w:val="left" w:pos="5940"/>
        </w:tabs>
        <w:autoSpaceDE w:val="0"/>
        <w:autoSpaceDN w:val="0"/>
        <w:adjustRightInd w:val="0"/>
        <w:snapToGrid w:val="0"/>
        <w:spacing w:line="300" w:lineRule="auto"/>
        <w:ind w:right="-20"/>
        <w:rPr>
          <w:color w:val="auto"/>
          <w:kern w:val="0"/>
          <w:sz w:val="24"/>
          <w:highlight w:val="none"/>
        </w:rPr>
      </w:pPr>
    </w:p>
    <w:p w14:paraId="30091627">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项目名称：</w:t>
      </w:r>
      <w:r>
        <w:rPr>
          <w:color w:val="auto"/>
          <w:kern w:val="0"/>
          <w:sz w:val="24"/>
          <w:highlight w:val="none"/>
          <w:u w:val="single"/>
        </w:rPr>
        <w:t xml:space="preserve">                         </w:t>
      </w:r>
    </w:p>
    <w:p w14:paraId="70060F23">
      <w:pPr>
        <w:tabs>
          <w:tab w:val="left" w:pos="2580"/>
          <w:tab w:val="left" w:pos="5940"/>
        </w:tabs>
        <w:autoSpaceDE w:val="0"/>
        <w:autoSpaceDN w:val="0"/>
        <w:adjustRightInd w:val="0"/>
        <w:snapToGrid w:val="0"/>
        <w:spacing w:line="300" w:lineRule="auto"/>
        <w:ind w:right="-20"/>
        <w:rPr>
          <w:color w:val="auto"/>
          <w:kern w:val="0"/>
          <w:sz w:val="24"/>
          <w:highlight w:val="none"/>
        </w:rPr>
      </w:pPr>
    </w:p>
    <w:p w14:paraId="4DC6C24F">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项目编号：</w:t>
      </w:r>
      <w:r>
        <w:rPr>
          <w:color w:val="auto"/>
          <w:kern w:val="0"/>
          <w:sz w:val="24"/>
          <w:highlight w:val="none"/>
          <w:u w:val="single"/>
        </w:rPr>
        <w:t xml:space="preserve">                         </w:t>
      </w:r>
    </w:p>
    <w:p w14:paraId="001E4B76">
      <w:pPr>
        <w:tabs>
          <w:tab w:val="left" w:pos="2580"/>
          <w:tab w:val="left" w:pos="5940"/>
        </w:tabs>
        <w:autoSpaceDE w:val="0"/>
        <w:autoSpaceDN w:val="0"/>
        <w:adjustRightInd w:val="0"/>
        <w:snapToGrid w:val="0"/>
        <w:spacing w:line="300" w:lineRule="auto"/>
        <w:ind w:right="-20"/>
        <w:rPr>
          <w:color w:val="auto"/>
          <w:kern w:val="0"/>
          <w:sz w:val="24"/>
          <w:highlight w:val="none"/>
        </w:rPr>
      </w:pPr>
    </w:p>
    <w:p w14:paraId="284AAD07">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标项序号及标项内容：</w:t>
      </w:r>
      <w:r>
        <w:rPr>
          <w:color w:val="auto"/>
          <w:kern w:val="0"/>
          <w:sz w:val="24"/>
          <w:highlight w:val="none"/>
          <w:u w:val="single"/>
        </w:rPr>
        <w:t xml:space="preserve">               </w:t>
      </w:r>
    </w:p>
    <w:p w14:paraId="457DA43F">
      <w:pPr>
        <w:autoSpaceDE w:val="0"/>
        <w:autoSpaceDN w:val="0"/>
        <w:adjustRightInd w:val="0"/>
        <w:snapToGrid w:val="0"/>
        <w:spacing w:line="300" w:lineRule="auto"/>
        <w:jc w:val="left"/>
        <w:rPr>
          <w:color w:val="auto"/>
          <w:kern w:val="0"/>
          <w:sz w:val="24"/>
          <w:highlight w:val="none"/>
        </w:rPr>
      </w:pPr>
    </w:p>
    <w:p w14:paraId="1910409A">
      <w:pPr>
        <w:autoSpaceDE w:val="0"/>
        <w:autoSpaceDN w:val="0"/>
        <w:adjustRightInd w:val="0"/>
        <w:snapToGrid w:val="0"/>
        <w:spacing w:line="300" w:lineRule="auto"/>
        <w:jc w:val="left"/>
        <w:rPr>
          <w:color w:val="auto"/>
          <w:kern w:val="0"/>
          <w:sz w:val="24"/>
          <w:highlight w:val="none"/>
        </w:rPr>
      </w:pPr>
    </w:p>
    <w:p w14:paraId="7B00ADEE">
      <w:pPr>
        <w:autoSpaceDE w:val="0"/>
        <w:autoSpaceDN w:val="0"/>
        <w:adjustRightInd w:val="0"/>
        <w:snapToGrid w:val="0"/>
        <w:spacing w:line="300" w:lineRule="auto"/>
        <w:jc w:val="left"/>
        <w:rPr>
          <w:color w:val="auto"/>
          <w:kern w:val="0"/>
          <w:sz w:val="24"/>
          <w:highlight w:val="none"/>
        </w:rPr>
      </w:pPr>
    </w:p>
    <w:p w14:paraId="71847FC1">
      <w:pPr>
        <w:autoSpaceDE w:val="0"/>
        <w:autoSpaceDN w:val="0"/>
        <w:adjustRightInd w:val="0"/>
        <w:snapToGrid w:val="0"/>
        <w:spacing w:line="300" w:lineRule="auto"/>
        <w:jc w:val="left"/>
        <w:rPr>
          <w:color w:val="auto"/>
          <w:kern w:val="0"/>
          <w:sz w:val="24"/>
          <w:highlight w:val="none"/>
        </w:rPr>
      </w:pPr>
    </w:p>
    <w:p w14:paraId="3959928E">
      <w:pPr>
        <w:autoSpaceDE w:val="0"/>
        <w:autoSpaceDN w:val="0"/>
        <w:adjustRightInd w:val="0"/>
        <w:snapToGrid w:val="0"/>
        <w:spacing w:line="300" w:lineRule="auto"/>
        <w:jc w:val="left"/>
        <w:rPr>
          <w:color w:val="auto"/>
          <w:kern w:val="0"/>
          <w:sz w:val="24"/>
          <w:highlight w:val="none"/>
        </w:rPr>
      </w:pPr>
    </w:p>
    <w:p w14:paraId="0118869B">
      <w:pPr>
        <w:tabs>
          <w:tab w:val="left" w:pos="1805"/>
          <w:tab w:val="left" w:pos="5360"/>
        </w:tabs>
        <w:autoSpaceDE w:val="0"/>
        <w:autoSpaceDN w:val="0"/>
        <w:adjustRightInd w:val="0"/>
        <w:snapToGrid w:val="0"/>
        <w:spacing w:line="300" w:lineRule="auto"/>
        <w:ind w:right="-20"/>
        <w:jc w:val="center"/>
        <w:rPr>
          <w:color w:val="auto"/>
          <w:kern w:val="0"/>
          <w:sz w:val="96"/>
          <w:highlight w:val="none"/>
        </w:rPr>
      </w:pPr>
      <w:r>
        <w:rPr>
          <w:color w:val="auto"/>
          <w:kern w:val="0"/>
          <w:sz w:val="96"/>
          <w:highlight w:val="none"/>
        </w:rPr>
        <w:t>投标文件</w:t>
      </w:r>
    </w:p>
    <w:p w14:paraId="314D7055">
      <w:pPr>
        <w:tabs>
          <w:tab w:val="left" w:pos="1805"/>
          <w:tab w:val="left" w:pos="5360"/>
        </w:tabs>
        <w:autoSpaceDE w:val="0"/>
        <w:autoSpaceDN w:val="0"/>
        <w:adjustRightInd w:val="0"/>
        <w:snapToGrid w:val="0"/>
        <w:spacing w:line="300" w:lineRule="auto"/>
        <w:ind w:right="-20"/>
        <w:jc w:val="center"/>
        <w:rPr>
          <w:color w:val="auto"/>
          <w:kern w:val="0"/>
          <w:sz w:val="72"/>
          <w:highlight w:val="none"/>
        </w:rPr>
      </w:pPr>
      <w:r>
        <w:rPr>
          <w:color w:val="auto"/>
          <w:kern w:val="0"/>
          <w:sz w:val="52"/>
          <w:highlight w:val="none"/>
        </w:rPr>
        <w:t>（报价文件）</w:t>
      </w:r>
    </w:p>
    <w:p w14:paraId="74B1B414">
      <w:pPr>
        <w:autoSpaceDE w:val="0"/>
        <w:autoSpaceDN w:val="0"/>
        <w:adjustRightInd w:val="0"/>
        <w:snapToGrid w:val="0"/>
        <w:spacing w:line="300" w:lineRule="auto"/>
        <w:jc w:val="left"/>
        <w:rPr>
          <w:color w:val="auto"/>
          <w:kern w:val="0"/>
          <w:sz w:val="16"/>
          <w:highlight w:val="none"/>
        </w:rPr>
      </w:pPr>
    </w:p>
    <w:p w14:paraId="3B756E79">
      <w:pPr>
        <w:autoSpaceDE w:val="0"/>
        <w:autoSpaceDN w:val="0"/>
        <w:adjustRightInd w:val="0"/>
        <w:snapToGrid w:val="0"/>
        <w:spacing w:line="300" w:lineRule="auto"/>
        <w:jc w:val="left"/>
        <w:rPr>
          <w:color w:val="auto"/>
          <w:kern w:val="0"/>
          <w:sz w:val="20"/>
          <w:highlight w:val="none"/>
        </w:rPr>
      </w:pPr>
    </w:p>
    <w:p w14:paraId="41A89D12">
      <w:pPr>
        <w:autoSpaceDE w:val="0"/>
        <w:autoSpaceDN w:val="0"/>
        <w:adjustRightInd w:val="0"/>
        <w:snapToGrid w:val="0"/>
        <w:spacing w:line="300" w:lineRule="auto"/>
        <w:jc w:val="left"/>
        <w:rPr>
          <w:color w:val="auto"/>
          <w:kern w:val="0"/>
          <w:sz w:val="20"/>
          <w:highlight w:val="none"/>
        </w:rPr>
      </w:pPr>
    </w:p>
    <w:p w14:paraId="407ED5CE">
      <w:pPr>
        <w:autoSpaceDE w:val="0"/>
        <w:autoSpaceDN w:val="0"/>
        <w:adjustRightInd w:val="0"/>
        <w:snapToGrid w:val="0"/>
        <w:spacing w:line="300" w:lineRule="auto"/>
        <w:jc w:val="left"/>
        <w:rPr>
          <w:color w:val="auto"/>
          <w:kern w:val="0"/>
          <w:sz w:val="20"/>
          <w:highlight w:val="none"/>
        </w:rPr>
      </w:pPr>
    </w:p>
    <w:p w14:paraId="57A9EFE0">
      <w:pPr>
        <w:autoSpaceDE w:val="0"/>
        <w:autoSpaceDN w:val="0"/>
        <w:adjustRightInd w:val="0"/>
        <w:snapToGrid w:val="0"/>
        <w:spacing w:line="300" w:lineRule="auto"/>
        <w:jc w:val="left"/>
        <w:rPr>
          <w:color w:val="auto"/>
          <w:kern w:val="0"/>
          <w:sz w:val="20"/>
          <w:highlight w:val="none"/>
        </w:rPr>
      </w:pPr>
    </w:p>
    <w:p w14:paraId="31D90213">
      <w:pPr>
        <w:autoSpaceDE w:val="0"/>
        <w:autoSpaceDN w:val="0"/>
        <w:adjustRightInd w:val="0"/>
        <w:snapToGrid w:val="0"/>
        <w:spacing w:line="300" w:lineRule="auto"/>
        <w:jc w:val="left"/>
        <w:rPr>
          <w:color w:val="auto"/>
          <w:kern w:val="0"/>
          <w:sz w:val="20"/>
          <w:highlight w:val="none"/>
        </w:rPr>
      </w:pPr>
    </w:p>
    <w:p w14:paraId="736F3882">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rFonts w:hint="eastAsia"/>
          <w:color w:val="auto"/>
          <w:kern w:val="0"/>
          <w:sz w:val="28"/>
          <w:highlight w:val="none"/>
        </w:rPr>
        <w:t>供应商</w:t>
      </w:r>
      <w:r>
        <w:rPr>
          <w:color w:val="auto"/>
          <w:kern w:val="0"/>
          <w:sz w:val="28"/>
          <w:highlight w:val="none"/>
        </w:rPr>
        <w:t>：</w:t>
      </w:r>
      <w:r>
        <w:rPr>
          <w:color w:val="auto"/>
          <w:kern w:val="0"/>
          <w:sz w:val="28"/>
          <w:highlight w:val="none"/>
          <w:u w:val="single"/>
        </w:rPr>
        <w:t xml:space="preserve">                    </w:t>
      </w:r>
      <w:r>
        <w:rPr>
          <w:color w:val="auto"/>
          <w:kern w:val="0"/>
          <w:sz w:val="28"/>
          <w:highlight w:val="none"/>
        </w:rPr>
        <w:t>（盖单位公章</w:t>
      </w:r>
      <w:r>
        <w:rPr>
          <w:rFonts w:hint="eastAsia"/>
          <w:color w:val="auto"/>
          <w:kern w:val="0"/>
          <w:sz w:val="28"/>
          <w:highlight w:val="none"/>
        </w:rPr>
        <w:t>或电子签章</w:t>
      </w:r>
      <w:r>
        <w:rPr>
          <w:color w:val="auto"/>
          <w:kern w:val="0"/>
          <w:sz w:val="28"/>
          <w:highlight w:val="none"/>
        </w:rPr>
        <w:t>）</w:t>
      </w:r>
    </w:p>
    <w:p w14:paraId="6BD77D82">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7D0E3ACF">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12BC4AA5">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color w:val="auto"/>
          <w:kern w:val="0"/>
          <w:sz w:val="28"/>
          <w:highlight w:val="none"/>
        </w:rPr>
        <w:t>日期：   年  月  日</w:t>
      </w:r>
    </w:p>
    <w:p w14:paraId="1B0DA722">
      <w:pPr>
        <w:tabs>
          <w:tab w:val="left" w:pos="6080"/>
          <w:tab w:val="left" w:pos="6640"/>
        </w:tabs>
        <w:autoSpaceDE w:val="0"/>
        <w:autoSpaceDN w:val="0"/>
        <w:adjustRightInd w:val="0"/>
        <w:snapToGrid w:val="0"/>
        <w:spacing w:line="300" w:lineRule="auto"/>
        <w:ind w:right="403"/>
        <w:jc w:val="center"/>
        <w:rPr>
          <w:color w:val="auto"/>
          <w:kern w:val="0"/>
          <w:sz w:val="28"/>
          <w:highlight w:val="none"/>
        </w:rPr>
      </w:pPr>
      <w:r>
        <w:rPr>
          <w:color w:val="auto"/>
          <w:kern w:val="0"/>
          <w:sz w:val="28"/>
          <w:highlight w:val="none"/>
        </w:rPr>
        <w:br w:type="page"/>
      </w:r>
      <w:r>
        <w:rPr>
          <w:color w:val="auto"/>
          <w:kern w:val="0"/>
          <w:sz w:val="28"/>
          <w:highlight w:val="none"/>
        </w:rPr>
        <w:t>目录</w:t>
      </w:r>
    </w:p>
    <w:p w14:paraId="2DD866A6">
      <w:pPr>
        <w:tabs>
          <w:tab w:val="left" w:pos="6080"/>
          <w:tab w:val="left" w:pos="6640"/>
        </w:tabs>
        <w:autoSpaceDE w:val="0"/>
        <w:autoSpaceDN w:val="0"/>
        <w:adjustRightInd w:val="0"/>
        <w:snapToGrid w:val="0"/>
        <w:spacing w:line="300" w:lineRule="auto"/>
        <w:ind w:left="774" w:right="403"/>
        <w:jc w:val="left"/>
        <w:rPr>
          <w:color w:val="auto"/>
          <w:kern w:val="0"/>
          <w:sz w:val="24"/>
          <w:highlight w:val="none"/>
        </w:rPr>
      </w:pPr>
      <w:r>
        <w:rPr>
          <w:color w:val="auto"/>
          <w:kern w:val="0"/>
          <w:sz w:val="24"/>
          <w:highlight w:val="none"/>
        </w:rPr>
        <w:t>（1）开标一览表；</w:t>
      </w:r>
    </w:p>
    <w:p w14:paraId="0A8E32ED">
      <w:pPr>
        <w:tabs>
          <w:tab w:val="left" w:pos="6080"/>
          <w:tab w:val="left" w:pos="6640"/>
        </w:tabs>
        <w:autoSpaceDE w:val="0"/>
        <w:autoSpaceDN w:val="0"/>
        <w:adjustRightInd w:val="0"/>
        <w:snapToGrid w:val="0"/>
        <w:spacing w:line="300" w:lineRule="auto"/>
        <w:ind w:left="774" w:right="403"/>
        <w:jc w:val="left"/>
        <w:rPr>
          <w:color w:val="auto"/>
          <w:kern w:val="0"/>
          <w:sz w:val="24"/>
          <w:highlight w:val="none"/>
        </w:rPr>
      </w:pPr>
      <w:r>
        <w:rPr>
          <w:color w:val="auto"/>
          <w:kern w:val="0"/>
          <w:sz w:val="24"/>
          <w:highlight w:val="none"/>
        </w:rPr>
        <w:t>（2）投标价格组成明细表；</w:t>
      </w:r>
    </w:p>
    <w:p w14:paraId="252525DA">
      <w:pPr>
        <w:tabs>
          <w:tab w:val="left" w:pos="6080"/>
          <w:tab w:val="left" w:pos="6640"/>
        </w:tabs>
        <w:autoSpaceDE w:val="0"/>
        <w:autoSpaceDN w:val="0"/>
        <w:adjustRightInd w:val="0"/>
        <w:snapToGrid w:val="0"/>
        <w:spacing w:line="300" w:lineRule="auto"/>
        <w:ind w:left="774" w:right="403"/>
        <w:jc w:val="left"/>
        <w:rPr>
          <w:color w:val="auto"/>
          <w:kern w:val="0"/>
          <w:sz w:val="24"/>
          <w:highlight w:val="none"/>
        </w:rPr>
      </w:pPr>
      <w:r>
        <w:rPr>
          <w:color w:val="auto"/>
          <w:kern w:val="0"/>
          <w:sz w:val="24"/>
          <w:highlight w:val="none"/>
        </w:rPr>
        <w:t>（3）</w:t>
      </w:r>
      <w:r>
        <w:rPr>
          <w:rFonts w:hint="eastAsia"/>
          <w:color w:val="auto"/>
          <w:kern w:val="0"/>
          <w:sz w:val="24"/>
          <w:highlight w:val="none"/>
        </w:rPr>
        <w:t>供应商</w:t>
      </w:r>
      <w:r>
        <w:rPr>
          <w:color w:val="auto"/>
          <w:kern w:val="0"/>
          <w:sz w:val="24"/>
          <w:highlight w:val="none"/>
        </w:rPr>
        <w:t>认为有必要提供的其它文件。</w:t>
      </w:r>
    </w:p>
    <w:p w14:paraId="42694144">
      <w:pPr>
        <w:snapToGrid w:val="0"/>
        <w:spacing w:line="300" w:lineRule="auto"/>
        <w:jc w:val="center"/>
        <w:rPr>
          <w:color w:val="auto"/>
          <w:highlight w:val="none"/>
        </w:rPr>
      </w:pPr>
    </w:p>
    <w:p w14:paraId="68E9468F">
      <w:pPr>
        <w:pStyle w:val="3"/>
        <w:ind w:firstLine="422"/>
        <w:rPr>
          <w:rFonts w:ascii="Times New Roman" w:hAnsi="Times New Roman"/>
          <w:color w:val="auto"/>
          <w:highlight w:val="none"/>
        </w:rPr>
      </w:pPr>
      <w:r>
        <w:rPr>
          <w:rFonts w:ascii="Times New Roman" w:hAnsi="Times New Roman"/>
          <w:color w:val="auto"/>
          <w:highlight w:val="none"/>
        </w:rPr>
        <w:br w:type="page"/>
      </w:r>
      <w:bookmarkStart w:id="38" w:name="_Toc345575539"/>
      <w:bookmarkStart w:id="39" w:name="_Toc336683579"/>
      <w:r>
        <w:rPr>
          <w:rFonts w:ascii="Times New Roman" w:hAnsi="Times New Roman"/>
          <w:color w:val="auto"/>
          <w:highlight w:val="none"/>
        </w:rPr>
        <w:t>1、开标一览表格式</w:t>
      </w:r>
      <w:bookmarkEnd w:id="38"/>
      <w:bookmarkEnd w:id="39"/>
    </w:p>
    <w:p w14:paraId="63351AF7">
      <w:pPr>
        <w:snapToGrid w:val="0"/>
        <w:spacing w:line="300" w:lineRule="auto"/>
        <w:jc w:val="center"/>
        <w:rPr>
          <w:b/>
          <w:bCs/>
          <w:color w:val="auto"/>
          <w:sz w:val="32"/>
          <w:szCs w:val="32"/>
          <w:highlight w:val="none"/>
        </w:rPr>
      </w:pPr>
      <w:r>
        <w:rPr>
          <w:b/>
          <w:bCs/>
          <w:color w:val="auto"/>
          <w:sz w:val="32"/>
          <w:szCs w:val="32"/>
          <w:highlight w:val="none"/>
        </w:rPr>
        <w:t>开标一览表</w:t>
      </w:r>
    </w:p>
    <w:p w14:paraId="493EFAFA">
      <w:pPr>
        <w:pStyle w:val="40"/>
        <w:adjustRightInd w:val="0"/>
        <w:snapToGrid w:val="0"/>
        <w:spacing w:line="300" w:lineRule="auto"/>
        <w:rPr>
          <w:rFonts w:ascii="Times New Roman" w:hAnsi="Times New Roman"/>
          <w:color w:val="auto"/>
          <w:highlight w:val="none"/>
        </w:rPr>
      </w:pPr>
      <w:r>
        <w:rPr>
          <w:rFonts w:ascii="Times New Roman" w:hAnsi="Times New Roman"/>
          <w:color w:val="auto"/>
          <w:highlight w:val="none"/>
        </w:rPr>
        <w:t>项目名称：</w:t>
      </w:r>
    </w:p>
    <w:p w14:paraId="18F607A0">
      <w:pPr>
        <w:pStyle w:val="40"/>
        <w:adjustRightInd w:val="0"/>
        <w:snapToGrid w:val="0"/>
        <w:spacing w:line="300" w:lineRule="auto"/>
        <w:rPr>
          <w:rFonts w:ascii="Times New Roman" w:hAnsi="Times New Roman"/>
          <w:color w:val="auto"/>
          <w:highlight w:val="none"/>
          <w:u w:val="single"/>
        </w:rPr>
      </w:pPr>
    </w:p>
    <w:p w14:paraId="214971AA">
      <w:pPr>
        <w:pStyle w:val="40"/>
        <w:adjustRightInd w:val="0"/>
        <w:snapToGrid w:val="0"/>
        <w:spacing w:line="300" w:lineRule="auto"/>
        <w:rPr>
          <w:rFonts w:ascii="Times New Roman" w:hAnsi="Times New Roman"/>
          <w:color w:val="auto"/>
          <w:highlight w:val="none"/>
        </w:rPr>
      </w:pPr>
      <w:r>
        <w:rPr>
          <w:rFonts w:ascii="Times New Roman" w:hAnsi="Times New Roman"/>
          <w:color w:val="auto"/>
          <w:highlight w:val="none"/>
        </w:rPr>
        <w:t>招标项目编号：</w:t>
      </w:r>
    </w:p>
    <w:p w14:paraId="01337DDD">
      <w:pPr>
        <w:pStyle w:val="40"/>
        <w:adjustRightInd w:val="0"/>
        <w:snapToGrid w:val="0"/>
        <w:spacing w:line="300" w:lineRule="auto"/>
        <w:rPr>
          <w:rFonts w:ascii="Times New Roman" w:hAnsi="Times New Roman"/>
          <w:color w:val="auto"/>
          <w:highlight w:val="none"/>
        </w:rPr>
      </w:pPr>
    </w:p>
    <w:p w14:paraId="257B63DB">
      <w:pPr>
        <w:pStyle w:val="40"/>
        <w:adjustRightInd w:val="0"/>
        <w:snapToGrid w:val="0"/>
        <w:spacing w:line="300" w:lineRule="auto"/>
        <w:rPr>
          <w:rFonts w:ascii="Times New Roman" w:hAnsi="Times New Roman"/>
          <w:color w:val="auto"/>
          <w:highlight w:val="none"/>
        </w:rPr>
      </w:pPr>
      <w:r>
        <w:rPr>
          <w:rFonts w:ascii="Times New Roman" w:hAnsi="Times New Roman"/>
          <w:color w:val="auto"/>
          <w:highlight w:val="none"/>
        </w:rPr>
        <w:t>价格单位：元人民币</w:t>
      </w:r>
    </w:p>
    <w:p w14:paraId="48831716">
      <w:pPr>
        <w:pStyle w:val="40"/>
        <w:adjustRightInd w:val="0"/>
        <w:snapToGrid w:val="0"/>
        <w:spacing w:line="300" w:lineRule="auto"/>
        <w:rPr>
          <w:rFonts w:ascii="Times New Roman" w:hAnsi="Times New Roman"/>
          <w:color w:val="auto"/>
          <w:highlight w:val="none"/>
        </w:rPr>
      </w:pPr>
    </w:p>
    <w:tbl>
      <w:tblPr>
        <w:tblStyle w:val="8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5442"/>
      </w:tblGrid>
      <w:tr w14:paraId="48262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866" w:type="dxa"/>
            <w:vAlign w:val="center"/>
          </w:tcPr>
          <w:p w14:paraId="19476B32">
            <w:pPr>
              <w:spacing w:line="480" w:lineRule="auto"/>
              <w:rPr>
                <w:color w:val="auto"/>
                <w:highlight w:val="none"/>
              </w:rPr>
            </w:pPr>
            <w:r>
              <w:rPr>
                <w:color w:val="auto"/>
                <w:highlight w:val="none"/>
              </w:rPr>
              <w:t>投标总价</w:t>
            </w:r>
          </w:p>
        </w:tc>
        <w:tc>
          <w:tcPr>
            <w:tcW w:w="5442" w:type="dxa"/>
            <w:vAlign w:val="center"/>
          </w:tcPr>
          <w:p w14:paraId="319426D5">
            <w:pPr>
              <w:spacing w:line="360" w:lineRule="auto"/>
              <w:rPr>
                <w:color w:val="auto"/>
                <w:highlight w:val="none"/>
              </w:rPr>
            </w:pPr>
          </w:p>
          <w:p w14:paraId="01513220">
            <w:pPr>
              <w:spacing w:line="360" w:lineRule="auto"/>
              <w:rPr>
                <w:color w:val="auto"/>
                <w:highlight w:val="none"/>
              </w:rPr>
            </w:pPr>
            <w:r>
              <w:rPr>
                <w:color w:val="auto"/>
                <w:highlight w:val="none"/>
              </w:rPr>
              <w:t>小写：</w:t>
            </w:r>
            <w:r>
              <w:rPr>
                <w:color w:val="auto"/>
                <w:highlight w:val="none"/>
                <w:u w:val="single"/>
              </w:rPr>
              <w:t xml:space="preserve">                        </w:t>
            </w:r>
          </w:p>
          <w:p w14:paraId="73BC2FAA">
            <w:pPr>
              <w:spacing w:line="360" w:lineRule="auto"/>
              <w:rPr>
                <w:color w:val="auto"/>
                <w:highlight w:val="none"/>
              </w:rPr>
            </w:pPr>
          </w:p>
          <w:p w14:paraId="09955F32">
            <w:pPr>
              <w:spacing w:line="360" w:lineRule="auto"/>
              <w:rPr>
                <w:color w:val="auto"/>
                <w:highlight w:val="none"/>
              </w:rPr>
            </w:pPr>
            <w:r>
              <w:rPr>
                <w:color w:val="auto"/>
                <w:highlight w:val="none"/>
              </w:rPr>
              <w:t>大写：</w:t>
            </w:r>
            <w:r>
              <w:rPr>
                <w:color w:val="auto"/>
                <w:highlight w:val="none"/>
                <w:u w:val="single"/>
              </w:rPr>
              <w:t xml:space="preserve">                        </w:t>
            </w:r>
          </w:p>
        </w:tc>
      </w:tr>
    </w:tbl>
    <w:p w14:paraId="362C0989">
      <w:pPr>
        <w:pStyle w:val="40"/>
        <w:adjustRightInd w:val="0"/>
        <w:snapToGrid w:val="0"/>
        <w:spacing w:line="300" w:lineRule="auto"/>
        <w:rPr>
          <w:rFonts w:ascii="Times New Roman" w:hAnsi="Times New Roman"/>
          <w:color w:val="auto"/>
          <w:highlight w:val="none"/>
        </w:rPr>
      </w:pPr>
    </w:p>
    <w:p w14:paraId="0A33758C">
      <w:pPr>
        <w:adjustRightInd w:val="0"/>
        <w:snapToGrid w:val="0"/>
        <w:spacing w:line="300" w:lineRule="auto"/>
        <w:ind w:firstLine="420" w:firstLineChars="200"/>
        <w:rPr>
          <w:color w:val="auto"/>
          <w:highlight w:val="none"/>
        </w:rPr>
      </w:pPr>
      <w:r>
        <w:rPr>
          <w:color w:val="auto"/>
          <w:highlight w:val="none"/>
        </w:rPr>
        <w:t>注：</w:t>
      </w:r>
    </w:p>
    <w:p w14:paraId="184CEF79">
      <w:pPr>
        <w:adjustRightInd w:val="0"/>
        <w:snapToGrid w:val="0"/>
        <w:spacing w:line="300" w:lineRule="auto"/>
        <w:ind w:firstLine="420" w:firstLineChars="200"/>
        <w:rPr>
          <w:color w:val="auto"/>
          <w:highlight w:val="none"/>
        </w:rPr>
      </w:pPr>
      <w:r>
        <w:rPr>
          <w:color w:val="auto"/>
          <w:highlight w:val="none"/>
        </w:rPr>
        <w:t>1、具体价格明细详见《投标价格组成明细表》。</w:t>
      </w:r>
    </w:p>
    <w:p w14:paraId="2A008D93">
      <w:pPr>
        <w:adjustRightInd w:val="0"/>
        <w:snapToGrid w:val="0"/>
        <w:spacing w:line="300" w:lineRule="auto"/>
        <w:ind w:firstLine="420" w:firstLineChars="200"/>
        <w:rPr>
          <w:color w:val="auto"/>
          <w:highlight w:val="none"/>
        </w:rPr>
      </w:pPr>
      <w:r>
        <w:rPr>
          <w:color w:val="auto"/>
          <w:highlight w:val="none"/>
        </w:rPr>
        <w:t>2、大写金额与小写金额不一致时，以大写金额为准。</w:t>
      </w:r>
    </w:p>
    <w:p w14:paraId="0208E78F">
      <w:pPr>
        <w:adjustRightInd w:val="0"/>
        <w:snapToGrid w:val="0"/>
        <w:spacing w:line="300" w:lineRule="auto"/>
        <w:ind w:firstLine="420" w:firstLineChars="200"/>
        <w:rPr>
          <w:color w:val="auto"/>
          <w:highlight w:val="none"/>
        </w:rPr>
      </w:pPr>
      <w:r>
        <w:rPr>
          <w:color w:val="auto"/>
          <w:highlight w:val="none"/>
        </w:rPr>
        <w:t>3、开标一览表上任何超出采购文件的优惠内容均不计入评标。</w:t>
      </w:r>
    </w:p>
    <w:p w14:paraId="133E041D">
      <w:pPr>
        <w:adjustRightInd w:val="0"/>
        <w:snapToGrid w:val="0"/>
        <w:spacing w:line="300" w:lineRule="auto"/>
        <w:ind w:firstLine="420" w:firstLineChars="200"/>
        <w:rPr>
          <w:color w:val="auto"/>
          <w:highlight w:val="none"/>
        </w:rPr>
      </w:pPr>
      <w:r>
        <w:rPr>
          <w:color w:val="auto"/>
          <w:highlight w:val="none"/>
        </w:rPr>
        <w:t>4、表格可扩展。</w:t>
      </w:r>
    </w:p>
    <w:p w14:paraId="4D1C6C55">
      <w:pPr>
        <w:adjustRightInd w:val="0"/>
        <w:snapToGrid w:val="0"/>
        <w:spacing w:line="300" w:lineRule="auto"/>
        <w:ind w:firstLine="420" w:firstLineChars="200"/>
        <w:rPr>
          <w:color w:val="auto"/>
          <w:highlight w:val="none"/>
        </w:rPr>
      </w:pPr>
    </w:p>
    <w:p w14:paraId="6656D158">
      <w:pPr>
        <w:adjustRightInd w:val="0"/>
        <w:snapToGrid w:val="0"/>
        <w:spacing w:line="300" w:lineRule="auto"/>
        <w:ind w:firstLine="420" w:firstLineChars="200"/>
        <w:rPr>
          <w:color w:val="auto"/>
          <w:highlight w:val="none"/>
        </w:rPr>
      </w:pPr>
      <w:r>
        <w:rPr>
          <w:rFonts w:hint="eastAsia"/>
          <w:color w:val="auto"/>
          <w:highlight w:val="none"/>
        </w:rPr>
        <w:t>供应商</w:t>
      </w:r>
      <w:r>
        <w:rPr>
          <w:color w:val="auto"/>
          <w:highlight w:val="none"/>
        </w:rPr>
        <w:t>全称（</w:t>
      </w:r>
      <w:r>
        <w:rPr>
          <w:rFonts w:hint="eastAsia"/>
          <w:color w:val="auto"/>
          <w:highlight w:val="none"/>
        </w:rPr>
        <w:t>盖单位公章或电子签章</w:t>
      </w:r>
      <w:r>
        <w:rPr>
          <w:color w:val="auto"/>
          <w:highlight w:val="none"/>
        </w:rPr>
        <w:t>）：</w:t>
      </w:r>
    </w:p>
    <w:p w14:paraId="085FBC4B">
      <w:pPr>
        <w:adjustRightInd w:val="0"/>
        <w:snapToGrid w:val="0"/>
        <w:spacing w:line="300" w:lineRule="auto"/>
        <w:ind w:firstLine="420" w:firstLineChars="200"/>
        <w:rPr>
          <w:color w:val="auto"/>
          <w:highlight w:val="none"/>
        </w:rPr>
      </w:pPr>
    </w:p>
    <w:p w14:paraId="1F0C503C">
      <w:pPr>
        <w:adjustRightInd w:val="0"/>
        <w:snapToGrid w:val="0"/>
        <w:spacing w:line="300" w:lineRule="auto"/>
        <w:ind w:firstLine="420" w:firstLineChars="200"/>
        <w:rPr>
          <w:color w:val="auto"/>
          <w:highlight w:val="none"/>
        </w:rPr>
      </w:pPr>
    </w:p>
    <w:p w14:paraId="3B9F8E8E">
      <w:pPr>
        <w:adjustRightInd w:val="0"/>
        <w:snapToGrid w:val="0"/>
        <w:spacing w:line="300" w:lineRule="auto"/>
        <w:ind w:firstLine="420" w:firstLineChars="200"/>
        <w:rPr>
          <w:color w:val="auto"/>
          <w:highlight w:val="none"/>
          <w:u w:val="single"/>
        </w:rPr>
      </w:pPr>
      <w:r>
        <w:rPr>
          <w:color w:val="auto"/>
          <w:highlight w:val="none"/>
        </w:rPr>
        <w:t xml:space="preserve">日期：  </w:t>
      </w:r>
      <w:r>
        <w:rPr>
          <w:color w:val="auto"/>
          <w:kern w:val="0"/>
          <w:szCs w:val="21"/>
          <w:highlight w:val="none"/>
        </w:rPr>
        <w:t>年  月  日</w:t>
      </w:r>
    </w:p>
    <w:p w14:paraId="7D6C6165">
      <w:pPr>
        <w:pStyle w:val="40"/>
        <w:adjustRightInd w:val="0"/>
        <w:snapToGrid w:val="0"/>
        <w:spacing w:line="300" w:lineRule="auto"/>
        <w:ind w:firstLine="480"/>
        <w:rPr>
          <w:rFonts w:ascii="Times New Roman" w:hAnsi="Times New Roman"/>
          <w:color w:val="auto"/>
          <w:highlight w:val="none"/>
        </w:rPr>
      </w:pPr>
    </w:p>
    <w:p w14:paraId="61E836DF">
      <w:pPr>
        <w:pStyle w:val="40"/>
        <w:adjustRightInd w:val="0"/>
        <w:snapToGrid w:val="0"/>
        <w:spacing w:line="300" w:lineRule="auto"/>
        <w:ind w:firstLine="480"/>
        <w:rPr>
          <w:rFonts w:ascii="Times New Roman" w:hAnsi="Times New Roman"/>
          <w:color w:val="auto"/>
          <w:highlight w:val="none"/>
        </w:rPr>
      </w:pPr>
    </w:p>
    <w:p w14:paraId="00791010">
      <w:pPr>
        <w:pStyle w:val="40"/>
        <w:adjustRightInd w:val="0"/>
        <w:snapToGrid w:val="0"/>
        <w:spacing w:line="300" w:lineRule="auto"/>
        <w:ind w:firstLine="480"/>
        <w:rPr>
          <w:rFonts w:ascii="Times New Roman" w:hAnsi="Times New Roman"/>
          <w:color w:val="auto"/>
          <w:highlight w:val="none"/>
        </w:rPr>
      </w:pPr>
      <w:r>
        <w:rPr>
          <w:rFonts w:hint="eastAsia" w:ascii="Times New Roman" w:hAnsi="Times New Roman"/>
          <w:color w:val="auto"/>
          <w:highlight w:val="none"/>
        </w:rPr>
        <w:t>注：投标（响应）报价低于采购项目最高限价45%的，即投标（响应）报价&lt;采购项目最高限价×45%；应对投标（响应）价格作出解释，提供项目具体成本测算等与报价合理性相关的书面说明及必要的证明材料，包括但不限于原材料成本、人工成本、制造费用等。</w:t>
      </w:r>
    </w:p>
    <w:p w14:paraId="18ED52E8">
      <w:pPr>
        <w:pStyle w:val="40"/>
        <w:adjustRightInd w:val="0"/>
        <w:snapToGrid w:val="0"/>
        <w:spacing w:line="300" w:lineRule="auto"/>
        <w:ind w:firstLine="480"/>
        <w:rPr>
          <w:rFonts w:ascii="Times New Roman" w:hAnsi="Times New Roman"/>
          <w:color w:val="auto"/>
          <w:highlight w:val="none"/>
        </w:rPr>
      </w:pPr>
    </w:p>
    <w:p w14:paraId="5964A324">
      <w:pPr>
        <w:pStyle w:val="40"/>
        <w:adjustRightInd w:val="0"/>
        <w:snapToGrid w:val="0"/>
        <w:spacing w:line="300" w:lineRule="auto"/>
        <w:ind w:firstLine="480"/>
        <w:rPr>
          <w:rFonts w:ascii="Times New Roman" w:hAnsi="Times New Roman"/>
          <w:color w:val="auto"/>
          <w:highlight w:val="none"/>
        </w:rPr>
      </w:pPr>
    </w:p>
    <w:p w14:paraId="3990C918">
      <w:pPr>
        <w:pStyle w:val="40"/>
        <w:adjustRightInd w:val="0"/>
        <w:snapToGrid w:val="0"/>
        <w:spacing w:line="300" w:lineRule="auto"/>
        <w:ind w:firstLine="480"/>
        <w:rPr>
          <w:rFonts w:ascii="Times New Roman" w:hAnsi="Times New Roman"/>
          <w:color w:val="auto"/>
          <w:kern w:val="0"/>
          <w:szCs w:val="21"/>
          <w:highlight w:val="none"/>
        </w:rPr>
      </w:pPr>
      <w:r>
        <w:rPr>
          <w:rFonts w:ascii="Times New Roman" w:hAnsi="Times New Roman"/>
          <w:color w:val="auto"/>
          <w:highlight w:val="none"/>
        </w:rPr>
        <w:br w:type="page"/>
      </w:r>
      <w:bookmarkStart w:id="40" w:name="_Toc336683580"/>
      <w:bookmarkStart w:id="41" w:name="_Toc345575540"/>
      <w:r>
        <w:rPr>
          <w:rFonts w:ascii="Times New Roman" w:hAnsi="Times New Roman"/>
          <w:color w:val="auto"/>
          <w:highlight w:val="none"/>
        </w:rPr>
        <w:t>2、投标价格组成明细</w:t>
      </w:r>
      <w:bookmarkEnd w:id="40"/>
      <w:bookmarkEnd w:id="41"/>
      <w:r>
        <w:rPr>
          <w:rFonts w:hint="eastAsia" w:ascii="Times New Roman" w:hAnsi="Times New Roman"/>
          <w:color w:val="auto"/>
          <w:highlight w:val="none"/>
        </w:rPr>
        <w:t>表</w:t>
      </w:r>
    </w:p>
    <w:p w14:paraId="5E090E97">
      <w:pPr>
        <w:pStyle w:val="3"/>
        <w:ind w:firstLine="422"/>
        <w:rPr>
          <w:rFonts w:ascii="Times New Roman" w:hAnsi="Times New Roman"/>
          <w:color w:val="auto"/>
          <w:kern w:val="0"/>
          <w:szCs w:val="21"/>
          <w:highlight w:val="none"/>
        </w:rPr>
      </w:pPr>
    </w:p>
    <w:p w14:paraId="0AEE7525">
      <w:pPr>
        <w:snapToGrid w:val="0"/>
        <w:spacing w:line="30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投标价格组成明细表</w:t>
      </w:r>
    </w:p>
    <w:p w14:paraId="35031609">
      <w:pPr>
        <w:snapToGrid w:val="0"/>
        <w:spacing w:line="300" w:lineRule="auto"/>
        <w:rPr>
          <w:rFonts w:hint="eastAsia" w:ascii="宋体" w:hAnsi="宋体" w:cs="宋体"/>
          <w:color w:val="auto"/>
          <w:highlight w:val="none"/>
          <w:u w:val="single"/>
        </w:rPr>
      </w:pPr>
      <w:r>
        <w:rPr>
          <w:rFonts w:hint="eastAsia" w:ascii="宋体" w:hAnsi="宋体" w:cs="宋体"/>
          <w:color w:val="auto"/>
          <w:highlight w:val="none"/>
        </w:rPr>
        <w:t>项目名称：</w:t>
      </w:r>
    </w:p>
    <w:p w14:paraId="11961810">
      <w:pPr>
        <w:snapToGrid w:val="0"/>
        <w:spacing w:line="300" w:lineRule="auto"/>
        <w:rPr>
          <w:rFonts w:hint="eastAsia" w:ascii="宋体" w:hAnsi="宋体" w:cs="宋体"/>
          <w:color w:val="auto"/>
          <w:highlight w:val="none"/>
          <w:u w:val="single"/>
        </w:rPr>
      </w:pPr>
      <w:r>
        <w:rPr>
          <w:rFonts w:hint="eastAsia" w:ascii="宋体" w:hAnsi="宋体" w:cs="宋体"/>
          <w:color w:val="auto"/>
          <w:highlight w:val="none"/>
        </w:rPr>
        <w:t>招标项目编号：</w:t>
      </w:r>
    </w:p>
    <w:p w14:paraId="7F6F5A7D">
      <w:pPr>
        <w:snapToGrid w:val="0"/>
        <w:spacing w:line="300" w:lineRule="auto"/>
        <w:rPr>
          <w:rFonts w:hint="eastAsia" w:ascii="宋体" w:hAnsi="宋体" w:cs="宋体"/>
          <w:color w:val="auto"/>
          <w:highlight w:val="none"/>
        </w:rPr>
      </w:pPr>
      <w:r>
        <w:rPr>
          <w:rFonts w:hint="eastAsia" w:ascii="宋体" w:hAnsi="宋体" w:cs="宋体"/>
          <w:color w:val="auto"/>
          <w:highlight w:val="none"/>
        </w:rPr>
        <w:t>价格单位：元人民币</w:t>
      </w:r>
    </w:p>
    <w:tbl>
      <w:tblPr>
        <w:tblStyle w:val="8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6"/>
        <w:gridCol w:w="1603"/>
        <w:gridCol w:w="1275"/>
        <w:gridCol w:w="720"/>
        <w:gridCol w:w="720"/>
        <w:gridCol w:w="1538"/>
        <w:gridCol w:w="937"/>
        <w:gridCol w:w="976"/>
        <w:gridCol w:w="816"/>
      </w:tblGrid>
      <w:tr w14:paraId="4AEE9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4DE75368">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序号</w:t>
            </w:r>
          </w:p>
        </w:tc>
        <w:tc>
          <w:tcPr>
            <w:tcW w:w="1603" w:type="dxa"/>
            <w:vAlign w:val="center"/>
          </w:tcPr>
          <w:p w14:paraId="6503EB64">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名称</w:t>
            </w:r>
          </w:p>
        </w:tc>
        <w:tc>
          <w:tcPr>
            <w:tcW w:w="1275" w:type="dxa"/>
            <w:vAlign w:val="center"/>
          </w:tcPr>
          <w:p w14:paraId="2FBC0138">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说明</w:t>
            </w:r>
          </w:p>
        </w:tc>
        <w:tc>
          <w:tcPr>
            <w:tcW w:w="720" w:type="dxa"/>
            <w:vAlign w:val="center"/>
          </w:tcPr>
          <w:p w14:paraId="7E77D214">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数量</w:t>
            </w:r>
          </w:p>
        </w:tc>
        <w:tc>
          <w:tcPr>
            <w:tcW w:w="720" w:type="dxa"/>
            <w:vAlign w:val="center"/>
          </w:tcPr>
          <w:p w14:paraId="0F2848D9">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单位</w:t>
            </w:r>
          </w:p>
        </w:tc>
        <w:tc>
          <w:tcPr>
            <w:tcW w:w="1538" w:type="dxa"/>
            <w:vAlign w:val="center"/>
          </w:tcPr>
          <w:p w14:paraId="25BF631F">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w:t>
            </w:r>
          </w:p>
        </w:tc>
        <w:tc>
          <w:tcPr>
            <w:tcW w:w="937" w:type="dxa"/>
            <w:vAlign w:val="center"/>
          </w:tcPr>
          <w:p w14:paraId="772FE8CD">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单价</w:t>
            </w:r>
          </w:p>
        </w:tc>
        <w:tc>
          <w:tcPr>
            <w:tcW w:w="976" w:type="dxa"/>
            <w:vAlign w:val="center"/>
          </w:tcPr>
          <w:p w14:paraId="7A1B2300">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合价</w:t>
            </w:r>
          </w:p>
        </w:tc>
        <w:tc>
          <w:tcPr>
            <w:tcW w:w="816" w:type="dxa"/>
            <w:vAlign w:val="center"/>
          </w:tcPr>
          <w:p w14:paraId="0ED6B128">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备注</w:t>
            </w:r>
          </w:p>
        </w:tc>
      </w:tr>
      <w:tr w14:paraId="6B237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129FFE16">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1</w:t>
            </w:r>
          </w:p>
        </w:tc>
        <w:tc>
          <w:tcPr>
            <w:tcW w:w="1603" w:type="dxa"/>
            <w:vAlign w:val="center"/>
          </w:tcPr>
          <w:p w14:paraId="31A5046C">
            <w:pPr>
              <w:pStyle w:val="40"/>
              <w:adjustRightInd w:val="0"/>
              <w:snapToGrid w:val="0"/>
              <w:spacing w:line="300" w:lineRule="auto"/>
              <w:jc w:val="center"/>
              <w:rPr>
                <w:rFonts w:hint="eastAsia" w:hAnsi="宋体" w:cs="宋体"/>
                <w:color w:val="auto"/>
                <w:highlight w:val="none"/>
              </w:rPr>
            </w:pPr>
          </w:p>
        </w:tc>
        <w:tc>
          <w:tcPr>
            <w:tcW w:w="1275" w:type="dxa"/>
            <w:vAlign w:val="center"/>
          </w:tcPr>
          <w:p w14:paraId="1543CC0A">
            <w:pPr>
              <w:pStyle w:val="40"/>
              <w:adjustRightInd w:val="0"/>
              <w:snapToGrid w:val="0"/>
              <w:spacing w:line="300" w:lineRule="auto"/>
              <w:jc w:val="center"/>
              <w:rPr>
                <w:rFonts w:hint="eastAsia" w:hAnsi="宋体" w:cs="宋体"/>
                <w:color w:val="auto"/>
                <w:highlight w:val="none"/>
              </w:rPr>
            </w:pPr>
          </w:p>
        </w:tc>
        <w:tc>
          <w:tcPr>
            <w:tcW w:w="720" w:type="dxa"/>
            <w:vAlign w:val="center"/>
          </w:tcPr>
          <w:p w14:paraId="5FF9C80E">
            <w:pPr>
              <w:pStyle w:val="40"/>
              <w:adjustRightInd w:val="0"/>
              <w:snapToGrid w:val="0"/>
              <w:spacing w:line="300" w:lineRule="auto"/>
              <w:jc w:val="center"/>
              <w:rPr>
                <w:rFonts w:hint="eastAsia" w:hAnsi="宋体" w:cs="宋体"/>
                <w:color w:val="auto"/>
                <w:highlight w:val="none"/>
              </w:rPr>
            </w:pPr>
          </w:p>
        </w:tc>
        <w:tc>
          <w:tcPr>
            <w:tcW w:w="720" w:type="dxa"/>
            <w:vAlign w:val="center"/>
          </w:tcPr>
          <w:p w14:paraId="7459BEFF">
            <w:pPr>
              <w:pStyle w:val="40"/>
              <w:adjustRightInd w:val="0"/>
              <w:snapToGrid w:val="0"/>
              <w:spacing w:line="300" w:lineRule="auto"/>
              <w:jc w:val="center"/>
              <w:rPr>
                <w:rFonts w:hint="eastAsia" w:hAnsi="宋体" w:cs="宋体"/>
                <w:color w:val="auto"/>
                <w:highlight w:val="none"/>
              </w:rPr>
            </w:pPr>
          </w:p>
        </w:tc>
        <w:tc>
          <w:tcPr>
            <w:tcW w:w="1538" w:type="dxa"/>
            <w:vAlign w:val="center"/>
          </w:tcPr>
          <w:p w14:paraId="743647F1">
            <w:pPr>
              <w:pStyle w:val="40"/>
              <w:adjustRightInd w:val="0"/>
              <w:snapToGrid w:val="0"/>
              <w:spacing w:line="300" w:lineRule="auto"/>
              <w:jc w:val="center"/>
              <w:rPr>
                <w:rFonts w:hint="eastAsia" w:hAnsi="宋体" w:cs="宋体"/>
                <w:color w:val="auto"/>
                <w:highlight w:val="none"/>
              </w:rPr>
            </w:pPr>
          </w:p>
        </w:tc>
        <w:tc>
          <w:tcPr>
            <w:tcW w:w="937" w:type="dxa"/>
            <w:vAlign w:val="center"/>
          </w:tcPr>
          <w:p w14:paraId="2566F955">
            <w:pPr>
              <w:pStyle w:val="40"/>
              <w:adjustRightInd w:val="0"/>
              <w:snapToGrid w:val="0"/>
              <w:spacing w:line="300" w:lineRule="auto"/>
              <w:jc w:val="center"/>
              <w:rPr>
                <w:rFonts w:hint="eastAsia" w:hAnsi="宋体" w:cs="宋体"/>
                <w:color w:val="auto"/>
                <w:highlight w:val="none"/>
              </w:rPr>
            </w:pPr>
          </w:p>
        </w:tc>
        <w:tc>
          <w:tcPr>
            <w:tcW w:w="976" w:type="dxa"/>
            <w:vAlign w:val="center"/>
          </w:tcPr>
          <w:p w14:paraId="398259B5">
            <w:pPr>
              <w:pStyle w:val="40"/>
              <w:adjustRightInd w:val="0"/>
              <w:snapToGrid w:val="0"/>
              <w:spacing w:line="300" w:lineRule="auto"/>
              <w:jc w:val="center"/>
              <w:rPr>
                <w:rFonts w:hint="eastAsia" w:hAnsi="宋体" w:cs="宋体"/>
                <w:color w:val="auto"/>
                <w:highlight w:val="none"/>
              </w:rPr>
            </w:pPr>
          </w:p>
        </w:tc>
        <w:tc>
          <w:tcPr>
            <w:tcW w:w="816" w:type="dxa"/>
            <w:vAlign w:val="center"/>
          </w:tcPr>
          <w:p w14:paraId="37620F47">
            <w:pPr>
              <w:pStyle w:val="40"/>
              <w:adjustRightInd w:val="0"/>
              <w:snapToGrid w:val="0"/>
              <w:spacing w:line="300" w:lineRule="auto"/>
              <w:jc w:val="center"/>
              <w:rPr>
                <w:rFonts w:hint="eastAsia" w:hAnsi="宋体" w:cs="宋体"/>
                <w:color w:val="auto"/>
                <w:highlight w:val="none"/>
              </w:rPr>
            </w:pPr>
          </w:p>
        </w:tc>
      </w:tr>
      <w:tr w14:paraId="2D90BE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52DB14F1">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2</w:t>
            </w:r>
          </w:p>
        </w:tc>
        <w:tc>
          <w:tcPr>
            <w:tcW w:w="1603" w:type="dxa"/>
            <w:vAlign w:val="center"/>
          </w:tcPr>
          <w:p w14:paraId="555D95A0">
            <w:pPr>
              <w:pStyle w:val="40"/>
              <w:adjustRightInd w:val="0"/>
              <w:snapToGrid w:val="0"/>
              <w:spacing w:line="300" w:lineRule="auto"/>
              <w:jc w:val="center"/>
              <w:rPr>
                <w:rFonts w:hint="eastAsia" w:hAnsi="宋体" w:cs="宋体"/>
                <w:color w:val="auto"/>
                <w:highlight w:val="none"/>
              </w:rPr>
            </w:pPr>
          </w:p>
        </w:tc>
        <w:tc>
          <w:tcPr>
            <w:tcW w:w="1275" w:type="dxa"/>
            <w:vAlign w:val="center"/>
          </w:tcPr>
          <w:p w14:paraId="52DB2C63">
            <w:pPr>
              <w:pStyle w:val="40"/>
              <w:adjustRightInd w:val="0"/>
              <w:snapToGrid w:val="0"/>
              <w:spacing w:line="300" w:lineRule="auto"/>
              <w:jc w:val="center"/>
              <w:rPr>
                <w:rFonts w:hint="eastAsia" w:hAnsi="宋体" w:cs="宋体"/>
                <w:color w:val="auto"/>
                <w:highlight w:val="none"/>
              </w:rPr>
            </w:pPr>
          </w:p>
        </w:tc>
        <w:tc>
          <w:tcPr>
            <w:tcW w:w="720" w:type="dxa"/>
            <w:vAlign w:val="center"/>
          </w:tcPr>
          <w:p w14:paraId="78A31BC3">
            <w:pPr>
              <w:pStyle w:val="40"/>
              <w:adjustRightInd w:val="0"/>
              <w:snapToGrid w:val="0"/>
              <w:spacing w:line="300" w:lineRule="auto"/>
              <w:jc w:val="center"/>
              <w:rPr>
                <w:rFonts w:hint="eastAsia" w:hAnsi="宋体" w:cs="宋体"/>
                <w:color w:val="auto"/>
                <w:highlight w:val="none"/>
              </w:rPr>
            </w:pPr>
          </w:p>
        </w:tc>
        <w:tc>
          <w:tcPr>
            <w:tcW w:w="720" w:type="dxa"/>
            <w:vAlign w:val="center"/>
          </w:tcPr>
          <w:p w14:paraId="67BCC538">
            <w:pPr>
              <w:pStyle w:val="40"/>
              <w:adjustRightInd w:val="0"/>
              <w:snapToGrid w:val="0"/>
              <w:spacing w:line="300" w:lineRule="auto"/>
              <w:jc w:val="center"/>
              <w:rPr>
                <w:rFonts w:hint="eastAsia" w:hAnsi="宋体" w:cs="宋体"/>
                <w:color w:val="auto"/>
                <w:highlight w:val="none"/>
              </w:rPr>
            </w:pPr>
          </w:p>
        </w:tc>
        <w:tc>
          <w:tcPr>
            <w:tcW w:w="1538" w:type="dxa"/>
            <w:vAlign w:val="center"/>
          </w:tcPr>
          <w:p w14:paraId="65A01F51">
            <w:pPr>
              <w:pStyle w:val="40"/>
              <w:adjustRightInd w:val="0"/>
              <w:snapToGrid w:val="0"/>
              <w:spacing w:line="300" w:lineRule="auto"/>
              <w:jc w:val="center"/>
              <w:rPr>
                <w:rFonts w:hint="eastAsia" w:hAnsi="宋体" w:cs="宋体"/>
                <w:color w:val="auto"/>
                <w:highlight w:val="none"/>
              </w:rPr>
            </w:pPr>
          </w:p>
        </w:tc>
        <w:tc>
          <w:tcPr>
            <w:tcW w:w="937" w:type="dxa"/>
            <w:vAlign w:val="center"/>
          </w:tcPr>
          <w:p w14:paraId="6B1A7689">
            <w:pPr>
              <w:pStyle w:val="40"/>
              <w:adjustRightInd w:val="0"/>
              <w:snapToGrid w:val="0"/>
              <w:spacing w:line="300" w:lineRule="auto"/>
              <w:jc w:val="center"/>
              <w:rPr>
                <w:rFonts w:hint="eastAsia" w:hAnsi="宋体" w:cs="宋体"/>
                <w:color w:val="auto"/>
                <w:highlight w:val="none"/>
              </w:rPr>
            </w:pPr>
          </w:p>
        </w:tc>
        <w:tc>
          <w:tcPr>
            <w:tcW w:w="976" w:type="dxa"/>
            <w:vAlign w:val="center"/>
          </w:tcPr>
          <w:p w14:paraId="7C042E0D">
            <w:pPr>
              <w:pStyle w:val="40"/>
              <w:adjustRightInd w:val="0"/>
              <w:snapToGrid w:val="0"/>
              <w:spacing w:line="300" w:lineRule="auto"/>
              <w:jc w:val="center"/>
              <w:rPr>
                <w:rFonts w:hint="eastAsia" w:hAnsi="宋体" w:cs="宋体"/>
                <w:color w:val="auto"/>
                <w:highlight w:val="none"/>
              </w:rPr>
            </w:pPr>
          </w:p>
        </w:tc>
        <w:tc>
          <w:tcPr>
            <w:tcW w:w="816" w:type="dxa"/>
            <w:vAlign w:val="center"/>
          </w:tcPr>
          <w:p w14:paraId="3744CAB1">
            <w:pPr>
              <w:pStyle w:val="40"/>
              <w:adjustRightInd w:val="0"/>
              <w:snapToGrid w:val="0"/>
              <w:spacing w:line="300" w:lineRule="auto"/>
              <w:jc w:val="center"/>
              <w:rPr>
                <w:rFonts w:hint="eastAsia" w:hAnsi="宋体" w:cs="宋体"/>
                <w:color w:val="auto"/>
                <w:highlight w:val="none"/>
              </w:rPr>
            </w:pPr>
          </w:p>
        </w:tc>
      </w:tr>
      <w:tr w14:paraId="0B0E42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126A895A">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3</w:t>
            </w:r>
          </w:p>
        </w:tc>
        <w:tc>
          <w:tcPr>
            <w:tcW w:w="1603" w:type="dxa"/>
            <w:vAlign w:val="center"/>
          </w:tcPr>
          <w:p w14:paraId="7CC9FB30">
            <w:pPr>
              <w:pStyle w:val="40"/>
              <w:adjustRightInd w:val="0"/>
              <w:snapToGrid w:val="0"/>
              <w:spacing w:line="300" w:lineRule="auto"/>
              <w:jc w:val="center"/>
              <w:rPr>
                <w:rFonts w:hint="eastAsia" w:hAnsi="宋体" w:cs="宋体"/>
                <w:color w:val="auto"/>
                <w:highlight w:val="none"/>
              </w:rPr>
            </w:pPr>
          </w:p>
        </w:tc>
        <w:tc>
          <w:tcPr>
            <w:tcW w:w="1275" w:type="dxa"/>
            <w:vAlign w:val="center"/>
          </w:tcPr>
          <w:p w14:paraId="7B252FE6">
            <w:pPr>
              <w:pStyle w:val="40"/>
              <w:adjustRightInd w:val="0"/>
              <w:snapToGrid w:val="0"/>
              <w:spacing w:line="300" w:lineRule="auto"/>
              <w:jc w:val="center"/>
              <w:rPr>
                <w:rFonts w:hint="eastAsia" w:hAnsi="宋体" w:cs="宋体"/>
                <w:color w:val="auto"/>
                <w:highlight w:val="none"/>
              </w:rPr>
            </w:pPr>
          </w:p>
        </w:tc>
        <w:tc>
          <w:tcPr>
            <w:tcW w:w="720" w:type="dxa"/>
            <w:vAlign w:val="center"/>
          </w:tcPr>
          <w:p w14:paraId="4B6479B8">
            <w:pPr>
              <w:pStyle w:val="40"/>
              <w:adjustRightInd w:val="0"/>
              <w:snapToGrid w:val="0"/>
              <w:spacing w:line="300" w:lineRule="auto"/>
              <w:jc w:val="center"/>
              <w:rPr>
                <w:rFonts w:hint="eastAsia" w:hAnsi="宋体" w:cs="宋体"/>
                <w:color w:val="auto"/>
                <w:highlight w:val="none"/>
              </w:rPr>
            </w:pPr>
          </w:p>
        </w:tc>
        <w:tc>
          <w:tcPr>
            <w:tcW w:w="720" w:type="dxa"/>
            <w:vAlign w:val="center"/>
          </w:tcPr>
          <w:p w14:paraId="32CB9916">
            <w:pPr>
              <w:pStyle w:val="40"/>
              <w:adjustRightInd w:val="0"/>
              <w:snapToGrid w:val="0"/>
              <w:spacing w:line="300" w:lineRule="auto"/>
              <w:jc w:val="center"/>
              <w:rPr>
                <w:rFonts w:hint="eastAsia" w:hAnsi="宋体" w:cs="宋体"/>
                <w:color w:val="auto"/>
                <w:highlight w:val="none"/>
              </w:rPr>
            </w:pPr>
          </w:p>
        </w:tc>
        <w:tc>
          <w:tcPr>
            <w:tcW w:w="1538" w:type="dxa"/>
            <w:vAlign w:val="center"/>
          </w:tcPr>
          <w:p w14:paraId="2A1BB054">
            <w:pPr>
              <w:pStyle w:val="40"/>
              <w:adjustRightInd w:val="0"/>
              <w:snapToGrid w:val="0"/>
              <w:spacing w:line="300" w:lineRule="auto"/>
              <w:jc w:val="center"/>
              <w:rPr>
                <w:rFonts w:hint="eastAsia" w:hAnsi="宋体" w:cs="宋体"/>
                <w:color w:val="auto"/>
                <w:highlight w:val="none"/>
              </w:rPr>
            </w:pPr>
          </w:p>
        </w:tc>
        <w:tc>
          <w:tcPr>
            <w:tcW w:w="937" w:type="dxa"/>
            <w:vAlign w:val="center"/>
          </w:tcPr>
          <w:p w14:paraId="50C57549">
            <w:pPr>
              <w:pStyle w:val="40"/>
              <w:adjustRightInd w:val="0"/>
              <w:snapToGrid w:val="0"/>
              <w:spacing w:line="300" w:lineRule="auto"/>
              <w:jc w:val="center"/>
              <w:rPr>
                <w:rFonts w:hint="eastAsia" w:hAnsi="宋体" w:cs="宋体"/>
                <w:color w:val="auto"/>
                <w:highlight w:val="none"/>
              </w:rPr>
            </w:pPr>
          </w:p>
        </w:tc>
        <w:tc>
          <w:tcPr>
            <w:tcW w:w="976" w:type="dxa"/>
            <w:vAlign w:val="center"/>
          </w:tcPr>
          <w:p w14:paraId="2BFD1E78">
            <w:pPr>
              <w:pStyle w:val="40"/>
              <w:adjustRightInd w:val="0"/>
              <w:snapToGrid w:val="0"/>
              <w:spacing w:line="300" w:lineRule="auto"/>
              <w:jc w:val="center"/>
              <w:rPr>
                <w:rFonts w:hint="eastAsia" w:hAnsi="宋体" w:cs="宋体"/>
                <w:color w:val="auto"/>
                <w:highlight w:val="none"/>
              </w:rPr>
            </w:pPr>
          </w:p>
        </w:tc>
        <w:tc>
          <w:tcPr>
            <w:tcW w:w="816" w:type="dxa"/>
            <w:vAlign w:val="center"/>
          </w:tcPr>
          <w:p w14:paraId="3B910834">
            <w:pPr>
              <w:pStyle w:val="40"/>
              <w:adjustRightInd w:val="0"/>
              <w:snapToGrid w:val="0"/>
              <w:spacing w:line="300" w:lineRule="auto"/>
              <w:jc w:val="center"/>
              <w:rPr>
                <w:rFonts w:hint="eastAsia" w:hAnsi="宋体" w:cs="宋体"/>
                <w:color w:val="auto"/>
                <w:highlight w:val="none"/>
              </w:rPr>
            </w:pPr>
          </w:p>
        </w:tc>
      </w:tr>
      <w:tr w14:paraId="0250BB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025205A7">
            <w:pPr>
              <w:pStyle w:val="40"/>
              <w:adjustRightInd w:val="0"/>
              <w:snapToGrid w:val="0"/>
              <w:spacing w:line="300" w:lineRule="auto"/>
              <w:jc w:val="center"/>
              <w:rPr>
                <w:rFonts w:hint="eastAsia" w:hAnsi="宋体" w:cs="宋体"/>
                <w:color w:val="auto"/>
                <w:highlight w:val="none"/>
              </w:rPr>
            </w:pPr>
          </w:p>
        </w:tc>
        <w:tc>
          <w:tcPr>
            <w:tcW w:w="1603" w:type="dxa"/>
            <w:vAlign w:val="center"/>
          </w:tcPr>
          <w:p w14:paraId="24F3F40F">
            <w:pPr>
              <w:pStyle w:val="40"/>
              <w:adjustRightInd w:val="0"/>
              <w:snapToGrid w:val="0"/>
              <w:spacing w:line="300" w:lineRule="auto"/>
              <w:jc w:val="center"/>
              <w:rPr>
                <w:rFonts w:hint="eastAsia" w:hAnsi="宋体" w:cs="宋体"/>
                <w:color w:val="auto"/>
                <w:highlight w:val="none"/>
              </w:rPr>
            </w:pPr>
            <w:r>
              <w:rPr>
                <w:rFonts w:hint="eastAsia" w:hAnsi="宋体" w:cs="宋体"/>
                <w:color w:val="auto"/>
                <w:highlight w:val="none"/>
              </w:rPr>
              <w:t>......</w:t>
            </w:r>
          </w:p>
        </w:tc>
        <w:tc>
          <w:tcPr>
            <w:tcW w:w="1275" w:type="dxa"/>
            <w:vAlign w:val="center"/>
          </w:tcPr>
          <w:p w14:paraId="19801CE8">
            <w:pPr>
              <w:pStyle w:val="40"/>
              <w:adjustRightInd w:val="0"/>
              <w:snapToGrid w:val="0"/>
              <w:spacing w:line="300" w:lineRule="auto"/>
              <w:jc w:val="center"/>
              <w:rPr>
                <w:rFonts w:hint="eastAsia" w:hAnsi="宋体" w:cs="宋体"/>
                <w:color w:val="auto"/>
                <w:highlight w:val="none"/>
              </w:rPr>
            </w:pPr>
          </w:p>
        </w:tc>
        <w:tc>
          <w:tcPr>
            <w:tcW w:w="720" w:type="dxa"/>
            <w:vAlign w:val="center"/>
          </w:tcPr>
          <w:p w14:paraId="49D2E2FB">
            <w:pPr>
              <w:pStyle w:val="40"/>
              <w:adjustRightInd w:val="0"/>
              <w:snapToGrid w:val="0"/>
              <w:spacing w:line="300" w:lineRule="auto"/>
              <w:jc w:val="center"/>
              <w:rPr>
                <w:rFonts w:hint="eastAsia" w:hAnsi="宋体" w:cs="宋体"/>
                <w:color w:val="auto"/>
                <w:highlight w:val="none"/>
              </w:rPr>
            </w:pPr>
          </w:p>
        </w:tc>
        <w:tc>
          <w:tcPr>
            <w:tcW w:w="720" w:type="dxa"/>
            <w:vAlign w:val="center"/>
          </w:tcPr>
          <w:p w14:paraId="787422CE">
            <w:pPr>
              <w:pStyle w:val="40"/>
              <w:adjustRightInd w:val="0"/>
              <w:snapToGrid w:val="0"/>
              <w:spacing w:line="300" w:lineRule="auto"/>
              <w:jc w:val="center"/>
              <w:rPr>
                <w:rFonts w:hint="eastAsia" w:hAnsi="宋体" w:cs="宋体"/>
                <w:color w:val="auto"/>
                <w:highlight w:val="none"/>
              </w:rPr>
            </w:pPr>
          </w:p>
        </w:tc>
        <w:tc>
          <w:tcPr>
            <w:tcW w:w="1538" w:type="dxa"/>
            <w:vAlign w:val="center"/>
          </w:tcPr>
          <w:p w14:paraId="377C7506">
            <w:pPr>
              <w:pStyle w:val="40"/>
              <w:adjustRightInd w:val="0"/>
              <w:snapToGrid w:val="0"/>
              <w:spacing w:line="300" w:lineRule="auto"/>
              <w:jc w:val="center"/>
              <w:rPr>
                <w:rFonts w:hint="eastAsia" w:hAnsi="宋体" w:cs="宋体"/>
                <w:color w:val="auto"/>
                <w:highlight w:val="none"/>
              </w:rPr>
            </w:pPr>
          </w:p>
        </w:tc>
        <w:tc>
          <w:tcPr>
            <w:tcW w:w="937" w:type="dxa"/>
            <w:vAlign w:val="center"/>
          </w:tcPr>
          <w:p w14:paraId="31C3DCF8">
            <w:pPr>
              <w:pStyle w:val="40"/>
              <w:adjustRightInd w:val="0"/>
              <w:snapToGrid w:val="0"/>
              <w:spacing w:line="300" w:lineRule="auto"/>
              <w:jc w:val="center"/>
              <w:rPr>
                <w:rFonts w:hint="eastAsia" w:hAnsi="宋体" w:cs="宋体"/>
                <w:color w:val="auto"/>
                <w:highlight w:val="none"/>
              </w:rPr>
            </w:pPr>
          </w:p>
        </w:tc>
        <w:tc>
          <w:tcPr>
            <w:tcW w:w="976" w:type="dxa"/>
            <w:vAlign w:val="center"/>
          </w:tcPr>
          <w:p w14:paraId="0ECC0D0D">
            <w:pPr>
              <w:pStyle w:val="40"/>
              <w:adjustRightInd w:val="0"/>
              <w:snapToGrid w:val="0"/>
              <w:spacing w:line="300" w:lineRule="auto"/>
              <w:jc w:val="center"/>
              <w:rPr>
                <w:rFonts w:hint="eastAsia" w:hAnsi="宋体" w:cs="宋体"/>
                <w:color w:val="auto"/>
                <w:highlight w:val="none"/>
              </w:rPr>
            </w:pPr>
          </w:p>
        </w:tc>
        <w:tc>
          <w:tcPr>
            <w:tcW w:w="816" w:type="dxa"/>
            <w:vAlign w:val="center"/>
          </w:tcPr>
          <w:p w14:paraId="728C5450">
            <w:pPr>
              <w:pStyle w:val="40"/>
              <w:adjustRightInd w:val="0"/>
              <w:snapToGrid w:val="0"/>
              <w:spacing w:line="300" w:lineRule="auto"/>
              <w:jc w:val="center"/>
              <w:rPr>
                <w:rFonts w:hint="eastAsia" w:hAnsi="宋体" w:cs="宋体"/>
                <w:color w:val="auto"/>
                <w:highlight w:val="none"/>
              </w:rPr>
            </w:pPr>
          </w:p>
        </w:tc>
      </w:tr>
      <w:tr w14:paraId="2D6E12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16" w:type="dxa"/>
            <w:vAlign w:val="center"/>
          </w:tcPr>
          <w:p w14:paraId="1562A9E8">
            <w:pPr>
              <w:pStyle w:val="40"/>
              <w:adjustRightInd w:val="0"/>
              <w:snapToGrid w:val="0"/>
              <w:spacing w:line="300" w:lineRule="auto"/>
              <w:jc w:val="center"/>
              <w:rPr>
                <w:rFonts w:hint="eastAsia" w:hAnsi="宋体" w:cs="宋体"/>
                <w:color w:val="auto"/>
                <w:highlight w:val="none"/>
              </w:rPr>
            </w:pPr>
          </w:p>
        </w:tc>
        <w:tc>
          <w:tcPr>
            <w:tcW w:w="8585" w:type="dxa"/>
            <w:gridSpan w:val="8"/>
            <w:vAlign w:val="center"/>
          </w:tcPr>
          <w:p w14:paraId="2C8A159A">
            <w:pPr>
              <w:pStyle w:val="40"/>
              <w:adjustRightInd w:val="0"/>
              <w:snapToGrid w:val="0"/>
              <w:spacing w:line="300" w:lineRule="auto"/>
              <w:jc w:val="left"/>
              <w:rPr>
                <w:rFonts w:hint="eastAsia" w:hAnsi="宋体" w:cs="宋体"/>
                <w:color w:val="auto"/>
                <w:highlight w:val="none"/>
              </w:rPr>
            </w:pPr>
            <w:r>
              <w:rPr>
                <w:rFonts w:hint="eastAsia" w:hAnsi="宋体" w:cs="宋体"/>
                <w:color w:val="auto"/>
                <w:highlight w:val="none"/>
              </w:rPr>
              <w:t>投标总价：</w:t>
            </w:r>
          </w:p>
        </w:tc>
      </w:tr>
    </w:tbl>
    <w:p w14:paraId="51AFEDD2">
      <w:pPr>
        <w:pStyle w:val="40"/>
        <w:adjustRightInd w:val="0"/>
        <w:snapToGrid w:val="0"/>
        <w:spacing w:line="300" w:lineRule="auto"/>
        <w:ind w:firstLine="480"/>
        <w:rPr>
          <w:rFonts w:hint="eastAsia" w:hAnsi="宋体" w:cs="宋体"/>
          <w:color w:val="auto"/>
          <w:highlight w:val="none"/>
        </w:rPr>
      </w:pPr>
    </w:p>
    <w:p w14:paraId="290B6719">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报价说明：</w:t>
      </w:r>
    </w:p>
    <w:p w14:paraId="371EA60C">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rPr>
        <w:tab/>
      </w:r>
      <w:r>
        <w:rPr>
          <w:rFonts w:hint="eastAsia" w:hAnsi="宋体" w:cs="宋体"/>
          <w:color w:val="auto"/>
          <w:highlight w:val="none"/>
        </w:rPr>
        <w:t>本项目除甲方提供合同约定的配合内容外，其他均由乙方完成。所产生费用均应在上表中体现合计费用结转至开标一览表。</w:t>
      </w:r>
    </w:p>
    <w:p w14:paraId="248F223D">
      <w:pPr>
        <w:pStyle w:val="40"/>
        <w:adjustRightInd w:val="0"/>
        <w:snapToGrid w:val="0"/>
        <w:spacing w:line="300" w:lineRule="auto"/>
        <w:ind w:firstLine="480"/>
        <w:rPr>
          <w:rFonts w:hint="eastAsia" w:hAnsi="宋体" w:cs="宋体"/>
          <w:color w:val="auto"/>
          <w:highlight w:val="none"/>
        </w:rPr>
      </w:pPr>
      <w:r>
        <w:rPr>
          <w:rFonts w:hint="eastAsia"/>
          <w:color w:val="auto"/>
          <w:kern w:val="0"/>
          <w:szCs w:val="21"/>
          <w:highlight w:val="none"/>
        </w:rPr>
        <w:t>2）</w:t>
      </w:r>
      <w:r>
        <w:rPr>
          <w:rFonts w:hint="eastAsia" w:hAnsi="宋体" w:cs="宋体"/>
          <w:color w:val="auto"/>
          <w:highlight w:val="none"/>
        </w:rPr>
        <w:t>表格可扩展。</w:t>
      </w:r>
    </w:p>
    <w:p w14:paraId="66DE8D81">
      <w:pPr>
        <w:pStyle w:val="40"/>
        <w:adjustRightInd w:val="0"/>
        <w:snapToGrid w:val="0"/>
        <w:spacing w:line="300" w:lineRule="auto"/>
        <w:ind w:firstLine="480"/>
        <w:rPr>
          <w:rFonts w:hint="eastAsia" w:hAnsi="宋体" w:cs="宋体"/>
          <w:color w:val="auto"/>
          <w:highlight w:val="none"/>
        </w:rPr>
      </w:pPr>
    </w:p>
    <w:p w14:paraId="6C28CB1B">
      <w:pPr>
        <w:pStyle w:val="40"/>
        <w:adjustRightInd w:val="0"/>
        <w:snapToGrid w:val="0"/>
        <w:spacing w:line="300" w:lineRule="auto"/>
        <w:ind w:firstLine="480"/>
        <w:rPr>
          <w:rFonts w:hint="eastAsia" w:hAnsi="宋体" w:cs="宋体"/>
          <w:color w:val="auto"/>
          <w:highlight w:val="none"/>
        </w:rPr>
      </w:pPr>
      <w:r>
        <w:rPr>
          <w:rFonts w:hint="eastAsia" w:hAnsi="宋体" w:cs="宋体"/>
          <w:color w:val="auto"/>
          <w:highlight w:val="none"/>
        </w:rPr>
        <w:t>供应商全称（盖单位公章或电子签章）：</w:t>
      </w:r>
    </w:p>
    <w:p w14:paraId="08EE3264">
      <w:pPr>
        <w:pStyle w:val="40"/>
        <w:adjustRightInd w:val="0"/>
        <w:snapToGrid w:val="0"/>
        <w:spacing w:line="300" w:lineRule="auto"/>
        <w:ind w:firstLine="480"/>
        <w:rPr>
          <w:rFonts w:hint="eastAsia" w:hAnsi="宋体" w:cs="宋体"/>
          <w:color w:val="auto"/>
          <w:highlight w:val="none"/>
        </w:rPr>
      </w:pPr>
    </w:p>
    <w:p w14:paraId="0FB43196">
      <w:pPr>
        <w:pStyle w:val="40"/>
        <w:adjustRightInd w:val="0"/>
        <w:snapToGrid w:val="0"/>
        <w:spacing w:line="300" w:lineRule="auto"/>
        <w:ind w:firstLine="480"/>
        <w:rPr>
          <w:rFonts w:hint="eastAsia" w:hAnsi="宋体" w:cs="宋体"/>
          <w:color w:val="auto"/>
          <w:highlight w:val="none"/>
        </w:rPr>
      </w:pPr>
    </w:p>
    <w:p w14:paraId="3A51B350">
      <w:pPr>
        <w:pStyle w:val="40"/>
        <w:adjustRightInd w:val="0"/>
        <w:snapToGrid w:val="0"/>
        <w:spacing w:line="300" w:lineRule="auto"/>
        <w:ind w:firstLine="480"/>
        <w:rPr>
          <w:rFonts w:hint="eastAsia" w:hAnsi="宋体" w:cs="宋体"/>
          <w:color w:val="auto"/>
          <w:kern w:val="0"/>
          <w:szCs w:val="21"/>
          <w:highlight w:val="none"/>
        </w:rPr>
      </w:pPr>
      <w:r>
        <w:rPr>
          <w:rFonts w:hint="eastAsia" w:hAnsi="宋体" w:cs="宋体"/>
          <w:color w:val="auto"/>
          <w:highlight w:val="none"/>
        </w:rPr>
        <w:t xml:space="preserve">日期：  </w:t>
      </w:r>
      <w:r>
        <w:rPr>
          <w:rFonts w:hint="eastAsia" w:hAnsi="宋体" w:cs="宋体"/>
          <w:color w:val="auto"/>
          <w:kern w:val="0"/>
          <w:szCs w:val="21"/>
          <w:highlight w:val="none"/>
        </w:rPr>
        <w:t>年  月  日</w:t>
      </w:r>
    </w:p>
    <w:p w14:paraId="51A05B51">
      <w:pPr>
        <w:pStyle w:val="3"/>
        <w:ind w:firstLine="422"/>
        <w:rPr>
          <w:rFonts w:ascii="Times New Roman" w:hAnsi="Times New Roman"/>
          <w:color w:val="auto"/>
          <w:kern w:val="0"/>
          <w:szCs w:val="21"/>
          <w:highlight w:val="none"/>
        </w:rPr>
      </w:pPr>
    </w:p>
    <w:p w14:paraId="7C937FBE">
      <w:pPr>
        <w:rPr>
          <w:color w:val="auto"/>
          <w:kern w:val="0"/>
          <w:szCs w:val="21"/>
          <w:highlight w:val="none"/>
        </w:rPr>
      </w:pPr>
      <w:r>
        <w:rPr>
          <w:color w:val="auto"/>
          <w:kern w:val="0"/>
          <w:szCs w:val="21"/>
          <w:highlight w:val="none"/>
        </w:rPr>
        <w:br w:type="page"/>
      </w:r>
    </w:p>
    <w:p w14:paraId="2C609103">
      <w:pPr>
        <w:rPr>
          <w:color w:val="auto"/>
          <w:kern w:val="0"/>
          <w:szCs w:val="21"/>
          <w:highlight w:val="none"/>
        </w:rPr>
      </w:pPr>
      <w:r>
        <w:rPr>
          <w:rFonts w:hint="eastAsia"/>
          <w:color w:val="auto"/>
          <w:kern w:val="0"/>
          <w:szCs w:val="21"/>
          <w:highlight w:val="none"/>
        </w:rPr>
        <w:t>附：</w:t>
      </w:r>
    </w:p>
    <w:p w14:paraId="2B20F94D">
      <w:pPr>
        <w:rPr>
          <w:color w:val="auto"/>
          <w:kern w:val="0"/>
          <w:szCs w:val="21"/>
          <w:highlight w:val="none"/>
        </w:rPr>
      </w:pPr>
    </w:p>
    <w:p w14:paraId="41E451E0">
      <w:pPr>
        <w:rPr>
          <w:color w:val="auto"/>
          <w:kern w:val="0"/>
          <w:szCs w:val="21"/>
          <w:highlight w:val="none"/>
        </w:rPr>
      </w:pPr>
    </w:p>
    <w:p w14:paraId="41252F57">
      <w:pPr>
        <w:rPr>
          <w:color w:val="auto"/>
          <w:kern w:val="0"/>
          <w:szCs w:val="21"/>
          <w:highlight w:val="none"/>
        </w:rPr>
      </w:pPr>
    </w:p>
    <w:p w14:paraId="33771D19">
      <w:pPr>
        <w:jc w:val="center"/>
        <w:rPr>
          <w:b/>
          <w:bCs/>
          <w:color w:val="auto"/>
          <w:szCs w:val="21"/>
          <w:highlight w:val="none"/>
        </w:rPr>
      </w:pPr>
      <w:r>
        <w:rPr>
          <w:rFonts w:hint="eastAsia"/>
          <w:b/>
          <w:bCs/>
          <w:color w:val="auto"/>
          <w:szCs w:val="21"/>
          <w:highlight w:val="none"/>
        </w:rPr>
        <w:t>报价说明</w:t>
      </w:r>
      <w:r>
        <w:rPr>
          <w:rFonts w:hint="eastAsia"/>
          <w:color w:val="auto"/>
          <w:szCs w:val="21"/>
          <w:highlight w:val="none"/>
        </w:rPr>
        <w:t>（适用于</w:t>
      </w:r>
      <w:r>
        <w:rPr>
          <w:rFonts w:hint="eastAsia" w:ascii="宋体" w:hAnsi="宋体" w:cs="宋体"/>
          <w:color w:val="auto"/>
          <w:szCs w:val="21"/>
          <w:highlight w:val="none"/>
        </w:rPr>
        <w:t>采购项目或者采购标项中含有多种产品</w:t>
      </w:r>
      <w:r>
        <w:rPr>
          <w:rFonts w:hint="eastAsia"/>
          <w:color w:val="auto"/>
          <w:szCs w:val="21"/>
          <w:highlight w:val="none"/>
        </w:rPr>
        <w:t>）</w:t>
      </w:r>
    </w:p>
    <w:p w14:paraId="2A9AA5D5">
      <w:pPr>
        <w:widowControl/>
        <w:snapToGrid w:val="0"/>
        <w:spacing w:line="360" w:lineRule="auto"/>
        <w:ind w:firstLine="420" w:firstLineChars="200"/>
        <w:rPr>
          <w:color w:val="auto"/>
          <w:szCs w:val="21"/>
          <w:highlight w:val="none"/>
        </w:rPr>
      </w:pPr>
    </w:p>
    <w:p w14:paraId="6266C609">
      <w:pPr>
        <w:widowControl/>
        <w:snapToGrid w:val="0"/>
        <w:spacing w:line="360" w:lineRule="auto"/>
        <w:ind w:firstLine="420" w:firstLineChars="200"/>
        <w:rPr>
          <w:color w:val="auto"/>
          <w:szCs w:val="21"/>
          <w:highlight w:val="none"/>
          <w:u w:val="single"/>
        </w:rPr>
      </w:pPr>
      <w:r>
        <w:rPr>
          <w:rFonts w:hint="eastAsia"/>
          <w:color w:val="auto"/>
          <w:szCs w:val="21"/>
          <w:highlight w:val="none"/>
        </w:rPr>
        <w:t>本项目我单位提供的产品中，</w:t>
      </w:r>
      <w:r>
        <w:rPr>
          <w:color w:val="auto"/>
          <w:szCs w:val="21"/>
          <w:highlight w:val="none"/>
        </w:rPr>
        <w:t>符合本国产品标准的产品成本之和占全部产品成本之和</w:t>
      </w:r>
      <w:r>
        <w:rPr>
          <w:rFonts w:hint="eastAsia"/>
          <w:color w:val="auto"/>
          <w:szCs w:val="21"/>
          <w:highlight w:val="none"/>
        </w:rPr>
        <w:t>的比例为</w:t>
      </w:r>
      <w:r>
        <w:rPr>
          <w:rFonts w:hint="eastAsia"/>
          <w:color w:val="auto"/>
          <w:szCs w:val="21"/>
          <w:highlight w:val="none"/>
          <w:u w:val="single"/>
        </w:rPr>
        <w:t xml:space="preserve">    %，特此说明。</w:t>
      </w:r>
    </w:p>
    <w:p w14:paraId="030FEFA2">
      <w:pPr>
        <w:widowControl/>
        <w:snapToGrid w:val="0"/>
        <w:spacing w:line="360" w:lineRule="auto"/>
        <w:ind w:firstLine="420" w:firstLineChars="200"/>
        <w:rPr>
          <w:color w:val="auto"/>
          <w:szCs w:val="21"/>
          <w:highlight w:val="none"/>
        </w:rPr>
      </w:pPr>
    </w:p>
    <w:p w14:paraId="79CE3B89">
      <w:pPr>
        <w:pStyle w:val="40"/>
        <w:adjustRightInd w:val="0"/>
        <w:snapToGrid w:val="0"/>
        <w:spacing w:line="300" w:lineRule="auto"/>
        <w:ind w:firstLine="480"/>
        <w:rPr>
          <w:rFonts w:ascii="Times New Roman" w:hAnsi="Times New Roman"/>
          <w:color w:val="auto"/>
          <w:szCs w:val="21"/>
          <w:highlight w:val="none"/>
        </w:rPr>
      </w:pPr>
      <w:r>
        <w:rPr>
          <w:rFonts w:hint="eastAsia" w:ascii="Times New Roman" w:hAnsi="Times New Roman"/>
          <w:color w:val="auto"/>
          <w:szCs w:val="21"/>
          <w:highlight w:val="none"/>
        </w:rPr>
        <w:t>供应商</w:t>
      </w:r>
      <w:r>
        <w:rPr>
          <w:rFonts w:ascii="Times New Roman" w:hAnsi="Times New Roman"/>
          <w:color w:val="auto"/>
          <w:szCs w:val="21"/>
          <w:highlight w:val="none"/>
        </w:rPr>
        <w:t>全称（</w:t>
      </w:r>
      <w:r>
        <w:rPr>
          <w:rFonts w:hint="eastAsia" w:ascii="Times New Roman" w:hAnsi="Times New Roman"/>
          <w:color w:val="auto"/>
          <w:szCs w:val="21"/>
          <w:highlight w:val="none"/>
        </w:rPr>
        <w:t>盖单位公章或电子签章</w:t>
      </w:r>
      <w:r>
        <w:rPr>
          <w:rFonts w:ascii="Times New Roman" w:hAnsi="Times New Roman"/>
          <w:color w:val="auto"/>
          <w:szCs w:val="21"/>
          <w:highlight w:val="none"/>
        </w:rPr>
        <w:t>）：</w:t>
      </w:r>
    </w:p>
    <w:p w14:paraId="0153CC93">
      <w:pPr>
        <w:pStyle w:val="40"/>
        <w:adjustRightInd w:val="0"/>
        <w:snapToGrid w:val="0"/>
        <w:spacing w:line="300" w:lineRule="auto"/>
        <w:ind w:firstLine="480"/>
        <w:rPr>
          <w:rFonts w:ascii="Times New Roman" w:hAnsi="Times New Roman"/>
          <w:color w:val="auto"/>
          <w:szCs w:val="21"/>
          <w:highlight w:val="none"/>
        </w:rPr>
      </w:pPr>
    </w:p>
    <w:p w14:paraId="5F4A0A8D">
      <w:pPr>
        <w:pStyle w:val="40"/>
        <w:adjustRightInd w:val="0"/>
        <w:snapToGrid w:val="0"/>
        <w:spacing w:line="300" w:lineRule="auto"/>
        <w:ind w:firstLine="480"/>
        <w:rPr>
          <w:rFonts w:ascii="Times New Roman" w:hAnsi="Times New Roman"/>
          <w:color w:val="auto"/>
          <w:szCs w:val="21"/>
          <w:highlight w:val="none"/>
        </w:rPr>
      </w:pPr>
    </w:p>
    <w:p w14:paraId="3F1BF139">
      <w:pPr>
        <w:widowControl/>
        <w:snapToGrid w:val="0"/>
        <w:spacing w:line="360" w:lineRule="auto"/>
        <w:ind w:firstLine="420" w:firstLineChars="200"/>
        <w:rPr>
          <w:color w:val="auto"/>
          <w:szCs w:val="21"/>
          <w:highlight w:val="none"/>
        </w:rPr>
      </w:pPr>
      <w:r>
        <w:rPr>
          <w:color w:val="auto"/>
          <w:szCs w:val="21"/>
          <w:highlight w:val="none"/>
        </w:rPr>
        <w:t xml:space="preserve">日期：  </w:t>
      </w:r>
      <w:r>
        <w:rPr>
          <w:color w:val="auto"/>
          <w:kern w:val="0"/>
          <w:szCs w:val="21"/>
          <w:highlight w:val="none"/>
        </w:rPr>
        <w:t>年  月  日</w:t>
      </w:r>
    </w:p>
    <w:p w14:paraId="65D68D2E">
      <w:pPr>
        <w:widowControl/>
        <w:snapToGrid w:val="0"/>
        <w:spacing w:line="360" w:lineRule="auto"/>
        <w:ind w:firstLine="420" w:firstLineChars="200"/>
        <w:rPr>
          <w:color w:val="auto"/>
          <w:szCs w:val="21"/>
          <w:highlight w:val="none"/>
        </w:rPr>
      </w:pPr>
    </w:p>
    <w:p w14:paraId="6DCACF6F">
      <w:pPr>
        <w:widowControl/>
        <w:snapToGrid w:val="0"/>
        <w:spacing w:line="360" w:lineRule="auto"/>
        <w:ind w:firstLine="420" w:firstLineChars="200"/>
        <w:rPr>
          <w:color w:val="auto"/>
          <w:szCs w:val="21"/>
          <w:highlight w:val="none"/>
        </w:rPr>
      </w:pPr>
    </w:p>
    <w:p w14:paraId="6195BDA9">
      <w:pPr>
        <w:pStyle w:val="40"/>
        <w:adjustRightInd w:val="0"/>
        <w:snapToGrid w:val="0"/>
        <w:spacing w:line="300" w:lineRule="auto"/>
        <w:ind w:firstLine="480"/>
        <w:rPr>
          <w:rFonts w:ascii="Times New Roman" w:hAnsi="Times New Roman"/>
          <w:color w:val="auto"/>
          <w:kern w:val="0"/>
          <w:szCs w:val="21"/>
          <w:highlight w:val="none"/>
        </w:rPr>
      </w:pPr>
      <w:r>
        <w:rPr>
          <w:rFonts w:hint="eastAsia" w:hAnsi="宋体" w:cs="宋体"/>
          <w:color w:val="auto"/>
          <w:szCs w:val="21"/>
          <w:highlight w:val="none"/>
        </w:rPr>
        <w:t>注：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69627F90">
      <w:pPr>
        <w:rPr>
          <w:color w:val="auto"/>
          <w:highlight w:val="none"/>
        </w:rPr>
      </w:pPr>
    </w:p>
    <w:p w14:paraId="5BE30692">
      <w:pPr>
        <w:pStyle w:val="3"/>
        <w:ind w:firstLine="422"/>
        <w:rPr>
          <w:rFonts w:ascii="Times New Roman" w:hAnsi="Times New Roman"/>
          <w:color w:val="auto"/>
          <w:kern w:val="0"/>
          <w:szCs w:val="21"/>
          <w:highlight w:val="none"/>
        </w:rPr>
      </w:pPr>
      <w:r>
        <w:rPr>
          <w:rFonts w:ascii="Times New Roman" w:hAnsi="Times New Roman"/>
          <w:color w:val="auto"/>
          <w:kern w:val="0"/>
          <w:szCs w:val="21"/>
          <w:highlight w:val="none"/>
        </w:rPr>
        <w:br w:type="page"/>
      </w:r>
      <w:r>
        <w:rPr>
          <w:rFonts w:ascii="Times New Roman" w:hAnsi="Times New Roman"/>
          <w:color w:val="auto"/>
          <w:kern w:val="0"/>
          <w:szCs w:val="21"/>
          <w:highlight w:val="none"/>
        </w:rPr>
        <w:t>3</w:t>
      </w:r>
      <w:r>
        <w:rPr>
          <w:rFonts w:ascii="Times New Roman" w:hAnsi="Times New Roman"/>
          <w:color w:val="auto"/>
          <w:highlight w:val="none"/>
        </w:rPr>
        <w:t>、</w:t>
      </w:r>
      <w:r>
        <w:rPr>
          <w:rFonts w:ascii="Times New Roman" w:hAnsi="Times New Roman"/>
          <w:color w:val="auto"/>
          <w:highlight w:val="none"/>
        </w:rPr>
        <w:tab/>
      </w:r>
      <w:r>
        <w:rPr>
          <w:rFonts w:ascii="Times New Roman" w:hAnsi="Times New Roman"/>
          <w:color w:val="auto"/>
          <w:highlight w:val="none"/>
        </w:rPr>
        <w:tab/>
      </w:r>
      <w:r>
        <w:rPr>
          <w:rFonts w:hint="eastAsia" w:ascii="Times New Roman" w:hAnsi="Times New Roman"/>
          <w:color w:val="auto"/>
          <w:highlight w:val="none"/>
        </w:rPr>
        <w:t>供应商</w:t>
      </w:r>
      <w:r>
        <w:rPr>
          <w:rFonts w:ascii="Times New Roman" w:hAnsi="Times New Roman"/>
          <w:color w:val="auto"/>
          <w:highlight w:val="none"/>
        </w:rPr>
        <w:t>认为有必要提供的其它文件</w:t>
      </w:r>
    </w:p>
    <w:p w14:paraId="011BEB94">
      <w:pPr>
        <w:pStyle w:val="3"/>
        <w:ind w:firstLine="413" w:firstLineChars="196"/>
        <w:rPr>
          <w:rFonts w:ascii="Times New Roman" w:hAnsi="Times New Roman"/>
          <w:color w:val="auto"/>
          <w:highlight w:val="none"/>
        </w:rPr>
      </w:pPr>
      <w:r>
        <w:rPr>
          <w:rFonts w:ascii="Times New Roman" w:hAnsi="Times New Roman"/>
          <w:color w:val="auto"/>
          <w:kern w:val="0"/>
          <w:szCs w:val="21"/>
          <w:highlight w:val="none"/>
        </w:rPr>
        <w:br w:type="page"/>
      </w:r>
      <w:bookmarkStart w:id="42" w:name="_Toc437953149"/>
      <w:bookmarkStart w:id="43" w:name="_Toc336683578"/>
      <w:bookmarkStart w:id="44" w:name="_Toc345575538"/>
      <w:r>
        <w:rPr>
          <w:rFonts w:hint="eastAsia" w:ascii="Times New Roman" w:hAnsi="Times New Roman"/>
          <w:color w:val="auto"/>
          <w:kern w:val="0"/>
          <w:highlight w:val="none"/>
        </w:rPr>
        <w:t>资格文件</w:t>
      </w:r>
      <w:r>
        <w:rPr>
          <w:rFonts w:ascii="Times New Roman" w:hAnsi="Times New Roman"/>
          <w:color w:val="auto"/>
          <w:kern w:val="0"/>
          <w:highlight w:val="none"/>
        </w:rPr>
        <w:t>封面</w:t>
      </w:r>
      <w:bookmarkEnd w:id="42"/>
    </w:p>
    <w:p w14:paraId="3BE8D512">
      <w:pPr>
        <w:tabs>
          <w:tab w:val="left" w:pos="2580"/>
          <w:tab w:val="left" w:pos="5940"/>
        </w:tabs>
        <w:autoSpaceDE w:val="0"/>
        <w:autoSpaceDN w:val="0"/>
        <w:adjustRightInd w:val="0"/>
        <w:snapToGrid w:val="0"/>
        <w:spacing w:line="300" w:lineRule="auto"/>
        <w:ind w:right="-20" w:firstLine="735" w:firstLineChars="350"/>
        <w:rPr>
          <w:color w:val="auto"/>
          <w:highlight w:val="none"/>
        </w:rPr>
      </w:pPr>
    </w:p>
    <w:p w14:paraId="2F1E9F62">
      <w:pPr>
        <w:tabs>
          <w:tab w:val="left" w:pos="2580"/>
          <w:tab w:val="left" w:pos="5940"/>
        </w:tabs>
        <w:autoSpaceDE w:val="0"/>
        <w:autoSpaceDN w:val="0"/>
        <w:adjustRightInd w:val="0"/>
        <w:snapToGrid w:val="0"/>
        <w:spacing w:line="300" w:lineRule="auto"/>
        <w:ind w:right="-20"/>
        <w:jc w:val="right"/>
        <w:rPr>
          <w:color w:val="auto"/>
          <w:kern w:val="0"/>
          <w:sz w:val="28"/>
          <w:highlight w:val="none"/>
        </w:rPr>
      </w:pPr>
    </w:p>
    <w:p w14:paraId="66225F1D">
      <w:pPr>
        <w:tabs>
          <w:tab w:val="left" w:pos="2580"/>
          <w:tab w:val="left" w:pos="5940"/>
        </w:tabs>
        <w:autoSpaceDE w:val="0"/>
        <w:autoSpaceDN w:val="0"/>
        <w:adjustRightInd w:val="0"/>
        <w:snapToGrid w:val="0"/>
        <w:spacing w:line="300" w:lineRule="auto"/>
        <w:ind w:right="-20"/>
        <w:jc w:val="right"/>
        <w:rPr>
          <w:color w:val="auto"/>
          <w:kern w:val="0"/>
          <w:sz w:val="28"/>
          <w:highlight w:val="none"/>
        </w:rPr>
      </w:pPr>
      <w:r>
        <w:rPr>
          <w:color w:val="auto"/>
          <w:kern w:val="0"/>
          <w:sz w:val="28"/>
          <w:highlight w:val="none"/>
        </w:rPr>
        <w:t>正本/副本</w:t>
      </w:r>
    </w:p>
    <w:p w14:paraId="6716ECCF">
      <w:pPr>
        <w:tabs>
          <w:tab w:val="left" w:pos="2580"/>
          <w:tab w:val="left" w:pos="5940"/>
        </w:tabs>
        <w:autoSpaceDE w:val="0"/>
        <w:autoSpaceDN w:val="0"/>
        <w:adjustRightInd w:val="0"/>
        <w:snapToGrid w:val="0"/>
        <w:spacing w:line="300" w:lineRule="auto"/>
        <w:ind w:right="-20"/>
        <w:rPr>
          <w:color w:val="auto"/>
          <w:kern w:val="0"/>
          <w:sz w:val="24"/>
          <w:highlight w:val="none"/>
        </w:rPr>
      </w:pPr>
    </w:p>
    <w:p w14:paraId="32EBF2C8">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项目名称：</w:t>
      </w:r>
      <w:r>
        <w:rPr>
          <w:color w:val="auto"/>
          <w:kern w:val="0"/>
          <w:sz w:val="24"/>
          <w:highlight w:val="none"/>
          <w:u w:val="single"/>
        </w:rPr>
        <w:t xml:space="preserve">                         </w:t>
      </w:r>
    </w:p>
    <w:p w14:paraId="3F2B80C5">
      <w:pPr>
        <w:tabs>
          <w:tab w:val="left" w:pos="2580"/>
          <w:tab w:val="left" w:pos="5940"/>
        </w:tabs>
        <w:autoSpaceDE w:val="0"/>
        <w:autoSpaceDN w:val="0"/>
        <w:adjustRightInd w:val="0"/>
        <w:snapToGrid w:val="0"/>
        <w:spacing w:line="300" w:lineRule="auto"/>
        <w:ind w:right="-20"/>
        <w:rPr>
          <w:color w:val="auto"/>
          <w:kern w:val="0"/>
          <w:sz w:val="24"/>
          <w:highlight w:val="none"/>
        </w:rPr>
      </w:pPr>
    </w:p>
    <w:p w14:paraId="752B64F0">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项目编号：</w:t>
      </w:r>
      <w:r>
        <w:rPr>
          <w:color w:val="auto"/>
          <w:kern w:val="0"/>
          <w:sz w:val="24"/>
          <w:highlight w:val="none"/>
          <w:u w:val="single"/>
        </w:rPr>
        <w:t xml:space="preserve">                         </w:t>
      </w:r>
    </w:p>
    <w:p w14:paraId="28D2D9EB">
      <w:pPr>
        <w:tabs>
          <w:tab w:val="left" w:pos="2580"/>
          <w:tab w:val="left" w:pos="5940"/>
        </w:tabs>
        <w:autoSpaceDE w:val="0"/>
        <w:autoSpaceDN w:val="0"/>
        <w:adjustRightInd w:val="0"/>
        <w:snapToGrid w:val="0"/>
        <w:spacing w:line="300" w:lineRule="auto"/>
        <w:ind w:right="-20"/>
        <w:rPr>
          <w:color w:val="auto"/>
          <w:kern w:val="0"/>
          <w:sz w:val="24"/>
          <w:highlight w:val="none"/>
        </w:rPr>
      </w:pPr>
    </w:p>
    <w:p w14:paraId="7155C443">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标项序号及标项内容：</w:t>
      </w:r>
      <w:r>
        <w:rPr>
          <w:color w:val="auto"/>
          <w:kern w:val="0"/>
          <w:sz w:val="24"/>
          <w:highlight w:val="none"/>
          <w:u w:val="single"/>
        </w:rPr>
        <w:t xml:space="preserve">               </w:t>
      </w:r>
    </w:p>
    <w:p w14:paraId="6C771326">
      <w:pPr>
        <w:autoSpaceDE w:val="0"/>
        <w:autoSpaceDN w:val="0"/>
        <w:adjustRightInd w:val="0"/>
        <w:snapToGrid w:val="0"/>
        <w:spacing w:line="300" w:lineRule="auto"/>
        <w:jc w:val="left"/>
        <w:rPr>
          <w:color w:val="auto"/>
          <w:kern w:val="0"/>
          <w:sz w:val="24"/>
          <w:highlight w:val="none"/>
        </w:rPr>
      </w:pPr>
    </w:p>
    <w:p w14:paraId="2462B42A">
      <w:pPr>
        <w:autoSpaceDE w:val="0"/>
        <w:autoSpaceDN w:val="0"/>
        <w:adjustRightInd w:val="0"/>
        <w:snapToGrid w:val="0"/>
        <w:spacing w:line="300" w:lineRule="auto"/>
        <w:jc w:val="left"/>
        <w:rPr>
          <w:color w:val="auto"/>
          <w:kern w:val="0"/>
          <w:sz w:val="24"/>
          <w:highlight w:val="none"/>
        </w:rPr>
      </w:pPr>
    </w:p>
    <w:p w14:paraId="464D6026">
      <w:pPr>
        <w:autoSpaceDE w:val="0"/>
        <w:autoSpaceDN w:val="0"/>
        <w:adjustRightInd w:val="0"/>
        <w:snapToGrid w:val="0"/>
        <w:spacing w:line="300" w:lineRule="auto"/>
        <w:jc w:val="left"/>
        <w:rPr>
          <w:color w:val="auto"/>
          <w:kern w:val="0"/>
          <w:sz w:val="24"/>
          <w:highlight w:val="none"/>
        </w:rPr>
      </w:pPr>
    </w:p>
    <w:p w14:paraId="322E07E8">
      <w:pPr>
        <w:autoSpaceDE w:val="0"/>
        <w:autoSpaceDN w:val="0"/>
        <w:adjustRightInd w:val="0"/>
        <w:snapToGrid w:val="0"/>
        <w:spacing w:line="300" w:lineRule="auto"/>
        <w:jc w:val="left"/>
        <w:rPr>
          <w:color w:val="auto"/>
          <w:kern w:val="0"/>
          <w:sz w:val="24"/>
          <w:highlight w:val="none"/>
        </w:rPr>
      </w:pPr>
    </w:p>
    <w:p w14:paraId="0B1DBF74">
      <w:pPr>
        <w:autoSpaceDE w:val="0"/>
        <w:autoSpaceDN w:val="0"/>
        <w:adjustRightInd w:val="0"/>
        <w:snapToGrid w:val="0"/>
        <w:spacing w:line="300" w:lineRule="auto"/>
        <w:jc w:val="left"/>
        <w:rPr>
          <w:color w:val="auto"/>
          <w:kern w:val="0"/>
          <w:sz w:val="24"/>
          <w:highlight w:val="none"/>
        </w:rPr>
      </w:pPr>
    </w:p>
    <w:p w14:paraId="329C7162">
      <w:pPr>
        <w:tabs>
          <w:tab w:val="left" w:pos="1805"/>
          <w:tab w:val="left" w:pos="5360"/>
        </w:tabs>
        <w:autoSpaceDE w:val="0"/>
        <w:autoSpaceDN w:val="0"/>
        <w:adjustRightInd w:val="0"/>
        <w:snapToGrid w:val="0"/>
        <w:spacing w:line="300" w:lineRule="auto"/>
        <w:ind w:right="-20"/>
        <w:jc w:val="center"/>
        <w:rPr>
          <w:color w:val="auto"/>
          <w:kern w:val="0"/>
          <w:sz w:val="96"/>
          <w:highlight w:val="none"/>
        </w:rPr>
      </w:pPr>
      <w:r>
        <w:rPr>
          <w:color w:val="auto"/>
          <w:kern w:val="0"/>
          <w:sz w:val="96"/>
          <w:highlight w:val="none"/>
        </w:rPr>
        <w:t>投标文件</w:t>
      </w:r>
    </w:p>
    <w:p w14:paraId="381610F2">
      <w:pPr>
        <w:tabs>
          <w:tab w:val="left" w:pos="1805"/>
          <w:tab w:val="left" w:pos="5360"/>
        </w:tabs>
        <w:autoSpaceDE w:val="0"/>
        <w:autoSpaceDN w:val="0"/>
        <w:adjustRightInd w:val="0"/>
        <w:snapToGrid w:val="0"/>
        <w:spacing w:line="300" w:lineRule="auto"/>
        <w:ind w:right="-20"/>
        <w:jc w:val="center"/>
        <w:rPr>
          <w:color w:val="auto"/>
          <w:kern w:val="0"/>
          <w:sz w:val="72"/>
          <w:highlight w:val="none"/>
        </w:rPr>
      </w:pPr>
      <w:r>
        <w:rPr>
          <w:color w:val="auto"/>
          <w:kern w:val="0"/>
          <w:sz w:val="52"/>
          <w:highlight w:val="none"/>
        </w:rPr>
        <w:t>（</w:t>
      </w:r>
      <w:r>
        <w:rPr>
          <w:rFonts w:hint="eastAsia"/>
          <w:color w:val="auto"/>
          <w:kern w:val="0"/>
          <w:sz w:val="52"/>
          <w:highlight w:val="none"/>
        </w:rPr>
        <w:t>资格文件</w:t>
      </w:r>
      <w:r>
        <w:rPr>
          <w:color w:val="auto"/>
          <w:kern w:val="0"/>
          <w:sz w:val="52"/>
          <w:highlight w:val="none"/>
        </w:rPr>
        <w:t>）</w:t>
      </w:r>
    </w:p>
    <w:p w14:paraId="3F527C8C">
      <w:pPr>
        <w:autoSpaceDE w:val="0"/>
        <w:autoSpaceDN w:val="0"/>
        <w:adjustRightInd w:val="0"/>
        <w:snapToGrid w:val="0"/>
        <w:spacing w:line="300" w:lineRule="auto"/>
        <w:jc w:val="left"/>
        <w:rPr>
          <w:color w:val="auto"/>
          <w:kern w:val="0"/>
          <w:sz w:val="16"/>
          <w:highlight w:val="none"/>
        </w:rPr>
      </w:pPr>
    </w:p>
    <w:p w14:paraId="72C91AC6">
      <w:pPr>
        <w:autoSpaceDE w:val="0"/>
        <w:autoSpaceDN w:val="0"/>
        <w:adjustRightInd w:val="0"/>
        <w:snapToGrid w:val="0"/>
        <w:spacing w:line="300" w:lineRule="auto"/>
        <w:jc w:val="left"/>
        <w:rPr>
          <w:color w:val="auto"/>
          <w:kern w:val="0"/>
          <w:sz w:val="20"/>
          <w:highlight w:val="none"/>
        </w:rPr>
      </w:pPr>
    </w:p>
    <w:p w14:paraId="7D89FE1F">
      <w:pPr>
        <w:autoSpaceDE w:val="0"/>
        <w:autoSpaceDN w:val="0"/>
        <w:adjustRightInd w:val="0"/>
        <w:snapToGrid w:val="0"/>
        <w:spacing w:line="300" w:lineRule="auto"/>
        <w:jc w:val="left"/>
        <w:rPr>
          <w:color w:val="auto"/>
          <w:kern w:val="0"/>
          <w:sz w:val="20"/>
          <w:highlight w:val="none"/>
        </w:rPr>
      </w:pPr>
    </w:p>
    <w:p w14:paraId="2409933C">
      <w:pPr>
        <w:autoSpaceDE w:val="0"/>
        <w:autoSpaceDN w:val="0"/>
        <w:adjustRightInd w:val="0"/>
        <w:snapToGrid w:val="0"/>
        <w:spacing w:line="300" w:lineRule="auto"/>
        <w:jc w:val="left"/>
        <w:rPr>
          <w:color w:val="auto"/>
          <w:kern w:val="0"/>
          <w:sz w:val="20"/>
          <w:highlight w:val="none"/>
        </w:rPr>
      </w:pPr>
    </w:p>
    <w:p w14:paraId="7D7413DA">
      <w:pPr>
        <w:autoSpaceDE w:val="0"/>
        <w:autoSpaceDN w:val="0"/>
        <w:adjustRightInd w:val="0"/>
        <w:snapToGrid w:val="0"/>
        <w:spacing w:line="300" w:lineRule="auto"/>
        <w:jc w:val="left"/>
        <w:rPr>
          <w:color w:val="auto"/>
          <w:kern w:val="0"/>
          <w:sz w:val="20"/>
          <w:highlight w:val="none"/>
        </w:rPr>
      </w:pPr>
    </w:p>
    <w:p w14:paraId="0FE03FC7">
      <w:pPr>
        <w:autoSpaceDE w:val="0"/>
        <w:autoSpaceDN w:val="0"/>
        <w:adjustRightInd w:val="0"/>
        <w:snapToGrid w:val="0"/>
        <w:spacing w:line="300" w:lineRule="auto"/>
        <w:jc w:val="left"/>
        <w:rPr>
          <w:color w:val="auto"/>
          <w:kern w:val="0"/>
          <w:sz w:val="20"/>
          <w:highlight w:val="none"/>
        </w:rPr>
      </w:pPr>
    </w:p>
    <w:p w14:paraId="6F695720">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rFonts w:hint="eastAsia"/>
          <w:color w:val="auto"/>
          <w:kern w:val="0"/>
          <w:sz w:val="28"/>
          <w:highlight w:val="none"/>
        </w:rPr>
        <w:t>供应商</w:t>
      </w:r>
      <w:r>
        <w:rPr>
          <w:color w:val="auto"/>
          <w:kern w:val="0"/>
          <w:sz w:val="28"/>
          <w:highlight w:val="none"/>
        </w:rPr>
        <w:t>：</w:t>
      </w:r>
      <w:r>
        <w:rPr>
          <w:color w:val="auto"/>
          <w:kern w:val="0"/>
          <w:sz w:val="28"/>
          <w:highlight w:val="none"/>
          <w:u w:val="single"/>
        </w:rPr>
        <w:t xml:space="preserve">                    </w:t>
      </w:r>
      <w:r>
        <w:rPr>
          <w:color w:val="auto"/>
          <w:kern w:val="0"/>
          <w:sz w:val="28"/>
          <w:highlight w:val="none"/>
        </w:rPr>
        <w:t>（</w:t>
      </w:r>
      <w:r>
        <w:rPr>
          <w:rFonts w:hint="eastAsia"/>
          <w:color w:val="auto"/>
          <w:kern w:val="0"/>
          <w:sz w:val="28"/>
          <w:highlight w:val="none"/>
        </w:rPr>
        <w:t>盖单位公章或电子签章</w:t>
      </w:r>
      <w:r>
        <w:rPr>
          <w:color w:val="auto"/>
          <w:kern w:val="0"/>
          <w:sz w:val="28"/>
          <w:highlight w:val="none"/>
        </w:rPr>
        <w:t>）</w:t>
      </w:r>
    </w:p>
    <w:p w14:paraId="554C0D85">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14063528">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399AC2D7">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color w:val="auto"/>
          <w:kern w:val="0"/>
          <w:sz w:val="28"/>
          <w:highlight w:val="none"/>
        </w:rPr>
        <w:t>日期：   年  月  日</w:t>
      </w:r>
    </w:p>
    <w:p w14:paraId="5FDFA62E">
      <w:pPr>
        <w:tabs>
          <w:tab w:val="left" w:pos="6080"/>
          <w:tab w:val="left" w:pos="6640"/>
        </w:tabs>
        <w:autoSpaceDE w:val="0"/>
        <w:autoSpaceDN w:val="0"/>
        <w:adjustRightInd w:val="0"/>
        <w:snapToGrid w:val="0"/>
        <w:spacing w:line="300" w:lineRule="auto"/>
        <w:ind w:right="403"/>
        <w:jc w:val="center"/>
        <w:rPr>
          <w:color w:val="auto"/>
          <w:kern w:val="0"/>
          <w:sz w:val="28"/>
          <w:highlight w:val="none"/>
        </w:rPr>
      </w:pPr>
      <w:r>
        <w:rPr>
          <w:color w:val="auto"/>
          <w:kern w:val="0"/>
          <w:sz w:val="28"/>
          <w:highlight w:val="none"/>
        </w:rPr>
        <w:br w:type="page"/>
      </w:r>
      <w:r>
        <w:rPr>
          <w:color w:val="auto"/>
          <w:kern w:val="0"/>
          <w:sz w:val="28"/>
          <w:highlight w:val="none"/>
        </w:rPr>
        <w:t>目录</w:t>
      </w:r>
    </w:p>
    <w:bookmarkEnd w:id="43"/>
    <w:bookmarkEnd w:id="44"/>
    <w:p w14:paraId="0EA23629">
      <w:pPr>
        <w:pStyle w:val="142"/>
        <w:snapToGrid w:val="0"/>
        <w:spacing w:line="360" w:lineRule="auto"/>
        <w:ind w:firstLine="420"/>
        <w:rPr>
          <w:rFonts w:ascii="Times New Roman" w:hAnsi="Times New Roman"/>
          <w:color w:val="auto"/>
          <w:highlight w:val="none"/>
        </w:rPr>
      </w:pPr>
      <w:r>
        <w:rPr>
          <w:rFonts w:hint="eastAsia"/>
          <w:color w:val="auto"/>
          <w:highlight w:val="none"/>
        </w:rPr>
        <w:t>以联合体形式参加本项目投标的，联合体各方均应当提供如下资格证明材料。</w:t>
      </w:r>
    </w:p>
    <w:p w14:paraId="2B27EED2">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（1）符合《中华人民共和国政府采购法》第二十二条规定的相关证明材料；</w:t>
      </w:r>
    </w:p>
    <w:p w14:paraId="5D69D53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各投标人须在投标文件中出具对应证明材料。（商业信誉可提前自查，投标文件中可不提供）</w:t>
      </w:r>
    </w:p>
    <w:p w14:paraId="58829368">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a.具有独立承担民事责任能力的证明材料；</w:t>
      </w:r>
    </w:p>
    <w:p w14:paraId="4E40149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投标人须在投标文件中出具符合以下情况的证明材料复印件（五选一）：</w:t>
      </w:r>
    </w:p>
    <w:p w14:paraId="5C446E3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①　如投标人是企业（包括合伙企业），提供在工商部门注册的有效“企业法人营业执照”或“营业执照”；</w:t>
      </w:r>
    </w:p>
    <w:p w14:paraId="7F3E24D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②　如投标人是事业单位，提供有效的“事业单位法人证书”；</w:t>
      </w:r>
    </w:p>
    <w:p w14:paraId="3D330787">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③　如投标人是非企业专业服务机构的，提供执业许可证等证明文件；</w:t>
      </w:r>
    </w:p>
    <w:p w14:paraId="13AB207A">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④　如投标人是个体工商户，提供有效的“个体工商户营业执照”；</w:t>
      </w:r>
    </w:p>
    <w:p w14:paraId="6972875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⑤　如投标人是自然人，提供有效的自然人身份证明（居民身份证正反面或公安机关出具的临时居民身份证正反面或港澳台胞证或护照）。</w:t>
      </w:r>
    </w:p>
    <w:p w14:paraId="3979230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E0D3350">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b.符合参与政府采购活动资格条件的承诺函；</w:t>
      </w:r>
    </w:p>
    <w:p w14:paraId="3F17FE5D">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c.商业信誉：</w:t>
      </w:r>
    </w:p>
    <w:p w14:paraId="2A089582">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2A50B756">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对列入失信被执行人、重大税收违法案件当事人名单、政府采购严重违法失信行为记录名单的投标人，其投标将作无效标处理。</w:t>
      </w:r>
    </w:p>
    <w:p w14:paraId="1421C1C2">
      <w:pPr>
        <w:pStyle w:val="142"/>
        <w:snapToGrid w:val="0"/>
        <w:spacing w:line="360" w:lineRule="auto"/>
        <w:ind w:firstLine="420"/>
        <w:rPr>
          <w:rFonts w:ascii="Times New Roman" w:hAnsi="Times New Roman"/>
          <w:color w:val="auto"/>
          <w:highlight w:val="none"/>
        </w:rPr>
      </w:pPr>
      <w:r>
        <w:rPr>
          <w:rFonts w:hint="eastAsia"/>
          <w:color w:val="auto"/>
          <w:highlight w:val="none"/>
        </w:rPr>
        <w:t>（2）落实政府采购政策需满足的资格要求：无</w:t>
      </w:r>
    </w:p>
    <w:p w14:paraId="0B3C977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（3）特定资格条件：</w:t>
      </w:r>
      <w:r>
        <w:rPr>
          <w:rFonts w:hint="eastAsia" w:ascii="宋体" w:hAnsi="宋体" w:cs="宋体"/>
          <w:color w:val="auto"/>
          <w:highlight w:val="none"/>
        </w:rPr>
        <w:t>无</w:t>
      </w:r>
      <w:r>
        <w:rPr>
          <w:rFonts w:hint="eastAsia" w:ascii="Times New Roman" w:hAnsi="Times New Roman"/>
          <w:color w:val="auto"/>
          <w:highlight w:val="none"/>
        </w:rPr>
        <w:t>。</w:t>
      </w:r>
    </w:p>
    <w:p w14:paraId="4A750727">
      <w:pPr>
        <w:pStyle w:val="142"/>
        <w:snapToGrid w:val="0"/>
        <w:spacing w:line="360" w:lineRule="auto"/>
        <w:ind w:firstLine="420"/>
        <w:rPr>
          <w:color w:val="auto"/>
          <w:highlight w:val="none"/>
        </w:rPr>
      </w:pPr>
      <w:r>
        <w:rPr>
          <w:rFonts w:hint="eastAsia" w:ascii="Times New Roman" w:hAnsi="Times New Roman"/>
          <w:color w:val="auto"/>
          <w:highlight w:val="none"/>
        </w:rPr>
        <w:t>（4）联合协议（如为联合体投标）。</w:t>
      </w:r>
    </w:p>
    <w:p w14:paraId="5B106E22">
      <w:pPr>
        <w:pStyle w:val="74"/>
        <w:tabs>
          <w:tab w:val="left" w:pos="630"/>
          <w:tab w:val="left" w:pos="840"/>
          <w:tab w:val="left" w:pos="1050"/>
        </w:tabs>
        <w:adjustRightInd w:val="0"/>
        <w:snapToGrid w:val="0"/>
        <w:spacing w:before="0" w:beforeAutospacing="0" w:after="0" w:afterAutospacing="0" w:line="360" w:lineRule="auto"/>
        <w:rPr>
          <w:rFonts w:hint="eastAsia" w:cs="宋体"/>
          <w:bCs/>
          <w:color w:val="auto"/>
          <w:sz w:val="21"/>
          <w:szCs w:val="21"/>
          <w:highlight w:val="none"/>
        </w:rPr>
      </w:pPr>
      <w:r>
        <w:rPr>
          <w:rFonts w:ascii="Times New Roman" w:hAnsi="Times New Roman"/>
          <w:color w:val="auto"/>
          <w:highlight w:val="none"/>
        </w:rPr>
        <w:br w:type="page"/>
      </w:r>
      <w:r>
        <w:rPr>
          <w:rFonts w:hint="eastAsia" w:cs="宋体"/>
          <w:bCs/>
          <w:color w:val="auto"/>
          <w:sz w:val="21"/>
          <w:szCs w:val="21"/>
          <w:highlight w:val="none"/>
        </w:rPr>
        <w:t>基本资格条件相关证明材料</w:t>
      </w:r>
    </w:p>
    <w:p w14:paraId="2CBDBC99">
      <w:pPr>
        <w:pStyle w:val="74"/>
        <w:numPr>
          <w:ilvl w:val="0"/>
          <w:numId w:val="8"/>
        </w:numPr>
        <w:tabs>
          <w:tab w:val="left" w:pos="630"/>
          <w:tab w:val="left" w:pos="840"/>
          <w:tab w:val="left" w:pos="1050"/>
        </w:tabs>
        <w:adjustRightInd w:val="0"/>
        <w:snapToGrid w:val="0"/>
        <w:spacing w:before="0" w:beforeAutospacing="0" w:after="0" w:afterAutospacing="0" w:line="360" w:lineRule="auto"/>
        <w:ind w:hanging="5"/>
        <w:rPr>
          <w:rFonts w:hint="eastAsia" w:cs="宋体"/>
          <w:bCs/>
          <w:color w:val="auto"/>
          <w:sz w:val="21"/>
          <w:szCs w:val="21"/>
          <w:highlight w:val="none"/>
        </w:rPr>
      </w:pPr>
      <w:r>
        <w:rPr>
          <w:rFonts w:hint="eastAsia" w:cs="宋体"/>
          <w:bCs/>
          <w:color w:val="auto"/>
          <w:sz w:val="21"/>
          <w:szCs w:val="21"/>
          <w:highlight w:val="none"/>
        </w:rPr>
        <w:t>具有独立承担民事责任能力的证明材料：</w:t>
      </w:r>
    </w:p>
    <w:p w14:paraId="29BC28DE">
      <w:pPr>
        <w:pStyle w:val="74"/>
        <w:tabs>
          <w:tab w:val="left" w:pos="630"/>
          <w:tab w:val="left" w:pos="840"/>
          <w:tab w:val="left" w:pos="1050"/>
        </w:tabs>
        <w:adjustRightInd w:val="0"/>
        <w:snapToGrid w:val="0"/>
        <w:spacing w:before="0" w:beforeAutospacing="0" w:after="0" w:afterAutospacing="0" w:line="360" w:lineRule="auto"/>
        <w:ind w:left="420"/>
        <w:rPr>
          <w:rFonts w:hint="eastAsia" w:cs="宋体"/>
          <w:bCs/>
          <w:color w:val="auto"/>
          <w:sz w:val="21"/>
          <w:szCs w:val="21"/>
          <w:highlight w:val="none"/>
        </w:rPr>
      </w:pPr>
      <w:r>
        <w:rPr>
          <w:rFonts w:hint="eastAsia" w:cs="宋体"/>
          <w:bCs/>
          <w:color w:val="auto"/>
          <w:sz w:val="21"/>
          <w:szCs w:val="21"/>
          <w:highlight w:val="none"/>
        </w:rPr>
        <w:t>投标人须在投标文件中出具符合以下情况的证明材料复印件（五选一）：</w:t>
      </w:r>
    </w:p>
    <w:p w14:paraId="64BDE038">
      <w:pPr>
        <w:pStyle w:val="74"/>
        <w:numPr>
          <w:ilvl w:val="0"/>
          <w:numId w:val="9"/>
        </w:numPr>
        <w:tabs>
          <w:tab w:val="left" w:pos="312"/>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如投标人是企业（包括合伙企业），提供在工商部门注册的有效“企业法人营业执照”或“营业执照”；</w:t>
      </w:r>
    </w:p>
    <w:p w14:paraId="62801275">
      <w:pPr>
        <w:pStyle w:val="74"/>
        <w:numPr>
          <w:ilvl w:val="0"/>
          <w:numId w:val="9"/>
        </w:numPr>
        <w:tabs>
          <w:tab w:val="left" w:pos="312"/>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如投标人是事业单位，提供有效的“事业单位法人证书”；</w:t>
      </w:r>
    </w:p>
    <w:p w14:paraId="565788DD">
      <w:pPr>
        <w:pStyle w:val="74"/>
        <w:numPr>
          <w:ilvl w:val="0"/>
          <w:numId w:val="9"/>
        </w:numPr>
        <w:tabs>
          <w:tab w:val="left" w:pos="312"/>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如投标人是非企业专业服务机构的，提供执业许可证等证明文件；</w:t>
      </w:r>
    </w:p>
    <w:p w14:paraId="2BBB91A7">
      <w:pPr>
        <w:pStyle w:val="74"/>
        <w:numPr>
          <w:ilvl w:val="0"/>
          <w:numId w:val="9"/>
        </w:numPr>
        <w:tabs>
          <w:tab w:val="left" w:pos="312"/>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如投标人是个体工商户，提供有效的“个体工商户营业执照”；</w:t>
      </w:r>
    </w:p>
    <w:p w14:paraId="7E57DE5C">
      <w:pPr>
        <w:pStyle w:val="74"/>
        <w:numPr>
          <w:ilvl w:val="0"/>
          <w:numId w:val="9"/>
        </w:numPr>
        <w:tabs>
          <w:tab w:val="left" w:pos="312"/>
        </w:tabs>
        <w:adjustRightInd w:val="0"/>
        <w:snapToGrid w:val="0"/>
        <w:spacing w:before="0" w:beforeAutospacing="0" w:after="0" w:afterAutospacing="0" w:line="360" w:lineRule="auto"/>
        <w:ind w:firstLine="420" w:firstLineChars="200"/>
        <w:rPr>
          <w:rFonts w:hint="eastAsia" w:cs="宋体"/>
          <w:bCs/>
          <w:color w:val="auto"/>
          <w:sz w:val="21"/>
          <w:szCs w:val="21"/>
          <w:highlight w:val="none"/>
        </w:rPr>
      </w:pPr>
      <w:r>
        <w:rPr>
          <w:rFonts w:hint="eastAsia" w:cs="宋体"/>
          <w:bCs/>
          <w:color w:val="auto"/>
          <w:sz w:val="21"/>
          <w:szCs w:val="21"/>
          <w:highlight w:val="none"/>
        </w:rPr>
        <w:t>如投标人是自然人，提供有效的自然人身份证明（居民身份证正反面或公安机关出具的临时居民身份证正反面或港澳台胞证或护照）。</w:t>
      </w:r>
    </w:p>
    <w:p w14:paraId="7A7DB2BB">
      <w:pPr>
        <w:pStyle w:val="74"/>
        <w:tabs>
          <w:tab w:val="left" w:pos="312"/>
        </w:tabs>
        <w:adjustRightInd w:val="0"/>
        <w:snapToGrid w:val="0"/>
        <w:spacing w:before="0" w:beforeAutospacing="0" w:after="0" w:afterAutospacing="0" w:line="360" w:lineRule="auto"/>
        <w:rPr>
          <w:rFonts w:hint="eastAsia" w:cs="宋体"/>
          <w:bCs/>
          <w:color w:val="auto"/>
          <w:sz w:val="21"/>
          <w:szCs w:val="21"/>
          <w:highlight w:val="none"/>
        </w:rPr>
      </w:pPr>
    </w:p>
    <w:p w14:paraId="58C470DC">
      <w:pPr>
        <w:pStyle w:val="74"/>
        <w:tabs>
          <w:tab w:val="left" w:pos="312"/>
        </w:tabs>
        <w:adjustRightInd w:val="0"/>
        <w:snapToGrid w:val="0"/>
        <w:spacing w:before="0" w:beforeAutospacing="0" w:after="0" w:afterAutospacing="0" w:line="360" w:lineRule="auto"/>
        <w:ind w:left="420" w:leftChars="200"/>
        <w:rPr>
          <w:rFonts w:hint="eastAsia" w:cs="宋体"/>
          <w:color w:val="auto"/>
          <w:sz w:val="21"/>
          <w:szCs w:val="21"/>
          <w:highlight w:val="none"/>
        </w:rPr>
      </w:pPr>
      <w:r>
        <w:rPr>
          <w:rFonts w:hint="eastAsia" w:cs="宋体"/>
          <w:b/>
          <w:bCs/>
          <w:color w:val="auto"/>
          <w:sz w:val="21"/>
          <w:szCs w:val="21"/>
          <w:highlight w:val="none"/>
        </w:rPr>
        <w:br w:type="page"/>
      </w:r>
    </w:p>
    <w:p w14:paraId="071108F1">
      <w:pPr>
        <w:pStyle w:val="74"/>
        <w:numPr>
          <w:ilvl w:val="0"/>
          <w:numId w:val="8"/>
        </w:numPr>
        <w:tabs>
          <w:tab w:val="left" w:pos="630"/>
          <w:tab w:val="left" w:pos="840"/>
          <w:tab w:val="left" w:pos="1050"/>
        </w:tabs>
        <w:adjustRightInd w:val="0"/>
        <w:snapToGrid w:val="0"/>
        <w:spacing w:before="0" w:beforeAutospacing="0" w:after="0" w:afterAutospacing="0" w:line="360" w:lineRule="auto"/>
        <w:ind w:hanging="5"/>
        <w:rPr>
          <w:rFonts w:hint="eastAsia" w:cs="宋体"/>
          <w:color w:val="auto"/>
          <w:sz w:val="21"/>
          <w:szCs w:val="21"/>
          <w:highlight w:val="none"/>
        </w:rPr>
      </w:pPr>
      <w:r>
        <w:rPr>
          <w:rFonts w:hint="eastAsia" w:cs="宋体"/>
          <w:color w:val="auto"/>
          <w:sz w:val="21"/>
          <w:szCs w:val="21"/>
          <w:highlight w:val="none"/>
        </w:rPr>
        <w:t>符合参与政府采购活动资格条件的承诺函：</w:t>
      </w:r>
    </w:p>
    <w:p w14:paraId="24B7D94D">
      <w:pPr>
        <w:pStyle w:val="74"/>
        <w:adjustRightInd w:val="0"/>
        <w:snapToGrid w:val="0"/>
        <w:spacing w:before="0" w:beforeAutospacing="0" w:after="0" w:afterAutospacing="0" w:line="360" w:lineRule="auto"/>
        <w:ind w:left="420" w:leftChars="200"/>
        <w:rPr>
          <w:rFonts w:hint="eastAsia" w:cs="宋体"/>
          <w:color w:val="auto"/>
          <w:sz w:val="21"/>
          <w:szCs w:val="21"/>
          <w:highlight w:val="none"/>
        </w:rPr>
      </w:pPr>
    </w:p>
    <w:p w14:paraId="741BD3AF">
      <w:pPr>
        <w:pStyle w:val="74"/>
        <w:adjustRightInd w:val="0"/>
        <w:snapToGrid w:val="0"/>
        <w:spacing w:before="0" w:beforeAutospacing="0" w:after="0" w:afterAutospacing="0" w:line="360" w:lineRule="auto"/>
        <w:jc w:val="center"/>
        <w:rPr>
          <w:rFonts w:hint="eastAsia" w:cs="宋体"/>
          <w:color w:val="auto"/>
          <w:sz w:val="32"/>
          <w:szCs w:val="32"/>
          <w:highlight w:val="none"/>
        </w:rPr>
      </w:pPr>
      <w:r>
        <w:rPr>
          <w:rFonts w:hint="eastAsia" w:cs="宋体"/>
          <w:color w:val="auto"/>
          <w:sz w:val="32"/>
          <w:szCs w:val="32"/>
          <w:highlight w:val="none"/>
        </w:rPr>
        <w:t>承诺函</w:t>
      </w:r>
    </w:p>
    <w:p w14:paraId="263F2C4B">
      <w:pPr>
        <w:spacing w:line="480" w:lineRule="auto"/>
        <w:rPr>
          <w:rFonts w:hint="eastAsia" w:ascii="宋体" w:hAnsi="宋体" w:cs="宋体"/>
          <w:color w:val="auto"/>
          <w:szCs w:val="21"/>
          <w:highlight w:val="none"/>
          <w:u w:val="single"/>
        </w:rPr>
      </w:pPr>
    </w:p>
    <w:p w14:paraId="1ACE212C">
      <w:pPr>
        <w:spacing w:line="48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（采购人）：</w:t>
      </w:r>
    </w:p>
    <w:p w14:paraId="6050C100">
      <w:pPr>
        <w:pStyle w:val="74"/>
        <w:spacing w:before="0" w:beforeAutospacing="0" w:after="0" w:afterAutospacing="0" w:line="480" w:lineRule="auto"/>
        <w:ind w:firstLine="840" w:firstLineChars="400"/>
        <w:rPr>
          <w:rFonts w:hint="eastAsia" w:cs="宋体"/>
          <w:color w:val="auto"/>
          <w:sz w:val="21"/>
          <w:szCs w:val="21"/>
          <w:highlight w:val="none"/>
        </w:rPr>
      </w:pPr>
    </w:p>
    <w:p w14:paraId="1BD539C3">
      <w:pPr>
        <w:pStyle w:val="74"/>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w:t>
      </w:r>
      <w:r>
        <w:rPr>
          <w:rFonts w:hint="eastAsia" w:cs="宋体"/>
          <w:color w:val="auto"/>
          <w:sz w:val="21"/>
          <w:szCs w:val="21"/>
          <w:highlight w:val="none"/>
          <w:u w:val="single"/>
        </w:rPr>
        <w:t xml:space="preserve">    </w:t>
      </w:r>
      <w:r>
        <w:rPr>
          <w:rFonts w:hint="eastAsia" w:cs="宋体"/>
          <w:i/>
          <w:iCs/>
          <w:color w:val="auto"/>
          <w:sz w:val="21"/>
          <w:szCs w:val="21"/>
          <w:highlight w:val="none"/>
          <w:u w:val="single"/>
        </w:rPr>
        <w:t>（投标人全称）</w:t>
      </w:r>
      <w:r>
        <w:rPr>
          <w:rFonts w:hint="eastAsia" w:cs="宋体"/>
          <w:color w:val="auto"/>
          <w:sz w:val="21"/>
          <w:szCs w:val="21"/>
          <w:highlight w:val="none"/>
          <w:u w:val="single"/>
        </w:rPr>
        <w:t xml:space="preserve">  </w:t>
      </w:r>
      <w:r>
        <w:rPr>
          <w:rFonts w:hint="eastAsia" w:cs="宋体"/>
          <w:color w:val="auto"/>
          <w:sz w:val="21"/>
          <w:szCs w:val="21"/>
          <w:highlight w:val="none"/>
        </w:rPr>
        <w:t>参与</w:t>
      </w:r>
      <w:r>
        <w:rPr>
          <w:rFonts w:hint="eastAsia" w:cs="宋体"/>
          <w:color w:val="auto"/>
          <w:sz w:val="21"/>
          <w:szCs w:val="21"/>
          <w:highlight w:val="none"/>
          <w:u w:val="single"/>
        </w:rPr>
        <w:t xml:space="preserve">    </w:t>
      </w:r>
      <w:r>
        <w:rPr>
          <w:rFonts w:hint="eastAsia" w:cs="宋体"/>
          <w:i/>
          <w:iCs/>
          <w:color w:val="auto"/>
          <w:sz w:val="21"/>
          <w:szCs w:val="21"/>
          <w:highlight w:val="none"/>
          <w:u w:val="single"/>
        </w:rPr>
        <w:t xml:space="preserve">  （项目名称）   </w:t>
      </w:r>
      <w:r>
        <w:rPr>
          <w:rFonts w:hint="eastAsia" w:cs="宋体"/>
          <w:color w:val="auto"/>
          <w:sz w:val="21"/>
          <w:szCs w:val="21"/>
          <w:highlight w:val="none"/>
        </w:rPr>
        <w:t>政府采购活动，针对《中华人民共和国政府采购法》第二十二条所述条件做如下承诺：</w:t>
      </w:r>
    </w:p>
    <w:p w14:paraId="140F192D">
      <w:pPr>
        <w:pStyle w:val="74"/>
        <w:numPr>
          <w:ilvl w:val="0"/>
          <w:numId w:val="10"/>
        </w:numPr>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我方具有良好的商业信誉和健全的财务会计制度；</w:t>
      </w:r>
    </w:p>
    <w:p w14:paraId="5BC501D3">
      <w:pPr>
        <w:pStyle w:val="74"/>
        <w:numPr>
          <w:ilvl w:val="0"/>
          <w:numId w:val="10"/>
        </w:numPr>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我方具有履行本项目合同所必需的设备和专业技术能力；</w:t>
      </w:r>
    </w:p>
    <w:p w14:paraId="2118D45F">
      <w:pPr>
        <w:pStyle w:val="74"/>
        <w:numPr>
          <w:ilvl w:val="0"/>
          <w:numId w:val="10"/>
        </w:numPr>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我方没有缴纳税收和社会保障等方面的失信记录；</w:t>
      </w:r>
    </w:p>
    <w:p w14:paraId="101ECB27">
      <w:pPr>
        <w:pStyle w:val="74"/>
        <w:numPr>
          <w:ilvl w:val="0"/>
          <w:numId w:val="10"/>
        </w:numPr>
        <w:shd w:val="clear" w:color="auto" w:fill="FFFFFF"/>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5A4BD044">
      <w:pPr>
        <w:pStyle w:val="74"/>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我方对上述承诺内容的真实性负责。如有虚假，将依法承担相应责任。</w:t>
      </w:r>
    </w:p>
    <w:p w14:paraId="4B3FD141">
      <w:pPr>
        <w:pStyle w:val="74"/>
        <w:spacing w:before="0" w:beforeAutospacing="0" w:after="0" w:afterAutospacing="0" w:line="480" w:lineRule="auto"/>
        <w:ind w:firstLine="420" w:firstLineChars="200"/>
        <w:rPr>
          <w:rFonts w:hint="eastAsia" w:cs="宋体"/>
          <w:color w:val="auto"/>
          <w:sz w:val="21"/>
          <w:szCs w:val="21"/>
          <w:highlight w:val="none"/>
        </w:rPr>
      </w:pPr>
    </w:p>
    <w:p w14:paraId="78F697B5">
      <w:pPr>
        <w:pStyle w:val="74"/>
        <w:spacing w:before="0" w:beforeAutospacing="0" w:after="0" w:afterAutospacing="0" w:line="480" w:lineRule="auto"/>
        <w:ind w:firstLine="422" w:firstLineChars="200"/>
        <w:rPr>
          <w:rFonts w:hint="eastAsia" w:cs="宋体"/>
          <w:b/>
          <w:bCs/>
          <w:color w:val="auto"/>
          <w:sz w:val="21"/>
          <w:szCs w:val="21"/>
          <w:highlight w:val="none"/>
        </w:rPr>
      </w:pPr>
    </w:p>
    <w:p w14:paraId="6FCF9CC9">
      <w:pPr>
        <w:pStyle w:val="74"/>
        <w:spacing w:before="0" w:beforeAutospacing="0" w:after="0" w:afterAutospacing="0" w:line="480" w:lineRule="auto"/>
        <w:ind w:firstLine="420" w:firstLineChars="200"/>
        <w:rPr>
          <w:rFonts w:hint="eastAsia" w:cs="宋体"/>
          <w:color w:val="auto"/>
          <w:sz w:val="21"/>
          <w:szCs w:val="21"/>
          <w:highlight w:val="none"/>
        </w:rPr>
      </w:pPr>
      <w:r>
        <w:rPr>
          <w:rFonts w:hint="eastAsia" w:cs="宋体"/>
          <w:color w:val="auto"/>
          <w:sz w:val="21"/>
          <w:szCs w:val="21"/>
          <w:highlight w:val="none"/>
        </w:rPr>
        <w:t>供应商名称（盖单位公章或电子签章）：</w:t>
      </w:r>
    </w:p>
    <w:p w14:paraId="306A69CB">
      <w:pPr>
        <w:pStyle w:val="3"/>
        <w:ind w:firstLine="411" w:firstLineChars="196"/>
        <w:rPr>
          <w:rFonts w:ascii="Times New Roman" w:hAnsi="Times New Roman"/>
          <w:color w:val="auto"/>
          <w:highlight w:val="none"/>
        </w:rPr>
      </w:pPr>
      <w:r>
        <w:rPr>
          <w:rFonts w:hint="eastAsia" w:ascii="宋体" w:hAnsi="宋体" w:cs="宋体"/>
          <w:b w:val="0"/>
          <w:bCs w:val="0"/>
          <w:color w:val="auto"/>
          <w:szCs w:val="21"/>
          <w:highlight w:val="none"/>
        </w:rPr>
        <w:t xml:space="preserve">日期：  年  月  日    </w:t>
      </w:r>
    </w:p>
    <w:p w14:paraId="051E7E4F">
      <w:pPr>
        <w:ind w:firstLine="420" w:firstLineChars="200"/>
        <w:rPr>
          <w:color w:val="auto"/>
          <w:highlight w:val="none"/>
        </w:rPr>
      </w:pPr>
      <w:r>
        <w:rPr>
          <w:color w:val="auto"/>
          <w:highlight w:val="none"/>
        </w:rPr>
        <w:br w:type="page"/>
      </w:r>
      <w:r>
        <w:rPr>
          <w:rFonts w:hint="eastAsia"/>
          <w:color w:val="auto"/>
          <w:highlight w:val="none"/>
        </w:rPr>
        <w:t>（2）落实政府采购政策需满足的资格要求：无</w:t>
      </w:r>
    </w:p>
    <w:p w14:paraId="60445799">
      <w:pPr>
        <w:rPr>
          <w:color w:val="auto"/>
          <w:highlight w:val="none"/>
        </w:rPr>
      </w:pPr>
    </w:p>
    <w:p w14:paraId="40A878CD">
      <w:pPr>
        <w:pStyle w:val="3"/>
        <w:ind w:firstLine="411" w:firstLineChars="196"/>
        <w:rPr>
          <w:rFonts w:ascii="Times New Roman" w:hAnsi="Times New Roman"/>
          <w:b w:val="0"/>
          <w:bCs w:val="0"/>
          <w:color w:val="auto"/>
          <w:highlight w:val="none"/>
        </w:rPr>
      </w:pPr>
      <w:r>
        <w:rPr>
          <w:rFonts w:hint="eastAsia" w:ascii="Times New Roman" w:hAnsi="Times New Roman"/>
          <w:b w:val="0"/>
          <w:bCs w:val="0"/>
          <w:color w:val="auto"/>
          <w:highlight w:val="none"/>
        </w:rPr>
        <w:t>（3）特定资格条件：无。</w:t>
      </w:r>
    </w:p>
    <w:p w14:paraId="08B428D6">
      <w:pPr>
        <w:pStyle w:val="142"/>
        <w:snapToGrid w:val="0"/>
        <w:spacing w:line="360" w:lineRule="auto"/>
        <w:ind w:firstLine="420"/>
        <w:rPr>
          <w:rFonts w:ascii="Times New Roman" w:hAnsi="Times New Roman"/>
          <w:color w:val="auto"/>
          <w:highlight w:val="none"/>
        </w:rPr>
      </w:pPr>
      <w:r>
        <w:rPr>
          <w:color w:val="auto"/>
          <w:highlight w:val="none"/>
        </w:rPr>
        <w:br w:type="page"/>
      </w:r>
      <w:r>
        <w:rPr>
          <w:rFonts w:hint="eastAsia"/>
          <w:color w:val="auto"/>
          <w:highlight w:val="none"/>
        </w:rPr>
        <w:t>（4）</w:t>
      </w:r>
      <w:r>
        <w:rPr>
          <w:rFonts w:hint="eastAsia" w:ascii="Times New Roman" w:hAnsi="Times New Roman"/>
          <w:color w:val="auto"/>
          <w:highlight w:val="none"/>
        </w:rPr>
        <w:t>联合协议（如为联合体投标）</w:t>
      </w:r>
    </w:p>
    <w:p w14:paraId="1F1E8B01">
      <w:pPr>
        <w:jc w:val="center"/>
        <w:rPr>
          <w:b/>
          <w:color w:val="auto"/>
          <w:sz w:val="32"/>
          <w:szCs w:val="32"/>
          <w:highlight w:val="none"/>
        </w:rPr>
      </w:pPr>
      <w:r>
        <w:rPr>
          <w:rFonts w:hAnsi="宋体"/>
          <w:b/>
          <w:color w:val="auto"/>
          <w:sz w:val="32"/>
          <w:szCs w:val="32"/>
          <w:highlight w:val="none"/>
        </w:rPr>
        <w:t>联合协议</w:t>
      </w:r>
    </w:p>
    <w:p w14:paraId="05D82E51">
      <w:pPr>
        <w:spacing w:line="360" w:lineRule="auto"/>
        <w:ind w:firstLine="420" w:firstLineChars="200"/>
        <w:jc w:val="left"/>
        <w:rPr>
          <w:bCs/>
          <w:color w:val="auto"/>
          <w:szCs w:val="21"/>
          <w:highlight w:val="none"/>
        </w:rPr>
      </w:pPr>
    </w:p>
    <w:p w14:paraId="390C357D">
      <w:pPr>
        <w:snapToGrid w:val="0"/>
        <w:spacing w:line="360" w:lineRule="auto"/>
        <w:ind w:firstLine="576"/>
        <w:rPr>
          <w:color w:val="auto"/>
          <w:kern w:val="0"/>
          <w:szCs w:val="21"/>
          <w:highlight w:val="none"/>
          <w:lang w:val="zh-CN"/>
        </w:rPr>
      </w:pPr>
      <w:r>
        <w:rPr>
          <w:color w:val="auto"/>
          <w:kern w:val="0"/>
          <w:szCs w:val="21"/>
          <w:highlight w:val="none"/>
          <w:u w:val="single"/>
        </w:rPr>
        <w:t>（联合体所有成员名称）</w:t>
      </w:r>
      <w:r>
        <w:rPr>
          <w:color w:val="auto"/>
          <w:kern w:val="0"/>
          <w:szCs w:val="21"/>
          <w:highlight w:val="none"/>
        </w:rPr>
        <w:t>自愿</w:t>
      </w:r>
      <w:r>
        <w:rPr>
          <w:color w:val="auto"/>
          <w:kern w:val="0"/>
          <w:szCs w:val="21"/>
          <w:highlight w:val="none"/>
          <w:lang w:val="zh-CN"/>
        </w:rPr>
        <w:t>组成一个联合体，以一个投标人的身份</w:t>
      </w:r>
      <w:r>
        <w:rPr>
          <w:color w:val="auto"/>
          <w:kern w:val="0"/>
          <w:szCs w:val="21"/>
          <w:highlight w:val="none"/>
        </w:rPr>
        <w:t>参加</w:t>
      </w:r>
      <w:r>
        <w:rPr>
          <w:color w:val="auto"/>
          <w:szCs w:val="21"/>
          <w:highlight w:val="none"/>
        </w:rPr>
        <w:t>（项目名称）（采购编号：       ）</w:t>
      </w:r>
      <w:r>
        <w:rPr>
          <w:color w:val="auto"/>
          <w:kern w:val="0"/>
          <w:szCs w:val="21"/>
          <w:highlight w:val="none"/>
          <w:lang w:val="zh-CN"/>
        </w:rPr>
        <w:t xml:space="preserve">投标。 </w:t>
      </w:r>
    </w:p>
    <w:p w14:paraId="6A5C8F13">
      <w:pPr>
        <w:snapToGrid w:val="0"/>
        <w:spacing w:line="360" w:lineRule="auto"/>
        <w:ind w:firstLine="576"/>
        <w:rPr>
          <w:color w:val="auto"/>
          <w:kern w:val="0"/>
          <w:szCs w:val="21"/>
          <w:highlight w:val="none"/>
          <w:lang w:val="zh-CN"/>
        </w:rPr>
      </w:pPr>
      <w:r>
        <w:rPr>
          <w:color w:val="auto"/>
          <w:kern w:val="0"/>
          <w:szCs w:val="21"/>
          <w:highlight w:val="none"/>
          <w:lang w:val="zh-CN"/>
        </w:rPr>
        <w:t>一、各方一致决定，</w:t>
      </w:r>
      <w:r>
        <w:rPr>
          <w:color w:val="auto"/>
          <w:kern w:val="0"/>
          <w:szCs w:val="21"/>
          <w:highlight w:val="none"/>
          <w:u w:val="single"/>
        </w:rPr>
        <w:t>（某联合体成员名称）</w:t>
      </w:r>
      <w:r>
        <w:rPr>
          <w:color w:val="auto"/>
          <w:kern w:val="0"/>
          <w:szCs w:val="21"/>
          <w:highlight w:val="none"/>
        </w:rPr>
        <w:t>为联合体</w:t>
      </w:r>
      <w:r>
        <w:rPr>
          <w:color w:val="auto"/>
          <w:kern w:val="0"/>
          <w:szCs w:val="21"/>
          <w:highlight w:val="none"/>
          <w:lang w:val="zh-CN"/>
        </w:rPr>
        <w:t>牵头人</w:t>
      </w:r>
      <w:r>
        <w:rPr>
          <w:color w:val="auto"/>
          <w:szCs w:val="21"/>
          <w:highlight w:val="none"/>
        </w:rPr>
        <w:t>，代表所有联合体成员负责投标和合同实施阶段的主办、协调工作</w:t>
      </w:r>
      <w:r>
        <w:rPr>
          <w:color w:val="auto"/>
          <w:kern w:val="0"/>
          <w:szCs w:val="21"/>
          <w:highlight w:val="none"/>
          <w:lang w:val="zh-CN"/>
        </w:rPr>
        <w:t>。</w:t>
      </w:r>
    </w:p>
    <w:p w14:paraId="6CAD7E75">
      <w:pPr>
        <w:snapToGrid w:val="0"/>
        <w:spacing w:line="360" w:lineRule="auto"/>
        <w:ind w:firstLine="576"/>
        <w:rPr>
          <w:color w:val="auto"/>
          <w:kern w:val="0"/>
          <w:szCs w:val="21"/>
          <w:highlight w:val="none"/>
          <w:lang w:val="zh-CN"/>
        </w:rPr>
      </w:pPr>
      <w:r>
        <w:rPr>
          <w:color w:val="auto"/>
          <w:kern w:val="0"/>
          <w:szCs w:val="21"/>
          <w:highlight w:val="none"/>
          <w:lang w:val="zh-CN"/>
        </w:rPr>
        <w:t>二、</w:t>
      </w:r>
      <w:r>
        <w:rPr>
          <w:color w:val="auto"/>
          <w:szCs w:val="21"/>
          <w:highlight w:val="none"/>
        </w:rPr>
        <w:t>所有联合体成员各方签署授权书，授权书载明的</w:t>
      </w:r>
      <w:r>
        <w:rPr>
          <w:color w:val="auto"/>
          <w:kern w:val="0"/>
          <w:szCs w:val="21"/>
          <w:highlight w:val="none"/>
          <w:lang w:val="zh-CN"/>
        </w:rPr>
        <w:t>授权代表根据招标文件规定及投标内容而对采购人、采购代理机构所作的任何合法承诺，包括书面澄清及相应等均对联合投标各方产生约束力。</w:t>
      </w:r>
    </w:p>
    <w:p w14:paraId="0ACDA3DF">
      <w:pPr>
        <w:snapToGrid w:val="0"/>
        <w:spacing w:line="360" w:lineRule="auto"/>
        <w:ind w:firstLine="576"/>
        <w:rPr>
          <w:rFonts w:hint="eastAsia" w:eastAsia="宋体"/>
          <w:color w:val="auto"/>
          <w:kern w:val="0"/>
          <w:szCs w:val="21"/>
          <w:highlight w:val="none"/>
          <w:lang w:val="zh-CN" w:eastAsia="zh-CN"/>
        </w:rPr>
      </w:pPr>
      <w:r>
        <w:rPr>
          <w:color w:val="auto"/>
          <w:kern w:val="0"/>
          <w:szCs w:val="21"/>
          <w:highlight w:val="none"/>
          <w:lang w:val="zh-CN"/>
        </w:rPr>
        <w:t>三、本次联合投标中，分工如下：</w:t>
      </w:r>
      <w:r>
        <w:rPr>
          <w:color w:val="auto"/>
          <w:kern w:val="0"/>
          <w:szCs w:val="21"/>
          <w:highlight w:val="none"/>
          <w:u w:val="single"/>
        </w:rPr>
        <w:t>（联合体其中一方成员名称）</w:t>
      </w:r>
      <w:r>
        <w:rPr>
          <w:color w:val="auto"/>
          <w:kern w:val="0"/>
          <w:szCs w:val="21"/>
          <w:highlight w:val="none"/>
          <w:lang w:val="zh-CN"/>
        </w:rPr>
        <w:t>承担的工作和义务为：</w:t>
      </w:r>
      <w:r>
        <w:rPr>
          <w:color w:val="auto"/>
          <w:szCs w:val="21"/>
          <w:highlight w:val="none"/>
          <w:u w:val="single"/>
        </w:rPr>
        <w:t xml:space="preserve">             </w:t>
      </w:r>
      <w:r>
        <w:rPr>
          <w:color w:val="auto"/>
          <w:kern w:val="0"/>
          <w:szCs w:val="21"/>
          <w:highlight w:val="none"/>
          <w:lang w:val="zh-CN"/>
        </w:rPr>
        <w:t>；</w:t>
      </w:r>
      <w:r>
        <w:rPr>
          <w:color w:val="auto"/>
          <w:kern w:val="0"/>
          <w:szCs w:val="21"/>
          <w:highlight w:val="none"/>
          <w:u w:val="single"/>
        </w:rPr>
        <w:t>（联合体其中一方成员名称）</w:t>
      </w:r>
      <w:r>
        <w:rPr>
          <w:color w:val="auto"/>
          <w:kern w:val="0"/>
          <w:szCs w:val="21"/>
          <w:highlight w:val="none"/>
          <w:lang w:val="zh-CN"/>
        </w:rPr>
        <w:t>承担的工作和义务为：</w:t>
      </w:r>
      <w:r>
        <w:rPr>
          <w:color w:val="auto"/>
          <w:szCs w:val="21"/>
          <w:highlight w:val="none"/>
          <w:u w:val="single"/>
        </w:rPr>
        <w:t xml:space="preserve">            </w:t>
      </w:r>
      <w:r>
        <w:rPr>
          <w:rFonts w:hint="eastAsia"/>
          <w:color w:val="auto"/>
          <w:kern w:val="0"/>
          <w:szCs w:val="21"/>
          <w:highlight w:val="none"/>
          <w:lang w:val="zh-CN"/>
        </w:rPr>
        <w:t>。</w:t>
      </w:r>
    </w:p>
    <w:p w14:paraId="2C61585F">
      <w:pPr>
        <w:snapToGrid w:val="0"/>
        <w:spacing w:line="360" w:lineRule="auto"/>
        <w:ind w:firstLine="576"/>
        <w:rPr>
          <w:color w:val="auto"/>
          <w:kern w:val="0"/>
          <w:szCs w:val="21"/>
          <w:highlight w:val="none"/>
          <w:lang w:val="zh-CN"/>
        </w:rPr>
      </w:pPr>
      <w:r>
        <w:rPr>
          <w:color w:val="auto"/>
          <w:kern w:val="0"/>
          <w:szCs w:val="21"/>
          <w:highlight w:val="none"/>
          <w:lang w:val="zh-CN"/>
        </w:rPr>
        <w:t>四、</w:t>
      </w:r>
      <w:r>
        <w:rPr>
          <w:color w:val="auto"/>
          <w:szCs w:val="21"/>
          <w:highlight w:val="none"/>
        </w:rPr>
        <w:t>中小企业合同金额达到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%，小微企业合同金额达到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color w:val="auto"/>
          <w:kern w:val="0"/>
          <w:szCs w:val="21"/>
          <w:highlight w:val="none"/>
          <w:lang w:val="zh-CN"/>
        </w:rPr>
        <w:t>。</w:t>
      </w:r>
    </w:p>
    <w:p w14:paraId="5E816018">
      <w:pPr>
        <w:snapToGrid w:val="0"/>
        <w:spacing w:line="360" w:lineRule="auto"/>
        <w:ind w:firstLine="576"/>
        <w:rPr>
          <w:color w:val="auto"/>
          <w:kern w:val="0"/>
          <w:szCs w:val="21"/>
          <w:highlight w:val="none"/>
          <w:lang w:val="zh-CN"/>
        </w:rPr>
      </w:pPr>
      <w:r>
        <w:rPr>
          <w:color w:val="auto"/>
          <w:kern w:val="0"/>
          <w:szCs w:val="21"/>
          <w:highlight w:val="none"/>
          <w:lang w:val="zh-CN"/>
        </w:rPr>
        <w:t>五、如果中标，</w:t>
      </w:r>
      <w:r>
        <w:rPr>
          <w:color w:val="auto"/>
          <w:szCs w:val="21"/>
          <w:highlight w:val="none"/>
        </w:rPr>
        <w:t>联合体各成员方共同与采购人签订合同，并就采购合同约定的事项对采购人承担连带责任。</w:t>
      </w:r>
      <w:bookmarkStart w:id="45" w:name="_GoBack"/>
      <w:bookmarkEnd w:id="45"/>
    </w:p>
    <w:p w14:paraId="22C67112">
      <w:pPr>
        <w:snapToGrid w:val="0"/>
        <w:spacing w:line="360" w:lineRule="auto"/>
        <w:ind w:firstLine="576"/>
        <w:rPr>
          <w:color w:val="auto"/>
          <w:kern w:val="0"/>
          <w:szCs w:val="21"/>
          <w:highlight w:val="none"/>
          <w:lang w:val="zh-CN"/>
        </w:rPr>
      </w:pPr>
      <w:r>
        <w:rPr>
          <w:color w:val="auto"/>
          <w:kern w:val="0"/>
          <w:szCs w:val="21"/>
          <w:highlight w:val="none"/>
          <w:lang w:val="zh-CN"/>
        </w:rPr>
        <w:t>六、有关本次联合投标的其他事宜：</w:t>
      </w:r>
    </w:p>
    <w:p w14:paraId="17CD1AC1">
      <w:pPr>
        <w:snapToGrid w:val="0"/>
        <w:spacing w:line="360" w:lineRule="auto"/>
        <w:ind w:firstLine="576"/>
        <w:rPr>
          <w:color w:val="auto"/>
          <w:kern w:val="0"/>
          <w:szCs w:val="21"/>
          <w:highlight w:val="none"/>
          <w:lang w:val="zh-CN"/>
        </w:rPr>
      </w:pPr>
      <w:r>
        <w:rPr>
          <w:color w:val="auto"/>
          <w:kern w:val="0"/>
          <w:szCs w:val="21"/>
          <w:highlight w:val="none"/>
          <w:lang w:val="zh-CN"/>
        </w:rPr>
        <w:t>1、联合体各方不再单独参加或者与其他供应商另外组成联合体参加同一合同项下的政府采购活动。</w:t>
      </w:r>
    </w:p>
    <w:p w14:paraId="04A75CEF">
      <w:pPr>
        <w:snapToGrid w:val="0"/>
        <w:spacing w:line="360" w:lineRule="auto"/>
        <w:ind w:firstLine="576"/>
        <w:rPr>
          <w:color w:val="auto"/>
          <w:kern w:val="0"/>
          <w:szCs w:val="21"/>
          <w:highlight w:val="none"/>
          <w:lang w:val="zh-CN"/>
        </w:rPr>
      </w:pPr>
      <w:r>
        <w:rPr>
          <w:color w:val="auto"/>
          <w:kern w:val="0"/>
          <w:szCs w:val="21"/>
          <w:highlight w:val="none"/>
          <w:lang w:val="zh-CN"/>
        </w:rPr>
        <w:t>2、联合体中有同类资质的各方按照联合体分工承担相同工作的，按照资质等级较低的供应商确定资质等级。</w:t>
      </w:r>
    </w:p>
    <w:p w14:paraId="556A46C1">
      <w:pPr>
        <w:snapToGrid w:val="0"/>
        <w:spacing w:line="360" w:lineRule="auto"/>
        <w:ind w:firstLine="576"/>
        <w:rPr>
          <w:color w:val="auto"/>
          <w:kern w:val="0"/>
          <w:szCs w:val="21"/>
          <w:highlight w:val="none"/>
          <w:lang w:val="zh-CN"/>
        </w:rPr>
      </w:pPr>
      <w:r>
        <w:rPr>
          <w:color w:val="auto"/>
          <w:kern w:val="0"/>
          <w:szCs w:val="21"/>
          <w:highlight w:val="none"/>
          <w:lang w:val="zh-CN"/>
        </w:rPr>
        <w:t>3、本协议提交采购人、采购代理机构后，联合体各方不得以任何形式对上述内容进行修改或撤销。</w:t>
      </w:r>
    </w:p>
    <w:p w14:paraId="3679DA75">
      <w:pPr>
        <w:snapToGrid w:val="0"/>
        <w:spacing w:line="360" w:lineRule="auto"/>
        <w:ind w:firstLine="4410" w:firstLineChars="2100"/>
        <w:rPr>
          <w:color w:val="auto"/>
          <w:kern w:val="0"/>
          <w:szCs w:val="21"/>
          <w:highlight w:val="none"/>
          <w:lang w:val="zh-CN"/>
        </w:rPr>
      </w:pPr>
      <w:r>
        <w:rPr>
          <w:color w:val="auto"/>
          <w:kern w:val="0"/>
          <w:szCs w:val="21"/>
          <w:highlight w:val="none"/>
          <w:lang w:val="zh-CN"/>
        </w:rPr>
        <w:t>联合体成员名称</w:t>
      </w:r>
      <w:r>
        <w:rPr>
          <w:color w:val="auto"/>
          <w:szCs w:val="21"/>
          <w:highlight w:val="none"/>
        </w:rPr>
        <w:t>（盖单位公章或电子签章）</w:t>
      </w:r>
      <w:r>
        <w:rPr>
          <w:color w:val="auto"/>
          <w:kern w:val="0"/>
          <w:szCs w:val="21"/>
          <w:highlight w:val="none"/>
          <w:lang w:val="zh-CN"/>
        </w:rPr>
        <w:t>：</w:t>
      </w:r>
    </w:p>
    <w:p w14:paraId="520C4361">
      <w:pPr>
        <w:snapToGrid w:val="0"/>
        <w:spacing w:line="360" w:lineRule="auto"/>
        <w:ind w:firstLine="4410" w:firstLineChars="2100"/>
        <w:rPr>
          <w:color w:val="auto"/>
          <w:kern w:val="0"/>
          <w:szCs w:val="21"/>
          <w:highlight w:val="none"/>
          <w:lang w:val="zh-CN"/>
        </w:rPr>
      </w:pPr>
      <w:r>
        <w:rPr>
          <w:color w:val="auto"/>
          <w:kern w:val="0"/>
          <w:szCs w:val="21"/>
          <w:highlight w:val="none"/>
          <w:lang w:val="zh-CN"/>
        </w:rPr>
        <w:t>联合体成员名称</w:t>
      </w:r>
      <w:r>
        <w:rPr>
          <w:color w:val="auto"/>
          <w:szCs w:val="21"/>
          <w:highlight w:val="none"/>
        </w:rPr>
        <w:t>（盖单位公章或电子签章）</w:t>
      </w:r>
      <w:r>
        <w:rPr>
          <w:color w:val="auto"/>
          <w:kern w:val="0"/>
          <w:szCs w:val="21"/>
          <w:highlight w:val="none"/>
          <w:lang w:val="zh-CN"/>
        </w:rPr>
        <w:t>：</w:t>
      </w:r>
    </w:p>
    <w:p w14:paraId="130BECFB">
      <w:pPr>
        <w:snapToGrid w:val="0"/>
        <w:spacing w:line="360" w:lineRule="auto"/>
        <w:ind w:firstLine="5040" w:firstLineChars="2400"/>
        <w:rPr>
          <w:color w:val="auto"/>
          <w:szCs w:val="21"/>
          <w:highlight w:val="none"/>
        </w:rPr>
      </w:pPr>
      <w:r>
        <w:rPr>
          <w:color w:val="auto"/>
          <w:kern w:val="0"/>
          <w:szCs w:val="21"/>
          <w:highlight w:val="none"/>
          <w:lang w:val="zh-CN"/>
        </w:rPr>
        <w:t>……</w:t>
      </w:r>
    </w:p>
    <w:p w14:paraId="13315549">
      <w:pPr>
        <w:pStyle w:val="2"/>
        <w:rPr>
          <w:rFonts w:ascii="Times New Roman" w:hAnsi="Times New Roman" w:eastAsia="宋体"/>
          <w:b w:val="0"/>
          <w:bCs/>
          <w:color w:val="auto"/>
          <w:sz w:val="21"/>
          <w:szCs w:val="21"/>
          <w:highlight w:val="none"/>
        </w:rPr>
      </w:pPr>
      <w:r>
        <w:rPr>
          <w:rFonts w:ascii="Times New Roman" w:hAnsi="Times New Roman" w:eastAsia="宋体"/>
          <w:color w:val="auto"/>
          <w:kern w:val="0"/>
          <w:sz w:val="21"/>
          <w:szCs w:val="21"/>
          <w:highlight w:val="none"/>
          <w:lang w:val="zh-CN"/>
        </w:rPr>
        <w:t xml:space="preserve">                                            </w:t>
      </w:r>
      <w:r>
        <w:rPr>
          <w:rFonts w:ascii="Times New Roman" w:hAnsi="Times New Roman" w:eastAsia="宋体"/>
          <w:b w:val="0"/>
          <w:bCs/>
          <w:color w:val="auto"/>
          <w:kern w:val="0"/>
          <w:sz w:val="21"/>
          <w:szCs w:val="21"/>
          <w:highlight w:val="none"/>
          <w:lang w:val="zh-CN"/>
        </w:rPr>
        <w:t xml:space="preserve">   日期：</w:t>
      </w:r>
      <w:r>
        <w:rPr>
          <w:rFonts w:hint="eastAsia" w:ascii="Times New Roman" w:hAnsi="Times New Roman" w:eastAsia="宋体"/>
          <w:b w:val="0"/>
          <w:bCs/>
          <w:color w:val="auto"/>
          <w:kern w:val="0"/>
          <w:sz w:val="21"/>
          <w:szCs w:val="21"/>
          <w:highlight w:val="none"/>
        </w:rPr>
        <w:t xml:space="preserve">  </w:t>
      </w:r>
      <w:r>
        <w:rPr>
          <w:rFonts w:ascii="Times New Roman" w:hAnsi="Times New Roman" w:eastAsia="宋体"/>
          <w:b w:val="0"/>
          <w:bCs/>
          <w:color w:val="auto"/>
          <w:kern w:val="0"/>
          <w:sz w:val="21"/>
          <w:szCs w:val="21"/>
          <w:highlight w:val="none"/>
          <w:lang w:val="zh-CN"/>
        </w:rPr>
        <w:t xml:space="preserve">  年  月   日</w:t>
      </w:r>
    </w:p>
    <w:p w14:paraId="43270681">
      <w:pPr>
        <w:pStyle w:val="142"/>
        <w:snapToGrid w:val="0"/>
        <w:spacing w:line="360" w:lineRule="auto"/>
        <w:ind w:firstLine="420"/>
        <w:rPr>
          <w:rFonts w:ascii="Times New Roman" w:hAnsi="Times New Roman"/>
          <w:color w:val="auto"/>
          <w:highlight w:val="none"/>
        </w:rPr>
      </w:pPr>
    </w:p>
    <w:p w14:paraId="4E9C620E">
      <w:pPr>
        <w:pStyle w:val="3"/>
        <w:ind w:firstLine="413" w:firstLineChars="196"/>
        <w:rPr>
          <w:rFonts w:ascii="Times New Roman" w:hAnsi="Times New Roman"/>
          <w:color w:val="auto"/>
          <w:highlight w:val="none"/>
        </w:rPr>
      </w:pPr>
      <w:r>
        <w:rPr>
          <w:rFonts w:ascii="Times New Roman" w:hAnsi="Times New Roman"/>
          <w:color w:val="auto"/>
          <w:highlight w:val="none"/>
        </w:rPr>
        <w:br w:type="page"/>
      </w:r>
      <w:r>
        <w:rPr>
          <w:rFonts w:ascii="Times New Roman" w:hAnsi="Times New Roman"/>
          <w:color w:val="auto"/>
          <w:kern w:val="0"/>
          <w:highlight w:val="none"/>
        </w:rPr>
        <w:t>商务技术文件封面</w:t>
      </w:r>
    </w:p>
    <w:p w14:paraId="7608F512">
      <w:pPr>
        <w:tabs>
          <w:tab w:val="left" w:pos="2580"/>
          <w:tab w:val="left" w:pos="5940"/>
        </w:tabs>
        <w:autoSpaceDE w:val="0"/>
        <w:autoSpaceDN w:val="0"/>
        <w:adjustRightInd w:val="0"/>
        <w:snapToGrid w:val="0"/>
        <w:spacing w:line="300" w:lineRule="auto"/>
        <w:ind w:right="-20" w:firstLine="735" w:firstLineChars="350"/>
        <w:rPr>
          <w:color w:val="auto"/>
          <w:highlight w:val="none"/>
        </w:rPr>
      </w:pPr>
    </w:p>
    <w:p w14:paraId="10CBC1C6">
      <w:pPr>
        <w:tabs>
          <w:tab w:val="left" w:pos="2580"/>
          <w:tab w:val="left" w:pos="5940"/>
        </w:tabs>
        <w:autoSpaceDE w:val="0"/>
        <w:autoSpaceDN w:val="0"/>
        <w:adjustRightInd w:val="0"/>
        <w:snapToGrid w:val="0"/>
        <w:spacing w:line="300" w:lineRule="auto"/>
        <w:ind w:right="-20"/>
        <w:jc w:val="right"/>
        <w:rPr>
          <w:color w:val="auto"/>
          <w:kern w:val="0"/>
          <w:sz w:val="28"/>
          <w:highlight w:val="none"/>
        </w:rPr>
      </w:pPr>
    </w:p>
    <w:p w14:paraId="06F9B6AC">
      <w:pPr>
        <w:tabs>
          <w:tab w:val="left" w:pos="2580"/>
          <w:tab w:val="left" w:pos="5940"/>
        </w:tabs>
        <w:autoSpaceDE w:val="0"/>
        <w:autoSpaceDN w:val="0"/>
        <w:adjustRightInd w:val="0"/>
        <w:snapToGrid w:val="0"/>
        <w:spacing w:line="300" w:lineRule="auto"/>
        <w:ind w:right="-20"/>
        <w:jc w:val="right"/>
        <w:rPr>
          <w:color w:val="auto"/>
          <w:kern w:val="0"/>
          <w:sz w:val="28"/>
          <w:highlight w:val="none"/>
        </w:rPr>
      </w:pPr>
      <w:r>
        <w:rPr>
          <w:color w:val="auto"/>
          <w:kern w:val="0"/>
          <w:sz w:val="28"/>
          <w:highlight w:val="none"/>
        </w:rPr>
        <w:t>正本/副本</w:t>
      </w:r>
    </w:p>
    <w:p w14:paraId="5AC47C6A">
      <w:pPr>
        <w:tabs>
          <w:tab w:val="left" w:pos="2580"/>
          <w:tab w:val="left" w:pos="5940"/>
        </w:tabs>
        <w:autoSpaceDE w:val="0"/>
        <w:autoSpaceDN w:val="0"/>
        <w:adjustRightInd w:val="0"/>
        <w:snapToGrid w:val="0"/>
        <w:spacing w:line="300" w:lineRule="auto"/>
        <w:ind w:right="-20"/>
        <w:rPr>
          <w:color w:val="auto"/>
          <w:kern w:val="0"/>
          <w:sz w:val="24"/>
          <w:highlight w:val="none"/>
        </w:rPr>
      </w:pPr>
    </w:p>
    <w:p w14:paraId="6B8A8473">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项目名称：</w:t>
      </w:r>
      <w:r>
        <w:rPr>
          <w:color w:val="auto"/>
          <w:kern w:val="0"/>
          <w:sz w:val="24"/>
          <w:highlight w:val="none"/>
          <w:u w:val="single"/>
        </w:rPr>
        <w:t xml:space="preserve">                         </w:t>
      </w:r>
    </w:p>
    <w:p w14:paraId="13BA6E0A">
      <w:pPr>
        <w:tabs>
          <w:tab w:val="left" w:pos="2580"/>
          <w:tab w:val="left" w:pos="5940"/>
        </w:tabs>
        <w:autoSpaceDE w:val="0"/>
        <w:autoSpaceDN w:val="0"/>
        <w:adjustRightInd w:val="0"/>
        <w:snapToGrid w:val="0"/>
        <w:spacing w:line="300" w:lineRule="auto"/>
        <w:ind w:right="-20"/>
        <w:rPr>
          <w:color w:val="auto"/>
          <w:kern w:val="0"/>
          <w:sz w:val="24"/>
          <w:highlight w:val="none"/>
        </w:rPr>
      </w:pPr>
    </w:p>
    <w:p w14:paraId="59523442">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项目编号：</w:t>
      </w:r>
      <w:r>
        <w:rPr>
          <w:color w:val="auto"/>
          <w:kern w:val="0"/>
          <w:sz w:val="24"/>
          <w:highlight w:val="none"/>
          <w:u w:val="single"/>
        </w:rPr>
        <w:t xml:space="preserve">                         </w:t>
      </w:r>
    </w:p>
    <w:p w14:paraId="62BE82A0">
      <w:pPr>
        <w:tabs>
          <w:tab w:val="left" w:pos="2580"/>
          <w:tab w:val="left" w:pos="5940"/>
        </w:tabs>
        <w:autoSpaceDE w:val="0"/>
        <w:autoSpaceDN w:val="0"/>
        <w:adjustRightInd w:val="0"/>
        <w:snapToGrid w:val="0"/>
        <w:spacing w:line="300" w:lineRule="auto"/>
        <w:ind w:right="-20"/>
        <w:rPr>
          <w:color w:val="auto"/>
          <w:kern w:val="0"/>
          <w:sz w:val="24"/>
          <w:highlight w:val="none"/>
        </w:rPr>
      </w:pPr>
    </w:p>
    <w:p w14:paraId="015409D0">
      <w:pPr>
        <w:tabs>
          <w:tab w:val="left" w:pos="2580"/>
          <w:tab w:val="left" w:pos="5940"/>
        </w:tabs>
        <w:autoSpaceDE w:val="0"/>
        <w:autoSpaceDN w:val="0"/>
        <w:adjustRightInd w:val="0"/>
        <w:snapToGrid w:val="0"/>
        <w:spacing w:line="300" w:lineRule="auto"/>
        <w:ind w:right="-20"/>
        <w:rPr>
          <w:color w:val="auto"/>
          <w:kern w:val="0"/>
          <w:sz w:val="24"/>
          <w:highlight w:val="none"/>
          <w:u w:val="single"/>
        </w:rPr>
      </w:pPr>
      <w:r>
        <w:rPr>
          <w:color w:val="auto"/>
          <w:kern w:val="0"/>
          <w:sz w:val="24"/>
          <w:highlight w:val="none"/>
        </w:rPr>
        <w:t>标项序号及标项内容：</w:t>
      </w:r>
      <w:r>
        <w:rPr>
          <w:color w:val="auto"/>
          <w:kern w:val="0"/>
          <w:sz w:val="24"/>
          <w:highlight w:val="none"/>
          <w:u w:val="single"/>
        </w:rPr>
        <w:t xml:space="preserve">               </w:t>
      </w:r>
    </w:p>
    <w:p w14:paraId="419C9D0B">
      <w:pPr>
        <w:autoSpaceDE w:val="0"/>
        <w:autoSpaceDN w:val="0"/>
        <w:adjustRightInd w:val="0"/>
        <w:snapToGrid w:val="0"/>
        <w:spacing w:line="300" w:lineRule="auto"/>
        <w:jc w:val="left"/>
        <w:rPr>
          <w:color w:val="auto"/>
          <w:kern w:val="0"/>
          <w:sz w:val="24"/>
          <w:highlight w:val="none"/>
        </w:rPr>
      </w:pPr>
    </w:p>
    <w:p w14:paraId="5CC43EF7">
      <w:pPr>
        <w:autoSpaceDE w:val="0"/>
        <w:autoSpaceDN w:val="0"/>
        <w:adjustRightInd w:val="0"/>
        <w:snapToGrid w:val="0"/>
        <w:spacing w:line="300" w:lineRule="auto"/>
        <w:jc w:val="left"/>
        <w:rPr>
          <w:color w:val="auto"/>
          <w:kern w:val="0"/>
          <w:sz w:val="24"/>
          <w:highlight w:val="none"/>
        </w:rPr>
      </w:pPr>
    </w:p>
    <w:p w14:paraId="436DCAC3">
      <w:pPr>
        <w:autoSpaceDE w:val="0"/>
        <w:autoSpaceDN w:val="0"/>
        <w:adjustRightInd w:val="0"/>
        <w:snapToGrid w:val="0"/>
        <w:spacing w:line="300" w:lineRule="auto"/>
        <w:jc w:val="left"/>
        <w:rPr>
          <w:color w:val="auto"/>
          <w:kern w:val="0"/>
          <w:sz w:val="24"/>
          <w:highlight w:val="none"/>
        </w:rPr>
      </w:pPr>
    </w:p>
    <w:p w14:paraId="7610E05E">
      <w:pPr>
        <w:autoSpaceDE w:val="0"/>
        <w:autoSpaceDN w:val="0"/>
        <w:adjustRightInd w:val="0"/>
        <w:snapToGrid w:val="0"/>
        <w:spacing w:line="300" w:lineRule="auto"/>
        <w:jc w:val="left"/>
        <w:rPr>
          <w:color w:val="auto"/>
          <w:kern w:val="0"/>
          <w:sz w:val="24"/>
          <w:highlight w:val="none"/>
        </w:rPr>
      </w:pPr>
    </w:p>
    <w:p w14:paraId="71C903DC">
      <w:pPr>
        <w:autoSpaceDE w:val="0"/>
        <w:autoSpaceDN w:val="0"/>
        <w:adjustRightInd w:val="0"/>
        <w:snapToGrid w:val="0"/>
        <w:spacing w:line="300" w:lineRule="auto"/>
        <w:jc w:val="left"/>
        <w:rPr>
          <w:color w:val="auto"/>
          <w:kern w:val="0"/>
          <w:sz w:val="24"/>
          <w:highlight w:val="none"/>
        </w:rPr>
      </w:pPr>
    </w:p>
    <w:p w14:paraId="415C0ECD">
      <w:pPr>
        <w:tabs>
          <w:tab w:val="left" w:pos="1805"/>
          <w:tab w:val="left" w:pos="5360"/>
        </w:tabs>
        <w:autoSpaceDE w:val="0"/>
        <w:autoSpaceDN w:val="0"/>
        <w:adjustRightInd w:val="0"/>
        <w:snapToGrid w:val="0"/>
        <w:spacing w:line="300" w:lineRule="auto"/>
        <w:ind w:right="-20"/>
        <w:jc w:val="center"/>
        <w:rPr>
          <w:color w:val="auto"/>
          <w:kern w:val="0"/>
          <w:sz w:val="96"/>
          <w:highlight w:val="none"/>
        </w:rPr>
      </w:pPr>
      <w:r>
        <w:rPr>
          <w:color w:val="auto"/>
          <w:kern w:val="0"/>
          <w:sz w:val="96"/>
          <w:highlight w:val="none"/>
        </w:rPr>
        <w:t>投标文件</w:t>
      </w:r>
    </w:p>
    <w:p w14:paraId="0D76EC95">
      <w:pPr>
        <w:tabs>
          <w:tab w:val="left" w:pos="1805"/>
          <w:tab w:val="left" w:pos="5360"/>
        </w:tabs>
        <w:autoSpaceDE w:val="0"/>
        <w:autoSpaceDN w:val="0"/>
        <w:adjustRightInd w:val="0"/>
        <w:snapToGrid w:val="0"/>
        <w:spacing w:line="300" w:lineRule="auto"/>
        <w:ind w:right="-20"/>
        <w:jc w:val="center"/>
        <w:rPr>
          <w:color w:val="auto"/>
          <w:kern w:val="0"/>
          <w:sz w:val="72"/>
          <w:highlight w:val="none"/>
        </w:rPr>
      </w:pPr>
      <w:r>
        <w:rPr>
          <w:color w:val="auto"/>
          <w:kern w:val="0"/>
          <w:sz w:val="52"/>
          <w:highlight w:val="none"/>
        </w:rPr>
        <w:t>（商务技术文件）</w:t>
      </w:r>
    </w:p>
    <w:p w14:paraId="03C4D76A">
      <w:pPr>
        <w:autoSpaceDE w:val="0"/>
        <w:autoSpaceDN w:val="0"/>
        <w:adjustRightInd w:val="0"/>
        <w:snapToGrid w:val="0"/>
        <w:spacing w:line="300" w:lineRule="auto"/>
        <w:jc w:val="left"/>
        <w:rPr>
          <w:color w:val="auto"/>
          <w:kern w:val="0"/>
          <w:sz w:val="16"/>
          <w:highlight w:val="none"/>
        </w:rPr>
      </w:pPr>
    </w:p>
    <w:p w14:paraId="66BA5757">
      <w:pPr>
        <w:autoSpaceDE w:val="0"/>
        <w:autoSpaceDN w:val="0"/>
        <w:adjustRightInd w:val="0"/>
        <w:snapToGrid w:val="0"/>
        <w:spacing w:line="300" w:lineRule="auto"/>
        <w:jc w:val="left"/>
        <w:rPr>
          <w:color w:val="auto"/>
          <w:kern w:val="0"/>
          <w:sz w:val="20"/>
          <w:highlight w:val="none"/>
        </w:rPr>
      </w:pPr>
    </w:p>
    <w:p w14:paraId="4D582587">
      <w:pPr>
        <w:autoSpaceDE w:val="0"/>
        <w:autoSpaceDN w:val="0"/>
        <w:adjustRightInd w:val="0"/>
        <w:snapToGrid w:val="0"/>
        <w:spacing w:line="300" w:lineRule="auto"/>
        <w:jc w:val="left"/>
        <w:rPr>
          <w:color w:val="auto"/>
          <w:kern w:val="0"/>
          <w:sz w:val="20"/>
          <w:highlight w:val="none"/>
        </w:rPr>
      </w:pPr>
    </w:p>
    <w:p w14:paraId="6F138C90">
      <w:pPr>
        <w:autoSpaceDE w:val="0"/>
        <w:autoSpaceDN w:val="0"/>
        <w:adjustRightInd w:val="0"/>
        <w:snapToGrid w:val="0"/>
        <w:spacing w:line="300" w:lineRule="auto"/>
        <w:jc w:val="left"/>
        <w:rPr>
          <w:color w:val="auto"/>
          <w:kern w:val="0"/>
          <w:sz w:val="20"/>
          <w:highlight w:val="none"/>
        </w:rPr>
      </w:pPr>
    </w:p>
    <w:p w14:paraId="3D2E5B35">
      <w:pPr>
        <w:autoSpaceDE w:val="0"/>
        <w:autoSpaceDN w:val="0"/>
        <w:adjustRightInd w:val="0"/>
        <w:snapToGrid w:val="0"/>
        <w:spacing w:line="300" w:lineRule="auto"/>
        <w:jc w:val="left"/>
        <w:rPr>
          <w:color w:val="auto"/>
          <w:kern w:val="0"/>
          <w:sz w:val="20"/>
          <w:highlight w:val="none"/>
        </w:rPr>
      </w:pPr>
    </w:p>
    <w:p w14:paraId="3AF85F91">
      <w:pPr>
        <w:autoSpaceDE w:val="0"/>
        <w:autoSpaceDN w:val="0"/>
        <w:adjustRightInd w:val="0"/>
        <w:snapToGrid w:val="0"/>
        <w:spacing w:line="300" w:lineRule="auto"/>
        <w:jc w:val="left"/>
        <w:rPr>
          <w:color w:val="auto"/>
          <w:kern w:val="0"/>
          <w:sz w:val="20"/>
          <w:highlight w:val="none"/>
        </w:rPr>
      </w:pPr>
    </w:p>
    <w:p w14:paraId="7AEAA51C">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rFonts w:hint="eastAsia"/>
          <w:color w:val="auto"/>
          <w:kern w:val="0"/>
          <w:sz w:val="28"/>
          <w:highlight w:val="none"/>
        </w:rPr>
        <w:t>供应商</w:t>
      </w:r>
      <w:r>
        <w:rPr>
          <w:color w:val="auto"/>
          <w:kern w:val="0"/>
          <w:sz w:val="28"/>
          <w:highlight w:val="none"/>
        </w:rPr>
        <w:t>：</w:t>
      </w:r>
      <w:r>
        <w:rPr>
          <w:color w:val="auto"/>
          <w:kern w:val="0"/>
          <w:sz w:val="28"/>
          <w:highlight w:val="none"/>
          <w:u w:val="single"/>
        </w:rPr>
        <w:t xml:space="preserve">                    </w:t>
      </w:r>
      <w:r>
        <w:rPr>
          <w:color w:val="auto"/>
          <w:kern w:val="0"/>
          <w:sz w:val="28"/>
          <w:highlight w:val="none"/>
        </w:rPr>
        <w:t>（</w:t>
      </w:r>
      <w:r>
        <w:rPr>
          <w:rFonts w:hint="eastAsia"/>
          <w:color w:val="auto"/>
          <w:kern w:val="0"/>
          <w:sz w:val="28"/>
          <w:highlight w:val="none"/>
        </w:rPr>
        <w:t>盖单位公章或电子签章</w:t>
      </w:r>
      <w:r>
        <w:rPr>
          <w:color w:val="auto"/>
          <w:kern w:val="0"/>
          <w:sz w:val="28"/>
          <w:highlight w:val="none"/>
        </w:rPr>
        <w:t>）</w:t>
      </w:r>
    </w:p>
    <w:p w14:paraId="25EBE467">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3FBE883D">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p>
    <w:p w14:paraId="3FDB1396">
      <w:pPr>
        <w:tabs>
          <w:tab w:val="left" w:pos="6080"/>
          <w:tab w:val="left" w:pos="6640"/>
        </w:tabs>
        <w:autoSpaceDE w:val="0"/>
        <w:autoSpaceDN w:val="0"/>
        <w:adjustRightInd w:val="0"/>
        <w:snapToGrid w:val="0"/>
        <w:spacing w:line="300" w:lineRule="auto"/>
        <w:ind w:left="774" w:right="403"/>
        <w:jc w:val="left"/>
        <w:rPr>
          <w:color w:val="auto"/>
          <w:kern w:val="0"/>
          <w:sz w:val="28"/>
          <w:highlight w:val="none"/>
        </w:rPr>
      </w:pPr>
      <w:r>
        <w:rPr>
          <w:color w:val="auto"/>
          <w:kern w:val="0"/>
          <w:sz w:val="28"/>
          <w:highlight w:val="none"/>
        </w:rPr>
        <w:t>日期：   年  月  日</w:t>
      </w:r>
    </w:p>
    <w:p w14:paraId="477714AD">
      <w:pPr>
        <w:tabs>
          <w:tab w:val="left" w:pos="6080"/>
          <w:tab w:val="left" w:pos="6640"/>
        </w:tabs>
        <w:autoSpaceDE w:val="0"/>
        <w:autoSpaceDN w:val="0"/>
        <w:adjustRightInd w:val="0"/>
        <w:snapToGrid w:val="0"/>
        <w:spacing w:line="300" w:lineRule="auto"/>
        <w:ind w:right="403"/>
        <w:jc w:val="center"/>
        <w:rPr>
          <w:color w:val="auto"/>
          <w:kern w:val="0"/>
          <w:sz w:val="28"/>
          <w:highlight w:val="none"/>
        </w:rPr>
      </w:pPr>
      <w:r>
        <w:rPr>
          <w:color w:val="auto"/>
          <w:kern w:val="0"/>
          <w:sz w:val="28"/>
          <w:highlight w:val="none"/>
        </w:rPr>
        <w:br w:type="page"/>
      </w:r>
      <w:r>
        <w:rPr>
          <w:color w:val="auto"/>
          <w:kern w:val="0"/>
          <w:sz w:val="28"/>
          <w:highlight w:val="none"/>
        </w:rPr>
        <w:t>目录</w:t>
      </w:r>
    </w:p>
    <w:p w14:paraId="38AD65CD">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1</w:t>
      </w:r>
      <w:r>
        <w:rPr>
          <w:rFonts w:ascii="Times New Roman" w:hAnsi="Times New Roman"/>
          <w:color w:val="auto"/>
          <w:highlight w:val="none"/>
        </w:rPr>
        <w:t>）投标函；</w:t>
      </w:r>
    </w:p>
    <w:p w14:paraId="6D840693">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2</w:t>
      </w:r>
      <w:r>
        <w:rPr>
          <w:rFonts w:ascii="Times New Roman" w:hAnsi="Times New Roman"/>
          <w:color w:val="auto"/>
          <w:highlight w:val="none"/>
        </w:rPr>
        <w:t>）法定代表人资格证明书；</w:t>
      </w:r>
    </w:p>
    <w:p w14:paraId="53CF9DA9">
      <w:pPr>
        <w:pStyle w:val="142"/>
        <w:snapToGrid w:val="0"/>
        <w:spacing w:line="360" w:lineRule="auto"/>
        <w:ind w:firstLine="420"/>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3</w:t>
      </w:r>
      <w:r>
        <w:rPr>
          <w:rFonts w:ascii="Times New Roman" w:hAnsi="Times New Roman"/>
          <w:color w:val="auto"/>
          <w:highlight w:val="none"/>
        </w:rPr>
        <w:t>）法定代表人授权委托书（法定代表人签署不需提供此书）；</w:t>
      </w:r>
    </w:p>
    <w:p w14:paraId="262AB2E4">
      <w:pPr>
        <w:pStyle w:val="142"/>
        <w:snapToGrid w:val="0"/>
        <w:spacing w:line="360" w:lineRule="auto"/>
        <w:ind w:firstLine="1050" w:firstLineChars="500"/>
        <w:rPr>
          <w:rFonts w:ascii="Times New Roman" w:hAnsi="Times New Roman"/>
          <w:color w:val="auto"/>
          <w:highlight w:val="none"/>
        </w:rPr>
      </w:pPr>
      <w:r>
        <w:rPr>
          <w:rFonts w:ascii="Times New Roman" w:hAnsi="Times New Roman"/>
          <w:color w:val="auto"/>
          <w:highlight w:val="none"/>
        </w:rPr>
        <w:t>法定代表人及授权代表身份证正反面复印件；</w:t>
      </w:r>
    </w:p>
    <w:p w14:paraId="4264E32B">
      <w:pPr>
        <w:pStyle w:val="142"/>
        <w:snapToGrid w:val="0"/>
        <w:spacing w:line="360" w:lineRule="auto"/>
        <w:ind w:firstLine="1050" w:firstLineChars="500"/>
        <w:rPr>
          <w:rFonts w:ascii="Times New Roman" w:hAnsi="Times New Roman"/>
          <w:color w:val="auto"/>
          <w:highlight w:val="none"/>
        </w:rPr>
      </w:pPr>
      <w:r>
        <w:rPr>
          <w:rFonts w:ascii="Times New Roman" w:hAnsi="Times New Roman"/>
          <w:color w:val="auto"/>
          <w:highlight w:val="none"/>
        </w:rPr>
        <w:t>社保机构出具的投标截止日前6个月内授权代表的投标单位社保缴纳证明，任职不足6个月的可提供劳动合同证明文件；</w:t>
      </w:r>
    </w:p>
    <w:p w14:paraId="2FB192B6">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（4）分包意向协议（如有分包）；</w:t>
      </w:r>
    </w:p>
    <w:p w14:paraId="6E684CDA">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中标服务费支付承诺书</w:t>
      </w:r>
      <w:r>
        <w:rPr>
          <w:rFonts w:hint="eastAsia" w:ascii="Times New Roman" w:hAnsi="Times New Roman"/>
          <w:color w:val="auto"/>
          <w:highlight w:val="none"/>
        </w:rPr>
        <w:t>；</w:t>
      </w:r>
    </w:p>
    <w:p w14:paraId="66AF8AD6">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（6）</w:t>
      </w:r>
      <w:r>
        <w:rPr>
          <w:rFonts w:hint="eastAsia" w:ascii="宋体" w:hAnsi="宋体" w:cs="宋体"/>
          <w:color w:val="auto"/>
          <w:szCs w:val="21"/>
          <w:highlight w:val="none"/>
        </w:rPr>
        <w:t>采购需求符合表</w:t>
      </w:r>
      <w:r>
        <w:rPr>
          <w:rFonts w:hint="eastAsia" w:ascii="Times New Roman" w:hAnsi="Times New Roman"/>
          <w:color w:val="auto"/>
          <w:highlight w:val="none"/>
        </w:rPr>
        <w:t>；</w:t>
      </w:r>
    </w:p>
    <w:p w14:paraId="62A1342C">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（7）商务条款偏离表；</w:t>
      </w:r>
    </w:p>
    <w:p w14:paraId="347864CE">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（8）维保清单；</w:t>
      </w:r>
    </w:p>
    <w:p w14:paraId="60A6ECD8">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（9）</w:t>
      </w:r>
      <w:r>
        <w:rPr>
          <w:rFonts w:hint="eastAsia" w:ascii="宋体" w:hAnsi="宋体" w:cs="宋体"/>
          <w:color w:val="auto"/>
          <w:highlight w:val="none"/>
        </w:rPr>
        <w:t>中小企业声明函（如有）；</w:t>
      </w:r>
    </w:p>
    <w:p w14:paraId="6D3312A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（10）</w:t>
      </w:r>
      <w:r>
        <w:rPr>
          <w:rFonts w:hint="eastAsia" w:ascii="宋体" w:hAnsi="宋体" w:cs="宋体"/>
          <w:color w:val="auto"/>
          <w:highlight w:val="none"/>
        </w:rPr>
        <w:t>供应商为监狱企业的证明文件：省级以上监狱管理局、戒毒管理局（含新疆生产建设兵团）出具（如有）；</w:t>
      </w:r>
    </w:p>
    <w:p w14:paraId="254879F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（11）</w:t>
      </w:r>
      <w:r>
        <w:rPr>
          <w:rFonts w:hint="eastAsia" w:ascii="宋体" w:hAnsi="宋体" w:cs="宋体"/>
          <w:color w:val="auto"/>
          <w:highlight w:val="none"/>
        </w:rPr>
        <w:t>残疾人福利性单位声明函（如有）</w:t>
      </w:r>
      <w:r>
        <w:rPr>
          <w:rFonts w:hint="eastAsia" w:ascii="宋体" w:hAnsi="宋体" w:cs="宋体"/>
          <w:color w:val="auto"/>
          <w:highlight w:val="none"/>
        </w:rPr>
        <w:tab/>
      </w:r>
      <w:r>
        <w:rPr>
          <w:rFonts w:hint="eastAsia" w:ascii="宋体" w:hAnsi="宋体" w:cs="宋体"/>
          <w:color w:val="auto"/>
          <w:highlight w:val="none"/>
        </w:rPr>
        <w:t>；</w:t>
      </w:r>
    </w:p>
    <w:p w14:paraId="6D5AF525">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（12）</w:t>
      </w:r>
      <w:r>
        <w:rPr>
          <w:rFonts w:hint="eastAsia"/>
          <w:color w:val="auto"/>
          <w:highlight w:val="none"/>
        </w:rPr>
        <w:t>《关于符合本国产品标准的声明函》或财政部会同有关部门规定的符合本国产品标准有关证明文件</w:t>
      </w:r>
    </w:p>
    <w:p w14:paraId="7553DC64">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（13）</w:t>
      </w:r>
      <w:r>
        <w:rPr>
          <w:rFonts w:hint="eastAsia" w:ascii="宋体" w:hAnsi="宋体" w:cs="宋体"/>
          <w:bCs/>
          <w:color w:val="auto"/>
          <w:spacing w:val="-4"/>
          <w:szCs w:val="21"/>
          <w:highlight w:val="none"/>
        </w:rPr>
        <w:t>业绩：投标人自2023年1月1日（以合同签订日期为准）以来具有信息化建设项目或信息化迁建改造项目案例，提供合同复印件；</w:t>
      </w:r>
    </w:p>
    <w:p w14:paraId="4D7823FA">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（14）</w:t>
      </w:r>
      <w:r>
        <w:rPr>
          <w:rFonts w:hint="eastAsia"/>
          <w:color w:val="auto"/>
          <w:szCs w:val="21"/>
          <w:highlight w:val="none"/>
        </w:rPr>
        <w:t>投标人</w:t>
      </w:r>
      <w:r>
        <w:rPr>
          <w:rFonts w:hint="eastAsia" w:ascii="宋体" w:hAnsi="宋体" w:cs="宋体"/>
          <w:color w:val="auto"/>
          <w:szCs w:val="21"/>
          <w:highlight w:val="none"/>
        </w:rPr>
        <w:t>具有有效的IS09001质量管理体系认证证书（认证范围：软件开发或系统集成）、ISO20000信息技术服务管理体系认证证书（认证范围：信息系统运行维护）、ISO27001信息安全管理体系认证证书的（认证范围：软件开发或系统集成），</w:t>
      </w:r>
      <w:r>
        <w:rPr>
          <w:rFonts w:hint="eastAsia" w:ascii="宋体" w:hAnsi="宋体" w:cs="宋体"/>
          <w:bCs/>
          <w:color w:val="auto"/>
          <w:spacing w:val="-4"/>
          <w:szCs w:val="21"/>
          <w:highlight w:val="none"/>
        </w:rPr>
        <w:t>提供证书复印件和证书在全国认证认可信息公共服务平台查询截图；</w:t>
      </w:r>
    </w:p>
    <w:p w14:paraId="74C48101">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（15）</w:t>
      </w:r>
      <w:r>
        <w:rPr>
          <w:rFonts w:hint="eastAsia" w:ascii="宋体" w:hAnsi="宋体" w:cs="宋体"/>
          <w:color w:val="auto"/>
          <w:szCs w:val="21"/>
          <w:highlight w:val="none"/>
        </w:rPr>
        <w:t>项目现状：包括对医院现有HIS系统、电子病历系统、集成平台系统、数据中心系统的现状分析；</w:t>
      </w:r>
    </w:p>
    <w:p w14:paraId="71F0A41A">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（16）核心组件迭代方案；</w:t>
      </w:r>
    </w:p>
    <w:p w14:paraId="3EFE18D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（17）核心业务流程改造方案；</w:t>
      </w:r>
    </w:p>
    <w:p w14:paraId="3C4D2728">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（18）多院区集成平台接口对接适配方案；</w:t>
      </w:r>
    </w:p>
    <w:p w14:paraId="1099C79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（19）应急保障方案：包括应急方案、应急响应效率、应急处置流程、应急演练记录等；</w:t>
      </w:r>
    </w:p>
    <w:p w14:paraId="50303AB3">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（20）投标人项目团队：提供人员名单、分工、职责、证书复印件和近三个月中任意一个月投标人为其缴纳的社保证明；</w:t>
      </w:r>
    </w:p>
    <w:p w14:paraId="4D291FBF">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（21）培训方案；</w:t>
      </w:r>
    </w:p>
    <w:p w14:paraId="0AF213DC">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（22）售后服务方案；</w:t>
      </w:r>
    </w:p>
    <w:p w14:paraId="64291999">
      <w:pPr>
        <w:pStyle w:val="142"/>
        <w:snapToGrid w:val="0"/>
        <w:spacing w:line="360" w:lineRule="auto"/>
        <w:ind w:firstLine="420"/>
        <w:rPr>
          <w:rFonts w:ascii="Times New Roman" w:hAnsi="Times New Roman"/>
          <w:color w:val="auto"/>
          <w:highlight w:val="none"/>
        </w:rPr>
      </w:pPr>
      <w:r>
        <w:rPr>
          <w:rFonts w:hint="eastAsia" w:ascii="Times New Roman" w:hAnsi="Times New Roman"/>
          <w:color w:val="auto"/>
          <w:highlight w:val="none"/>
        </w:rPr>
        <w:t>（24）</w:t>
      </w:r>
      <w:r>
        <w:rPr>
          <w:rFonts w:hint="eastAsia" w:ascii="Times New Roman" w:hAnsi="Times New Roman"/>
          <w:color w:val="auto"/>
          <w:highlight w:val="none"/>
        </w:rPr>
        <w:tab/>
      </w:r>
      <w:r>
        <w:rPr>
          <w:rFonts w:hint="eastAsia" w:ascii="Times New Roman" w:hAnsi="Times New Roman"/>
          <w:color w:val="auto"/>
          <w:highlight w:val="none"/>
        </w:rPr>
        <w:t>供应商认为有必要提供的其它文件。</w:t>
      </w:r>
    </w:p>
    <w:p w14:paraId="0AD5378A">
      <w:pPr>
        <w:pStyle w:val="3"/>
        <w:ind w:firstLine="422"/>
        <w:rPr>
          <w:rFonts w:ascii="Times New Roman" w:hAnsi="Times New Roman"/>
          <w:color w:val="auto"/>
          <w:highlight w:val="none"/>
        </w:rPr>
      </w:pPr>
      <w:r>
        <w:rPr>
          <w:rFonts w:ascii="Times New Roman" w:hAnsi="Times New Roman"/>
          <w:color w:val="auto"/>
          <w:highlight w:val="none"/>
        </w:rPr>
        <w:br w:type="page"/>
      </w:r>
      <w:r>
        <w:rPr>
          <w:rFonts w:hint="eastAsia" w:ascii="Times New Roman" w:hAnsi="Times New Roman"/>
          <w:color w:val="auto"/>
          <w:highlight w:val="none"/>
        </w:rPr>
        <w:t>1</w:t>
      </w:r>
      <w:r>
        <w:rPr>
          <w:rFonts w:ascii="Times New Roman" w:hAnsi="Times New Roman"/>
          <w:color w:val="auto"/>
          <w:highlight w:val="none"/>
        </w:rPr>
        <w:t>、投标函格式</w:t>
      </w:r>
    </w:p>
    <w:p w14:paraId="696C8DE4">
      <w:pPr>
        <w:snapToGrid w:val="0"/>
        <w:spacing w:line="300" w:lineRule="auto"/>
        <w:jc w:val="center"/>
        <w:rPr>
          <w:b/>
          <w:bCs/>
          <w:color w:val="auto"/>
          <w:sz w:val="32"/>
          <w:szCs w:val="32"/>
          <w:highlight w:val="none"/>
        </w:rPr>
      </w:pPr>
      <w:r>
        <w:rPr>
          <w:b/>
          <w:bCs/>
          <w:color w:val="auto"/>
          <w:sz w:val="32"/>
          <w:szCs w:val="32"/>
          <w:highlight w:val="none"/>
        </w:rPr>
        <w:t>投标函</w:t>
      </w:r>
    </w:p>
    <w:p w14:paraId="24F1D784">
      <w:pPr>
        <w:pStyle w:val="40"/>
        <w:adjustRightInd w:val="0"/>
        <w:snapToGrid w:val="0"/>
        <w:spacing w:line="300" w:lineRule="auto"/>
        <w:rPr>
          <w:rFonts w:ascii="Times New Roman" w:hAnsi="Times New Roman"/>
          <w:color w:val="auto"/>
          <w:highlight w:val="none"/>
        </w:rPr>
      </w:pPr>
      <w:r>
        <w:rPr>
          <w:rFonts w:ascii="Times New Roman" w:hAnsi="Times New Roman"/>
          <w:color w:val="auto"/>
          <w:highlight w:val="none"/>
          <w:u w:val="single"/>
        </w:rPr>
        <w:t>（采购人单位名称）</w:t>
      </w:r>
      <w:r>
        <w:rPr>
          <w:rFonts w:ascii="Times New Roman" w:hAnsi="Times New Roman"/>
          <w:color w:val="auto"/>
          <w:highlight w:val="none"/>
        </w:rPr>
        <w:t>：</w:t>
      </w:r>
    </w:p>
    <w:p w14:paraId="59260972">
      <w:pPr>
        <w:pStyle w:val="40"/>
        <w:adjustRightInd w:val="0"/>
        <w:snapToGrid w:val="0"/>
        <w:spacing w:line="300" w:lineRule="auto"/>
        <w:rPr>
          <w:rFonts w:ascii="Times New Roman" w:hAnsi="Times New Roman"/>
          <w:color w:val="auto"/>
          <w:highlight w:val="none"/>
        </w:rPr>
      </w:pPr>
      <w:r>
        <w:rPr>
          <w:rFonts w:hint="eastAsia" w:ascii="Times New Roman" w:hAnsi="Times New Roman"/>
          <w:color w:val="auto"/>
          <w:highlight w:val="none"/>
          <w:u w:val="single"/>
        </w:rPr>
        <w:t>浙江国际招投标有限公司</w:t>
      </w:r>
      <w:r>
        <w:rPr>
          <w:rFonts w:ascii="Times New Roman" w:hAnsi="Times New Roman"/>
          <w:color w:val="auto"/>
          <w:highlight w:val="none"/>
        </w:rPr>
        <w:t>：</w:t>
      </w:r>
    </w:p>
    <w:p w14:paraId="47E594F2">
      <w:pPr>
        <w:pStyle w:val="40"/>
        <w:adjustRightInd w:val="0"/>
        <w:snapToGrid w:val="0"/>
        <w:spacing w:line="300" w:lineRule="auto"/>
        <w:ind w:firstLine="411" w:firstLineChars="196"/>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供应商</w:t>
      </w:r>
      <w:r>
        <w:rPr>
          <w:rFonts w:ascii="Times New Roman" w:hAnsi="Times New Roman"/>
          <w:color w:val="auto"/>
          <w:highlight w:val="none"/>
        </w:rPr>
        <w:t>全称）参加贵方组织的（项目名称）（招标项目编号）招标的有关活动，并对（项目名称）进行投标。为此我方：</w:t>
      </w:r>
    </w:p>
    <w:p w14:paraId="7A345812">
      <w:pPr>
        <w:adjustRightInd w:val="0"/>
        <w:snapToGrid w:val="0"/>
        <w:spacing w:line="300" w:lineRule="auto"/>
        <w:ind w:firstLine="420" w:firstLineChars="200"/>
        <w:rPr>
          <w:color w:val="auto"/>
          <w:szCs w:val="21"/>
          <w:highlight w:val="none"/>
        </w:rPr>
      </w:pPr>
      <w:r>
        <w:rPr>
          <w:color w:val="auto"/>
          <w:szCs w:val="21"/>
          <w:highlight w:val="none"/>
        </w:rPr>
        <w:t>1、承诺在</w:t>
      </w:r>
      <w:r>
        <w:rPr>
          <w:rFonts w:hint="eastAsia"/>
          <w:color w:val="auto"/>
          <w:szCs w:val="21"/>
          <w:highlight w:val="none"/>
        </w:rPr>
        <w:t>供应商</w:t>
      </w:r>
      <w:r>
        <w:rPr>
          <w:color w:val="auto"/>
          <w:kern w:val="44"/>
          <w:szCs w:val="21"/>
          <w:highlight w:val="none"/>
        </w:rPr>
        <w:t>须知</w:t>
      </w:r>
      <w:r>
        <w:rPr>
          <w:color w:val="auto"/>
          <w:szCs w:val="21"/>
          <w:highlight w:val="none"/>
        </w:rPr>
        <w:t>规定的投标截止日起遵守本投标文件中的承诺，且在投标有效期满之前均具有约束力。本投标文件的有效期为</w:t>
      </w:r>
      <w:r>
        <w:rPr>
          <w:color w:val="auto"/>
          <w:highlight w:val="none"/>
        </w:rPr>
        <w:t>自投标截止时间起</w:t>
      </w:r>
      <w:r>
        <w:rPr>
          <w:color w:val="auto"/>
          <w:highlight w:val="none"/>
          <w:u w:val="single"/>
        </w:rPr>
        <w:t xml:space="preserve">    </w:t>
      </w:r>
      <w:r>
        <w:rPr>
          <w:color w:val="auto"/>
          <w:highlight w:val="none"/>
        </w:rPr>
        <w:t>天。</w:t>
      </w:r>
    </w:p>
    <w:p w14:paraId="53960DD6">
      <w:pPr>
        <w:adjustRightInd w:val="0"/>
        <w:snapToGrid w:val="0"/>
        <w:spacing w:line="300" w:lineRule="auto"/>
        <w:ind w:firstLine="420" w:firstLineChars="200"/>
        <w:rPr>
          <w:color w:val="auto"/>
          <w:szCs w:val="21"/>
          <w:highlight w:val="none"/>
        </w:rPr>
      </w:pPr>
      <w:r>
        <w:rPr>
          <w:color w:val="auto"/>
          <w:szCs w:val="21"/>
          <w:highlight w:val="none"/>
        </w:rPr>
        <w:t>2、承诺已经具备《中华人民共和国政府采购法》中规定的参加政府采购活动的</w:t>
      </w:r>
      <w:r>
        <w:rPr>
          <w:rFonts w:hint="eastAsia"/>
          <w:color w:val="auto"/>
          <w:szCs w:val="21"/>
          <w:highlight w:val="none"/>
        </w:rPr>
        <w:t>供应商</w:t>
      </w:r>
      <w:r>
        <w:rPr>
          <w:color w:val="auto"/>
          <w:szCs w:val="21"/>
          <w:highlight w:val="none"/>
        </w:rPr>
        <w:t>应当具备的条件及采购人规定的特定条件。</w:t>
      </w:r>
    </w:p>
    <w:p w14:paraId="5FBB9681">
      <w:pPr>
        <w:adjustRightInd w:val="0"/>
        <w:snapToGrid w:val="0"/>
        <w:spacing w:line="300" w:lineRule="auto"/>
        <w:ind w:firstLine="420" w:firstLineChars="200"/>
        <w:rPr>
          <w:color w:val="auto"/>
          <w:szCs w:val="21"/>
          <w:highlight w:val="none"/>
        </w:rPr>
      </w:pPr>
      <w:r>
        <w:rPr>
          <w:color w:val="auto"/>
          <w:szCs w:val="21"/>
          <w:highlight w:val="none"/>
        </w:rPr>
        <w:t>3、已详细审核全部采购文件，包括采购文件补充（如果有）、参考资料及有关附件，确认无误。</w:t>
      </w:r>
    </w:p>
    <w:p w14:paraId="24C1867D">
      <w:pPr>
        <w:adjustRightInd w:val="0"/>
        <w:snapToGrid w:val="0"/>
        <w:spacing w:line="300" w:lineRule="auto"/>
        <w:ind w:firstLine="420" w:firstLineChars="200"/>
        <w:rPr>
          <w:color w:val="auto"/>
          <w:szCs w:val="21"/>
          <w:highlight w:val="none"/>
        </w:rPr>
      </w:pPr>
      <w:r>
        <w:rPr>
          <w:color w:val="auto"/>
          <w:szCs w:val="21"/>
          <w:highlight w:val="none"/>
        </w:rPr>
        <w:t>4、提供</w:t>
      </w:r>
      <w:r>
        <w:rPr>
          <w:rFonts w:hint="eastAsia"/>
          <w:color w:val="auto"/>
          <w:kern w:val="44"/>
          <w:szCs w:val="21"/>
          <w:highlight w:val="none"/>
        </w:rPr>
        <w:t>供应商</w:t>
      </w:r>
      <w:r>
        <w:rPr>
          <w:color w:val="auto"/>
          <w:kern w:val="44"/>
          <w:szCs w:val="21"/>
          <w:highlight w:val="none"/>
        </w:rPr>
        <w:t>须知</w:t>
      </w:r>
      <w:r>
        <w:rPr>
          <w:color w:val="auto"/>
          <w:szCs w:val="21"/>
          <w:highlight w:val="none"/>
        </w:rPr>
        <w:t>规定的全部投标文件。</w:t>
      </w:r>
    </w:p>
    <w:p w14:paraId="5BD19635">
      <w:pPr>
        <w:adjustRightInd w:val="0"/>
        <w:snapToGrid w:val="0"/>
        <w:spacing w:line="300" w:lineRule="auto"/>
        <w:ind w:firstLine="420" w:firstLineChars="200"/>
        <w:rPr>
          <w:color w:val="auto"/>
          <w:highlight w:val="none"/>
        </w:rPr>
      </w:pPr>
      <w:r>
        <w:rPr>
          <w:color w:val="auto"/>
          <w:szCs w:val="21"/>
          <w:highlight w:val="none"/>
        </w:rPr>
        <w:t>5、投标</w:t>
      </w:r>
      <w:r>
        <w:rPr>
          <w:color w:val="auto"/>
          <w:highlight w:val="none"/>
        </w:rPr>
        <w:t>报价详见《开标一览表》。</w:t>
      </w:r>
    </w:p>
    <w:p w14:paraId="309608D5">
      <w:pPr>
        <w:adjustRightInd w:val="0"/>
        <w:snapToGrid w:val="0"/>
        <w:spacing w:line="300" w:lineRule="auto"/>
        <w:ind w:firstLine="420" w:firstLineChars="200"/>
        <w:rPr>
          <w:color w:val="auto"/>
          <w:szCs w:val="21"/>
          <w:highlight w:val="none"/>
        </w:rPr>
      </w:pPr>
      <w:r>
        <w:rPr>
          <w:color w:val="auto"/>
          <w:szCs w:val="21"/>
          <w:highlight w:val="none"/>
        </w:rPr>
        <w:t>6、保证遵守采购文件中的其他有关规定。</w:t>
      </w:r>
    </w:p>
    <w:p w14:paraId="5486E2B1">
      <w:pPr>
        <w:adjustRightInd w:val="0"/>
        <w:snapToGrid w:val="0"/>
        <w:spacing w:line="300" w:lineRule="auto"/>
        <w:ind w:firstLine="420" w:firstLineChars="200"/>
        <w:rPr>
          <w:color w:val="auto"/>
          <w:szCs w:val="21"/>
          <w:highlight w:val="none"/>
        </w:rPr>
      </w:pPr>
      <w:r>
        <w:rPr>
          <w:color w:val="auto"/>
          <w:szCs w:val="21"/>
          <w:highlight w:val="none"/>
        </w:rPr>
        <w:t>7、完全理解不一定接受最低价中标。</w:t>
      </w:r>
    </w:p>
    <w:p w14:paraId="3B84F876">
      <w:pPr>
        <w:adjustRightInd w:val="0"/>
        <w:snapToGrid w:val="0"/>
        <w:spacing w:line="300" w:lineRule="auto"/>
        <w:ind w:firstLine="420" w:firstLineChars="200"/>
        <w:rPr>
          <w:color w:val="auto"/>
          <w:szCs w:val="21"/>
          <w:highlight w:val="none"/>
        </w:rPr>
      </w:pPr>
      <w:r>
        <w:rPr>
          <w:color w:val="auto"/>
          <w:szCs w:val="21"/>
          <w:highlight w:val="none"/>
        </w:rPr>
        <w:t>8、我公司自愿参加本项目的投标，并保证投标文件中所列举的投标报价文件及相关资料和公司基本情况资料是真实的、合法的。愿意向贵方提供任何与该项目投标有关的数据、情况和技术资料。若贵方需要，愿意提供我方做出的一切承诺的证明材料。</w:t>
      </w:r>
    </w:p>
    <w:p w14:paraId="71FD81DA">
      <w:pPr>
        <w:adjustRightInd w:val="0"/>
        <w:snapToGrid w:val="0"/>
        <w:spacing w:line="300" w:lineRule="auto"/>
        <w:ind w:firstLine="420" w:firstLineChars="200"/>
        <w:rPr>
          <w:color w:val="auto"/>
          <w:szCs w:val="21"/>
          <w:highlight w:val="none"/>
        </w:rPr>
      </w:pPr>
      <w:r>
        <w:rPr>
          <w:color w:val="auto"/>
          <w:szCs w:val="21"/>
          <w:highlight w:val="none"/>
        </w:rPr>
        <w:t>9、保证忠实地执行双方所签订的合同，并承担合同规定的责任和义务。</w:t>
      </w:r>
    </w:p>
    <w:p w14:paraId="7FF1E0D3">
      <w:pPr>
        <w:adjustRightInd w:val="0"/>
        <w:snapToGrid w:val="0"/>
        <w:spacing w:line="300" w:lineRule="auto"/>
        <w:ind w:firstLine="420" w:firstLineChars="200"/>
        <w:rPr>
          <w:color w:val="auto"/>
          <w:szCs w:val="21"/>
          <w:highlight w:val="none"/>
        </w:rPr>
      </w:pPr>
      <w:r>
        <w:rPr>
          <w:color w:val="auto"/>
          <w:szCs w:val="21"/>
          <w:highlight w:val="none"/>
        </w:rPr>
        <w:t>10、我方承诺不存在以下情况：</w:t>
      </w:r>
    </w:p>
    <w:p w14:paraId="20121BFF">
      <w:pPr>
        <w:adjustRightInd w:val="0"/>
        <w:snapToGrid w:val="0"/>
        <w:spacing w:line="300" w:lineRule="auto"/>
        <w:ind w:firstLine="420" w:firstLineChars="200"/>
        <w:rPr>
          <w:color w:val="auto"/>
          <w:szCs w:val="21"/>
          <w:highlight w:val="none"/>
        </w:rPr>
      </w:pPr>
      <w:r>
        <w:rPr>
          <w:color w:val="auto"/>
          <w:szCs w:val="21"/>
          <w:highlight w:val="none"/>
        </w:rPr>
        <w:t>a）提供虚假材料谋取中标、成交的；</w:t>
      </w:r>
    </w:p>
    <w:p w14:paraId="7B63728D">
      <w:pPr>
        <w:adjustRightInd w:val="0"/>
        <w:snapToGrid w:val="0"/>
        <w:spacing w:line="300" w:lineRule="auto"/>
        <w:ind w:firstLine="420" w:firstLineChars="200"/>
        <w:rPr>
          <w:color w:val="auto"/>
          <w:szCs w:val="21"/>
          <w:highlight w:val="none"/>
        </w:rPr>
      </w:pPr>
      <w:r>
        <w:rPr>
          <w:color w:val="auto"/>
          <w:szCs w:val="21"/>
          <w:highlight w:val="none"/>
        </w:rPr>
        <w:t>b）采取不正当手段诋毁、排挤其他供应商的；</w:t>
      </w:r>
    </w:p>
    <w:p w14:paraId="66652C2D">
      <w:pPr>
        <w:adjustRightInd w:val="0"/>
        <w:snapToGrid w:val="0"/>
        <w:spacing w:line="300" w:lineRule="auto"/>
        <w:ind w:firstLine="420" w:firstLineChars="200"/>
        <w:rPr>
          <w:color w:val="auto"/>
          <w:szCs w:val="21"/>
          <w:highlight w:val="none"/>
        </w:rPr>
      </w:pPr>
      <w:r>
        <w:rPr>
          <w:color w:val="auto"/>
          <w:szCs w:val="21"/>
          <w:highlight w:val="none"/>
        </w:rPr>
        <w:t>c）与采购人、其它供应商或者采购代理机构恶意串通的；</w:t>
      </w:r>
    </w:p>
    <w:p w14:paraId="5423F66C">
      <w:pPr>
        <w:adjustRightInd w:val="0"/>
        <w:snapToGrid w:val="0"/>
        <w:spacing w:line="300" w:lineRule="auto"/>
        <w:ind w:firstLine="420" w:firstLineChars="200"/>
        <w:rPr>
          <w:color w:val="auto"/>
          <w:szCs w:val="21"/>
          <w:highlight w:val="none"/>
        </w:rPr>
      </w:pPr>
      <w:r>
        <w:rPr>
          <w:color w:val="auto"/>
          <w:szCs w:val="21"/>
          <w:highlight w:val="none"/>
        </w:rPr>
        <w:t>d）向采购人、采购代理机构行贿或者提供其他不正当利益的；</w:t>
      </w:r>
    </w:p>
    <w:p w14:paraId="76C86108">
      <w:pPr>
        <w:adjustRightInd w:val="0"/>
        <w:snapToGrid w:val="0"/>
        <w:spacing w:line="300" w:lineRule="auto"/>
        <w:ind w:firstLine="420" w:firstLineChars="200"/>
        <w:rPr>
          <w:color w:val="auto"/>
          <w:szCs w:val="21"/>
          <w:highlight w:val="none"/>
        </w:rPr>
      </w:pPr>
      <w:r>
        <w:rPr>
          <w:color w:val="auto"/>
          <w:szCs w:val="21"/>
          <w:highlight w:val="none"/>
        </w:rPr>
        <w:t>e）在招标采购过程中与采购人进行协商谈判的；</w:t>
      </w:r>
    </w:p>
    <w:p w14:paraId="12A8BFE2">
      <w:pPr>
        <w:adjustRightInd w:val="0"/>
        <w:snapToGrid w:val="0"/>
        <w:spacing w:line="300" w:lineRule="auto"/>
        <w:ind w:firstLine="420" w:firstLineChars="200"/>
        <w:rPr>
          <w:color w:val="auto"/>
          <w:szCs w:val="21"/>
          <w:highlight w:val="none"/>
        </w:rPr>
      </w:pPr>
      <w:r>
        <w:rPr>
          <w:color w:val="auto"/>
          <w:szCs w:val="21"/>
          <w:highlight w:val="none"/>
        </w:rPr>
        <w:t>f）拒绝有关部门监督检查或提供虚假情况的。</w:t>
      </w:r>
    </w:p>
    <w:p w14:paraId="58ABF67F">
      <w:pPr>
        <w:pStyle w:val="40"/>
        <w:adjustRightInd w:val="0"/>
        <w:snapToGrid w:val="0"/>
        <w:spacing w:line="300" w:lineRule="auto"/>
        <w:ind w:firstLine="480"/>
        <w:rPr>
          <w:rFonts w:ascii="Times New Roman" w:hAnsi="Times New Roman"/>
          <w:color w:val="auto"/>
          <w:highlight w:val="none"/>
        </w:rPr>
      </w:pPr>
    </w:p>
    <w:p w14:paraId="4C0CDE3F">
      <w:pPr>
        <w:pStyle w:val="40"/>
        <w:adjustRightInd w:val="0"/>
        <w:snapToGrid w:val="0"/>
        <w:spacing w:line="300" w:lineRule="auto"/>
        <w:ind w:firstLine="480"/>
        <w:rPr>
          <w:rFonts w:ascii="Times New Roman" w:hAnsi="Times New Roman"/>
          <w:color w:val="auto"/>
          <w:highlight w:val="none"/>
          <w:u w:val="single"/>
        </w:rPr>
      </w:pPr>
      <w:r>
        <w:rPr>
          <w:rFonts w:hint="eastAsia" w:ascii="Times New Roman" w:hAnsi="Times New Roman"/>
          <w:color w:val="auto"/>
          <w:highlight w:val="none"/>
        </w:rPr>
        <w:t>供应商</w:t>
      </w:r>
      <w:r>
        <w:rPr>
          <w:rFonts w:ascii="Times New Roman" w:hAnsi="Times New Roman"/>
          <w:color w:val="auto"/>
          <w:highlight w:val="none"/>
        </w:rPr>
        <w:t>全称（</w:t>
      </w:r>
      <w:r>
        <w:rPr>
          <w:rFonts w:hint="eastAsia" w:ascii="Times New Roman" w:hAnsi="Times New Roman"/>
          <w:color w:val="auto"/>
          <w:highlight w:val="none"/>
        </w:rPr>
        <w:t>盖单位公章或电子签章</w:t>
      </w:r>
      <w:r>
        <w:rPr>
          <w:rFonts w:ascii="Times New Roman" w:hAnsi="Times New Roman"/>
          <w:color w:val="auto"/>
          <w:highlight w:val="none"/>
        </w:rPr>
        <w:t>）：</w:t>
      </w:r>
    </w:p>
    <w:p w14:paraId="0CF2FA8E">
      <w:pPr>
        <w:pStyle w:val="40"/>
        <w:adjustRightInd w:val="0"/>
        <w:snapToGrid w:val="0"/>
        <w:spacing w:line="300" w:lineRule="auto"/>
        <w:ind w:firstLine="480"/>
        <w:rPr>
          <w:rFonts w:ascii="Times New Roman" w:hAnsi="Times New Roman"/>
          <w:color w:val="auto"/>
          <w:highlight w:val="none"/>
          <w:u w:val="single"/>
        </w:rPr>
      </w:pPr>
      <w:r>
        <w:rPr>
          <w:rFonts w:ascii="Times New Roman" w:hAnsi="Times New Roman"/>
          <w:color w:val="auto"/>
          <w:highlight w:val="none"/>
        </w:rPr>
        <w:t xml:space="preserve">日期：  </w:t>
      </w:r>
      <w:r>
        <w:rPr>
          <w:rFonts w:ascii="Times New Roman" w:hAnsi="Times New Roman"/>
          <w:color w:val="auto"/>
          <w:kern w:val="0"/>
          <w:szCs w:val="21"/>
          <w:highlight w:val="none"/>
        </w:rPr>
        <w:t>年  月  日</w:t>
      </w:r>
    </w:p>
    <w:p w14:paraId="2BAC5F93">
      <w:pPr>
        <w:pStyle w:val="40"/>
        <w:adjustRightInd w:val="0"/>
        <w:snapToGrid w:val="0"/>
        <w:spacing w:line="300" w:lineRule="auto"/>
        <w:ind w:firstLine="480"/>
        <w:rPr>
          <w:rFonts w:ascii="Times New Roman" w:hAnsi="Times New Roman"/>
          <w:color w:val="auto"/>
          <w:highlight w:val="none"/>
        </w:rPr>
      </w:pPr>
      <w:r>
        <w:rPr>
          <w:rFonts w:ascii="Times New Roman" w:hAnsi="Times New Roman"/>
          <w:color w:val="auto"/>
          <w:highlight w:val="none"/>
        </w:rPr>
        <w:t>单位地址：</w:t>
      </w:r>
    </w:p>
    <w:p w14:paraId="52EBF06C">
      <w:pPr>
        <w:pStyle w:val="40"/>
        <w:adjustRightInd w:val="0"/>
        <w:snapToGrid w:val="0"/>
        <w:spacing w:line="300" w:lineRule="auto"/>
        <w:ind w:firstLine="480"/>
        <w:rPr>
          <w:rFonts w:ascii="Times New Roman" w:hAnsi="Times New Roman"/>
          <w:color w:val="auto"/>
          <w:highlight w:val="none"/>
        </w:rPr>
      </w:pPr>
      <w:r>
        <w:rPr>
          <w:rFonts w:ascii="Times New Roman" w:hAnsi="Times New Roman"/>
          <w:color w:val="auto"/>
          <w:highlight w:val="none"/>
        </w:rPr>
        <w:t>邮编：</w:t>
      </w:r>
    </w:p>
    <w:p w14:paraId="39A31A86">
      <w:pPr>
        <w:pStyle w:val="40"/>
        <w:adjustRightInd w:val="0"/>
        <w:snapToGrid w:val="0"/>
        <w:spacing w:line="300" w:lineRule="auto"/>
        <w:ind w:firstLine="480"/>
        <w:rPr>
          <w:rFonts w:ascii="Times New Roman" w:hAnsi="Times New Roman"/>
          <w:color w:val="auto"/>
          <w:highlight w:val="none"/>
        </w:rPr>
      </w:pPr>
      <w:r>
        <w:rPr>
          <w:rFonts w:ascii="Times New Roman" w:hAnsi="Times New Roman"/>
          <w:color w:val="auto"/>
          <w:highlight w:val="none"/>
        </w:rPr>
        <w:t>电话：</w:t>
      </w:r>
    </w:p>
    <w:p w14:paraId="1B16D46A">
      <w:pPr>
        <w:pStyle w:val="40"/>
        <w:adjustRightInd w:val="0"/>
        <w:snapToGrid w:val="0"/>
        <w:spacing w:line="300" w:lineRule="auto"/>
        <w:ind w:firstLine="480"/>
        <w:rPr>
          <w:rFonts w:ascii="Times New Roman" w:hAnsi="Times New Roman"/>
          <w:color w:val="auto"/>
          <w:highlight w:val="none"/>
          <w:u w:val="single"/>
        </w:rPr>
      </w:pPr>
      <w:r>
        <w:rPr>
          <w:rFonts w:ascii="Times New Roman" w:hAnsi="Times New Roman"/>
          <w:color w:val="auto"/>
          <w:highlight w:val="none"/>
        </w:rPr>
        <w:t>传真：</w:t>
      </w:r>
    </w:p>
    <w:p w14:paraId="477AC442">
      <w:pPr>
        <w:pStyle w:val="3"/>
        <w:ind w:firstLine="413" w:firstLineChars="196"/>
        <w:rPr>
          <w:rFonts w:ascii="Times New Roman" w:hAnsi="Times New Roman"/>
          <w:color w:val="auto"/>
          <w:highlight w:val="none"/>
        </w:rPr>
      </w:pPr>
      <w:r>
        <w:rPr>
          <w:rFonts w:ascii="Times New Roman" w:hAnsi="Times New Roman"/>
          <w:color w:val="auto"/>
          <w:highlight w:val="none"/>
        </w:rPr>
        <w:br w:type="page"/>
      </w:r>
      <w:r>
        <w:rPr>
          <w:rFonts w:hint="eastAsia" w:ascii="Times New Roman" w:hAnsi="Times New Roman"/>
          <w:color w:val="auto"/>
          <w:highlight w:val="none"/>
        </w:rPr>
        <w:t>2</w:t>
      </w:r>
      <w:r>
        <w:rPr>
          <w:rFonts w:ascii="Times New Roman" w:hAnsi="Times New Roman"/>
          <w:color w:val="auto"/>
          <w:highlight w:val="none"/>
        </w:rPr>
        <w:t>、法定代表人资格证明书</w:t>
      </w:r>
    </w:p>
    <w:p w14:paraId="27D64273">
      <w:pPr>
        <w:snapToGrid w:val="0"/>
        <w:spacing w:line="300" w:lineRule="auto"/>
        <w:jc w:val="center"/>
        <w:rPr>
          <w:b/>
          <w:bCs/>
          <w:color w:val="auto"/>
          <w:sz w:val="32"/>
          <w:szCs w:val="32"/>
          <w:highlight w:val="none"/>
        </w:rPr>
      </w:pPr>
      <w:r>
        <w:rPr>
          <w:b/>
          <w:bCs/>
          <w:color w:val="auto"/>
          <w:sz w:val="32"/>
          <w:szCs w:val="32"/>
          <w:highlight w:val="none"/>
        </w:rPr>
        <w:t>法定代表人资格证明书</w:t>
      </w:r>
    </w:p>
    <w:p w14:paraId="37D74A24">
      <w:pPr>
        <w:adjustRightInd w:val="0"/>
        <w:snapToGrid w:val="0"/>
        <w:spacing w:line="360" w:lineRule="auto"/>
        <w:ind w:firstLine="420" w:firstLineChars="200"/>
        <w:rPr>
          <w:color w:val="auto"/>
          <w:szCs w:val="21"/>
          <w:highlight w:val="none"/>
        </w:rPr>
      </w:pPr>
    </w:p>
    <w:p w14:paraId="25A4BB5F">
      <w:pPr>
        <w:adjustRightInd w:val="0"/>
        <w:snapToGrid w:val="0"/>
        <w:spacing w:line="360" w:lineRule="auto"/>
        <w:ind w:firstLine="420" w:firstLineChars="200"/>
        <w:rPr>
          <w:color w:val="auto"/>
          <w:szCs w:val="21"/>
          <w:highlight w:val="none"/>
        </w:rPr>
      </w:pPr>
    </w:p>
    <w:p w14:paraId="0758B411">
      <w:pPr>
        <w:adjustRightInd w:val="0"/>
        <w:snapToGrid w:val="0"/>
        <w:spacing w:line="360" w:lineRule="auto"/>
        <w:ind w:firstLine="420" w:firstLineChars="200"/>
        <w:rPr>
          <w:color w:val="auto"/>
          <w:szCs w:val="21"/>
          <w:highlight w:val="none"/>
          <w:u w:val="single"/>
        </w:rPr>
      </w:pPr>
      <w:r>
        <w:rPr>
          <w:rFonts w:hint="eastAsia"/>
          <w:color w:val="auto"/>
          <w:szCs w:val="21"/>
          <w:highlight w:val="none"/>
        </w:rPr>
        <w:t>供应商</w:t>
      </w:r>
      <w:r>
        <w:rPr>
          <w:color w:val="auto"/>
          <w:szCs w:val="21"/>
          <w:highlight w:val="none"/>
        </w:rPr>
        <w:t>名称：</w:t>
      </w:r>
    </w:p>
    <w:p w14:paraId="225D7314">
      <w:pPr>
        <w:adjustRightInd w:val="0"/>
        <w:snapToGrid w:val="0"/>
        <w:spacing w:line="360" w:lineRule="auto"/>
        <w:ind w:firstLine="420" w:firstLineChars="200"/>
        <w:rPr>
          <w:color w:val="auto"/>
          <w:szCs w:val="21"/>
          <w:highlight w:val="none"/>
          <w:u w:val="single"/>
        </w:rPr>
      </w:pPr>
      <w:r>
        <w:rPr>
          <w:color w:val="auto"/>
          <w:szCs w:val="21"/>
          <w:highlight w:val="none"/>
        </w:rPr>
        <w:t>法定地址：</w:t>
      </w:r>
    </w:p>
    <w:p w14:paraId="2D393D58">
      <w:pPr>
        <w:adjustRightInd w:val="0"/>
        <w:snapToGrid w:val="0"/>
        <w:spacing w:line="360" w:lineRule="auto"/>
        <w:ind w:firstLine="420" w:firstLineChars="200"/>
        <w:rPr>
          <w:color w:val="auto"/>
          <w:szCs w:val="21"/>
          <w:highlight w:val="none"/>
        </w:rPr>
      </w:pPr>
      <w:r>
        <w:rPr>
          <w:color w:val="auto"/>
          <w:szCs w:val="21"/>
          <w:highlight w:val="none"/>
        </w:rPr>
        <w:t>姓名：</w:t>
      </w:r>
    </w:p>
    <w:p w14:paraId="3A33B10A">
      <w:pPr>
        <w:adjustRightInd w:val="0"/>
        <w:snapToGrid w:val="0"/>
        <w:spacing w:line="360" w:lineRule="auto"/>
        <w:ind w:firstLine="420" w:firstLineChars="200"/>
        <w:rPr>
          <w:color w:val="auto"/>
          <w:szCs w:val="21"/>
          <w:highlight w:val="none"/>
        </w:rPr>
      </w:pPr>
      <w:r>
        <w:rPr>
          <w:color w:val="auto"/>
          <w:szCs w:val="21"/>
          <w:highlight w:val="none"/>
        </w:rPr>
        <w:t>性别：</w:t>
      </w:r>
    </w:p>
    <w:p w14:paraId="4F23724F">
      <w:pPr>
        <w:adjustRightInd w:val="0"/>
        <w:snapToGrid w:val="0"/>
        <w:spacing w:line="360" w:lineRule="auto"/>
        <w:ind w:firstLine="420" w:firstLineChars="200"/>
        <w:rPr>
          <w:color w:val="auto"/>
          <w:szCs w:val="21"/>
          <w:highlight w:val="none"/>
        </w:rPr>
      </w:pPr>
      <w:r>
        <w:rPr>
          <w:color w:val="auto"/>
          <w:szCs w:val="21"/>
          <w:highlight w:val="none"/>
        </w:rPr>
        <w:t>年龄：</w:t>
      </w:r>
    </w:p>
    <w:p w14:paraId="0EE24348">
      <w:pPr>
        <w:adjustRightInd w:val="0"/>
        <w:snapToGrid w:val="0"/>
        <w:spacing w:line="360" w:lineRule="auto"/>
        <w:ind w:firstLine="420" w:firstLineChars="200"/>
        <w:rPr>
          <w:color w:val="auto"/>
          <w:szCs w:val="21"/>
          <w:highlight w:val="none"/>
          <w:u w:val="single"/>
        </w:rPr>
      </w:pPr>
      <w:r>
        <w:rPr>
          <w:color w:val="auto"/>
          <w:szCs w:val="21"/>
          <w:highlight w:val="none"/>
        </w:rPr>
        <w:t>职务：</w:t>
      </w:r>
    </w:p>
    <w:p w14:paraId="78716846">
      <w:pPr>
        <w:adjustRightInd w:val="0"/>
        <w:snapToGrid w:val="0"/>
        <w:spacing w:line="360" w:lineRule="auto"/>
        <w:ind w:firstLine="420" w:firstLineChars="200"/>
        <w:rPr>
          <w:color w:val="auto"/>
          <w:szCs w:val="21"/>
          <w:highlight w:val="none"/>
          <w:u w:val="single"/>
        </w:rPr>
      </w:pPr>
      <w:r>
        <w:rPr>
          <w:color w:val="auto"/>
          <w:szCs w:val="21"/>
          <w:highlight w:val="none"/>
        </w:rPr>
        <w:t>身份证号码：</w:t>
      </w:r>
    </w:p>
    <w:p w14:paraId="64F52E0E">
      <w:pPr>
        <w:adjustRightInd w:val="0"/>
        <w:snapToGrid w:val="0"/>
        <w:spacing w:line="360" w:lineRule="auto"/>
        <w:ind w:firstLine="420" w:firstLineChars="200"/>
        <w:rPr>
          <w:color w:val="auto"/>
          <w:szCs w:val="21"/>
          <w:highlight w:val="none"/>
        </w:rPr>
      </w:pPr>
      <w:r>
        <w:rPr>
          <w:color w:val="auto"/>
          <w:szCs w:val="21"/>
          <w:highlight w:val="none"/>
        </w:rPr>
        <w:t>该同志系公司法定代表人。</w:t>
      </w:r>
    </w:p>
    <w:p w14:paraId="02228A50">
      <w:pPr>
        <w:adjustRightInd w:val="0"/>
        <w:snapToGrid w:val="0"/>
        <w:spacing w:line="360" w:lineRule="auto"/>
        <w:ind w:firstLine="420" w:firstLineChars="200"/>
        <w:rPr>
          <w:color w:val="auto"/>
          <w:szCs w:val="21"/>
          <w:highlight w:val="none"/>
        </w:rPr>
      </w:pPr>
      <w:r>
        <w:rPr>
          <w:color w:val="auto"/>
          <w:szCs w:val="21"/>
          <w:highlight w:val="none"/>
        </w:rPr>
        <w:t>特此证明！</w:t>
      </w:r>
    </w:p>
    <w:p w14:paraId="3196E541">
      <w:pPr>
        <w:adjustRightInd w:val="0"/>
        <w:snapToGrid w:val="0"/>
        <w:spacing w:line="360" w:lineRule="auto"/>
        <w:ind w:firstLine="420" w:firstLineChars="200"/>
        <w:rPr>
          <w:color w:val="auto"/>
          <w:szCs w:val="21"/>
          <w:highlight w:val="none"/>
        </w:rPr>
      </w:pPr>
    </w:p>
    <w:p w14:paraId="595E6007">
      <w:pPr>
        <w:adjustRightInd w:val="0"/>
        <w:snapToGrid w:val="0"/>
        <w:spacing w:line="360" w:lineRule="auto"/>
        <w:ind w:firstLine="420" w:firstLineChars="200"/>
        <w:rPr>
          <w:color w:val="auto"/>
          <w:szCs w:val="21"/>
          <w:highlight w:val="none"/>
        </w:rPr>
      </w:pPr>
    </w:p>
    <w:p w14:paraId="5772C50E">
      <w:pPr>
        <w:adjustRightInd w:val="0"/>
        <w:snapToGrid w:val="0"/>
        <w:spacing w:line="360" w:lineRule="auto"/>
        <w:ind w:firstLine="420" w:firstLineChars="200"/>
        <w:rPr>
          <w:color w:val="auto"/>
          <w:szCs w:val="21"/>
          <w:highlight w:val="none"/>
        </w:rPr>
      </w:pPr>
      <w:r>
        <w:rPr>
          <w:rFonts w:hint="eastAsia"/>
          <w:color w:val="auto"/>
          <w:szCs w:val="21"/>
          <w:highlight w:val="none"/>
        </w:rPr>
        <w:t>供应商</w:t>
      </w:r>
      <w:r>
        <w:rPr>
          <w:color w:val="auto"/>
          <w:szCs w:val="21"/>
          <w:highlight w:val="none"/>
        </w:rPr>
        <w:t>：（</w:t>
      </w:r>
      <w:r>
        <w:rPr>
          <w:rFonts w:hint="eastAsia"/>
          <w:color w:val="auto"/>
          <w:highlight w:val="none"/>
        </w:rPr>
        <w:t>盖单位公章或电子签章</w:t>
      </w:r>
      <w:r>
        <w:rPr>
          <w:color w:val="auto"/>
          <w:szCs w:val="21"/>
          <w:highlight w:val="none"/>
        </w:rPr>
        <w:t>）</w:t>
      </w:r>
    </w:p>
    <w:p w14:paraId="369528E7">
      <w:pPr>
        <w:adjustRightInd w:val="0"/>
        <w:snapToGrid w:val="0"/>
        <w:spacing w:line="360" w:lineRule="auto"/>
        <w:ind w:firstLine="420" w:firstLineChars="200"/>
        <w:rPr>
          <w:color w:val="auto"/>
          <w:szCs w:val="21"/>
          <w:highlight w:val="none"/>
        </w:rPr>
      </w:pPr>
    </w:p>
    <w:p w14:paraId="2A83AFC9">
      <w:pPr>
        <w:adjustRightInd w:val="0"/>
        <w:snapToGrid w:val="0"/>
        <w:spacing w:line="360" w:lineRule="auto"/>
        <w:ind w:firstLine="420" w:firstLineChars="200"/>
        <w:rPr>
          <w:color w:val="auto"/>
          <w:szCs w:val="21"/>
          <w:highlight w:val="none"/>
        </w:rPr>
      </w:pPr>
      <w:r>
        <w:rPr>
          <w:color w:val="auto"/>
          <w:szCs w:val="21"/>
          <w:highlight w:val="none"/>
        </w:rPr>
        <w:t xml:space="preserve">日期： </w:t>
      </w:r>
      <w:r>
        <w:rPr>
          <w:rFonts w:hint="eastAsia"/>
          <w:color w:val="auto"/>
          <w:szCs w:val="21"/>
          <w:highlight w:val="none"/>
        </w:rPr>
        <w:t xml:space="preserve"> </w:t>
      </w:r>
      <w:r>
        <w:rPr>
          <w:color w:val="auto"/>
          <w:szCs w:val="21"/>
          <w:highlight w:val="none"/>
        </w:rPr>
        <w:t xml:space="preserve"> 年  月  日</w:t>
      </w:r>
    </w:p>
    <w:p w14:paraId="600F567F">
      <w:pPr>
        <w:adjustRightInd w:val="0"/>
        <w:snapToGrid w:val="0"/>
        <w:spacing w:line="360" w:lineRule="auto"/>
        <w:ind w:firstLine="420" w:firstLineChars="200"/>
        <w:rPr>
          <w:color w:val="auto"/>
          <w:szCs w:val="21"/>
          <w:highlight w:val="none"/>
        </w:rPr>
      </w:pPr>
    </w:p>
    <w:p w14:paraId="694B38D1">
      <w:pPr>
        <w:spacing w:line="360" w:lineRule="auto"/>
        <w:rPr>
          <w:color w:val="auto"/>
          <w:szCs w:val="21"/>
          <w:highlight w:val="none"/>
        </w:rPr>
      </w:pPr>
    </w:p>
    <w:p w14:paraId="0B78064A">
      <w:pPr>
        <w:spacing w:line="360" w:lineRule="auto"/>
        <w:ind w:firstLine="420" w:firstLineChars="200"/>
        <w:rPr>
          <w:color w:val="auto"/>
          <w:szCs w:val="21"/>
          <w:highlight w:val="none"/>
        </w:rPr>
      </w:pPr>
      <w:r>
        <w:rPr>
          <w:color w:val="auto"/>
          <w:szCs w:val="21"/>
          <w:highlight w:val="none"/>
        </w:rPr>
        <w:t>附：</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318A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2700" w:type="dxa"/>
          </w:tcPr>
          <w:p w14:paraId="33E82F5B">
            <w:pPr>
              <w:spacing w:line="360" w:lineRule="auto"/>
              <w:jc w:val="center"/>
              <w:rPr>
                <w:color w:val="auto"/>
                <w:szCs w:val="21"/>
                <w:highlight w:val="none"/>
              </w:rPr>
            </w:pPr>
            <w:r>
              <w:rPr>
                <w:color w:val="auto"/>
                <w:szCs w:val="21"/>
                <w:highlight w:val="none"/>
              </w:rPr>
              <w:t>法定代表人身份证复印件</w:t>
            </w:r>
          </w:p>
          <w:p w14:paraId="3C8A4A99">
            <w:pPr>
              <w:spacing w:line="360" w:lineRule="auto"/>
              <w:jc w:val="center"/>
              <w:rPr>
                <w:color w:val="auto"/>
                <w:szCs w:val="21"/>
                <w:highlight w:val="none"/>
              </w:rPr>
            </w:pPr>
            <w:r>
              <w:rPr>
                <w:rFonts w:hint="eastAsia"/>
                <w:color w:val="auto"/>
                <w:szCs w:val="21"/>
                <w:highlight w:val="none"/>
              </w:rPr>
              <w:t>正反面</w:t>
            </w:r>
          </w:p>
          <w:p w14:paraId="57342394">
            <w:pPr>
              <w:spacing w:line="360" w:lineRule="auto"/>
              <w:rPr>
                <w:color w:val="auto"/>
                <w:szCs w:val="21"/>
                <w:highlight w:val="none"/>
              </w:rPr>
            </w:pPr>
          </w:p>
        </w:tc>
      </w:tr>
    </w:tbl>
    <w:p w14:paraId="144D444F">
      <w:pPr>
        <w:adjustRightInd w:val="0"/>
        <w:snapToGrid w:val="0"/>
        <w:spacing w:line="360" w:lineRule="auto"/>
        <w:ind w:firstLine="420" w:firstLineChars="200"/>
        <w:rPr>
          <w:color w:val="auto"/>
          <w:szCs w:val="21"/>
          <w:highlight w:val="none"/>
        </w:rPr>
      </w:pPr>
    </w:p>
    <w:p w14:paraId="3430F92A">
      <w:pPr>
        <w:pStyle w:val="3"/>
        <w:ind w:firstLine="413" w:firstLineChars="196"/>
        <w:rPr>
          <w:rFonts w:ascii="Times New Roman" w:hAnsi="Times New Roman"/>
          <w:color w:val="auto"/>
          <w:highlight w:val="none"/>
        </w:rPr>
      </w:pPr>
      <w:r>
        <w:rPr>
          <w:rFonts w:ascii="Times New Roman" w:hAnsi="Times New Roman"/>
          <w:color w:val="auto"/>
          <w:highlight w:val="none"/>
        </w:rPr>
        <w:br w:type="page"/>
      </w:r>
      <w:r>
        <w:rPr>
          <w:rFonts w:hint="eastAsia" w:ascii="Times New Roman" w:hAnsi="Times New Roman"/>
          <w:color w:val="auto"/>
          <w:highlight w:val="none"/>
        </w:rPr>
        <w:t>3</w:t>
      </w:r>
      <w:r>
        <w:rPr>
          <w:rFonts w:ascii="Times New Roman" w:hAnsi="Times New Roman"/>
          <w:color w:val="auto"/>
          <w:highlight w:val="none"/>
        </w:rPr>
        <w:t>、法定代表人授权委托书</w:t>
      </w:r>
    </w:p>
    <w:p w14:paraId="34FBD6CA">
      <w:pPr>
        <w:snapToGrid w:val="0"/>
        <w:spacing w:line="300" w:lineRule="auto"/>
        <w:jc w:val="center"/>
        <w:rPr>
          <w:b/>
          <w:bCs/>
          <w:color w:val="auto"/>
          <w:sz w:val="32"/>
          <w:szCs w:val="32"/>
          <w:highlight w:val="none"/>
        </w:rPr>
      </w:pPr>
      <w:r>
        <w:rPr>
          <w:b/>
          <w:bCs/>
          <w:color w:val="auto"/>
          <w:sz w:val="32"/>
          <w:szCs w:val="32"/>
          <w:highlight w:val="none"/>
        </w:rPr>
        <w:t>法定代表人授权委托书</w:t>
      </w:r>
    </w:p>
    <w:p w14:paraId="676F9387">
      <w:pPr>
        <w:snapToGrid w:val="0"/>
        <w:spacing w:line="300" w:lineRule="auto"/>
        <w:jc w:val="center"/>
        <w:rPr>
          <w:b/>
          <w:bCs/>
          <w:color w:val="auto"/>
          <w:sz w:val="32"/>
          <w:szCs w:val="32"/>
          <w:highlight w:val="none"/>
        </w:rPr>
      </w:pPr>
      <w:r>
        <w:rPr>
          <w:color w:val="auto"/>
          <w:highlight w:val="none"/>
        </w:rPr>
        <w:t>（法定代表人签署不需提供此书）</w:t>
      </w:r>
    </w:p>
    <w:p w14:paraId="73EA867A">
      <w:pPr>
        <w:spacing w:line="360" w:lineRule="auto"/>
        <w:rPr>
          <w:color w:val="auto"/>
          <w:szCs w:val="21"/>
          <w:highlight w:val="none"/>
        </w:rPr>
      </w:pPr>
    </w:p>
    <w:p w14:paraId="513EC2E2">
      <w:pPr>
        <w:snapToGrid w:val="0"/>
        <w:spacing w:line="360" w:lineRule="auto"/>
        <w:rPr>
          <w:color w:val="auto"/>
          <w:szCs w:val="21"/>
          <w:highlight w:val="none"/>
        </w:rPr>
      </w:pPr>
      <w:r>
        <w:rPr>
          <w:bCs/>
          <w:color w:val="auto"/>
          <w:szCs w:val="21"/>
          <w:highlight w:val="none"/>
        </w:rPr>
        <w:t>致：</w:t>
      </w:r>
      <w:r>
        <w:rPr>
          <w:color w:val="auto"/>
          <w:szCs w:val="21"/>
          <w:highlight w:val="none"/>
          <w:u w:val="single"/>
        </w:rPr>
        <w:t xml:space="preserve">    </w:t>
      </w:r>
      <w:r>
        <w:rPr>
          <w:color w:val="auto"/>
          <w:szCs w:val="21"/>
          <w:highlight w:val="none"/>
        </w:rPr>
        <w:t>（采购代理机构）：</w:t>
      </w:r>
    </w:p>
    <w:p w14:paraId="5BE95C4F">
      <w:pPr>
        <w:snapToGrid w:val="0"/>
        <w:spacing w:line="360" w:lineRule="auto"/>
        <w:rPr>
          <w:b/>
          <w:bCs/>
          <w:color w:val="auto"/>
          <w:szCs w:val="21"/>
          <w:highlight w:val="none"/>
        </w:rPr>
      </w:pPr>
    </w:p>
    <w:p w14:paraId="73FBD80C">
      <w:pPr>
        <w:snapToGrid w:val="0"/>
        <w:spacing w:line="360" w:lineRule="auto"/>
        <w:ind w:firstLine="420" w:firstLineChars="200"/>
        <w:rPr>
          <w:color w:val="auto"/>
          <w:szCs w:val="21"/>
          <w:highlight w:val="none"/>
        </w:rPr>
      </w:pPr>
      <w:r>
        <w:rPr>
          <w:color w:val="auto"/>
          <w:szCs w:val="21"/>
          <w:highlight w:val="none"/>
        </w:rPr>
        <w:t>我</w:t>
      </w:r>
      <w:r>
        <w:rPr>
          <w:color w:val="auto"/>
          <w:szCs w:val="21"/>
          <w:highlight w:val="none"/>
          <w:u w:val="single"/>
        </w:rPr>
        <w:t xml:space="preserve">      </w:t>
      </w:r>
      <w:r>
        <w:rPr>
          <w:color w:val="auto"/>
          <w:szCs w:val="21"/>
          <w:highlight w:val="none"/>
        </w:rPr>
        <w:t>_（姓名）系</w:t>
      </w:r>
      <w:r>
        <w:rPr>
          <w:color w:val="auto"/>
          <w:szCs w:val="21"/>
          <w:highlight w:val="none"/>
          <w:u w:val="single"/>
        </w:rPr>
        <w:t xml:space="preserve">             _</w:t>
      </w:r>
      <w:r>
        <w:rPr>
          <w:color w:val="auto"/>
          <w:szCs w:val="21"/>
          <w:highlight w:val="none"/>
        </w:rPr>
        <w:t>_（</w:t>
      </w:r>
      <w:r>
        <w:rPr>
          <w:rFonts w:hint="eastAsia"/>
          <w:color w:val="auto"/>
          <w:szCs w:val="21"/>
          <w:highlight w:val="none"/>
        </w:rPr>
        <w:t>供应商</w:t>
      </w:r>
      <w:r>
        <w:rPr>
          <w:color w:val="auto"/>
          <w:szCs w:val="21"/>
          <w:highlight w:val="none"/>
        </w:rPr>
        <w:t>名称）的法定代表人，现授权委托本单位在职职工</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（采购单位，项目名称）   </w:t>
      </w:r>
      <w:r>
        <w:rPr>
          <w:color w:val="auto"/>
          <w:szCs w:val="21"/>
          <w:highlight w:val="none"/>
        </w:rPr>
        <w:t>项目的投标活动，并代表我方全权办理针对上述项目的投标、开标、评标、签约等具体事务和签署相关文件。</w:t>
      </w:r>
    </w:p>
    <w:p w14:paraId="226F6A92">
      <w:pPr>
        <w:snapToGrid w:val="0"/>
        <w:spacing w:line="360" w:lineRule="auto"/>
        <w:ind w:firstLine="420" w:firstLineChars="200"/>
        <w:rPr>
          <w:color w:val="auto"/>
          <w:szCs w:val="21"/>
          <w:highlight w:val="none"/>
        </w:rPr>
      </w:pPr>
      <w:r>
        <w:rPr>
          <w:color w:val="auto"/>
          <w:szCs w:val="21"/>
          <w:highlight w:val="none"/>
        </w:rPr>
        <w:t>我方对被授权人的签名事项负全部责任。</w:t>
      </w:r>
    </w:p>
    <w:p w14:paraId="292C1DCD">
      <w:pPr>
        <w:snapToGrid w:val="0"/>
        <w:spacing w:line="360" w:lineRule="auto"/>
        <w:ind w:firstLine="420" w:firstLineChars="20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61B4A9EF">
      <w:pPr>
        <w:snapToGrid w:val="0"/>
        <w:spacing w:line="360" w:lineRule="auto"/>
        <w:ind w:firstLine="420" w:firstLineChars="200"/>
        <w:rPr>
          <w:color w:val="auto"/>
          <w:szCs w:val="21"/>
          <w:highlight w:val="none"/>
        </w:rPr>
      </w:pPr>
      <w:r>
        <w:rPr>
          <w:color w:val="auto"/>
          <w:szCs w:val="21"/>
          <w:highlight w:val="none"/>
        </w:rPr>
        <w:t>被授权人无转委托权，特此委托。</w:t>
      </w:r>
    </w:p>
    <w:p w14:paraId="4272F842">
      <w:pPr>
        <w:snapToGrid w:val="0"/>
        <w:spacing w:line="360" w:lineRule="auto"/>
        <w:rPr>
          <w:color w:val="auto"/>
          <w:szCs w:val="21"/>
          <w:highlight w:val="none"/>
        </w:rPr>
      </w:pPr>
    </w:p>
    <w:p w14:paraId="25913B29">
      <w:pPr>
        <w:snapToGrid w:val="0"/>
        <w:spacing w:line="360" w:lineRule="auto"/>
        <w:rPr>
          <w:color w:val="auto"/>
          <w:szCs w:val="21"/>
          <w:highlight w:val="none"/>
        </w:rPr>
      </w:pPr>
      <w:r>
        <w:rPr>
          <w:color w:val="auto"/>
          <w:szCs w:val="21"/>
          <w:highlight w:val="none"/>
        </w:rPr>
        <w:t>被授权人</w:t>
      </w:r>
      <w:r>
        <w:rPr>
          <w:rFonts w:hint="eastAsia"/>
          <w:color w:val="auto"/>
          <w:szCs w:val="21"/>
          <w:highlight w:val="none"/>
        </w:rPr>
        <w:t>姓名</w:t>
      </w:r>
      <w:r>
        <w:rPr>
          <w:color w:val="auto"/>
          <w:szCs w:val="21"/>
          <w:highlight w:val="none"/>
        </w:rPr>
        <w:t>：</w:t>
      </w:r>
      <w:r>
        <w:rPr>
          <w:color w:val="auto"/>
          <w:szCs w:val="21"/>
          <w:highlight w:val="none"/>
          <w:u w:val="single"/>
        </w:rPr>
        <w:t xml:space="preserve">                    </w:t>
      </w:r>
    </w:p>
    <w:p w14:paraId="293170CB">
      <w:pPr>
        <w:snapToGrid w:val="0"/>
        <w:spacing w:line="360" w:lineRule="auto"/>
        <w:rPr>
          <w:color w:val="auto"/>
          <w:szCs w:val="21"/>
          <w:highlight w:val="none"/>
        </w:rPr>
      </w:pPr>
      <w:r>
        <w:rPr>
          <w:color w:val="auto"/>
          <w:szCs w:val="21"/>
          <w:highlight w:val="none"/>
        </w:rPr>
        <w:t>职        务：</w:t>
      </w:r>
      <w:r>
        <w:rPr>
          <w:color w:val="auto"/>
          <w:szCs w:val="21"/>
          <w:highlight w:val="none"/>
          <w:u w:val="single"/>
        </w:rPr>
        <w:t xml:space="preserve">                    </w:t>
      </w:r>
    </w:p>
    <w:p w14:paraId="516EB312">
      <w:pPr>
        <w:snapToGrid w:val="0"/>
        <w:spacing w:line="360" w:lineRule="auto"/>
        <w:rPr>
          <w:color w:val="auto"/>
          <w:szCs w:val="21"/>
          <w:highlight w:val="none"/>
        </w:rPr>
      </w:pPr>
      <w:r>
        <w:rPr>
          <w:color w:val="auto"/>
          <w:szCs w:val="21"/>
          <w:highlight w:val="none"/>
        </w:rPr>
        <w:t>被授权人身份证号码：</w:t>
      </w:r>
      <w:r>
        <w:rPr>
          <w:color w:val="auto"/>
          <w:szCs w:val="21"/>
          <w:highlight w:val="none"/>
          <w:u w:val="single"/>
        </w:rPr>
        <w:t xml:space="preserve">              </w:t>
      </w:r>
    </w:p>
    <w:p w14:paraId="346F94BE">
      <w:pPr>
        <w:snapToGrid w:val="0"/>
        <w:spacing w:line="360" w:lineRule="auto"/>
        <w:rPr>
          <w:color w:val="auto"/>
          <w:szCs w:val="21"/>
          <w:highlight w:val="none"/>
        </w:rPr>
      </w:pPr>
    </w:p>
    <w:p w14:paraId="4EC7A123">
      <w:pPr>
        <w:snapToGrid w:val="0"/>
        <w:spacing w:line="360" w:lineRule="auto"/>
        <w:rPr>
          <w:color w:val="auto"/>
          <w:szCs w:val="21"/>
          <w:highlight w:val="none"/>
          <w:u w:val="single"/>
        </w:rPr>
      </w:pPr>
      <w:r>
        <w:rPr>
          <w:color w:val="auto"/>
          <w:szCs w:val="21"/>
          <w:highlight w:val="none"/>
        </w:rPr>
        <w:t>法定代表人</w:t>
      </w:r>
      <w:r>
        <w:rPr>
          <w:rFonts w:hint="eastAsia"/>
          <w:color w:val="auto"/>
          <w:szCs w:val="21"/>
          <w:highlight w:val="none"/>
        </w:rPr>
        <w:t>姓名</w:t>
      </w:r>
      <w:r>
        <w:rPr>
          <w:color w:val="auto"/>
          <w:szCs w:val="21"/>
          <w:highlight w:val="none"/>
        </w:rPr>
        <w:t>：</w:t>
      </w:r>
      <w:r>
        <w:rPr>
          <w:color w:val="auto"/>
          <w:szCs w:val="21"/>
          <w:highlight w:val="none"/>
          <w:u w:val="single"/>
        </w:rPr>
        <w:t xml:space="preserve">                  </w:t>
      </w:r>
    </w:p>
    <w:p w14:paraId="255ACF62">
      <w:pPr>
        <w:snapToGrid w:val="0"/>
        <w:spacing w:line="360" w:lineRule="auto"/>
        <w:rPr>
          <w:color w:val="auto"/>
          <w:szCs w:val="21"/>
          <w:highlight w:val="none"/>
          <w:u w:val="single"/>
        </w:rPr>
      </w:pPr>
      <w:r>
        <w:rPr>
          <w:color w:val="auto"/>
          <w:szCs w:val="21"/>
          <w:highlight w:val="none"/>
        </w:rPr>
        <w:t>职          务：</w:t>
      </w:r>
      <w:r>
        <w:rPr>
          <w:color w:val="auto"/>
          <w:szCs w:val="21"/>
          <w:highlight w:val="none"/>
          <w:u w:val="single"/>
        </w:rPr>
        <w:t xml:space="preserve">                  </w:t>
      </w:r>
    </w:p>
    <w:p w14:paraId="34BF72E2">
      <w:pPr>
        <w:snapToGrid w:val="0"/>
        <w:spacing w:line="360" w:lineRule="auto"/>
        <w:rPr>
          <w:color w:val="auto"/>
          <w:szCs w:val="21"/>
          <w:highlight w:val="none"/>
          <w:u w:val="single"/>
        </w:rPr>
      </w:pPr>
      <w:r>
        <w:rPr>
          <w:color w:val="auto"/>
          <w:szCs w:val="21"/>
          <w:highlight w:val="none"/>
        </w:rPr>
        <w:t>身份证号码：</w:t>
      </w:r>
      <w:r>
        <w:rPr>
          <w:color w:val="auto"/>
          <w:szCs w:val="21"/>
          <w:highlight w:val="none"/>
          <w:u w:val="single"/>
        </w:rPr>
        <w:t xml:space="preserve">                     </w:t>
      </w:r>
    </w:p>
    <w:p w14:paraId="0A30CD17">
      <w:pPr>
        <w:snapToGrid w:val="0"/>
        <w:spacing w:line="360" w:lineRule="auto"/>
        <w:rPr>
          <w:color w:val="auto"/>
          <w:szCs w:val="21"/>
          <w:highlight w:val="none"/>
          <w:u w:val="single"/>
        </w:rPr>
      </w:pPr>
    </w:p>
    <w:p w14:paraId="7FCE5828">
      <w:pPr>
        <w:snapToGrid w:val="0"/>
        <w:spacing w:line="360" w:lineRule="auto"/>
        <w:rPr>
          <w:color w:val="auto"/>
          <w:szCs w:val="21"/>
          <w:highlight w:val="none"/>
          <w:u w:val="single"/>
        </w:rPr>
      </w:pPr>
      <w:r>
        <w:rPr>
          <w:rFonts w:hint="eastAsia"/>
          <w:color w:val="auto"/>
          <w:szCs w:val="21"/>
          <w:highlight w:val="none"/>
        </w:rPr>
        <w:t>供应商</w:t>
      </w:r>
      <w:r>
        <w:rPr>
          <w:color w:val="auto"/>
          <w:szCs w:val="21"/>
          <w:highlight w:val="none"/>
        </w:rPr>
        <w:t>：</w:t>
      </w:r>
      <w:r>
        <w:rPr>
          <w:rFonts w:hint="eastAsia"/>
          <w:color w:val="auto"/>
          <w:szCs w:val="21"/>
          <w:highlight w:val="none"/>
        </w:rPr>
        <w:t>（</w:t>
      </w:r>
      <w:r>
        <w:rPr>
          <w:rFonts w:hint="eastAsia"/>
          <w:color w:val="auto"/>
          <w:highlight w:val="none"/>
        </w:rPr>
        <w:t>盖单位公章或电子签章</w:t>
      </w:r>
      <w:r>
        <w:rPr>
          <w:rFonts w:hint="eastAsia"/>
          <w:color w:val="auto"/>
          <w:szCs w:val="21"/>
          <w:highlight w:val="none"/>
        </w:rPr>
        <w:t>）</w:t>
      </w:r>
    </w:p>
    <w:p w14:paraId="4EDBAB2F">
      <w:pPr>
        <w:spacing w:line="360" w:lineRule="auto"/>
        <w:rPr>
          <w:color w:val="auto"/>
          <w:szCs w:val="21"/>
          <w:highlight w:val="none"/>
        </w:rPr>
      </w:pPr>
      <w:r>
        <w:rPr>
          <w:color w:val="auto"/>
          <w:szCs w:val="21"/>
          <w:highlight w:val="none"/>
        </w:rPr>
        <w:t>签署时间：   年    月    日</w:t>
      </w:r>
    </w:p>
    <w:p w14:paraId="13287EB3">
      <w:pPr>
        <w:spacing w:line="360" w:lineRule="auto"/>
        <w:rPr>
          <w:color w:val="auto"/>
          <w:szCs w:val="21"/>
          <w:highlight w:val="none"/>
        </w:rPr>
      </w:pPr>
    </w:p>
    <w:p w14:paraId="29B11BE2">
      <w:pPr>
        <w:spacing w:line="360" w:lineRule="auto"/>
        <w:rPr>
          <w:color w:val="auto"/>
          <w:szCs w:val="21"/>
          <w:highlight w:val="none"/>
        </w:rPr>
      </w:pPr>
      <w:r>
        <w:rPr>
          <w:color w:val="auto"/>
          <w:szCs w:val="21"/>
          <w:highlight w:val="none"/>
        </w:rPr>
        <w:t>附：</w:t>
      </w:r>
    </w:p>
    <w:tbl>
      <w:tblPr>
        <w:tblStyle w:val="8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2D20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tcPr>
          <w:p w14:paraId="116DB0D1">
            <w:pPr>
              <w:spacing w:line="360" w:lineRule="auto"/>
              <w:jc w:val="center"/>
              <w:rPr>
                <w:color w:val="auto"/>
                <w:szCs w:val="21"/>
                <w:highlight w:val="none"/>
              </w:rPr>
            </w:pPr>
            <w:r>
              <w:rPr>
                <w:color w:val="auto"/>
                <w:szCs w:val="21"/>
                <w:highlight w:val="none"/>
              </w:rPr>
              <w:t>法定代表人身份证复印件</w:t>
            </w:r>
          </w:p>
          <w:p w14:paraId="4A1AF7C5">
            <w:pPr>
              <w:spacing w:line="360" w:lineRule="auto"/>
              <w:jc w:val="center"/>
              <w:rPr>
                <w:color w:val="auto"/>
                <w:szCs w:val="21"/>
                <w:highlight w:val="none"/>
              </w:rPr>
            </w:pPr>
            <w:r>
              <w:rPr>
                <w:rFonts w:hint="eastAsia"/>
                <w:color w:val="auto"/>
                <w:szCs w:val="21"/>
                <w:highlight w:val="none"/>
              </w:rPr>
              <w:t>正反面</w:t>
            </w:r>
          </w:p>
          <w:p w14:paraId="2A3F2FF9">
            <w:pPr>
              <w:spacing w:line="360" w:lineRule="auto"/>
              <w:rPr>
                <w:color w:val="auto"/>
                <w:szCs w:val="21"/>
                <w:highlight w:val="none"/>
              </w:rPr>
            </w:pPr>
          </w:p>
        </w:tc>
        <w:tc>
          <w:tcPr>
            <w:tcW w:w="2340" w:type="dxa"/>
            <w:tcBorders>
              <w:top w:val="nil"/>
              <w:bottom w:val="nil"/>
            </w:tcBorders>
          </w:tcPr>
          <w:p w14:paraId="75B107C6">
            <w:pPr>
              <w:widowControl/>
              <w:jc w:val="left"/>
              <w:rPr>
                <w:color w:val="auto"/>
                <w:szCs w:val="21"/>
                <w:highlight w:val="none"/>
              </w:rPr>
            </w:pPr>
          </w:p>
          <w:p w14:paraId="1029A0BE">
            <w:pPr>
              <w:spacing w:line="360" w:lineRule="auto"/>
              <w:rPr>
                <w:color w:val="auto"/>
                <w:szCs w:val="21"/>
                <w:highlight w:val="none"/>
              </w:rPr>
            </w:pPr>
          </w:p>
        </w:tc>
        <w:tc>
          <w:tcPr>
            <w:tcW w:w="2700" w:type="dxa"/>
          </w:tcPr>
          <w:p w14:paraId="252E86C9">
            <w:pPr>
              <w:spacing w:line="360" w:lineRule="auto"/>
              <w:jc w:val="center"/>
              <w:rPr>
                <w:color w:val="auto"/>
                <w:szCs w:val="21"/>
                <w:highlight w:val="none"/>
              </w:rPr>
            </w:pPr>
            <w:r>
              <w:rPr>
                <w:color w:val="auto"/>
                <w:szCs w:val="21"/>
                <w:highlight w:val="none"/>
              </w:rPr>
              <w:t>被授权人身份证复印件</w:t>
            </w:r>
          </w:p>
          <w:p w14:paraId="081148EA">
            <w:pPr>
              <w:spacing w:line="360" w:lineRule="auto"/>
              <w:jc w:val="center"/>
              <w:rPr>
                <w:color w:val="auto"/>
                <w:szCs w:val="21"/>
                <w:highlight w:val="none"/>
              </w:rPr>
            </w:pPr>
            <w:r>
              <w:rPr>
                <w:rFonts w:hint="eastAsia"/>
                <w:color w:val="auto"/>
                <w:szCs w:val="21"/>
                <w:highlight w:val="none"/>
              </w:rPr>
              <w:t>正反面</w:t>
            </w:r>
          </w:p>
        </w:tc>
      </w:tr>
    </w:tbl>
    <w:p w14:paraId="511BA95D">
      <w:pPr>
        <w:widowControl/>
        <w:autoSpaceDE w:val="0"/>
        <w:autoSpaceDN w:val="0"/>
        <w:spacing w:line="360" w:lineRule="auto"/>
        <w:jc w:val="center"/>
        <w:textAlignment w:val="bottom"/>
        <w:rPr>
          <w:color w:val="auto"/>
          <w:szCs w:val="21"/>
          <w:highlight w:val="none"/>
        </w:rPr>
      </w:pPr>
    </w:p>
    <w:p w14:paraId="02C135B3">
      <w:pPr>
        <w:spacing w:line="360" w:lineRule="auto"/>
        <w:rPr>
          <w:b/>
          <w:bCs/>
          <w:color w:val="auto"/>
          <w:szCs w:val="21"/>
          <w:highlight w:val="none"/>
          <w:u w:val="single"/>
        </w:rPr>
      </w:pPr>
      <w:r>
        <w:rPr>
          <w:b/>
          <w:bCs/>
          <w:color w:val="auto"/>
          <w:highlight w:val="none"/>
        </w:rPr>
        <w:t>附：社保机构出具的投标截止日前6个月内授权代表的投标单位社保缴纳证明，任职不足6个月的可提供劳动合同证明文件</w:t>
      </w:r>
    </w:p>
    <w:p w14:paraId="02AE75FB">
      <w:pPr>
        <w:pStyle w:val="142"/>
        <w:snapToGrid w:val="0"/>
        <w:spacing w:line="360" w:lineRule="auto"/>
        <w:ind w:firstLine="420"/>
        <w:rPr>
          <w:rFonts w:ascii="Times New Roman" w:hAnsi="Times New Roman"/>
          <w:color w:val="auto"/>
          <w:highlight w:val="none"/>
        </w:rPr>
      </w:pPr>
      <w:r>
        <w:rPr>
          <w:rFonts w:ascii="Times New Roman" w:hAnsi="Times New Roman"/>
          <w:color w:val="auto"/>
          <w:szCs w:val="21"/>
          <w:highlight w:val="none"/>
        </w:rPr>
        <w:br w:type="page"/>
      </w:r>
      <w:r>
        <w:rPr>
          <w:rFonts w:hint="eastAsia" w:ascii="Times New Roman" w:hAnsi="Times New Roman"/>
          <w:b/>
          <w:bCs/>
          <w:color w:val="auto"/>
          <w:highlight w:val="none"/>
        </w:rPr>
        <w:t>4、分包意向协议（如有分包）</w:t>
      </w:r>
    </w:p>
    <w:p w14:paraId="31C1B70F">
      <w:pPr>
        <w:rPr>
          <w:color w:val="auto"/>
          <w:highlight w:val="none"/>
        </w:rPr>
      </w:pPr>
    </w:p>
    <w:p w14:paraId="429BF291">
      <w:pPr>
        <w:spacing w:line="360" w:lineRule="auto"/>
        <w:jc w:val="center"/>
        <w:rPr>
          <w:b/>
          <w:color w:val="auto"/>
          <w:sz w:val="32"/>
          <w:szCs w:val="32"/>
          <w:highlight w:val="none"/>
        </w:rPr>
      </w:pPr>
      <w:r>
        <w:rPr>
          <w:rFonts w:hAnsi="宋体"/>
          <w:b/>
          <w:color w:val="auto"/>
          <w:sz w:val="32"/>
          <w:szCs w:val="32"/>
          <w:highlight w:val="none"/>
        </w:rPr>
        <w:t>分包意向协议</w:t>
      </w:r>
    </w:p>
    <w:p w14:paraId="339F6D9B">
      <w:pPr>
        <w:widowControl/>
        <w:spacing w:line="360" w:lineRule="auto"/>
        <w:ind w:firstLine="420" w:firstLineChars="200"/>
        <w:jc w:val="left"/>
        <w:rPr>
          <w:color w:val="auto"/>
          <w:szCs w:val="21"/>
          <w:highlight w:val="none"/>
        </w:rPr>
      </w:pPr>
    </w:p>
    <w:p w14:paraId="7835AC11">
      <w:pPr>
        <w:adjustRightInd w:val="0"/>
        <w:snapToGrid w:val="0"/>
        <w:spacing w:line="360" w:lineRule="auto"/>
        <w:ind w:firstLine="576"/>
        <w:rPr>
          <w:color w:val="auto"/>
          <w:kern w:val="0"/>
          <w:szCs w:val="21"/>
          <w:highlight w:val="none"/>
          <w:lang w:val="zh-CN"/>
        </w:rPr>
      </w:pPr>
      <w:r>
        <w:rPr>
          <w:color w:val="auto"/>
          <w:kern w:val="0"/>
          <w:szCs w:val="21"/>
          <w:highlight w:val="none"/>
          <w:u w:val="single"/>
        </w:rPr>
        <w:t>（供应商名称）</w:t>
      </w:r>
      <w:r>
        <w:rPr>
          <w:color w:val="auto"/>
          <w:kern w:val="0"/>
          <w:szCs w:val="21"/>
          <w:highlight w:val="none"/>
          <w:lang w:val="zh-CN"/>
        </w:rPr>
        <w:t>若成为</w:t>
      </w:r>
      <w:r>
        <w:rPr>
          <w:color w:val="auto"/>
          <w:szCs w:val="21"/>
          <w:highlight w:val="none"/>
        </w:rPr>
        <w:t>（项目名称）（采购编号：    ）</w:t>
      </w:r>
      <w:r>
        <w:rPr>
          <w:color w:val="auto"/>
          <w:kern w:val="0"/>
          <w:szCs w:val="21"/>
          <w:highlight w:val="none"/>
          <w:lang w:val="zh-CN"/>
        </w:rPr>
        <w:t>的中标供应商，将依法采取分包方式履行合同。</w:t>
      </w:r>
      <w:r>
        <w:rPr>
          <w:color w:val="auto"/>
          <w:kern w:val="0"/>
          <w:szCs w:val="21"/>
          <w:highlight w:val="none"/>
          <w:u w:val="single"/>
        </w:rPr>
        <w:t>（供应商名称）</w:t>
      </w:r>
      <w:r>
        <w:rPr>
          <w:color w:val="auto"/>
          <w:kern w:val="0"/>
          <w:szCs w:val="21"/>
          <w:highlight w:val="none"/>
        </w:rPr>
        <w:t>与</w:t>
      </w:r>
      <w:r>
        <w:rPr>
          <w:color w:val="auto"/>
          <w:kern w:val="0"/>
          <w:szCs w:val="21"/>
          <w:highlight w:val="none"/>
          <w:u w:val="single"/>
        </w:rPr>
        <w:t>（所有分包供应商名称）</w:t>
      </w:r>
      <w:r>
        <w:rPr>
          <w:color w:val="auto"/>
          <w:kern w:val="0"/>
          <w:szCs w:val="21"/>
          <w:highlight w:val="none"/>
        </w:rPr>
        <w:t>达成分包意向协议</w:t>
      </w:r>
      <w:r>
        <w:rPr>
          <w:color w:val="auto"/>
          <w:kern w:val="0"/>
          <w:szCs w:val="21"/>
          <w:highlight w:val="none"/>
          <w:lang w:val="zh-CN"/>
        </w:rPr>
        <w:t xml:space="preserve">。 </w:t>
      </w:r>
    </w:p>
    <w:p w14:paraId="6451FA2C">
      <w:pPr>
        <w:adjustRightInd w:val="0"/>
        <w:snapToGrid w:val="0"/>
        <w:spacing w:line="360" w:lineRule="auto"/>
        <w:ind w:firstLine="576"/>
        <w:rPr>
          <w:color w:val="auto"/>
          <w:kern w:val="0"/>
          <w:szCs w:val="21"/>
          <w:highlight w:val="none"/>
          <w:lang w:val="zh-CN"/>
        </w:rPr>
      </w:pPr>
      <w:r>
        <w:rPr>
          <w:color w:val="auto"/>
          <w:kern w:val="0"/>
          <w:szCs w:val="21"/>
          <w:highlight w:val="none"/>
          <w:lang w:val="zh-CN"/>
        </w:rPr>
        <w:t>一、分包标的及数量</w:t>
      </w:r>
    </w:p>
    <w:p w14:paraId="35A05A0F">
      <w:pPr>
        <w:adjustRightInd w:val="0"/>
        <w:snapToGrid w:val="0"/>
        <w:spacing w:line="360" w:lineRule="auto"/>
        <w:ind w:firstLine="576"/>
        <w:rPr>
          <w:color w:val="auto"/>
          <w:kern w:val="0"/>
          <w:szCs w:val="21"/>
          <w:highlight w:val="none"/>
          <w:lang w:val="zh-CN"/>
        </w:rPr>
      </w:pPr>
      <w:r>
        <w:rPr>
          <w:color w:val="auto"/>
          <w:kern w:val="0"/>
          <w:szCs w:val="21"/>
          <w:highlight w:val="none"/>
          <w:u w:val="single"/>
        </w:rPr>
        <w:t>（供应商名称）</w:t>
      </w:r>
      <w:r>
        <w:rPr>
          <w:color w:val="auto"/>
          <w:kern w:val="0"/>
          <w:szCs w:val="21"/>
          <w:highlight w:val="none"/>
          <w:lang w:val="zh-CN"/>
        </w:rPr>
        <w:t>将</w:t>
      </w:r>
      <w:r>
        <w:rPr>
          <w:color w:val="auto"/>
          <w:szCs w:val="21"/>
          <w:highlight w:val="none"/>
          <w:u w:val="single"/>
        </w:rPr>
        <w:t xml:space="preserve">   XX工作内容   </w:t>
      </w:r>
      <w:r>
        <w:rPr>
          <w:color w:val="auto"/>
          <w:szCs w:val="21"/>
          <w:highlight w:val="none"/>
        </w:rPr>
        <w:t>分包给</w:t>
      </w:r>
      <w:r>
        <w:rPr>
          <w:color w:val="auto"/>
          <w:kern w:val="0"/>
          <w:szCs w:val="21"/>
          <w:highlight w:val="none"/>
          <w:u w:val="single"/>
        </w:rPr>
        <w:t>（某分包供应商名称）</w:t>
      </w:r>
      <w:r>
        <w:rPr>
          <w:color w:val="auto"/>
          <w:kern w:val="0"/>
          <w:szCs w:val="21"/>
          <w:highlight w:val="none"/>
          <w:lang w:val="zh-CN"/>
        </w:rPr>
        <w:t>，</w:t>
      </w:r>
      <w:r>
        <w:rPr>
          <w:color w:val="auto"/>
          <w:kern w:val="0"/>
          <w:szCs w:val="21"/>
          <w:highlight w:val="none"/>
          <w:u w:val="single"/>
        </w:rPr>
        <w:t>（某分包供应商名称），</w:t>
      </w:r>
      <w:r>
        <w:rPr>
          <w:color w:val="auto"/>
          <w:kern w:val="0"/>
          <w:szCs w:val="21"/>
          <w:highlight w:val="none"/>
          <w:lang w:val="zh-CN"/>
        </w:rPr>
        <w:t>具备承</w:t>
      </w:r>
      <w:r>
        <w:rPr>
          <w:color w:val="auto"/>
          <w:kern w:val="0"/>
          <w:szCs w:val="21"/>
          <w:highlight w:val="none"/>
        </w:rPr>
        <w:t>担</w:t>
      </w:r>
      <w:r>
        <w:rPr>
          <w:color w:val="auto"/>
          <w:kern w:val="0"/>
          <w:szCs w:val="21"/>
          <w:highlight w:val="none"/>
          <w:u w:val="single"/>
          <w:lang w:val="zh-CN"/>
        </w:rPr>
        <w:t>XX工作内容</w:t>
      </w:r>
      <w:r>
        <w:rPr>
          <w:color w:val="auto"/>
          <w:kern w:val="0"/>
          <w:szCs w:val="21"/>
          <w:highlight w:val="none"/>
          <w:lang w:val="zh-CN"/>
        </w:rPr>
        <w:t>相应资质条件且不得再次分包；</w:t>
      </w:r>
    </w:p>
    <w:p w14:paraId="757F29AF">
      <w:pPr>
        <w:ind w:firstLine="630" w:firstLineChars="300"/>
        <w:rPr>
          <w:color w:val="auto"/>
          <w:szCs w:val="21"/>
          <w:highlight w:val="none"/>
        </w:rPr>
      </w:pPr>
      <w:r>
        <w:rPr>
          <w:color w:val="auto"/>
          <w:szCs w:val="21"/>
          <w:highlight w:val="none"/>
        </w:rPr>
        <w:t>……</w:t>
      </w:r>
    </w:p>
    <w:p w14:paraId="1836B5DD">
      <w:pPr>
        <w:adjustRightInd w:val="0"/>
        <w:snapToGrid w:val="0"/>
        <w:spacing w:line="440" w:lineRule="exact"/>
        <w:ind w:firstLine="576"/>
        <w:rPr>
          <w:color w:val="auto"/>
          <w:kern w:val="0"/>
          <w:szCs w:val="21"/>
          <w:highlight w:val="none"/>
          <w:lang w:val="zh-CN"/>
        </w:rPr>
      </w:pPr>
      <w:r>
        <w:rPr>
          <w:color w:val="auto"/>
          <w:kern w:val="0"/>
          <w:szCs w:val="21"/>
          <w:highlight w:val="none"/>
          <w:lang w:val="zh-CN"/>
        </w:rPr>
        <w:t>二、分包工作履行期限、地点、方式</w:t>
      </w:r>
    </w:p>
    <w:p w14:paraId="23318E10">
      <w:pPr>
        <w:adjustRightInd w:val="0"/>
        <w:snapToGrid w:val="0"/>
        <w:spacing w:line="440" w:lineRule="exact"/>
        <w:ind w:firstLine="576"/>
        <w:rPr>
          <w:color w:val="auto"/>
          <w:szCs w:val="21"/>
          <w:highlight w:val="none"/>
          <w:u w:val="single"/>
        </w:rPr>
      </w:pPr>
      <w:r>
        <w:rPr>
          <w:color w:val="auto"/>
          <w:szCs w:val="21"/>
          <w:highlight w:val="none"/>
          <w:u w:val="single"/>
        </w:rPr>
        <w:t xml:space="preserve">                                                                                  </w:t>
      </w:r>
    </w:p>
    <w:p w14:paraId="021766CF">
      <w:pPr>
        <w:adjustRightInd w:val="0"/>
        <w:snapToGrid w:val="0"/>
        <w:spacing w:line="440" w:lineRule="exact"/>
        <w:ind w:firstLine="576"/>
        <w:rPr>
          <w:color w:val="auto"/>
          <w:kern w:val="0"/>
          <w:szCs w:val="21"/>
          <w:highlight w:val="none"/>
          <w:lang w:val="zh-CN"/>
        </w:rPr>
      </w:pPr>
      <w:r>
        <w:rPr>
          <w:color w:val="auto"/>
          <w:kern w:val="0"/>
          <w:szCs w:val="21"/>
          <w:highlight w:val="none"/>
          <w:lang w:val="zh-CN"/>
        </w:rPr>
        <w:t>三、质量</w:t>
      </w:r>
    </w:p>
    <w:p w14:paraId="55EB96A8">
      <w:pPr>
        <w:adjustRightInd w:val="0"/>
        <w:snapToGrid w:val="0"/>
        <w:spacing w:line="440" w:lineRule="exact"/>
        <w:ind w:firstLine="576"/>
        <w:rPr>
          <w:color w:val="auto"/>
          <w:kern w:val="0"/>
          <w:szCs w:val="21"/>
          <w:highlight w:val="none"/>
          <w:lang w:val="zh-CN"/>
        </w:rPr>
      </w:pPr>
      <w:r>
        <w:rPr>
          <w:color w:val="auto"/>
          <w:szCs w:val="21"/>
          <w:highlight w:val="none"/>
          <w:u w:val="single"/>
        </w:rPr>
        <w:t xml:space="preserve">                                                                                       </w:t>
      </w:r>
    </w:p>
    <w:p w14:paraId="1DDE5D50">
      <w:pPr>
        <w:adjustRightInd w:val="0"/>
        <w:snapToGrid w:val="0"/>
        <w:spacing w:line="440" w:lineRule="exact"/>
        <w:ind w:firstLine="576"/>
        <w:rPr>
          <w:color w:val="auto"/>
          <w:kern w:val="0"/>
          <w:szCs w:val="21"/>
          <w:highlight w:val="none"/>
          <w:lang w:val="zh-CN"/>
        </w:rPr>
      </w:pPr>
      <w:r>
        <w:rPr>
          <w:color w:val="auto"/>
          <w:kern w:val="0"/>
          <w:szCs w:val="21"/>
          <w:highlight w:val="none"/>
          <w:lang w:val="zh-CN"/>
        </w:rPr>
        <w:t>四、价款或者报酬</w:t>
      </w:r>
    </w:p>
    <w:p w14:paraId="6DA957B0">
      <w:pPr>
        <w:adjustRightInd w:val="0"/>
        <w:snapToGrid w:val="0"/>
        <w:spacing w:line="440" w:lineRule="exact"/>
        <w:ind w:left="573" w:leftChars="273"/>
        <w:rPr>
          <w:color w:val="auto"/>
          <w:kern w:val="0"/>
          <w:szCs w:val="21"/>
          <w:highlight w:val="none"/>
          <w:lang w:val="zh-CN"/>
        </w:rPr>
      </w:pPr>
      <w:r>
        <w:rPr>
          <w:color w:val="auto"/>
          <w:szCs w:val="21"/>
          <w:highlight w:val="none"/>
          <w:u w:val="single"/>
        </w:rPr>
        <w:t xml:space="preserve">                                                                                     </w:t>
      </w:r>
    </w:p>
    <w:p w14:paraId="68C39EF1">
      <w:pPr>
        <w:adjustRightInd w:val="0"/>
        <w:snapToGrid w:val="0"/>
        <w:spacing w:line="440" w:lineRule="exact"/>
        <w:ind w:left="573" w:leftChars="273"/>
        <w:rPr>
          <w:color w:val="auto"/>
          <w:kern w:val="0"/>
          <w:szCs w:val="21"/>
          <w:highlight w:val="none"/>
          <w:lang w:val="zh-CN"/>
        </w:rPr>
      </w:pPr>
      <w:r>
        <w:rPr>
          <w:color w:val="auto"/>
          <w:kern w:val="0"/>
          <w:szCs w:val="21"/>
          <w:highlight w:val="none"/>
          <w:lang w:val="zh-CN"/>
        </w:rPr>
        <w:t>五、违约责任</w:t>
      </w:r>
    </w:p>
    <w:p w14:paraId="022C50E0">
      <w:pPr>
        <w:adjustRightInd w:val="0"/>
        <w:snapToGrid w:val="0"/>
        <w:spacing w:line="440" w:lineRule="exact"/>
        <w:ind w:firstLine="576"/>
        <w:rPr>
          <w:color w:val="auto"/>
          <w:kern w:val="0"/>
          <w:szCs w:val="21"/>
          <w:highlight w:val="none"/>
          <w:lang w:val="zh-CN"/>
        </w:rPr>
      </w:pPr>
      <w:r>
        <w:rPr>
          <w:color w:val="auto"/>
          <w:szCs w:val="21"/>
          <w:highlight w:val="none"/>
          <w:u w:val="single"/>
        </w:rPr>
        <w:t xml:space="preserve">                                                                                     </w:t>
      </w:r>
    </w:p>
    <w:p w14:paraId="0137F424">
      <w:pPr>
        <w:adjustRightInd w:val="0"/>
        <w:snapToGrid w:val="0"/>
        <w:spacing w:line="440" w:lineRule="exact"/>
        <w:ind w:firstLine="576"/>
        <w:rPr>
          <w:color w:val="auto"/>
          <w:kern w:val="0"/>
          <w:szCs w:val="21"/>
          <w:highlight w:val="none"/>
          <w:lang w:val="zh-CN"/>
        </w:rPr>
      </w:pPr>
      <w:r>
        <w:rPr>
          <w:color w:val="auto"/>
          <w:kern w:val="0"/>
          <w:szCs w:val="21"/>
          <w:highlight w:val="none"/>
          <w:lang w:val="zh-CN"/>
        </w:rPr>
        <w:t>六、争议解决的办法</w:t>
      </w:r>
    </w:p>
    <w:p w14:paraId="4852D716">
      <w:pPr>
        <w:adjustRightInd w:val="0"/>
        <w:snapToGrid w:val="0"/>
        <w:spacing w:line="440" w:lineRule="exact"/>
        <w:ind w:firstLine="576"/>
        <w:rPr>
          <w:color w:val="auto"/>
          <w:kern w:val="0"/>
          <w:szCs w:val="21"/>
          <w:highlight w:val="none"/>
          <w:lang w:val="zh-CN"/>
        </w:rPr>
      </w:pPr>
      <w:r>
        <w:rPr>
          <w:color w:val="auto"/>
          <w:szCs w:val="21"/>
          <w:highlight w:val="none"/>
          <w:u w:val="single"/>
        </w:rPr>
        <w:t xml:space="preserve">                                                                                  </w:t>
      </w:r>
    </w:p>
    <w:p w14:paraId="77E16FB6">
      <w:pPr>
        <w:adjustRightInd w:val="0"/>
        <w:snapToGrid w:val="0"/>
        <w:spacing w:line="440" w:lineRule="exact"/>
        <w:ind w:firstLine="576"/>
        <w:rPr>
          <w:color w:val="auto"/>
          <w:kern w:val="0"/>
          <w:szCs w:val="21"/>
          <w:highlight w:val="none"/>
          <w:lang w:val="zh-CN"/>
        </w:rPr>
      </w:pPr>
      <w:r>
        <w:rPr>
          <w:color w:val="auto"/>
          <w:kern w:val="0"/>
          <w:szCs w:val="21"/>
          <w:highlight w:val="none"/>
          <w:lang w:val="zh-CN"/>
        </w:rPr>
        <w:t>七、其他</w:t>
      </w:r>
    </w:p>
    <w:p w14:paraId="16D6530E">
      <w:pPr>
        <w:adjustRightInd w:val="0"/>
        <w:snapToGrid w:val="0"/>
        <w:spacing w:line="440" w:lineRule="exact"/>
        <w:ind w:left="5128" w:leftChars="342" w:hanging="4410" w:hangingChars="2100"/>
        <w:jc w:val="left"/>
        <w:rPr>
          <w:color w:val="auto"/>
          <w:kern w:val="0"/>
          <w:szCs w:val="21"/>
          <w:highlight w:val="none"/>
          <w:lang w:val="zh-CN"/>
        </w:rPr>
      </w:pPr>
      <w:r>
        <w:rPr>
          <w:color w:val="auto"/>
          <w:szCs w:val="21"/>
          <w:highlight w:val="none"/>
        </w:rPr>
        <w:t>中小企业合同金额达到</w:t>
      </w:r>
      <w:r>
        <w:rPr>
          <w:color w:val="auto"/>
          <w:szCs w:val="21"/>
          <w:highlight w:val="none"/>
          <w:u w:val="single"/>
        </w:rPr>
        <w:t xml:space="preserve">   </w:t>
      </w:r>
      <w:r>
        <w:rPr>
          <w:color w:val="auto"/>
          <w:szCs w:val="21"/>
          <w:highlight w:val="none"/>
        </w:rPr>
        <w:t>%，小微企业合同金额达到</w:t>
      </w:r>
      <w:r>
        <w:rPr>
          <w:color w:val="auto"/>
          <w:szCs w:val="21"/>
          <w:highlight w:val="none"/>
          <w:u w:val="single"/>
        </w:rPr>
        <w:t xml:space="preserve">    </w:t>
      </w:r>
      <w:r>
        <w:rPr>
          <w:color w:val="auto"/>
          <w:szCs w:val="21"/>
          <w:highlight w:val="none"/>
        </w:rPr>
        <w:t>%</w:t>
      </w:r>
      <w:r>
        <w:rPr>
          <w:color w:val="auto"/>
          <w:kern w:val="0"/>
          <w:szCs w:val="21"/>
          <w:highlight w:val="none"/>
          <w:lang w:val="zh-CN"/>
        </w:rPr>
        <w:t>。</w:t>
      </w:r>
    </w:p>
    <w:p w14:paraId="3BDABBD8">
      <w:pPr>
        <w:adjustRightInd w:val="0"/>
        <w:snapToGrid w:val="0"/>
        <w:spacing w:line="440" w:lineRule="exact"/>
        <w:ind w:left="5128" w:leftChars="342" w:hanging="4410" w:hangingChars="2100"/>
        <w:jc w:val="left"/>
        <w:rPr>
          <w:color w:val="auto"/>
          <w:kern w:val="0"/>
          <w:szCs w:val="21"/>
          <w:highlight w:val="none"/>
          <w:lang w:val="zh-CN"/>
        </w:rPr>
      </w:pPr>
    </w:p>
    <w:p w14:paraId="251344DA">
      <w:pPr>
        <w:adjustRightInd w:val="0"/>
        <w:snapToGrid w:val="0"/>
        <w:spacing w:line="440" w:lineRule="exact"/>
        <w:ind w:left="5128" w:leftChars="342" w:hanging="4410" w:hangingChars="2100"/>
        <w:jc w:val="left"/>
        <w:rPr>
          <w:color w:val="auto"/>
          <w:kern w:val="0"/>
          <w:szCs w:val="21"/>
          <w:highlight w:val="none"/>
          <w:lang w:val="zh-CN"/>
        </w:rPr>
      </w:pPr>
      <w:r>
        <w:rPr>
          <w:color w:val="auto"/>
          <w:kern w:val="0"/>
          <w:szCs w:val="21"/>
          <w:highlight w:val="none"/>
          <w:lang w:val="zh-CN"/>
        </w:rPr>
        <w:t>供应商名称</w:t>
      </w:r>
      <w:r>
        <w:rPr>
          <w:color w:val="auto"/>
          <w:szCs w:val="21"/>
          <w:highlight w:val="none"/>
        </w:rPr>
        <w:t>（盖单位公章或电子签章）</w:t>
      </w:r>
      <w:r>
        <w:rPr>
          <w:color w:val="auto"/>
          <w:kern w:val="0"/>
          <w:szCs w:val="21"/>
          <w:highlight w:val="none"/>
          <w:lang w:val="zh-CN"/>
        </w:rPr>
        <w:t>：</w:t>
      </w:r>
    </w:p>
    <w:p w14:paraId="4ABC21F9">
      <w:pPr>
        <w:adjustRightInd w:val="0"/>
        <w:snapToGrid w:val="0"/>
        <w:spacing w:line="440" w:lineRule="exact"/>
        <w:ind w:left="5128" w:leftChars="342" w:hanging="4410" w:hangingChars="2100"/>
        <w:jc w:val="left"/>
        <w:rPr>
          <w:color w:val="auto"/>
          <w:kern w:val="0"/>
          <w:szCs w:val="21"/>
          <w:highlight w:val="none"/>
          <w:lang w:val="zh-CN"/>
        </w:rPr>
      </w:pPr>
      <w:r>
        <w:rPr>
          <w:color w:val="auto"/>
          <w:kern w:val="0"/>
          <w:szCs w:val="21"/>
          <w:highlight w:val="none"/>
          <w:lang w:val="zh-CN"/>
        </w:rPr>
        <w:t>分包供应商名称：</w:t>
      </w:r>
    </w:p>
    <w:p w14:paraId="49FE16DD">
      <w:pPr>
        <w:adjustRightInd w:val="0"/>
        <w:snapToGrid w:val="0"/>
        <w:spacing w:line="440" w:lineRule="exact"/>
        <w:ind w:left="5128" w:leftChars="342" w:hanging="4410" w:hangingChars="2100"/>
        <w:jc w:val="left"/>
        <w:rPr>
          <w:color w:val="auto"/>
          <w:szCs w:val="21"/>
          <w:highlight w:val="none"/>
        </w:rPr>
      </w:pPr>
      <w:r>
        <w:rPr>
          <w:color w:val="auto"/>
          <w:kern w:val="0"/>
          <w:szCs w:val="21"/>
          <w:highlight w:val="none"/>
          <w:lang w:val="zh-CN"/>
        </w:rPr>
        <w:t>……</w:t>
      </w:r>
    </w:p>
    <w:p w14:paraId="34323BED">
      <w:pPr>
        <w:spacing w:line="360" w:lineRule="auto"/>
        <w:ind w:firstLine="420" w:firstLineChars="200"/>
        <w:jc w:val="left"/>
        <w:rPr>
          <w:b/>
          <w:color w:val="auto"/>
          <w:szCs w:val="21"/>
          <w:highlight w:val="none"/>
        </w:rPr>
      </w:pPr>
      <w:r>
        <w:rPr>
          <w:color w:val="auto"/>
          <w:kern w:val="0"/>
          <w:szCs w:val="21"/>
          <w:highlight w:val="none"/>
          <w:lang w:val="zh-CN"/>
        </w:rPr>
        <w:t xml:space="preserve">  日期：  年  月   日</w:t>
      </w:r>
    </w:p>
    <w:p w14:paraId="51F2623B">
      <w:pPr>
        <w:ind w:firstLine="420" w:firstLineChars="200"/>
        <w:rPr>
          <w:color w:val="auto"/>
          <w:highlight w:val="none"/>
        </w:rPr>
      </w:pPr>
    </w:p>
    <w:p w14:paraId="173BF1C8">
      <w:pPr>
        <w:rPr>
          <w:color w:val="auto"/>
          <w:highlight w:val="none"/>
        </w:rPr>
      </w:pPr>
      <w:r>
        <w:rPr>
          <w:color w:val="auto"/>
          <w:highlight w:val="none"/>
        </w:rPr>
        <w:br w:type="page"/>
      </w:r>
      <w:r>
        <w:rPr>
          <w:rFonts w:hint="eastAsia"/>
          <w:color w:val="auto"/>
          <w:highlight w:val="none"/>
        </w:rPr>
        <w:t xml:space="preserve">   </w:t>
      </w:r>
      <w:r>
        <w:rPr>
          <w:rFonts w:hint="eastAsia"/>
          <w:b/>
          <w:bCs/>
          <w:color w:val="auto"/>
          <w:highlight w:val="none"/>
        </w:rPr>
        <w:t xml:space="preserve"> 5</w:t>
      </w:r>
      <w:r>
        <w:rPr>
          <w:b/>
          <w:bCs/>
          <w:color w:val="auto"/>
          <w:highlight w:val="none"/>
        </w:rPr>
        <w:t>、</w:t>
      </w:r>
      <w:r>
        <w:rPr>
          <w:b/>
          <w:bCs/>
          <w:color w:val="auto"/>
          <w:highlight w:val="none"/>
        </w:rPr>
        <w:tab/>
      </w:r>
      <w:r>
        <w:rPr>
          <w:b/>
          <w:bCs/>
          <w:color w:val="auto"/>
          <w:szCs w:val="21"/>
          <w:highlight w:val="none"/>
        </w:rPr>
        <w:t>中标</w:t>
      </w:r>
      <w:r>
        <w:rPr>
          <w:b/>
          <w:color w:val="auto"/>
          <w:szCs w:val="21"/>
          <w:highlight w:val="none"/>
        </w:rPr>
        <w:t>服务费支付承诺书</w:t>
      </w:r>
    </w:p>
    <w:p w14:paraId="6D7C97C6">
      <w:pPr>
        <w:rPr>
          <w:color w:val="auto"/>
          <w:highlight w:val="none"/>
        </w:rPr>
      </w:pPr>
    </w:p>
    <w:p w14:paraId="3EB82123">
      <w:pPr>
        <w:rPr>
          <w:color w:val="auto"/>
          <w:highlight w:val="none"/>
        </w:rPr>
      </w:pPr>
    </w:p>
    <w:p w14:paraId="12D14E49">
      <w:pPr>
        <w:pStyle w:val="3"/>
        <w:spacing w:line="360" w:lineRule="auto"/>
        <w:ind w:firstLine="174" w:firstLineChars="83"/>
        <w:rPr>
          <w:rFonts w:ascii="Times New Roman" w:hAnsi="Times New Roman"/>
          <w:b w:val="0"/>
          <w:color w:val="auto"/>
          <w:szCs w:val="21"/>
          <w:highlight w:val="none"/>
        </w:rPr>
      </w:pPr>
    </w:p>
    <w:p w14:paraId="68859AE1">
      <w:pPr>
        <w:rPr>
          <w:color w:val="auto"/>
          <w:szCs w:val="21"/>
          <w:highlight w:val="none"/>
        </w:rPr>
      </w:pPr>
    </w:p>
    <w:p w14:paraId="0D54E72B">
      <w:pPr>
        <w:rPr>
          <w:color w:val="auto"/>
          <w:szCs w:val="21"/>
          <w:highlight w:val="none"/>
        </w:rPr>
      </w:pPr>
    </w:p>
    <w:p w14:paraId="57F90585">
      <w:pPr>
        <w:jc w:val="center"/>
        <w:rPr>
          <w:b/>
          <w:color w:val="auto"/>
          <w:szCs w:val="21"/>
          <w:highlight w:val="none"/>
        </w:rPr>
      </w:pPr>
      <w:r>
        <w:rPr>
          <w:b/>
          <w:color w:val="auto"/>
          <w:szCs w:val="21"/>
          <w:highlight w:val="none"/>
        </w:rPr>
        <w:t>中标服务费支付承诺书</w:t>
      </w:r>
    </w:p>
    <w:p w14:paraId="18087041">
      <w:pPr>
        <w:spacing w:line="600" w:lineRule="auto"/>
        <w:jc w:val="center"/>
        <w:rPr>
          <w:b/>
          <w:color w:val="auto"/>
          <w:szCs w:val="21"/>
          <w:highlight w:val="none"/>
        </w:rPr>
      </w:pPr>
    </w:p>
    <w:p w14:paraId="4D32F5F4">
      <w:pPr>
        <w:pStyle w:val="3"/>
        <w:spacing w:line="600" w:lineRule="auto"/>
        <w:ind w:firstLine="411" w:firstLineChars="196"/>
        <w:rPr>
          <w:rFonts w:ascii="Times New Roman" w:hAnsi="Times New Roman"/>
          <w:b w:val="0"/>
          <w:color w:val="auto"/>
          <w:szCs w:val="21"/>
          <w:highlight w:val="none"/>
          <w:u w:val="single"/>
        </w:rPr>
      </w:pPr>
      <w:r>
        <w:rPr>
          <w:rFonts w:hint="eastAsia" w:ascii="Times New Roman" w:hAnsi="Times New Roman"/>
          <w:b w:val="0"/>
          <w:color w:val="auto"/>
          <w:szCs w:val="21"/>
          <w:highlight w:val="none"/>
          <w:u w:val="single"/>
        </w:rPr>
        <w:t>浙江国际招投标有限公司</w:t>
      </w:r>
      <w:r>
        <w:rPr>
          <w:rFonts w:ascii="Times New Roman" w:hAnsi="Times New Roman"/>
          <w:b w:val="0"/>
          <w:color w:val="auto"/>
          <w:szCs w:val="21"/>
          <w:highlight w:val="none"/>
          <w:u w:val="single"/>
        </w:rPr>
        <w:t>：</w:t>
      </w:r>
    </w:p>
    <w:p w14:paraId="55411CA4">
      <w:pPr>
        <w:pStyle w:val="3"/>
        <w:spacing w:line="600" w:lineRule="auto"/>
        <w:ind w:firstLine="420"/>
        <w:rPr>
          <w:rFonts w:ascii="Times New Roman" w:hAnsi="Times New Roman"/>
          <w:b w:val="0"/>
          <w:color w:val="auto"/>
          <w:szCs w:val="21"/>
          <w:highlight w:val="none"/>
        </w:rPr>
      </w:pPr>
    </w:p>
    <w:p w14:paraId="196B9ECC">
      <w:pPr>
        <w:pStyle w:val="3"/>
        <w:spacing w:line="600" w:lineRule="auto"/>
        <w:ind w:firstLine="420"/>
        <w:rPr>
          <w:rFonts w:ascii="Times New Roman" w:hAnsi="Times New Roman"/>
          <w:b w:val="0"/>
          <w:color w:val="auto"/>
          <w:szCs w:val="21"/>
          <w:highlight w:val="none"/>
        </w:rPr>
      </w:pPr>
      <w:r>
        <w:rPr>
          <w:rFonts w:ascii="Times New Roman" w:hAnsi="Times New Roman"/>
          <w:b w:val="0"/>
          <w:color w:val="auto"/>
          <w:szCs w:val="21"/>
          <w:highlight w:val="none"/>
        </w:rPr>
        <w:t>本单位在此承诺：如在本项目中标，中标之日起5个工作日之内，向贵公司按采购文件约定支付中标服务费。</w:t>
      </w:r>
    </w:p>
    <w:p w14:paraId="4E32D15E">
      <w:pPr>
        <w:rPr>
          <w:color w:val="auto"/>
          <w:szCs w:val="21"/>
          <w:highlight w:val="none"/>
        </w:rPr>
      </w:pPr>
    </w:p>
    <w:p w14:paraId="217B5F8A">
      <w:pPr>
        <w:rPr>
          <w:color w:val="auto"/>
          <w:szCs w:val="21"/>
          <w:highlight w:val="none"/>
        </w:rPr>
      </w:pPr>
    </w:p>
    <w:p w14:paraId="6AD58B76">
      <w:pPr>
        <w:rPr>
          <w:color w:val="auto"/>
          <w:szCs w:val="21"/>
          <w:highlight w:val="none"/>
        </w:rPr>
      </w:pPr>
    </w:p>
    <w:p w14:paraId="6A361DFE">
      <w:pPr>
        <w:snapToGrid w:val="0"/>
        <w:spacing w:line="300" w:lineRule="auto"/>
        <w:jc w:val="right"/>
        <w:rPr>
          <w:color w:val="auto"/>
          <w:spacing w:val="20"/>
          <w:szCs w:val="21"/>
          <w:highlight w:val="none"/>
          <w:u w:val="single"/>
        </w:rPr>
      </w:pPr>
      <w:r>
        <w:rPr>
          <w:rFonts w:hint="eastAsia"/>
          <w:color w:val="auto"/>
          <w:szCs w:val="21"/>
          <w:highlight w:val="none"/>
        </w:rPr>
        <w:t>供应商</w:t>
      </w:r>
      <w:r>
        <w:rPr>
          <w:color w:val="auto"/>
          <w:szCs w:val="21"/>
          <w:highlight w:val="none"/>
        </w:rPr>
        <w:t>全称（</w:t>
      </w:r>
      <w:r>
        <w:rPr>
          <w:rFonts w:hint="eastAsia"/>
          <w:color w:val="auto"/>
          <w:szCs w:val="21"/>
          <w:highlight w:val="none"/>
        </w:rPr>
        <w:t>盖单位公章或电子签章</w:t>
      </w:r>
      <w:r>
        <w:rPr>
          <w:color w:val="auto"/>
          <w:szCs w:val="21"/>
          <w:highlight w:val="none"/>
        </w:rPr>
        <w:t>）：</w:t>
      </w:r>
    </w:p>
    <w:p w14:paraId="5EE789D4">
      <w:pPr>
        <w:snapToGrid w:val="0"/>
        <w:spacing w:line="300" w:lineRule="auto"/>
        <w:jc w:val="right"/>
        <w:rPr>
          <w:color w:val="auto"/>
          <w:szCs w:val="21"/>
          <w:highlight w:val="none"/>
        </w:rPr>
      </w:pPr>
    </w:p>
    <w:p w14:paraId="7E5A1177">
      <w:pPr>
        <w:ind w:right="375"/>
        <w:jc w:val="right"/>
        <w:rPr>
          <w:color w:val="auto"/>
          <w:spacing w:val="20"/>
          <w:szCs w:val="21"/>
          <w:highlight w:val="none"/>
        </w:rPr>
      </w:pPr>
    </w:p>
    <w:p w14:paraId="3727569E">
      <w:pPr>
        <w:ind w:right="375"/>
        <w:jc w:val="right"/>
        <w:rPr>
          <w:color w:val="auto"/>
          <w:szCs w:val="21"/>
          <w:highlight w:val="none"/>
        </w:rPr>
      </w:pPr>
      <w:r>
        <w:rPr>
          <w:color w:val="auto"/>
          <w:spacing w:val="20"/>
          <w:szCs w:val="21"/>
          <w:highlight w:val="none"/>
        </w:rPr>
        <w:t xml:space="preserve">日期：  </w:t>
      </w:r>
      <w:r>
        <w:rPr>
          <w:color w:val="auto"/>
          <w:szCs w:val="21"/>
          <w:highlight w:val="none"/>
        </w:rPr>
        <w:t>年  月  日</w:t>
      </w:r>
    </w:p>
    <w:p w14:paraId="62AA7F9F">
      <w:pPr>
        <w:ind w:right="480"/>
        <w:rPr>
          <w:color w:val="auto"/>
          <w:szCs w:val="21"/>
          <w:highlight w:val="none"/>
        </w:rPr>
      </w:pPr>
    </w:p>
    <w:p w14:paraId="65668E3E">
      <w:pPr>
        <w:ind w:right="480"/>
        <w:rPr>
          <w:color w:val="auto"/>
          <w:szCs w:val="21"/>
          <w:highlight w:val="none"/>
        </w:rPr>
      </w:pPr>
    </w:p>
    <w:p w14:paraId="2044A155">
      <w:pPr>
        <w:ind w:right="480"/>
        <w:rPr>
          <w:color w:val="auto"/>
          <w:szCs w:val="21"/>
          <w:highlight w:val="none"/>
        </w:rPr>
      </w:pPr>
    </w:p>
    <w:p w14:paraId="68452CA5">
      <w:pPr>
        <w:ind w:right="480"/>
        <w:rPr>
          <w:color w:val="auto"/>
          <w:szCs w:val="21"/>
          <w:highlight w:val="none"/>
        </w:rPr>
      </w:pPr>
    </w:p>
    <w:p w14:paraId="1FBAE222">
      <w:pPr>
        <w:ind w:right="480"/>
        <w:rPr>
          <w:color w:val="auto"/>
          <w:szCs w:val="21"/>
          <w:highlight w:val="none"/>
        </w:rPr>
      </w:pPr>
    </w:p>
    <w:p w14:paraId="77D9576C">
      <w:pPr>
        <w:ind w:right="480"/>
        <w:rPr>
          <w:color w:val="auto"/>
          <w:szCs w:val="21"/>
          <w:highlight w:val="none"/>
        </w:rPr>
      </w:pPr>
    </w:p>
    <w:p w14:paraId="2C7E533B">
      <w:pPr>
        <w:widowControl/>
        <w:snapToGrid w:val="0"/>
        <w:spacing w:line="360" w:lineRule="auto"/>
        <w:ind w:firstLine="420"/>
        <w:jc w:val="left"/>
        <w:rPr>
          <w:color w:val="auto"/>
          <w:szCs w:val="21"/>
          <w:highlight w:val="none"/>
        </w:rPr>
      </w:pPr>
      <w:r>
        <w:rPr>
          <w:rFonts w:hint="eastAsia"/>
          <w:color w:val="auto"/>
          <w:szCs w:val="21"/>
          <w:highlight w:val="none"/>
        </w:rPr>
        <w:t>浙江国际招投标有限公司</w:t>
      </w:r>
      <w:r>
        <w:rPr>
          <w:color w:val="auto"/>
          <w:szCs w:val="21"/>
          <w:highlight w:val="none"/>
        </w:rPr>
        <w:t>中标服务费收取账号</w:t>
      </w:r>
    </w:p>
    <w:p w14:paraId="7F7FDE1D">
      <w:pPr>
        <w:widowControl/>
        <w:adjustRightInd w:val="0"/>
        <w:snapToGrid w:val="0"/>
        <w:spacing w:line="360" w:lineRule="auto"/>
        <w:ind w:firstLine="420" w:firstLineChars="200"/>
        <w:jc w:val="left"/>
        <w:rPr>
          <w:color w:val="auto"/>
          <w:kern w:val="0"/>
          <w:szCs w:val="21"/>
          <w:highlight w:val="none"/>
        </w:rPr>
      </w:pPr>
      <w:r>
        <w:rPr>
          <w:color w:val="auto"/>
          <w:kern w:val="0"/>
          <w:szCs w:val="21"/>
          <w:highlight w:val="none"/>
        </w:rPr>
        <w:t>收款单位（户名）：</w:t>
      </w:r>
      <w:r>
        <w:rPr>
          <w:rFonts w:hint="eastAsia"/>
          <w:color w:val="auto"/>
          <w:kern w:val="0"/>
          <w:szCs w:val="21"/>
          <w:highlight w:val="none"/>
        </w:rPr>
        <w:t>浙江国际招投标有限公司</w:t>
      </w:r>
    </w:p>
    <w:p w14:paraId="54303CA8">
      <w:pPr>
        <w:widowControl/>
        <w:adjustRightInd w:val="0"/>
        <w:snapToGrid w:val="0"/>
        <w:spacing w:line="360" w:lineRule="auto"/>
        <w:ind w:firstLine="420" w:firstLineChars="200"/>
        <w:jc w:val="left"/>
        <w:rPr>
          <w:color w:val="auto"/>
          <w:kern w:val="0"/>
          <w:szCs w:val="21"/>
          <w:highlight w:val="none"/>
        </w:rPr>
      </w:pPr>
      <w:r>
        <w:rPr>
          <w:color w:val="auto"/>
          <w:kern w:val="0"/>
          <w:szCs w:val="21"/>
          <w:highlight w:val="none"/>
        </w:rPr>
        <w:t>开户银行：中国工商银行杭州武林支行</w:t>
      </w:r>
    </w:p>
    <w:p w14:paraId="751AE2DE">
      <w:pPr>
        <w:widowControl/>
        <w:adjustRightInd w:val="0"/>
        <w:snapToGrid w:val="0"/>
        <w:spacing w:line="360" w:lineRule="auto"/>
        <w:ind w:firstLine="420" w:firstLineChars="200"/>
        <w:jc w:val="left"/>
        <w:rPr>
          <w:color w:val="auto"/>
          <w:szCs w:val="21"/>
          <w:highlight w:val="none"/>
        </w:rPr>
      </w:pPr>
      <w:r>
        <w:rPr>
          <w:color w:val="auto"/>
          <w:kern w:val="0"/>
          <w:szCs w:val="21"/>
          <w:highlight w:val="none"/>
        </w:rPr>
        <w:t>银行账号：1202021209906782015</w:t>
      </w:r>
    </w:p>
    <w:p w14:paraId="6AFD624E">
      <w:pPr>
        <w:pStyle w:val="3"/>
        <w:ind w:firstLine="422"/>
        <w:rPr>
          <w:rFonts w:ascii="Times New Roman" w:hAnsi="Times New Roman"/>
          <w:color w:val="auto"/>
          <w:highlight w:val="none"/>
        </w:rPr>
      </w:pPr>
      <w:r>
        <w:rPr>
          <w:color w:val="auto"/>
          <w:highlight w:val="none"/>
        </w:rPr>
        <w:br w:type="page"/>
      </w:r>
      <w:r>
        <w:rPr>
          <w:rFonts w:hint="eastAsia" w:ascii="Times New Roman" w:hAnsi="Times New Roman"/>
          <w:color w:val="auto"/>
          <w:highlight w:val="none"/>
        </w:rPr>
        <w:t>6</w:t>
      </w:r>
      <w:r>
        <w:rPr>
          <w:rFonts w:ascii="Times New Roman" w:hAnsi="Times New Roman"/>
          <w:color w:val="auto"/>
          <w:highlight w:val="none"/>
        </w:rPr>
        <w:t>、</w:t>
      </w:r>
      <w:r>
        <w:rPr>
          <w:rFonts w:hint="eastAsia" w:ascii="宋体" w:hAnsi="宋体" w:cs="宋体"/>
          <w:color w:val="auto"/>
          <w:szCs w:val="21"/>
          <w:highlight w:val="none"/>
        </w:rPr>
        <w:t>采购需求符合表</w:t>
      </w:r>
    </w:p>
    <w:p w14:paraId="37F9F38B">
      <w:pPr>
        <w:snapToGrid w:val="0"/>
        <w:spacing w:line="300" w:lineRule="auto"/>
        <w:jc w:val="center"/>
        <w:rPr>
          <w:b/>
          <w:bCs/>
          <w:color w:val="auto"/>
          <w:sz w:val="32"/>
          <w:szCs w:val="32"/>
          <w:highlight w:val="none"/>
        </w:rPr>
      </w:pPr>
    </w:p>
    <w:p w14:paraId="5DAB94A4">
      <w:pPr>
        <w:snapToGrid w:val="0"/>
        <w:spacing w:line="300" w:lineRule="auto"/>
        <w:jc w:val="center"/>
        <w:rPr>
          <w:b/>
          <w:bCs/>
          <w:color w:val="auto"/>
          <w:sz w:val="32"/>
          <w:szCs w:val="32"/>
          <w:highlight w:val="none"/>
        </w:rPr>
      </w:pPr>
      <w:r>
        <w:rPr>
          <w:rFonts w:hint="eastAsia"/>
          <w:b/>
          <w:bCs/>
          <w:color w:val="auto"/>
          <w:sz w:val="32"/>
          <w:szCs w:val="32"/>
          <w:highlight w:val="none"/>
        </w:rPr>
        <w:t>采购需求</w:t>
      </w:r>
      <w:r>
        <w:rPr>
          <w:b/>
          <w:bCs/>
          <w:color w:val="auto"/>
          <w:sz w:val="32"/>
          <w:szCs w:val="32"/>
          <w:highlight w:val="none"/>
        </w:rPr>
        <w:t>偏离表</w:t>
      </w:r>
    </w:p>
    <w:p w14:paraId="0A0C04F4">
      <w:pPr>
        <w:snapToGrid w:val="0"/>
        <w:spacing w:line="300" w:lineRule="auto"/>
        <w:rPr>
          <w:color w:val="auto"/>
          <w:highlight w:val="none"/>
          <w:u w:val="single"/>
        </w:rPr>
      </w:pPr>
      <w:r>
        <w:rPr>
          <w:color w:val="auto"/>
          <w:highlight w:val="none"/>
        </w:rPr>
        <w:t>项目名称：</w:t>
      </w:r>
    </w:p>
    <w:p w14:paraId="788118FE">
      <w:pPr>
        <w:snapToGrid w:val="0"/>
        <w:spacing w:line="300" w:lineRule="auto"/>
        <w:rPr>
          <w:color w:val="auto"/>
          <w:highlight w:val="none"/>
          <w:u w:val="single"/>
        </w:rPr>
      </w:pPr>
      <w:r>
        <w:rPr>
          <w:color w:val="auto"/>
          <w:highlight w:val="none"/>
        </w:rPr>
        <w:t>招标项目编号：</w:t>
      </w:r>
    </w:p>
    <w:p w14:paraId="424E21F1">
      <w:pPr>
        <w:snapToGrid w:val="0"/>
        <w:spacing w:line="300" w:lineRule="auto"/>
        <w:rPr>
          <w:color w:val="auto"/>
          <w:highlight w:val="none"/>
        </w:rPr>
      </w:pPr>
      <w:r>
        <w:rPr>
          <w:color w:val="auto"/>
          <w:highlight w:val="none"/>
        </w:rPr>
        <w:t>标项内容：</w:t>
      </w:r>
    </w:p>
    <w:p w14:paraId="42808015">
      <w:pPr>
        <w:snapToGrid w:val="0"/>
        <w:spacing w:line="300" w:lineRule="auto"/>
        <w:rPr>
          <w:color w:val="auto"/>
          <w:highlight w:val="none"/>
        </w:rPr>
      </w:pPr>
    </w:p>
    <w:tbl>
      <w:tblPr>
        <w:tblStyle w:val="8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7CAC2E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133A03F">
            <w:pPr>
              <w:spacing w:after="156"/>
              <w:jc w:val="center"/>
              <w:rPr>
                <w:color w:val="auto"/>
                <w:szCs w:val="21"/>
                <w:highlight w:val="none"/>
              </w:rPr>
            </w:pPr>
            <w:r>
              <w:rPr>
                <w:color w:val="auto"/>
                <w:szCs w:val="21"/>
                <w:highlight w:val="none"/>
              </w:rPr>
              <w:t>序号</w:t>
            </w:r>
          </w:p>
        </w:tc>
        <w:tc>
          <w:tcPr>
            <w:tcW w:w="2458" w:type="dxa"/>
            <w:vAlign w:val="center"/>
          </w:tcPr>
          <w:p w14:paraId="334A8268">
            <w:pPr>
              <w:spacing w:after="156"/>
              <w:jc w:val="center"/>
              <w:rPr>
                <w:color w:val="auto"/>
                <w:szCs w:val="21"/>
                <w:highlight w:val="none"/>
              </w:rPr>
            </w:pPr>
            <w:r>
              <w:rPr>
                <w:color w:val="auto"/>
                <w:szCs w:val="21"/>
                <w:highlight w:val="none"/>
              </w:rPr>
              <w:t>招标</w:t>
            </w:r>
            <w:r>
              <w:rPr>
                <w:color w:val="auto"/>
                <w:highlight w:val="none"/>
              </w:rPr>
              <w:t>要求</w:t>
            </w:r>
          </w:p>
        </w:tc>
        <w:tc>
          <w:tcPr>
            <w:tcW w:w="2458" w:type="dxa"/>
            <w:vAlign w:val="center"/>
          </w:tcPr>
          <w:p w14:paraId="04F0EB06">
            <w:pPr>
              <w:spacing w:after="156"/>
              <w:jc w:val="center"/>
              <w:rPr>
                <w:color w:val="auto"/>
                <w:szCs w:val="21"/>
                <w:highlight w:val="none"/>
              </w:rPr>
            </w:pPr>
            <w:r>
              <w:rPr>
                <w:color w:val="auto"/>
                <w:szCs w:val="21"/>
                <w:highlight w:val="none"/>
              </w:rPr>
              <w:t>投标</w:t>
            </w:r>
            <w:r>
              <w:rPr>
                <w:color w:val="auto"/>
                <w:highlight w:val="none"/>
              </w:rPr>
              <w:t>响应</w:t>
            </w:r>
          </w:p>
        </w:tc>
        <w:tc>
          <w:tcPr>
            <w:tcW w:w="1432" w:type="dxa"/>
            <w:vAlign w:val="center"/>
          </w:tcPr>
          <w:p w14:paraId="4DB998FA">
            <w:pPr>
              <w:spacing w:after="156"/>
              <w:jc w:val="center"/>
              <w:rPr>
                <w:color w:val="auto"/>
                <w:szCs w:val="21"/>
                <w:highlight w:val="none"/>
              </w:rPr>
            </w:pPr>
            <w:r>
              <w:rPr>
                <w:color w:val="auto"/>
                <w:szCs w:val="21"/>
                <w:highlight w:val="none"/>
              </w:rPr>
              <w:t>偏离情况</w:t>
            </w:r>
          </w:p>
        </w:tc>
        <w:tc>
          <w:tcPr>
            <w:tcW w:w="1432" w:type="dxa"/>
            <w:vAlign w:val="center"/>
          </w:tcPr>
          <w:p w14:paraId="0674760F">
            <w:pPr>
              <w:spacing w:after="156"/>
              <w:jc w:val="center"/>
              <w:rPr>
                <w:color w:val="auto"/>
                <w:szCs w:val="21"/>
                <w:highlight w:val="none"/>
              </w:rPr>
            </w:pPr>
            <w:r>
              <w:rPr>
                <w:color w:val="auto"/>
                <w:szCs w:val="21"/>
                <w:highlight w:val="none"/>
              </w:rPr>
              <w:t>说明</w:t>
            </w:r>
          </w:p>
        </w:tc>
      </w:tr>
      <w:tr w14:paraId="620969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6643F157">
            <w:pPr>
              <w:spacing w:after="156"/>
              <w:jc w:val="center"/>
              <w:rPr>
                <w:color w:val="auto"/>
                <w:szCs w:val="21"/>
                <w:highlight w:val="none"/>
              </w:rPr>
            </w:pPr>
          </w:p>
        </w:tc>
        <w:tc>
          <w:tcPr>
            <w:tcW w:w="2458" w:type="dxa"/>
            <w:vAlign w:val="center"/>
          </w:tcPr>
          <w:p w14:paraId="7D133EFD">
            <w:pPr>
              <w:spacing w:after="156"/>
              <w:jc w:val="center"/>
              <w:rPr>
                <w:color w:val="auto"/>
                <w:szCs w:val="21"/>
                <w:highlight w:val="none"/>
              </w:rPr>
            </w:pPr>
          </w:p>
        </w:tc>
        <w:tc>
          <w:tcPr>
            <w:tcW w:w="2458" w:type="dxa"/>
            <w:vAlign w:val="center"/>
          </w:tcPr>
          <w:p w14:paraId="3E908620">
            <w:pPr>
              <w:spacing w:after="156"/>
              <w:jc w:val="center"/>
              <w:rPr>
                <w:color w:val="auto"/>
                <w:szCs w:val="21"/>
                <w:highlight w:val="none"/>
              </w:rPr>
            </w:pPr>
          </w:p>
        </w:tc>
        <w:tc>
          <w:tcPr>
            <w:tcW w:w="1432" w:type="dxa"/>
            <w:vAlign w:val="center"/>
          </w:tcPr>
          <w:p w14:paraId="2956E0F5">
            <w:pPr>
              <w:spacing w:after="156"/>
              <w:jc w:val="center"/>
              <w:rPr>
                <w:color w:val="auto"/>
                <w:szCs w:val="21"/>
                <w:highlight w:val="none"/>
              </w:rPr>
            </w:pPr>
          </w:p>
        </w:tc>
        <w:tc>
          <w:tcPr>
            <w:tcW w:w="1432" w:type="dxa"/>
            <w:vAlign w:val="center"/>
          </w:tcPr>
          <w:p w14:paraId="32FDE7B4">
            <w:pPr>
              <w:spacing w:after="156"/>
              <w:jc w:val="center"/>
              <w:rPr>
                <w:color w:val="auto"/>
                <w:szCs w:val="21"/>
                <w:highlight w:val="none"/>
              </w:rPr>
            </w:pPr>
          </w:p>
        </w:tc>
      </w:tr>
      <w:tr w14:paraId="73F6AD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B9E9468">
            <w:pPr>
              <w:spacing w:after="156"/>
              <w:jc w:val="center"/>
              <w:rPr>
                <w:color w:val="auto"/>
                <w:szCs w:val="21"/>
                <w:highlight w:val="none"/>
              </w:rPr>
            </w:pPr>
          </w:p>
        </w:tc>
        <w:tc>
          <w:tcPr>
            <w:tcW w:w="2458" w:type="dxa"/>
            <w:vAlign w:val="center"/>
          </w:tcPr>
          <w:p w14:paraId="4BA5D50C">
            <w:pPr>
              <w:spacing w:after="156"/>
              <w:jc w:val="center"/>
              <w:rPr>
                <w:color w:val="auto"/>
                <w:szCs w:val="21"/>
                <w:highlight w:val="none"/>
              </w:rPr>
            </w:pPr>
          </w:p>
        </w:tc>
        <w:tc>
          <w:tcPr>
            <w:tcW w:w="2458" w:type="dxa"/>
            <w:vAlign w:val="center"/>
          </w:tcPr>
          <w:p w14:paraId="7D8C0B02">
            <w:pPr>
              <w:spacing w:after="156"/>
              <w:jc w:val="center"/>
              <w:rPr>
                <w:color w:val="auto"/>
                <w:szCs w:val="21"/>
                <w:highlight w:val="none"/>
              </w:rPr>
            </w:pPr>
          </w:p>
        </w:tc>
        <w:tc>
          <w:tcPr>
            <w:tcW w:w="1432" w:type="dxa"/>
            <w:vAlign w:val="center"/>
          </w:tcPr>
          <w:p w14:paraId="65DD73B6">
            <w:pPr>
              <w:spacing w:after="156"/>
              <w:jc w:val="center"/>
              <w:rPr>
                <w:color w:val="auto"/>
                <w:szCs w:val="21"/>
                <w:highlight w:val="none"/>
              </w:rPr>
            </w:pPr>
          </w:p>
        </w:tc>
        <w:tc>
          <w:tcPr>
            <w:tcW w:w="1432" w:type="dxa"/>
            <w:vAlign w:val="center"/>
          </w:tcPr>
          <w:p w14:paraId="5CEDFD2E">
            <w:pPr>
              <w:spacing w:after="156"/>
              <w:jc w:val="center"/>
              <w:rPr>
                <w:color w:val="auto"/>
                <w:szCs w:val="21"/>
                <w:highlight w:val="none"/>
              </w:rPr>
            </w:pPr>
          </w:p>
        </w:tc>
      </w:tr>
      <w:tr w14:paraId="419D87F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20452581">
            <w:pPr>
              <w:spacing w:after="156"/>
              <w:jc w:val="center"/>
              <w:rPr>
                <w:color w:val="auto"/>
                <w:szCs w:val="21"/>
                <w:highlight w:val="none"/>
              </w:rPr>
            </w:pPr>
          </w:p>
        </w:tc>
        <w:tc>
          <w:tcPr>
            <w:tcW w:w="2458" w:type="dxa"/>
            <w:vAlign w:val="center"/>
          </w:tcPr>
          <w:p w14:paraId="0FA06FB8">
            <w:pPr>
              <w:spacing w:after="156"/>
              <w:jc w:val="center"/>
              <w:rPr>
                <w:color w:val="auto"/>
                <w:szCs w:val="21"/>
                <w:highlight w:val="none"/>
              </w:rPr>
            </w:pPr>
          </w:p>
        </w:tc>
        <w:tc>
          <w:tcPr>
            <w:tcW w:w="2458" w:type="dxa"/>
            <w:vAlign w:val="center"/>
          </w:tcPr>
          <w:p w14:paraId="0D15B20D">
            <w:pPr>
              <w:spacing w:after="156"/>
              <w:jc w:val="center"/>
              <w:rPr>
                <w:color w:val="auto"/>
                <w:szCs w:val="21"/>
                <w:highlight w:val="none"/>
              </w:rPr>
            </w:pPr>
          </w:p>
        </w:tc>
        <w:tc>
          <w:tcPr>
            <w:tcW w:w="1432" w:type="dxa"/>
            <w:vAlign w:val="center"/>
          </w:tcPr>
          <w:p w14:paraId="3E6640C5">
            <w:pPr>
              <w:spacing w:after="156"/>
              <w:jc w:val="center"/>
              <w:rPr>
                <w:color w:val="auto"/>
                <w:szCs w:val="21"/>
                <w:highlight w:val="none"/>
              </w:rPr>
            </w:pPr>
          </w:p>
        </w:tc>
        <w:tc>
          <w:tcPr>
            <w:tcW w:w="1432" w:type="dxa"/>
            <w:vAlign w:val="center"/>
          </w:tcPr>
          <w:p w14:paraId="594886F3">
            <w:pPr>
              <w:spacing w:after="156"/>
              <w:jc w:val="center"/>
              <w:rPr>
                <w:color w:val="auto"/>
                <w:szCs w:val="21"/>
                <w:highlight w:val="none"/>
              </w:rPr>
            </w:pPr>
          </w:p>
        </w:tc>
      </w:tr>
      <w:tr w14:paraId="7E9410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102FBAC">
            <w:pPr>
              <w:spacing w:after="156"/>
              <w:jc w:val="center"/>
              <w:rPr>
                <w:color w:val="auto"/>
                <w:szCs w:val="21"/>
                <w:highlight w:val="none"/>
              </w:rPr>
            </w:pPr>
          </w:p>
        </w:tc>
        <w:tc>
          <w:tcPr>
            <w:tcW w:w="2458" w:type="dxa"/>
            <w:vAlign w:val="center"/>
          </w:tcPr>
          <w:p w14:paraId="0EBA2052">
            <w:pPr>
              <w:spacing w:after="156"/>
              <w:jc w:val="center"/>
              <w:rPr>
                <w:color w:val="auto"/>
                <w:szCs w:val="21"/>
                <w:highlight w:val="none"/>
              </w:rPr>
            </w:pPr>
          </w:p>
        </w:tc>
        <w:tc>
          <w:tcPr>
            <w:tcW w:w="2458" w:type="dxa"/>
            <w:vAlign w:val="center"/>
          </w:tcPr>
          <w:p w14:paraId="06FE99BD">
            <w:pPr>
              <w:spacing w:after="156"/>
              <w:jc w:val="center"/>
              <w:rPr>
                <w:color w:val="auto"/>
                <w:szCs w:val="21"/>
                <w:highlight w:val="none"/>
              </w:rPr>
            </w:pPr>
          </w:p>
        </w:tc>
        <w:tc>
          <w:tcPr>
            <w:tcW w:w="1432" w:type="dxa"/>
            <w:vAlign w:val="center"/>
          </w:tcPr>
          <w:p w14:paraId="05CB35FA">
            <w:pPr>
              <w:spacing w:after="156"/>
              <w:jc w:val="center"/>
              <w:rPr>
                <w:color w:val="auto"/>
                <w:szCs w:val="21"/>
                <w:highlight w:val="none"/>
              </w:rPr>
            </w:pPr>
          </w:p>
        </w:tc>
        <w:tc>
          <w:tcPr>
            <w:tcW w:w="1432" w:type="dxa"/>
            <w:vAlign w:val="center"/>
          </w:tcPr>
          <w:p w14:paraId="2CE8787D">
            <w:pPr>
              <w:spacing w:after="156"/>
              <w:jc w:val="center"/>
              <w:rPr>
                <w:color w:val="auto"/>
                <w:szCs w:val="21"/>
                <w:highlight w:val="none"/>
              </w:rPr>
            </w:pPr>
          </w:p>
        </w:tc>
      </w:tr>
      <w:tr w14:paraId="67BF5BE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4797DEC5">
            <w:pPr>
              <w:spacing w:after="156"/>
              <w:jc w:val="center"/>
              <w:rPr>
                <w:color w:val="auto"/>
                <w:szCs w:val="21"/>
                <w:highlight w:val="none"/>
              </w:rPr>
            </w:pPr>
          </w:p>
        </w:tc>
        <w:tc>
          <w:tcPr>
            <w:tcW w:w="2458" w:type="dxa"/>
            <w:vAlign w:val="center"/>
          </w:tcPr>
          <w:p w14:paraId="391FCFB6">
            <w:pPr>
              <w:spacing w:after="156"/>
              <w:jc w:val="center"/>
              <w:rPr>
                <w:color w:val="auto"/>
                <w:szCs w:val="21"/>
                <w:highlight w:val="none"/>
              </w:rPr>
            </w:pPr>
          </w:p>
        </w:tc>
        <w:tc>
          <w:tcPr>
            <w:tcW w:w="2458" w:type="dxa"/>
            <w:vAlign w:val="center"/>
          </w:tcPr>
          <w:p w14:paraId="5DD7230E">
            <w:pPr>
              <w:spacing w:after="156"/>
              <w:jc w:val="center"/>
              <w:rPr>
                <w:color w:val="auto"/>
                <w:szCs w:val="21"/>
                <w:highlight w:val="none"/>
              </w:rPr>
            </w:pPr>
          </w:p>
        </w:tc>
        <w:tc>
          <w:tcPr>
            <w:tcW w:w="1432" w:type="dxa"/>
            <w:vAlign w:val="center"/>
          </w:tcPr>
          <w:p w14:paraId="3C1AA8B5">
            <w:pPr>
              <w:spacing w:after="156"/>
              <w:jc w:val="center"/>
              <w:rPr>
                <w:color w:val="auto"/>
                <w:szCs w:val="21"/>
                <w:highlight w:val="none"/>
              </w:rPr>
            </w:pPr>
          </w:p>
        </w:tc>
        <w:tc>
          <w:tcPr>
            <w:tcW w:w="1432" w:type="dxa"/>
            <w:vAlign w:val="center"/>
          </w:tcPr>
          <w:p w14:paraId="2E9C9090">
            <w:pPr>
              <w:spacing w:after="156"/>
              <w:jc w:val="center"/>
              <w:rPr>
                <w:color w:val="auto"/>
                <w:szCs w:val="21"/>
                <w:highlight w:val="none"/>
              </w:rPr>
            </w:pPr>
          </w:p>
        </w:tc>
      </w:tr>
    </w:tbl>
    <w:p w14:paraId="384CC20B">
      <w:pPr>
        <w:snapToGrid w:val="0"/>
        <w:spacing w:line="300" w:lineRule="auto"/>
        <w:rPr>
          <w:color w:val="auto"/>
          <w:highlight w:val="none"/>
        </w:rPr>
      </w:pPr>
    </w:p>
    <w:p w14:paraId="3E6B3B82">
      <w:pPr>
        <w:snapToGrid w:val="0"/>
        <w:spacing w:line="300" w:lineRule="auto"/>
        <w:rPr>
          <w:color w:val="auto"/>
          <w:highlight w:val="none"/>
        </w:rPr>
      </w:pPr>
    </w:p>
    <w:p w14:paraId="124E25D0">
      <w:pPr>
        <w:snapToGrid w:val="0"/>
        <w:spacing w:line="300" w:lineRule="auto"/>
        <w:rPr>
          <w:color w:val="auto"/>
          <w:highlight w:val="none"/>
          <w:u w:val="single"/>
        </w:rPr>
      </w:pPr>
    </w:p>
    <w:p w14:paraId="22512DF1">
      <w:pPr>
        <w:snapToGrid w:val="0"/>
        <w:spacing w:line="300" w:lineRule="auto"/>
        <w:rPr>
          <w:color w:val="auto"/>
          <w:spacing w:val="20"/>
          <w:highlight w:val="none"/>
          <w:u w:val="single"/>
        </w:rPr>
      </w:pPr>
      <w:r>
        <w:rPr>
          <w:rFonts w:hint="eastAsia"/>
          <w:color w:val="auto"/>
          <w:highlight w:val="none"/>
        </w:rPr>
        <w:t>供应商</w:t>
      </w:r>
      <w:r>
        <w:rPr>
          <w:color w:val="auto"/>
          <w:highlight w:val="none"/>
        </w:rPr>
        <w:t>全称（</w:t>
      </w:r>
      <w:r>
        <w:rPr>
          <w:rFonts w:hint="eastAsia"/>
          <w:color w:val="auto"/>
          <w:highlight w:val="none"/>
        </w:rPr>
        <w:t>盖单位公章或电子签章</w:t>
      </w:r>
      <w:r>
        <w:rPr>
          <w:color w:val="auto"/>
          <w:highlight w:val="none"/>
        </w:rPr>
        <w:t>）：</w:t>
      </w:r>
    </w:p>
    <w:p w14:paraId="75E28BAB">
      <w:pPr>
        <w:snapToGrid w:val="0"/>
        <w:spacing w:line="300" w:lineRule="auto"/>
        <w:rPr>
          <w:color w:val="auto"/>
          <w:highlight w:val="none"/>
        </w:rPr>
      </w:pPr>
      <w:r>
        <w:rPr>
          <w:color w:val="auto"/>
          <w:spacing w:val="20"/>
          <w:highlight w:val="none"/>
        </w:rPr>
        <w:t xml:space="preserve">日期：  </w:t>
      </w:r>
      <w:r>
        <w:rPr>
          <w:color w:val="auto"/>
          <w:highlight w:val="none"/>
        </w:rPr>
        <w:t>年  月  日</w:t>
      </w:r>
    </w:p>
    <w:p w14:paraId="554B904D">
      <w:pPr>
        <w:snapToGrid w:val="0"/>
        <w:spacing w:line="300" w:lineRule="auto"/>
        <w:rPr>
          <w:color w:val="auto"/>
          <w:highlight w:val="none"/>
        </w:rPr>
      </w:pPr>
    </w:p>
    <w:p w14:paraId="221A06C7">
      <w:pPr>
        <w:snapToGrid w:val="0"/>
        <w:spacing w:line="300" w:lineRule="auto"/>
        <w:rPr>
          <w:color w:val="auto"/>
          <w:highlight w:val="none"/>
        </w:rPr>
      </w:pPr>
      <w:r>
        <w:rPr>
          <w:color w:val="auto"/>
          <w:highlight w:val="none"/>
        </w:rPr>
        <w:t>注：</w:t>
      </w:r>
    </w:p>
    <w:p w14:paraId="5F1670BD">
      <w:pPr>
        <w:snapToGrid w:val="0"/>
        <w:spacing w:line="300" w:lineRule="auto"/>
        <w:rPr>
          <w:color w:val="auto"/>
          <w:highlight w:val="none"/>
        </w:rPr>
      </w:pPr>
      <w:r>
        <w:rPr>
          <w:color w:val="auto"/>
          <w:highlight w:val="none"/>
        </w:rPr>
        <w:t>1、</w:t>
      </w:r>
      <w:r>
        <w:rPr>
          <w:rFonts w:hint="eastAsia" w:ascii="宋体" w:hAnsi="宋体" w:cs="宋体"/>
          <w:color w:val="auto"/>
          <w:szCs w:val="21"/>
          <w:highlight w:val="none"/>
        </w:rPr>
        <w:t>与采购文件“</w:t>
      </w:r>
      <w:r>
        <w:rPr>
          <w:color w:val="auto"/>
          <w:highlight w:val="none"/>
        </w:rPr>
        <w:t>第二章  采购内容及需求</w:t>
      </w:r>
      <w:r>
        <w:rPr>
          <w:rFonts w:hint="eastAsia" w:ascii="宋体" w:hAnsi="宋体" w:cs="宋体"/>
          <w:color w:val="auto"/>
          <w:szCs w:val="21"/>
          <w:highlight w:val="none"/>
        </w:rPr>
        <w:t>”的“技术要求”逐条对应</w:t>
      </w:r>
    </w:p>
    <w:p w14:paraId="3DC76553">
      <w:pPr>
        <w:snapToGrid w:val="0"/>
        <w:spacing w:line="300" w:lineRule="auto"/>
        <w:rPr>
          <w:color w:val="auto"/>
          <w:highlight w:val="none"/>
        </w:rPr>
      </w:pPr>
      <w:r>
        <w:rPr>
          <w:color w:val="auto"/>
          <w:highlight w:val="none"/>
        </w:rPr>
        <w:t>2、“偏离情况”栏填写：“正偏离”或“负偏离”或“符合”</w:t>
      </w:r>
    </w:p>
    <w:p w14:paraId="3363722B">
      <w:pPr>
        <w:snapToGrid w:val="0"/>
        <w:spacing w:line="300" w:lineRule="auto"/>
        <w:rPr>
          <w:color w:val="auto"/>
          <w:spacing w:val="20"/>
          <w:highlight w:val="none"/>
        </w:rPr>
      </w:pPr>
    </w:p>
    <w:p w14:paraId="35BF93C4">
      <w:pPr>
        <w:pStyle w:val="3"/>
        <w:ind w:firstLine="502"/>
        <w:rPr>
          <w:rFonts w:ascii="Times New Roman" w:hAnsi="Times New Roman"/>
          <w:color w:val="auto"/>
          <w:highlight w:val="none"/>
        </w:rPr>
      </w:pPr>
      <w:r>
        <w:rPr>
          <w:rFonts w:ascii="Times New Roman" w:hAnsi="Times New Roman"/>
          <w:color w:val="auto"/>
          <w:spacing w:val="20"/>
          <w:highlight w:val="none"/>
        </w:rPr>
        <w:br w:type="page"/>
      </w:r>
      <w:r>
        <w:rPr>
          <w:rFonts w:hint="eastAsia" w:ascii="Times New Roman" w:hAnsi="Times New Roman"/>
          <w:color w:val="auto"/>
          <w:spacing w:val="20"/>
          <w:highlight w:val="none"/>
        </w:rPr>
        <w:t>7</w:t>
      </w:r>
      <w:r>
        <w:rPr>
          <w:rFonts w:ascii="Times New Roman" w:hAnsi="Times New Roman"/>
          <w:color w:val="auto"/>
          <w:highlight w:val="none"/>
        </w:rPr>
        <w:t>、商务条款偏离表</w:t>
      </w:r>
    </w:p>
    <w:p w14:paraId="14DE43BB">
      <w:pPr>
        <w:snapToGrid w:val="0"/>
        <w:spacing w:line="300" w:lineRule="auto"/>
        <w:jc w:val="center"/>
        <w:rPr>
          <w:b/>
          <w:bCs/>
          <w:color w:val="auto"/>
          <w:sz w:val="32"/>
          <w:szCs w:val="32"/>
          <w:highlight w:val="none"/>
        </w:rPr>
      </w:pPr>
      <w:r>
        <w:rPr>
          <w:b/>
          <w:bCs/>
          <w:color w:val="auto"/>
          <w:sz w:val="32"/>
          <w:szCs w:val="32"/>
          <w:highlight w:val="none"/>
        </w:rPr>
        <w:t>商务条款偏离表</w:t>
      </w:r>
    </w:p>
    <w:p w14:paraId="773C1212">
      <w:pPr>
        <w:snapToGrid w:val="0"/>
        <w:spacing w:line="300" w:lineRule="auto"/>
        <w:rPr>
          <w:color w:val="auto"/>
          <w:highlight w:val="none"/>
          <w:u w:val="single"/>
        </w:rPr>
      </w:pPr>
      <w:r>
        <w:rPr>
          <w:color w:val="auto"/>
          <w:highlight w:val="none"/>
        </w:rPr>
        <w:t>项目名称：</w:t>
      </w:r>
    </w:p>
    <w:p w14:paraId="326DCB8A">
      <w:pPr>
        <w:snapToGrid w:val="0"/>
        <w:spacing w:line="300" w:lineRule="auto"/>
        <w:rPr>
          <w:color w:val="auto"/>
          <w:highlight w:val="none"/>
          <w:u w:val="single"/>
        </w:rPr>
      </w:pPr>
      <w:r>
        <w:rPr>
          <w:color w:val="auto"/>
          <w:highlight w:val="none"/>
        </w:rPr>
        <w:t>招标项目编号：</w:t>
      </w:r>
    </w:p>
    <w:p w14:paraId="7CD52AAF">
      <w:pPr>
        <w:snapToGrid w:val="0"/>
        <w:spacing w:line="300" w:lineRule="auto"/>
        <w:rPr>
          <w:color w:val="auto"/>
          <w:highlight w:val="none"/>
        </w:rPr>
      </w:pPr>
      <w:r>
        <w:rPr>
          <w:color w:val="auto"/>
          <w:highlight w:val="none"/>
        </w:rPr>
        <w:t>标项内容：</w:t>
      </w:r>
    </w:p>
    <w:p w14:paraId="60B46C7D">
      <w:pPr>
        <w:snapToGrid w:val="0"/>
        <w:spacing w:line="300" w:lineRule="auto"/>
        <w:rPr>
          <w:color w:val="auto"/>
          <w:highlight w:val="none"/>
        </w:rPr>
      </w:pPr>
    </w:p>
    <w:tbl>
      <w:tblPr>
        <w:tblStyle w:val="8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1"/>
        <w:gridCol w:w="2458"/>
        <w:gridCol w:w="2458"/>
        <w:gridCol w:w="1432"/>
        <w:gridCol w:w="1432"/>
      </w:tblGrid>
      <w:tr w14:paraId="25DC971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5561DC51">
            <w:pPr>
              <w:spacing w:after="156"/>
              <w:jc w:val="center"/>
              <w:rPr>
                <w:color w:val="auto"/>
                <w:szCs w:val="21"/>
                <w:highlight w:val="none"/>
              </w:rPr>
            </w:pPr>
            <w:r>
              <w:rPr>
                <w:color w:val="auto"/>
                <w:szCs w:val="21"/>
                <w:highlight w:val="none"/>
              </w:rPr>
              <w:t>序号</w:t>
            </w:r>
          </w:p>
        </w:tc>
        <w:tc>
          <w:tcPr>
            <w:tcW w:w="2458" w:type="dxa"/>
            <w:vAlign w:val="center"/>
          </w:tcPr>
          <w:p w14:paraId="3D633C47">
            <w:pPr>
              <w:spacing w:after="156"/>
              <w:jc w:val="center"/>
              <w:rPr>
                <w:color w:val="auto"/>
                <w:szCs w:val="21"/>
                <w:highlight w:val="none"/>
              </w:rPr>
            </w:pPr>
            <w:r>
              <w:rPr>
                <w:color w:val="auto"/>
                <w:szCs w:val="21"/>
                <w:highlight w:val="none"/>
              </w:rPr>
              <w:t>招标</w:t>
            </w:r>
            <w:r>
              <w:rPr>
                <w:color w:val="auto"/>
                <w:highlight w:val="none"/>
              </w:rPr>
              <w:t>要求</w:t>
            </w:r>
          </w:p>
        </w:tc>
        <w:tc>
          <w:tcPr>
            <w:tcW w:w="2458" w:type="dxa"/>
            <w:vAlign w:val="center"/>
          </w:tcPr>
          <w:p w14:paraId="03C9E588">
            <w:pPr>
              <w:spacing w:after="156"/>
              <w:jc w:val="center"/>
              <w:rPr>
                <w:color w:val="auto"/>
                <w:szCs w:val="21"/>
                <w:highlight w:val="none"/>
              </w:rPr>
            </w:pPr>
            <w:r>
              <w:rPr>
                <w:color w:val="auto"/>
                <w:szCs w:val="21"/>
                <w:highlight w:val="none"/>
              </w:rPr>
              <w:t>投标</w:t>
            </w:r>
            <w:r>
              <w:rPr>
                <w:color w:val="auto"/>
                <w:highlight w:val="none"/>
              </w:rPr>
              <w:t>响应</w:t>
            </w:r>
          </w:p>
        </w:tc>
        <w:tc>
          <w:tcPr>
            <w:tcW w:w="1432" w:type="dxa"/>
            <w:vAlign w:val="center"/>
          </w:tcPr>
          <w:p w14:paraId="18552BBC">
            <w:pPr>
              <w:spacing w:after="156"/>
              <w:jc w:val="center"/>
              <w:rPr>
                <w:color w:val="auto"/>
                <w:szCs w:val="21"/>
                <w:highlight w:val="none"/>
              </w:rPr>
            </w:pPr>
            <w:r>
              <w:rPr>
                <w:color w:val="auto"/>
                <w:szCs w:val="21"/>
                <w:highlight w:val="none"/>
              </w:rPr>
              <w:t>偏离情况</w:t>
            </w:r>
          </w:p>
        </w:tc>
        <w:tc>
          <w:tcPr>
            <w:tcW w:w="1432" w:type="dxa"/>
            <w:vAlign w:val="center"/>
          </w:tcPr>
          <w:p w14:paraId="771791B9">
            <w:pPr>
              <w:spacing w:after="156"/>
              <w:jc w:val="center"/>
              <w:rPr>
                <w:color w:val="auto"/>
                <w:szCs w:val="21"/>
                <w:highlight w:val="none"/>
              </w:rPr>
            </w:pPr>
            <w:r>
              <w:rPr>
                <w:color w:val="auto"/>
                <w:szCs w:val="21"/>
                <w:highlight w:val="none"/>
              </w:rPr>
              <w:t>说明</w:t>
            </w:r>
          </w:p>
        </w:tc>
      </w:tr>
      <w:tr w14:paraId="0EB065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7875923D">
            <w:pPr>
              <w:spacing w:after="156"/>
              <w:jc w:val="center"/>
              <w:rPr>
                <w:color w:val="auto"/>
                <w:szCs w:val="21"/>
                <w:highlight w:val="none"/>
              </w:rPr>
            </w:pPr>
          </w:p>
        </w:tc>
        <w:tc>
          <w:tcPr>
            <w:tcW w:w="2458" w:type="dxa"/>
            <w:vAlign w:val="center"/>
          </w:tcPr>
          <w:p w14:paraId="15C5532E">
            <w:pPr>
              <w:spacing w:after="156"/>
              <w:jc w:val="center"/>
              <w:rPr>
                <w:color w:val="auto"/>
                <w:szCs w:val="21"/>
                <w:highlight w:val="none"/>
              </w:rPr>
            </w:pPr>
          </w:p>
        </w:tc>
        <w:tc>
          <w:tcPr>
            <w:tcW w:w="2458" w:type="dxa"/>
            <w:vAlign w:val="center"/>
          </w:tcPr>
          <w:p w14:paraId="7E90999B">
            <w:pPr>
              <w:spacing w:after="156"/>
              <w:jc w:val="center"/>
              <w:rPr>
                <w:color w:val="auto"/>
                <w:szCs w:val="21"/>
                <w:highlight w:val="none"/>
              </w:rPr>
            </w:pPr>
          </w:p>
        </w:tc>
        <w:tc>
          <w:tcPr>
            <w:tcW w:w="1432" w:type="dxa"/>
            <w:vAlign w:val="center"/>
          </w:tcPr>
          <w:p w14:paraId="27264977">
            <w:pPr>
              <w:spacing w:after="156"/>
              <w:jc w:val="center"/>
              <w:rPr>
                <w:color w:val="auto"/>
                <w:szCs w:val="21"/>
                <w:highlight w:val="none"/>
              </w:rPr>
            </w:pPr>
          </w:p>
        </w:tc>
        <w:tc>
          <w:tcPr>
            <w:tcW w:w="1432" w:type="dxa"/>
            <w:vAlign w:val="center"/>
          </w:tcPr>
          <w:p w14:paraId="666CF0F1">
            <w:pPr>
              <w:spacing w:after="156"/>
              <w:jc w:val="center"/>
              <w:rPr>
                <w:color w:val="auto"/>
                <w:szCs w:val="21"/>
                <w:highlight w:val="none"/>
              </w:rPr>
            </w:pPr>
          </w:p>
        </w:tc>
      </w:tr>
      <w:tr w14:paraId="298773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73C4C48">
            <w:pPr>
              <w:spacing w:after="156"/>
              <w:jc w:val="center"/>
              <w:rPr>
                <w:color w:val="auto"/>
                <w:szCs w:val="21"/>
                <w:highlight w:val="none"/>
              </w:rPr>
            </w:pPr>
          </w:p>
        </w:tc>
        <w:tc>
          <w:tcPr>
            <w:tcW w:w="2458" w:type="dxa"/>
            <w:vAlign w:val="center"/>
          </w:tcPr>
          <w:p w14:paraId="5EBD5A2D">
            <w:pPr>
              <w:spacing w:after="156"/>
              <w:jc w:val="center"/>
              <w:rPr>
                <w:color w:val="auto"/>
                <w:szCs w:val="21"/>
                <w:highlight w:val="none"/>
              </w:rPr>
            </w:pPr>
          </w:p>
        </w:tc>
        <w:tc>
          <w:tcPr>
            <w:tcW w:w="2458" w:type="dxa"/>
            <w:vAlign w:val="center"/>
          </w:tcPr>
          <w:p w14:paraId="7C05AAC1">
            <w:pPr>
              <w:spacing w:after="156"/>
              <w:jc w:val="center"/>
              <w:rPr>
                <w:color w:val="auto"/>
                <w:szCs w:val="21"/>
                <w:highlight w:val="none"/>
              </w:rPr>
            </w:pPr>
          </w:p>
        </w:tc>
        <w:tc>
          <w:tcPr>
            <w:tcW w:w="1432" w:type="dxa"/>
            <w:vAlign w:val="center"/>
          </w:tcPr>
          <w:p w14:paraId="196FA4F2">
            <w:pPr>
              <w:spacing w:after="156"/>
              <w:jc w:val="center"/>
              <w:rPr>
                <w:color w:val="auto"/>
                <w:szCs w:val="21"/>
                <w:highlight w:val="none"/>
              </w:rPr>
            </w:pPr>
          </w:p>
        </w:tc>
        <w:tc>
          <w:tcPr>
            <w:tcW w:w="1432" w:type="dxa"/>
            <w:vAlign w:val="center"/>
          </w:tcPr>
          <w:p w14:paraId="598F3053">
            <w:pPr>
              <w:spacing w:after="156"/>
              <w:jc w:val="center"/>
              <w:rPr>
                <w:color w:val="auto"/>
                <w:szCs w:val="21"/>
                <w:highlight w:val="none"/>
              </w:rPr>
            </w:pPr>
          </w:p>
        </w:tc>
      </w:tr>
      <w:tr w14:paraId="4622C6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89BEA4D">
            <w:pPr>
              <w:spacing w:after="156"/>
              <w:jc w:val="center"/>
              <w:rPr>
                <w:color w:val="auto"/>
                <w:szCs w:val="21"/>
                <w:highlight w:val="none"/>
              </w:rPr>
            </w:pPr>
          </w:p>
        </w:tc>
        <w:tc>
          <w:tcPr>
            <w:tcW w:w="2458" w:type="dxa"/>
            <w:vAlign w:val="center"/>
          </w:tcPr>
          <w:p w14:paraId="626EB2AD">
            <w:pPr>
              <w:spacing w:after="156"/>
              <w:jc w:val="center"/>
              <w:rPr>
                <w:color w:val="auto"/>
                <w:szCs w:val="21"/>
                <w:highlight w:val="none"/>
              </w:rPr>
            </w:pPr>
          </w:p>
        </w:tc>
        <w:tc>
          <w:tcPr>
            <w:tcW w:w="2458" w:type="dxa"/>
            <w:vAlign w:val="center"/>
          </w:tcPr>
          <w:p w14:paraId="7C630992">
            <w:pPr>
              <w:spacing w:after="156"/>
              <w:jc w:val="center"/>
              <w:rPr>
                <w:color w:val="auto"/>
                <w:szCs w:val="21"/>
                <w:highlight w:val="none"/>
              </w:rPr>
            </w:pPr>
          </w:p>
        </w:tc>
        <w:tc>
          <w:tcPr>
            <w:tcW w:w="1432" w:type="dxa"/>
            <w:vAlign w:val="center"/>
          </w:tcPr>
          <w:p w14:paraId="00D72302">
            <w:pPr>
              <w:spacing w:after="156"/>
              <w:jc w:val="center"/>
              <w:rPr>
                <w:color w:val="auto"/>
                <w:szCs w:val="21"/>
                <w:highlight w:val="none"/>
              </w:rPr>
            </w:pPr>
          </w:p>
        </w:tc>
        <w:tc>
          <w:tcPr>
            <w:tcW w:w="1432" w:type="dxa"/>
            <w:vAlign w:val="center"/>
          </w:tcPr>
          <w:p w14:paraId="1F2F26F2">
            <w:pPr>
              <w:spacing w:after="156"/>
              <w:jc w:val="center"/>
              <w:rPr>
                <w:color w:val="auto"/>
                <w:szCs w:val="21"/>
                <w:highlight w:val="none"/>
              </w:rPr>
            </w:pPr>
          </w:p>
        </w:tc>
      </w:tr>
      <w:tr w14:paraId="37BBAD4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02129CBD">
            <w:pPr>
              <w:spacing w:after="156"/>
              <w:jc w:val="center"/>
              <w:rPr>
                <w:color w:val="auto"/>
                <w:szCs w:val="21"/>
                <w:highlight w:val="none"/>
              </w:rPr>
            </w:pPr>
          </w:p>
        </w:tc>
        <w:tc>
          <w:tcPr>
            <w:tcW w:w="2458" w:type="dxa"/>
            <w:vAlign w:val="center"/>
          </w:tcPr>
          <w:p w14:paraId="2EAD701E">
            <w:pPr>
              <w:spacing w:after="156"/>
              <w:jc w:val="center"/>
              <w:rPr>
                <w:color w:val="auto"/>
                <w:szCs w:val="21"/>
                <w:highlight w:val="none"/>
              </w:rPr>
            </w:pPr>
          </w:p>
        </w:tc>
        <w:tc>
          <w:tcPr>
            <w:tcW w:w="2458" w:type="dxa"/>
            <w:vAlign w:val="center"/>
          </w:tcPr>
          <w:p w14:paraId="487165C1">
            <w:pPr>
              <w:spacing w:after="156"/>
              <w:jc w:val="center"/>
              <w:rPr>
                <w:color w:val="auto"/>
                <w:szCs w:val="21"/>
                <w:highlight w:val="none"/>
              </w:rPr>
            </w:pPr>
          </w:p>
        </w:tc>
        <w:tc>
          <w:tcPr>
            <w:tcW w:w="1432" w:type="dxa"/>
            <w:vAlign w:val="center"/>
          </w:tcPr>
          <w:p w14:paraId="3EDE9134">
            <w:pPr>
              <w:spacing w:after="156"/>
              <w:jc w:val="center"/>
              <w:rPr>
                <w:color w:val="auto"/>
                <w:szCs w:val="21"/>
                <w:highlight w:val="none"/>
              </w:rPr>
            </w:pPr>
          </w:p>
        </w:tc>
        <w:tc>
          <w:tcPr>
            <w:tcW w:w="1432" w:type="dxa"/>
            <w:vAlign w:val="center"/>
          </w:tcPr>
          <w:p w14:paraId="27D40996">
            <w:pPr>
              <w:spacing w:after="156"/>
              <w:jc w:val="center"/>
              <w:rPr>
                <w:color w:val="auto"/>
                <w:szCs w:val="21"/>
                <w:highlight w:val="none"/>
              </w:rPr>
            </w:pPr>
          </w:p>
        </w:tc>
      </w:tr>
      <w:tr w14:paraId="225C8F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941" w:type="dxa"/>
            <w:vAlign w:val="center"/>
          </w:tcPr>
          <w:p w14:paraId="378E633E">
            <w:pPr>
              <w:spacing w:after="156"/>
              <w:jc w:val="center"/>
              <w:rPr>
                <w:color w:val="auto"/>
                <w:szCs w:val="21"/>
                <w:highlight w:val="none"/>
              </w:rPr>
            </w:pPr>
          </w:p>
        </w:tc>
        <w:tc>
          <w:tcPr>
            <w:tcW w:w="2458" w:type="dxa"/>
            <w:vAlign w:val="center"/>
          </w:tcPr>
          <w:p w14:paraId="1D89502C">
            <w:pPr>
              <w:spacing w:after="156"/>
              <w:jc w:val="center"/>
              <w:rPr>
                <w:color w:val="auto"/>
                <w:szCs w:val="21"/>
                <w:highlight w:val="none"/>
              </w:rPr>
            </w:pPr>
          </w:p>
        </w:tc>
        <w:tc>
          <w:tcPr>
            <w:tcW w:w="2458" w:type="dxa"/>
            <w:vAlign w:val="center"/>
          </w:tcPr>
          <w:p w14:paraId="047F818A">
            <w:pPr>
              <w:spacing w:after="156"/>
              <w:jc w:val="center"/>
              <w:rPr>
                <w:color w:val="auto"/>
                <w:szCs w:val="21"/>
                <w:highlight w:val="none"/>
              </w:rPr>
            </w:pPr>
          </w:p>
        </w:tc>
        <w:tc>
          <w:tcPr>
            <w:tcW w:w="1432" w:type="dxa"/>
            <w:vAlign w:val="center"/>
          </w:tcPr>
          <w:p w14:paraId="6388904B">
            <w:pPr>
              <w:spacing w:after="156"/>
              <w:jc w:val="center"/>
              <w:rPr>
                <w:color w:val="auto"/>
                <w:szCs w:val="21"/>
                <w:highlight w:val="none"/>
              </w:rPr>
            </w:pPr>
          </w:p>
        </w:tc>
        <w:tc>
          <w:tcPr>
            <w:tcW w:w="1432" w:type="dxa"/>
            <w:vAlign w:val="center"/>
          </w:tcPr>
          <w:p w14:paraId="2C447768">
            <w:pPr>
              <w:spacing w:after="156"/>
              <w:jc w:val="center"/>
              <w:rPr>
                <w:color w:val="auto"/>
                <w:szCs w:val="21"/>
                <w:highlight w:val="none"/>
              </w:rPr>
            </w:pPr>
          </w:p>
        </w:tc>
      </w:tr>
    </w:tbl>
    <w:p w14:paraId="5FB71A24">
      <w:pPr>
        <w:snapToGrid w:val="0"/>
        <w:spacing w:line="300" w:lineRule="auto"/>
        <w:rPr>
          <w:color w:val="auto"/>
          <w:highlight w:val="none"/>
        </w:rPr>
      </w:pPr>
    </w:p>
    <w:p w14:paraId="0DB37155">
      <w:pPr>
        <w:snapToGrid w:val="0"/>
        <w:spacing w:line="300" w:lineRule="auto"/>
        <w:rPr>
          <w:color w:val="auto"/>
          <w:highlight w:val="none"/>
        </w:rPr>
      </w:pPr>
    </w:p>
    <w:p w14:paraId="27F4231D">
      <w:pPr>
        <w:snapToGrid w:val="0"/>
        <w:spacing w:line="300" w:lineRule="auto"/>
        <w:rPr>
          <w:color w:val="auto"/>
          <w:highlight w:val="none"/>
          <w:u w:val="single"/>
        </w:rPr>
      </w:pPr>
    </w:p>
    <w:p w14:paraId="4178D641">
      <w:pPr>
        <w:snapToGrid w:val="0"/>
        <w:spacing w:line="300" w:lineRule="auto"/>
        <w:rPr>
          <w:color w:val="auto"/>
          <w:spacing w:val="20"/>
          <w:highlight w:val="none"/>
          <w:u w:val="single"/>
        </w:rPr>
      </w:pPr>
      <w:r>
        <w:rPr>
          <w:rFonts w:hint="eastAsia"/>
          <w:color w:val="auto"/>
          <w:highlight w:val="none"/>
        </w:rPr>
        <w:t>供应商</w:t>
      </w:r>
      <w:r>
        <w:rPr>
          <w:color w:val="auto"/>
          <w:highlight w:val="none"/>
        </w:rPr>
        <w:t>全称（</w:t>
      </w:r>
      <w:r>
        <w:rPr>
          <w:rFonts w:hint="eastAsia"/>
          <w:color w:val="auto"/>
          <w:highlight w:val="none"/>
        </w:rPr>
        <w:t>盖单位公章或电子签章</w:t>
      </w:r>
      <w:r>
        <w:rPr>
          <w:color w:val="auto"/>
          <w:highlight w:val="none"/>
        </w:rPr>
        <w:t>）：</w:t>
      </w:r>
    </w:p>
    <w:p w14:paraId="2F3B2CB4">
      <w:pPr>
        <w:snapToGrid w:val="0"/>
        <w:spacing w:line="300" w:lineRule="auto"/>
        <w:rPr>
          <w:color w:val="auto"/>
          <w:highlight w:val="none"/>
        </w:rPr>
      </w:pPr>
      <w:r>
        <w:rPr>
          <w:color w:val="auto"/>
          <w:spacing w:val="20"/>
          <w:highlight w:val="none"/>
        </w:rPr>
        <w:t xml:space="preserve">日期：  </w:t>
      </w:r>
      <w:r>
        <w:rPr>
          <w:color w:val="auto"/>
          <w:highlight w:val="none"/>
        </w:rPr>
        <w:t>年  月  日</w:t>
      </w:r>
    </w:p>
    <w:p w14:paraId="35BBAE24">
      <w:pPr>
        <w:snapToGrid w:val="0"/>
        <w:spacing w:line="300" w:lineRule="auto"/>
        <w:rPr>
          <w:color w:val="auto"/>
          <w:highlight w:val="none"/>
        </w:rPr>
      </w:pPr>
    </w:p>
    <w:p w14:paraId="0D1F42C1">
      <w:pPr>
        <w:snapToGrid w:val="0"/>
        <w:spacing w:line="300" w:lineRule="auto"/>
        <w:rPr>
          <w:color w:val="auto"/>
          <w:highlight w:val="none"/>
        </w:rPr>
      </w:pPr>
      <w:r>
        <w:rPr>
          <w:color w:val="auto"/>
          <w:highlight w:val="none"/>
        </w:rPr>
        <w:t>注：</w:t>
      </w:r>
    </w:p>
    <w:p w14:paraId="61716D4A">
      <w:pPr>
        <w:snapToGrid w:val="0"/>
        <w:spacing w:line="300" w:lineRule="auto"/>
        <w:rPr>
          <w:color w:val="auto"/>
          <w:highlight w:val="none"/>
        </w:rPr>
      </w:pPr>
      <w:r>
        <w:rPr>
          <w:color w:val="auto"/>
          <w:highlight w:val="none"/>
        </w:rPr>
        <w:t>1、</w:t>
      </w:r>
      <w:r>
        <w:rPr>
          <w:rFonts w:hint="eastAsia" w:ascii="宋体" w:hAnsi="宋体" w:cs="宋体"/>
          <w:color w:val="auto"/>
          <w:szCs w:val="21"/>
          <w:highlight w:val="none"/>
        </w:rPr>
        <w:t>与采购文件“</w:t>
      </w:r>
      <w:r>
        <w:rPr>
          <w:color w:val="auto"/>
          <w:highlight w:val="none"/>
        </w:rPr>
        <w:t>第二章  采购内容及需求</w:t>
      </w:r>
      <w:r>
        <w:rPr>
          <w:rFonts w:hint="eastAsia" w:ascii="宋体" w:hAnsi="宋体" w:cs="宋体"/>
          <w:color w:val="auto"/>
          <w:szCs w:val="21"/>
          <w:highlight w:val="none"/>
        </w:rPr>
        <w:t>”的</w:t>
      </w:r>
      <w:r>
        <w:rPr>
          <w:color w:val="auto"/>
          <w:highlight w:val="none"/>
        </w:rPr>
        <w:t>“商务要求”逐条对应</w:t>
      </w:r>
    </w:p>
    <w:p w14:paraId="59A5F841">
      <w:pPr>
        <w:snapToGrid w:val="0"/>
        <w:spacing w:line="300" w:lineRule="auto"/>
        <w:rPr>
          <w:color w:val="auto"/>
          <w:highlight w:val="none"/>
        </w:rPr>
      </w:pPr>
      <w:r>
        <w:rPr>
          <w:color w:val="auto"/>
          <w:highlight w:val="none"/>
        </w:rPr>
        <w:t>2、“偏离情况”栏填写：“正偏离”或“负偏离”或“符合”</w:t>
      </w:r>
    </w:p>
    <w:p w14:paraId="6D821761">
      <w:pPr>
        <w:snapToGrid w:val="0"/>
        <w:spacing w:line="300" w:lineRule="auto"/>
        <w:rPr>
          <w:color w:val="auto"/>
          <w:spacing w:val="20"/>
          <w:highlight w:val="none"/>
        </w:rPr>
      </w:pPr>
    </w:p>
    <w:p w14:paraId="0262B615">
      <w:pPr>
        <w:pStyle w:val="142"/>
        <w:snapToGrid w:val="0"/>
        <w:spacing w:line="360" w:lineRule="auto"/>
        <w:ind w:firstLine="500"/>
        <w:rPr>
          <w:rFonts w:ascii="Times New Roman" w:hAnsi="Times New Roman"/>
          <w:b/>
          <w:bCs/>
          <w:color w:val="auto"/>
          <w:highlight w:val="none"/>
        </w:rPr>
      </w:pPr>
      <w:r>
        <w:rPr>
          <w:rFonts w:ascii="Times New Roman" w:hAnsi="Times New Roman"/>
          <w:color w:val="auto"/>
          <w:spacing w:val="20"/>
          <w:highlight w:val="none"/>
        </w:rPr>
        <w:br w:type="page"/>
      </w:r>
      <w:r>
        <w:rPr>
          <w:rFonts w:hint="eastAsia" w:ascii="Times New Roman" w:hAnsi="Times New Roman"/>
          <w:b/>
          <w:bCs/>
          <w:color w:val="auto"/>
          <w:highlight w:val="none"/>
        </w:rPr>
        <w:t>8、采购清单；</w:t>
      </w:r>
    </w:p>
    <w:p w14:paraId="3EF35F09">
      <w:pPr>
        <w:pStyle w:val="142"/>
        <w:snapToGrid w:val="0"/>
        <w:spacing w:line="360" w:lineRule="auto"/>
        <w:ind w:firstLine="422"/>
        <w:rPr>
          <w:rFonts w:ascii="Times New Roman" w:hAnsi="Times New Roman"/>
          <w:b/>
          <w:bCs/>
          <w:color w:val="auto"/>
          <w:highlight w:val="none"/>
        </w:rPr>
      </w:pPr>
    </w:p>
    <w:p w14:paraId="05A4CBB2">
      <w:pPr>
        <w:rPr>
          <w:rFonts w:hint="eastAsia" w:ascii="宋体" w:hAnsi="宋体" w:cs="宋体"/>
          <w:color w:val="auto"/>
          <w:highlight w:val="none"/>
        </w:rPr>
      </w:pPr>
      <w:r>
        <w:rPr>
          <w:rFonts w:hint="eastAsia" w:ascii="宋体" w:hAnsi="宋体" w:cs="宋体"/>
          <w:color w:val="auto"/>
          <w:highlight w:val="none"/>
        </w:rPr>
        <w:br w:type="page"/>
      </w:r>
    </w:p>
    <w:p w14:paraId="7312A8A2">
      <w:pPr>
        <w:pStyle w:val="3"/>
        <w:ind w:firstLine="413" w:firstLineChars="196"/>
        <w:rPr>
          <w:rFonts w:hint="eastAsia" w:ascii="宋体" w:hAnsi="宋体" w:cs="宋体"/>
          <w:color w:val="auto"/>
          <w:highlight w:val="none"/>
        </w:rPr>
      </w:pPr>
      <w:r>
        <w:rPr>
          <w:rFonts w:hint="eastAsia" w:ascii="宋体" w:hAnsi="宋体" w:cs="宋体"/>
          <w:color w:val="auto"/>
          <w:highlight w:val="none"/>
        </w:rPr>
        <w:t>9、中小企业声明函（如有）</w:t>
      </w:r>
    </w:p>
    <w:p w14:paraId="4C616853">
      <w:pPr>
        <w:snapToGrid w:val="0"/>
        <w:spacing w:line="360" w:lineRule="auto"/>
        <w:jc w:val="center"/>
        <w:rPr>
          <w:rFonts w:hint="eastAsia" w:ascii="宋体" w:hAnsi="宋体" w:cs="宋体"/>
          <w:b/>
          <w:bCs/>
          <w:color w:val="auto"/>
          <w:sz w:val="32"/>
          <w:szCs w:val="32"/>
          <w:highlight w:val="none"/>
        </w:rPr>
      </w:pPr>
    </w:p>
    <w:p w14:paraId="41AA521C">
      <w:pPr>
        <w:widowControl/>
        <w:jc w:val="center"/>
        <w:rPr>
          <w:rFonts w:hint="eastAsia" w:ascii="宋体" w:hAnsi="宋体" w:cs="宋体"/>
          <w:b/>
          <w:color w:val="auto"/>
          <w:sz w:val="36"/>
          <w:szCs w:val="36"/>
          <w:highlight w:val="none"/>
          <w:lang w:bidi="ar"/>
        </w:rPr>
      </w:pPr>
      <w:r>
        <w:rPr>
          <w:rFonts w:hint="eastAsia" w:ascii="宋体" w:hAnsi="宋体" w:cs="宋体"/>
          <w:b/>
          <w:color w:val="auto"/>
          <w:sz w:val="36"/>
          <w:szCs w:val="36"/>
          <w:highlight w:val="none"/>
          <w:lang w:bidi="ar"/>
        </w:rPr>
        <w:t>中小企业声明函（服务）</w:t>
      </w:r>
    </w:p>
    <w:p w14:paraId="496F4D6F">
      <w:pPr>
        <w:widowControl/>
        <w:jc w:val="center"/>
        <w:rPr>
          <w:rFonts w:hint="eastAsia" w:ascii="宋体" w:hAnsi="宋体" w:cs="宋体"/>
          <w:b/>
          <w:color w:val="auto"/>
          <w:sz w:val="36"/>
          <w:szCs w:val="36"/>
          <w:highlight w:val="none"/>
          <w:lang w:bidi="ar"/>
        </w:rPr>
      </w:pPr>
    </w:p>
    <w:p w14:paraId="15699304">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本公司（联合体）郑重声明，根据《政府采购促进中小企业发展管理办法》（财库﹝2020﹞46号）的规定，本公司（联合体）参加</w:t>
      </w:r>
      <w:r>
        <w:rPr>
          <w:rFonts w:hint="eastAsia" w:ascii="宋体" w:hAnsi="宋体" w:cs="宋体"/>
          <w:i/>
          <w:color w:val="auto"/>
          <w:szCs w:val="21"/>
          <w:highlight w:val="none"/>
          <w:u w:val="single"/>
          <w:lang w:bidi="ar"/>
        </w:rPr>
        <w:t>（单位名称）</w:t>
      </w:r>
      <w:r>
        <w:rPr>
          <w:rFonts w:hint="eastAsia" w:ascii="宋体" w:hAnsi="宋体" w:cs="宋体"/>
          <w:color w:val="auto"/>
          <w:szCs w:val="21"/>
          <w:highlight w:val="none"/>
          <w:lang w:bidi="ar"/>
        </w:rPr>
        <w:t>的</w:t>
      </w:r>
      <w:r>
        <w:rPr>
          <w:rFonts w:hint="eastAsia" w:ascii="宋体" w:hAnsi="宋体" w:cs="宋体"/>
          <w:i/>
          <w:color w:val="auto"/>
          <w:szCs w:val="21"/>
          <w:highlight w:val="none"/>
          <w:u w:val="single"/>
          <w:lang w:bidi="ar"/>
        </w:rPr>
        <w:t>（项目名称）</w:t>
      </w:r>
      <w:r>
        <w:rPr>
          <w:rFonts w:hint="eastAsia" w:ascii="宋体" w:hAnsi="宋体" w:cs="宋体"/>
          <w:color w:val="auto"/>
          <w:szCs w:val="21"/>
          <w:highlight w:val="none"/>
          <w:lang w:bidi="ar"/>
        </w:rPr>
        <w:t>采购活动，</w:t>
      </w:r>
      <w:r>
        <w:rPr>
          <w:rFonts w:hint="eastAsia" w:ascii="宋体" w:hAnsi="宋体" w:cs="宋体"/>
          <w:b/>
          <w:bCs/>
          <w:color w:val="auto"/>
          <w:szCs w:val="21"/>
          <w:highlight w:val="none"/>
        </w:rPr>
        <w:t>服务</w:t>
      </w:r>
      <w:r>
        <w:rPr>
          <w:rFonts w:hint="eastAsia" w:ascii="宋体" w:hAnsi="宋体" w:cs="宋体"/>
          <w:b/>
          <w:bCs/>
          <w:color w:val="auto"/>
          <w:w w:val="95"/>
          <w:szCs w:val="21"/>
          <w:highlight w:val="none"/>
        </w:rPr>
        <w:t>全部由符合政策要求的中小企业承接</w:t>
      </w:r>
      <w:r>
        <w:rPr>
          <w:rFonts w:hint="eastAsia" w:ascii="宋体" w:hAnsi="宋体" w:cs="宋体"/>
          <w:color w:val="auto"/>
          <w:szCs w:val="21"/>
          <w:highlight w:val="none"/>
          <w:lang w:bidi="ar"/>
        </w:rPr>
        <w:t xml:space="preserve">。相关企业（含联合体中的中小企业、签订分包意向协议的中小企业）的具体情况如下： </w:t>
      </w:r>
    </w:p>
    <w:p w14:paraId="22D192CE">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 xml:space="preserve"> </w:t>
      </w:r>
      <w:r>
        <w:rPr>
          <w:rFonts w:hint="eastAsia" w:ascii="宋体" w:hAnsi="宋体" w:cs="宋体"/>
          <w:i/>
          <w:color w:val="auto"/>
          <w:szCs w:val="21"/>
          <w:highlight w:val="none"/>
          <w:u w:val="single"/>
          <w:lang w:bidi="ar"/>
        </w:rPr>
        <w:t xml:space="preserve">（标的名称） </w:t>
      </w:r>
      <w:r>
        <w:rPr>
          <w:rFonts w:hint="eastAsia" w:ascii="宋体" w:hAnsi="宋体" w:cs="宋体"/>
          <w:color w:val="auto"/>
          <w:szCs w:val="21"/>
          <w:highlight w:val="none"/>
          <w:lang w:bidi="ar"/>
        </w:rPr>
        <w:t>，属于</w:t>
      </w:r>
      <w:r>
        <w:rPr>
          <w:rFonts w:hint="eastAsia" w:ascii="宋体" w:hAnsi="宋体" w:cs="宋体"/>
          <w:i/>
          <w:color w:val="auto"/>
          <w:szCs w:val="21"/>
          <w:highlight w:val="none"/>
          <w:u w:val="single"/>
          <w:lang w:bidi="ar"/>
        </w:rPr>
        <w:t>（采购文件中明确的所属行业）</w:t>
      </w:r>
      <w:r>
        <w:rPr>
          <w:rFonts w:hint="eastAsia" w:ascii="宋体" w:hAnsi="宋体" w:cs="宋体"/>
          <w:i/>
          <w:color w:val="auto"/>
          <w:szCs w:val="21"/>
          <w:highlight w:val="none"/>
          <w:lang w:bidi="ar"/>
        </w:rPr>
        <w:t>行业</w:t>
      </w:r>
      <w:r>
        <w:rPr>
          <w:rFonts w:hint="eastAsia" w:ascii="宋体" w:hAnsi="宋体" w:cs="宋体"/>
          <w:color w:val="auto"/>
          <w:szCs w:val="21"/>
          <w:highlight w:val="none"/>
          <w:lang w:bidi="ar"/>
        </w:rPr>
        <w:t>；</w:t>
      </w:r>
      <w:r>
        <w:rPr>
          <w:rFonts w:hint="eastAsia" w:ascii="宋体" w:hAnsi="宋体" w:cs="宋体"/>
          <w:color w:val="auto"/>
          <w:w w:val="99"/>
          <w:szCs w:val="21"/>
          <w:highlight w:val="none"/>
        </w:rPr>
        <w:t>承建（承接）</w:t>
      </w:r>
      <w:r>
        <w:rPr>
          <w:rFonts w:hint="eastAsia" w:ascii="宋体" w:hAnsi="宋体" w:cs="宋体"/>
          <w:color w:val="auto"/>
          <w:szCs w:val="21"/>
          <w:highlight w:val="none"/>
          <w:lang w:bidi="ar"/>
        </w:rPr>
        <w:t>为</w:t>
      </w:r>
      <w:r>
        <w:rPr>
          <w:rFonts w:hint="eastAsia" w:ascii="宋体" w:hAnsi="宋体" w:cs="宋体"/>
          <w:i/>
          <w:color w:val="auto"/>
          <w:szCs w:val="21"/>
          <w:highlight w:val="none"/>
          <w:u w:val="single"/>
          <w:lang w:bidi="ar"/>
        </w:rPr>
        <w:t>（企业名称）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w:t>
      </w:r>
      <w:r>
        <w:rPr>
          <w:rFonts w:hint="eastAsia" w:ascii="宋体" w:hAnsi="宋体" w:cs="宋体"/>
          <w:color w:val="auto"/>
          <w:szCs w:val="21"/>
          <w:highlight w:val="none"/>
          <w:vertAlign w:val="superscript"/>
          <w:lang w:bidi="ar"/>
        </w:rPr>
        <w:t>1</w:t>
      </w:r>
      <w:r>
        <w:rPr>
          <w:rFonts w:hint="eastAsia" w:ascii="宋体" w:hAnsi="宋体" w:cs="宋体"/>
          <w:color w:val="auto"/>
          <w:szCs w:val="21"/>
          <w:highlight w:val="none"/>
          <w:lang w:bidi="ar"/>
        </w:rPr>
        <w:t>，属于</w:t>
      </w:r>
      <w:r>
        <w:rPr>
          <w:rFonts w:hint="eastAsia" w:ascii="宋体" w:hAnsi="宋体" w:cs="宋体"/>
          <w:color w:val="auto"/>
          <w:szCs w:val="21"/>
          <w:highlight w:val="none"/>
          <w:u w:val="single"/>
          <w:lang w:bidi="ar"/>
        </w:rPr>
        <w:t xml:space="preserve">  </w:t>
      </w:r>
      <w:r>
        <w:rPr>
          <w:rFonts w:hint="eastAsia" w:ascii="宋体" w:hAnsi="宋体" w:cs="宋体"/>
          <w:i/>
          <w:color w:val="auto"/>
          <w:szCs w:val="21"/>
          <w:highlight w:val="none"/>
          <w:u w:val="single"/>
          <w:lang w:bidi="ar"/>
        </w:rPr>
        <w:t>（中型企业、小型企业、微型企业）</w:t>
      </w:r>
      <w:r>
        <w:rPr>
          <w:rFonts w:hint="eastAsia" w:ascii="宋体" w:hAnsi="宋体" w:cs="宋体"/>
          <w:color w:val="auto"/>
          <w:szCs w:val="21"/>
          <w:highlight w:val="none"/>
          <w:lang w:bidi="ar"/>
        </w:rPr>
        <w:t xml:space="preserve">； </w:t>
      </w:r>
    </w:p>
    <w:p w14:paraId="3F96BCB7">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s="宋体"/>
          <w:color w:val="auto"/>
          <w:szCs w:val="21"/>
          <w:highlight w:val="none"/>
          <w:u w:val="single"/>
          <w:lang w:bidi="ar"/>
        </w:rPr>
        <w:t xml:space="preserve"> </w:t>
      </w:r>
      <w:r>
        <w:rPr>
          <w:rFonts w:hint="eastAsia" w:ascii="宋体" w:hAnsi="宋体" w:cs="宋体"/>
          <w:i/>
          <w:color w:val="auto"/>
          <w:szCs w:val="21"/>
          <w:highlight w:val="none"/>
          <w:u w:val="single"/>
          <w:lang w:bidi="ar"/>
        </w:rPr>
        <w:t xml:space="preserve">（标的名称） </w:t>
      </w:r>
      <w:r>
        <w:rPr>
          <w:rFonts w:hint="eastAsia" w:ascii="宋体" w:hAnsi="宋体" w:cs="宋体"/>
          <w:color w:val="auto"/>
          <w:szCs w:val="21"/>
          <w:highlight w:val="none"/>
          <w:lang w:bidi="ar"/>
        </w:rPr>
        <w:t>，属于</w:t>
      </w:r>
      <w:r>
        <w:rPr>
          <w:rFonts w:hint="eastAsia" w:ascii="宋体" w:hAnsi="宋体" w:cs="宋体"/>
          <w:i/>
          <w:color w:val="auto"/>
          <w:szCs w:val="21"/>
          <w:highlight w:val="none"/>
          <w:u w:val="single"/>
          <w:lang w:bidi="ar"/>
        </w:rPr>
        <w:t>（采购文件中明确的所属行业）</w:t>
      </w:r>
      <w:r>
        <w:rPr>
          <w:rFonts w:hint="eastAsia" w:ascii="宋体" w:hAnsi="宋体" w:cs="宋体"/>
          <w:i/>
          <w:color w:val="auto"/>
          <w:szCs w:val="21"/>
          <w:highlight w:val="none"/>
          <w:lang w:bidi="ar"/>
        </w:rPr>
        <w:t>行业</w:t>
      </w:r>
      <w:r>
        <w:rPr>
          <w:rFonts w:hint="eastAsia" w:ascii="宋体" w:hAnsi="宋体" w:cs="宋体"/>
          <w:color w:val="auto"/>
          <w:szCs w:val="21"/>
          <w:highlight w:val="none"/>
          <w:lang w:bidi="ar"/>
        </w:rPr>
        <w:t>；</w:t>
      </w:r>
      <w:r>
        <w:rPr>
          <w:rFonts w:hint="eastAsia" w:ascii="宋体" w:hAnsi="宋体" w:cs="宋体"/>
          <w:color w:val="auto"/>
          <w:w w:val="99"/>
          <w:szCs w:val="21"/>
          <w:highlight w:val="none"/>
        </w:rPr>
        <w:t>承建（承接）</w:t>
      </w:r>
      <w:r>
        <w:rPr>
          <w:rFonts w:hint="eastAsia" w:ascii="宋体" w:hAnsi="宋体" w:cs="宋体"/>
          <w:color w:val="auto"/>
          <w:szCs w:val="21"/>
          <w:highlight w:val="none"/>
          <w:lang w:bidi="ar"/>
        </w:rPr>
        <w:t>为</w:t>
      </w:r>
      <w:r>
        <w:rPr>
          <w:rFonts w:hint="eastAsia" w:ascii="宋体" w:hAnsi="宋体" w:cs="宋体"/>
          <w:i/>
          <w:color w:val="auto"/>
          <w:szCs w:val="21"/>
          <w:highlight w:val="none"/>
          <w:u w:val="single"/>
          <w:lang w:bidi="ar"/>
        </w:rPr>
        <w:t>（企业名称）</w:t>
      </w:r>
      <w:r>
        <w:rPr>
          <w:rFonts w:hint="eastAsia" w:ascii="宋体" w:hAnsi="宋体" w:cs="宋体"/>
          <w:color w:val="auto"/>
          <w:szCs w:val="21"/>
          <w:highlight w:val="none"/>
          <w:lang w:bidi="ar"/>
        </w:rPr>
        <w:t>，从业人员</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人，营业收入为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万元，资产总额为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万元，属于</w:t>
      </w:r>
      <w:r>
        <w:rPr>
          <w:rFonts w:hint="eastAsia" w:ascii="宋体" w:hAnsi="宋体" w:cs="宋体"/>
          <w:color w:val="auto"/>
          <w:szCs w:val="21"/>
          <w:highlight w:val="none"/>
          <w:u w:val="single"/>
          <w:lang w:bidi="ar"/>
        </w:rPr>
        <w:t xml:space="preserve">  </w:t>
      </w:r>
      <w:r>
        <w:rPr>
          <w:rFonts w:hint="eastAsia" w:ascii="宋体" w:hAnsi="宋体" w:cs="宋体"/>
          <w:i/>
          <w:color w:val="auto"/>
          <w:szCs w:val="21"/>
          <w:highlight w:val="none"/>
          <w:u w:val="single"/>
          <w:lang w:bidi="ar"/>
        </w:rPr>
        <w:t>（中型企业、小型企业、微型企业）</w:t>
      </w:r>
      <w:r>
        <w:rPr>
          <w:rFonts w:hint="eastAsia" w:ascii="宋体" w:hAnsi="宋体" w:cs="宋体"/>
          <w:color w:val="auto"/>
          <w:szCs w:val="21"/>
          <w:highlight w:val="none"/>
          <w:lang w:bidi="ar"/>
        </w:rPr>
        <w:t xml:space="preserve">； </w:t>
      </w:r>
    </w:p>
    <w:p w14:paraId="38F74E34">
      <w:pPr>
        <w:widowControl/>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5E6A5B95">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以上企业，不属于大企业的分支机构，不存在控股股东为大企业的情形，也不存在与大企业的负责人为同一人的情形。</w:t>
      </w:r>
    </w:p>
    <w:p w14:paraId="3F224B0B">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本企业对上述声明内容的真实性负责。如有虚假，将依法承担相应责任。 </w:t>
      </w:r>
    </w:p>
    <w:p w14:paraId="260632DD">
      <w:pPr>
        <w:widowControl/>
        <w:spacing w:line="360" w:lineRule="auto"/>
        <w:ind w:firstLine="420" w:firstLineChars="200"/>
        <w:jc w:val="left"/>
        <w:rPr>
          <w:rFonts w:hint="eastAsia" w:ascii="宋体" w:hAnsi="宋体" w:cs="宋体"/>
          <w:color w:val="auto"/>
          <w:szCs w:val="21"/>
          <w:highlight w:val="none"/>
          <w:lang w:bidi="ar"/>
        </w:rPr>
      </w:pPr>
    </w:p>
    <w:p w14:paraId="616B4A6D">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企业名称（盖章）： </w:t>
      </w:r>
    </w:p>
    <w:p w14:paraId="0D330529">
      <w:pPr>
        <w:widowControl/>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日期：</w:t>
      </w:r>
    </w:p>
    <w:p w14:paraId="777B5181">
      <w:pPr>
        <w:widowControl/>
        <w:jc w:val="left"/>
        <w:rPr>
          <w:rFonts w:hint="eastAsia" w:ascii="宋体" w:hAnsi="宋体" w:cs="宋体"/>
          <w:color w:val="auto"/>
          <w:highlight w:val="none"/>
        </w:rPr>
      </w:pPr>
      <w:r>
        <w:rPr>
          <w:rFonts w:hint="eastAsia" w:ascii="宋体" w:hAnsi="宋体" w:cs="宋体"/>
          <w:color w:val="auto"/>
          <w:sz w:val="31"/>
          <w:szCs w:val="31"/>
          <w:highlight w:val="none"/>
          <w:lang w:bidi="ar"/>
        </w:rPr>
        <w:t xml:space="preserve"> </w:t>
      </w:r>
    </w:p>
    <w:p w14:paraId="6B031775">
      <w:pPr>
        <w:widowControl/>
        <w:jc w:val="left"/>
        <w:rPr>
          <w:rFonts w:hint="eastAsia" w:ascii="宋体" w:hAnsi="宋体" w:cs="宋体"/>
          <w:color w:val="auto"/>
          <w:highlight w:val="none"/>
        </w:rPr>
      </w:pPr>
      <w:r>
        <w:rPr>
          <w:rFonts w:hint="eastAsia" w:ascii="宋体" w:hAnsi="宋体" w:cs="宋体"/>
          <w:color w:val="auto"/>
          <w:sz w:val="11"/>
          <w:szCs w:val="11"/>
          <w:highlight w:val="none"/>
          <w:lang w:bidi="ar"/>
        </w:rPr>
        <w:t>1</w:t>
      </w:r>
      <w:r>
        <w:rPr>
          <w:rFonts w:hint="eastAsia" w:ascii="宋体" w:hAnsi="宋体" w:cs="宋体"/>
          <w:color w:val="auto"/>
          <w:sz w:val="18"/>
          <w:szCs w:val="18"/>
          <w:highlight w:val="none"/>
          <w:lang w:bidi="ar"/>
        </w:rPr>
        <w:t>从业人员、营业收入、资产总额填报上一年度数据，无上一年度数据的新成立企业可不填报。</w:t>
      </w:r>
    </w:p>
    <w:p w14:paraId="3AB58CC8">
      <w:pPr>
        <w:pStyle w:val="74"/>
        <w:spacing w:before="0" w:beforeAutospacing="0" w:after="0" w:afterAutospacing="0" w:line="360" w:lineRule="auto"/>
        <w:ind w:firstLine="420" w:firstLineChars="200"/>
        <w:jc w:val="both"/>
        <w:rPr>
          <w:rFonts w:hint="eastAsia" w:cs="宋体"/>
          <w:color w:val="auto"/>
          <w:sz w:val="21"/>
          <w:szCs w:val="21"/>
          <w:highlight w:val="none"/>
        </w:rPr>
      </w:pPr>
    </w:p>
    <w:p w14:paraId="47693851">
      <w:pPr>
        <w:pStyle w:val="74"/>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rPr>
        <w:t>中小企业应当按照《政府采购促进中小企业发展管理办法》规定和《中小企业划型标准规定》（工信部联企业〔2011〕300号），如实填写并提交《中小企业声明函》。未按要求出具声明函的，投标报价不予扣减。</w:t>
      </w:r>
    </w:p>
    <w:p w14:paraId="1825F70D">
      <w:pPr>
        <w:pStyle w:val="74"/>
        <w:spacing w:before="0" w:beforeAutospacing="0" w:after="0" w:afterAutospacing="0" w:line="360" w:lineRule="auto"/>
        <w:ind w:firstLine="420" w:firstLineChars="200"/>
        <w:jc w:val="both"/>
        <w:rPr>
          <w:rFonts w:hint="eastAsia" w:cs="宋体"/>
          <w:color w:val="auto"/>
          <w:sz w:val="21"/>
          <w:szCs w:val="21"/>
          <w:highlight w:val="none"/>
        </w:rPr>
      </w:pPr>
    </w:p>
    <w:p w14:paraId="32963DBE">
      <w:pPr>
        <w:snapToGrid w:val="0"/>
        <w:spacing w:line="300" w:lineRule="auto"/>
        <w:jc w:val="center"/>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 xml:space="preserve"> </w:t>
      </w:r>
    </w:p>
    <w:p w14:paraId="3DBFD887">
      <w:pPr>
        <w:pStyle w:val="2"/>
        <w:rPr>
          <w:rFonts w:hint="eastAsia" w:ascii="宋体" w:hAnsi="宋体" w:eastAsia="宋体" w:cs="宋体"/>
          <w:color w:val="auto"/>
          <w:highlight w:val="none"/>
        </w:rPr>
      </w:pPr>
    </w:p>
    <w:p w14:paraId="776AA581">
      <w:pPr>
        <w:pStyle w:val="2"/>
        <w:rPr>
          <w:rFonts w:hint="eastAsia" w:ascii="宋体" w:hAnsi="宋体" w:eastAsia="宋体" w:cs="宋体"/>
          <w:color w:val="auto"/>
          <w:highlight w:val="none"/>
        </w:rPr>
      </w:pPr>
      <w:r>
        <w:rPr>
          <w:rFonts w:hint="eastAsia" w:ascii="宋体" w:hAnsi="宋体" w:eastAsia="宋体" w:cs="宋体"/>
          <w:color w:val="auto"/>
          <w:highlight w:val="none"/>
        </w:rPr>
        <w:drawing>
          <wp:inline distT="0" distB="0" distL="114300" distR="114300">
            <wp:extent cx="5826125" cy="3538855"/>
            <wp:effectExtent l="0" t="0" r="3175" b="4445"/>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6"/>
                    <a:stretch>
                      <a:fillRect/>
                    </a:stretch>
                  </pic:blipFill>
                  <pic:spPr>
                    <a:xfrm>
                      <a:off x="0" y="0"/>
                      <a:ext cx="5826125" cy="3538855"/>
                    </a:xfrm>
                    <a:prstGeom prst="rect">
                      <a:avLst/>
                    </a:prstGeom>
                    <a:noFill/>
                    <a:ln>
                      <a:noFill/>
                    </a:ln>
                  </pic:spPr>
                </pic:pic>
              </a:graphicData>
            </a:graphic>
          </wp:inline>
        </w:drawing>
      </w:r>
    </w:p>
    <w:p w14:paraId="62C9F101">
      <w:pPr>
        <w:rPr>
          <w:rFonts w:hint="eastAsia" w:ascii="宋体" w:hAnsi="宋体" w:cs="宋体"/>
          <w:color w:val="auto"/>
          <w:highlight w:val="none"/>
        </w:rPr>
      </w:pPr>
    </w:p>
    <w:p w14:paraId="58406F88">
      <w:pPr>
        <w:pStyle w:val="3"/>
        <w:ind w:firstLine="413" w:firstLineChars="196"/>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10、供应商为监狱企业的证明文件：省级以上监狱管理局、戒毒管理局（含新疆生产建设兵团）出具（如有）</w:t>
      </w:r>
    </w:p>
    <w:p w14:paraId="7EB87104">
      <w:pPr>
        <w:spacing w:line="360" w:lineRule="auto"/>
        <w:rPr>
          <w:rFonts w:hint="eastAsia" w:ascii="宋体" w:hAnsi="宋体" w:cs="宋体"/>
          <w:color w:val="auto"/>
          <w:highlight w:val="none"/>
        </w:rPr>
      </w:pPr>
    </w:p>
    <w:p w14:paraId="4EFA6F88">
      <w:pPr>
        <w:pStyle w:val="3"/>
        <w:ind w:firstLine="413" w:firstLineChars="196"/>
        <w:rPr>
          <w:rFonts w:hint="eastAsia"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highlight w:val="none"/>
        </w:rPr>
        <w:t>11.残疾人福利性单位声明函（如有）</w:t>
      </w:r>
    </w:p>
    <w:p w14:paraId="5A4F649C">
      <w:pPr>
        <w:snapToGrid w:val="0"/>
        <w:spacing w:line="360" w:lineRule="auto"/>
        <w:jc w:val="center"/>
        <w:rPr>
          <w:rFonts w:hint="eastAsia" w:ascii="宋体" w:hAnsi="宋体" w:cs="宋体"/>
          <w:b/>
          <w:bCs/>
          <w:color w:val="auto"/>
          <w:sz w:val="32"/>
          <w:szCs w:val="32"/>
          <w:highlight w:val="none"/>
        </w:rPr>
      </w:pPr>
    </w:p>
    <w:p w14:paraId="286E84E2">
      <w:pPr>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残疾人福利性单位声明函</w:t>
      </w:r>
    </w:p>
    <w:p w14:paraId="04EA83E3">
      <w:pPr>
        <w:snapToGrid w:val="0"/>
        <w:spacing w:line="360" w:lineRule="auto"/>
        <w:jc w:val="center"/>
        <w:rPr>
          <w:rFonts w:hint="eastAsia" w:ascii="宋体" w:hAnsi="宋体" w:cs="宋体"/>
          <w:b/>
          <w:bCs/>
          <w:color w:val="auto"/>
          <w:sz w:val="32"/>
          <w:szCs w:val="32"/>
          <w:highlight w:val="none"/>
        </w:rPr>
      </w:pPr>
    </w:p>
    <w:p w14:paraId="5390B9E0">
      <w:pPr>
        <w:snapToGrid w:val="0"/>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本单位郑重声明，根据《财政部民政部中国残疾人联合会关于促进残疾人就业政府采购政策的通知》（财库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w:t>
      </w:r>
      <w:r>
        <w:rPr>
          <w:rFonts w:hint="eastAsia" w:ascii="宋体" w:hAnsi="宋体" w:cs="宋体"/>
          <w:color w:val="auto"/>
          <w:spacing w:val="6"/>
          <w:szCs w:val="21"/>
          <w:highlight w:val="none"/>
          <w:u w:val="single"/>
        </w:rPr>
        <w:t>（采购人名称）</w:t>
      </w:r>
      <w:r>
        <w:rPr>
          <w:rFonts w:hint="eastAsia" w:ascii="宋体" w:hAnsi="宋体" w:cs="宋体"/>
          <w:color w:val="auto"/>
          <w:spacing w:val="6"/>
          <w:szCs w:val="21"/>
          <w:highlight w:val="none"/>
        </w:rPr>
        <w:t>单位的</w:t>
      </w: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29C3987A">
      <w:pPr>
        <w:snapToGrid w:val="0"/>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36B67E25">
      <w:pPr>
        <w:snapToGrid w:val="0"/>
        <w:spacing w:line="360" w:lineRule="auto"/>
        <w:ind w:firstLine="444" w:firstLineChars="200"/>
        <w:rPr>
          <w:rFonts w:hint="eastAsia" w:ascii="宋体" w:hAnsi="宋体" w:cs="宋体"/>
          <w:color w:val="auto"/>
          <w:spacing w:val="6"/>
          <w:szCs w:val="21"/>
          <w:highlight w:val="none"/>
        </w:rPr>
      </w:pPr>
    </w:p>
    <w:p w14:paraId="0EB1077F">
      <w:pPr>
        <w:snapToGrid w:val="0"/>
        <w:spacing w:line="360" w:lineRule="auto"/>
        <w:ind w:firstLine="444" w:firstLineChars="200"/>
        <w:rPr>
          <w:rFonts w:hint="eastAsia" w:ascii="宋体" w:hAnsi="宋体" w:cs="宋体"/>
          <w:color w:val="auto"/>
          <w:spacing w:val="6"/>
          <w:szCs w:val="21"/>
          <w:highlight w:val="none"/>
        </w:rPr>
      </w:pPr>
    </w:p>
    <w:p w14:paraId="5FD8A01B">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供应商名称（盖章）：</w:t>
      </w:r>
    </w:p>
    <w:p w14:paraId="20D9B6E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日期：  年  月  日</w:t>
      </w:r>
    </w:p>
    <w:p w14:paraId="1C349007">
      <w:pPr>
        <w:rPr>
          <w:rFonts w:hint="eastAsia" w:ascii="宋体" w:hAnsi="宋体" w:cs="宋体"/>
          <w:color w:val="auto"/>
          <w:highlight w:val="none"/>
        </w:rPr>
      </w:pPr>
    </w:p>
    <w:p w14:paraId="19331280">
      <w:pPr>
        <w:pStyle w:val="142"/>
        <w:snapToGrid w:val="0"/>
        <w:spacing w:line="360" w:lineRule="auto"/>
        <w:ind w:firstLine="420"/>
        <w:rPr>
          <w:rFonts w:hint="eastAsia" w:ascii="宋体" w:hAnsi="宋体" w:cs="宋体"/>
          <w:color w:val="auto"/>
          <w:highlight w:val="none"/>
        </w:rPr>
      </w:pPr>
    </w:p>
    <w:p w14:paraId="4A93FFF1">
      <w:pPr>
        <w:pStyle w:val="142"/>
        <w:snapToGrid w:val="0"/>
        <w:spacing w:line="360" w:lineRule="auto"/>
        <w:ind w:firstLine="420"/>
        <w:rPr>
          <w:rFonts w:ascii="Times New Roman" w:hAnsi="Times New Roman"/>
          <w:b/>
          <w:bCs/>
          <w:color w:val="auto"/>
          <w:highlight w:val="none"/>
        </w:rPr>
      </w:pPr>
      <w:r>
        <w:rPr>
          <w:rFonts w:hint="eastAsia" w:ascii="宋体" w:hAnsi="宋体" w:cs="宋体"/>
          <w:color w:val="auto"/>
          <w:highlight w:val="none"/>
        </w:rPr>
        <w:br w:type="page"/>
      </w:r>
    </w:p>
    <w:p w14:paraId="1C095CFE">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（12）</w:t>
      </w:r>
      <w:r>
        <w:rPr>
          <w:rFonts w:hint="eastAsia"/>
          <w:b/>
          <w:bCs/>
          <w:color w:val="auto"/>
          <w:highlight w:val="none"/>
        </w:rPr>
        <w:t>《关于符合本国产品标准的声明函》或财政部会同有关部门规定的符合本国产品标准有关证明文件</w:t>
      </w:r>
    </w:p>
    <w:p w14:paraId="39232384">
      <w:pPr>
        <w:spacing w:line="360" w:lineRule="auto"/>
        <w:jc w:val="left"/>
        <w:rPr>
          <w:color w:val="auto"/>
          <w:highlight w:val="none"/>
        </w:rPr>
      </w:pPr>
    </w:p>
    <w:p w14:paraId="5206FD69">
      <w:pPr>
        <w:spacing w:line="360" w:lineRule="auto"/>
        <w:jc w:val="left"/>
        <w:rPr>
          <w:color w:val="auto"/>
          <w:highlight w:val="none"/>
        </w:rPr>
      </w:pPr>
    </w:p>
    <w:p w14:paraId="5C9713EE">
      <w:pPr>
        <w:spacing w:line="360" w:lineRule="auto"/>
        <w:jc w:val="left"/>
        <w:rPr>
          <w:color w:val="auto"/>
          <w:highlight w:val="none"/>
        </w:rPr>
      </w:pPr>
      <w:r>
        <w:rPr>
          <w:rFonts w:hint="eastAsia"/>
          <w:color w:val="auto"/>
          <w:highlight w:val="none"/>
        </w:rPr>
        <w:t>附：</w:t>
      </w:r>
    </w:p>
    <w:p w14:paraId="71553096">
      <w:pPr>
        <w:pStyle w:val="74"/>
        <w:shd w:val="clear" w:color="auto" w:fill="FFFFFF"/>
        <w:spacing w:before="0" w:beforeAutospacing="0" w:after="150" w:afterAutospacing="0" w:line="27" w:lineRule="atLeast"/>
        <w:jc w:val="center"/>
        <w:rPr>
          <w:rFonts w:hint="eastAsia" w:cs="宋体"/>
          <w:color w:val="auto"/>
          <w:highlight w:val="none"/>
        </w:rPr>
      </w:pPr>
      <w:r>
        <w:rPr>
          <w:rFonts w:hint="eastAsia" w:cs="宋体"/>
          <w:b/>
          <w:bCs/>
          <w:color w:val="auto"/>
          <w:highlight w:val="none"/>
          <w:shd w:val="clear" w:color="auto" w:fill="FFFFFF"/>
        </w:rPr>
        <w:t>关于符合本国产品标准的声明函</w:t>
      </w:r>
    </w:p>
    <w:p w14:paraId="744C934F">
      <w:pPr>
        <w:pStyle w:val="74"/>
        <w:shd w:val="clear" w:color="auto" w:fill="FFFFFF"/>
        <w:spacing w:before="0" w:beforeAutospacing="0" w:after="150" w:afterAutospacing="0" w:line="27" w:lineRule="atLeast"/>
        <w:ind w:firstLine="480" w:firstLineChars="200"/>
        <w:rPr>
          <w:rFonts w:hint="eastAsia" w:cs="宋体"/>
          <w:color w:val="auto"/>
          <w:highlight w:val="none"/>
          <w:shd w:val="clear" w:color="auto" w:fill="FFFFFF"/>
        </w:rPr>
      </w:pPr>
    </w:p>
    <w:p w14:paraId="3CED46E6">
      <w:pPr>
        <w:pStyle w:val="74"/>
        <w:shd w:val="clear" w:color="auto" w:fill="FFFFFF"/>
        <w:spacing w:before="0" w:beforeAutospacing="0" w:after="0" w:afterAutospacing="0" w:line="360" w:lineRule="auto"/>
        <w:ind w:firstLine="420" w:firstLineChars="20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CC645DC">
      <w:pPr>
        <w:pStyle w:val="74"/>
        <w:shd w:val="clear" w:color="auto" w:fill="FFFFFF"/>
        <w:spacing w:before="0" w:beforeAutospacing="0" w:after="0" w:afterAutospacing="0" w:line="360" w:lineRule="auto"/>
        <w:ind w:firstLine="420" w:firstLineChars="200"/>
        <w:jc w:val="both"/>
        <w:rPr>
          <w:rFonts w:hint="eastAsia" w:cs="宋体"/>
          <w:color w:val="auto"/>
          <w:sz w:val="21"/>
          <w:szCs w:val="21"/>
          <w:highlight w:val="none"/>
          <w:shd w:val="clear" w:color="auto" w:fill="FFFFFF"/>
        </w:rPr>
      </w:pPr>
    </w:p>
    <w:p w14:paraId="3D09E6B9">
      <w:pPr>
        <w:pStyle w:val="74"/>
        <w:shd w:val="clear" w:color="auto" w:fill="FFFFFF"/>
        <w:spacing w:before="0" w:beforeAutospacing="0" w:after="0" w:afterAutospacing="0" w:line="360" w:lineRule="auto"/>
        <w:ind w:firstLine="420" w:firstLineChars="200"/>
        <w:jc w:val="both"/>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1.（产品名称1）</w:t>
      </w:r>
      <w:r>
        <w:rPr>
          <w:rFonts w:hint="eastAsia" w:cs="宋体"/>
          <w:color w:val="auto"/>
          <w:sz w:val="21"/>
          <w:szCs w:val="21"/>
          <w:highlight w:val="none"/>
          <w:shd w:val="clear" w:color="auto" w:fill="FFFFFF"/>
          <w:vertAlign w:val="superscript"/>
        </w:rPr>
        <w:t>1</w:t>
      </w:r>
      <w:r>
        <w:rPr>
          <w:rFonts w:hint="eastAsia" w:cs="宋体"/>
          <w:color w:val="auto"/>
          <w:sz w:val="21"/>
          <w:szCs w:val="21"/>
          <w:highlight w:val="none"/>
          <w:shd w:val="clear" w:color="auto" w:fill="FFFFFF"/>
        </w:rPr>
        <w:t>，生产厂为（厂名）</w:t>
      </w:r>
      <w:r>
        <w:rPr>
          <w:rFonts w:hint="eastAsia" w:cs="宋体"/>
          <w:color w:val="auto"/>
          <w:sz w:val="21"/>
          <w:szCs w:val="21"/>
          <w:highlight w:val="none"/>
          <w:shd w:val="clear" w:color="auto" w:fill="FFFFFF"/>
          <w:vertAlign w:val="superscript"/>
        </w:rPr>
        <w:t>2</w:t>
      </w:r>
      <w:r>
        <w:rPr>
          <w:rFonts w:hint="eastAsia" w:cs="宋体"/>
          <w:color w:val="auto"/>
          <w:sz w:val="21"/>
          <w:szCs w:val="21"/>
          <w:highlight w:val="none"/>
          <w:shd w:val="clear" w:color="auto" w:fill="FFFFFF"/>
        </w:rPr>
        <w:t>，厂址为（生产厂址）。（产品名称1）的中国境内生产的组件成本占比≥（规定比例）</w:t>
      </w:r>
      <w:r>
        <w:rPr>
          <w:rFonts w:hint="eastAsia" w:cs="宋体"/>
          <w:color w:val="auto"/>
          <w:sz w:val="21"/>
          <w:szCs w:val="21"/>
          <w:highlight w:val="none"/>
          <w:shd w:val="clear" w:color="auto" w:fill="FFFFFF"/>
          <w:vertAlign w:val="superscript"/>
        </w:rPr>
        <w:t>3</w:t>
      </w:r>
      <w:r>
        <w:rPr>
          <w:rFonts w:hint="eastAsia" w:cs="宋体"/>
          <w:color w:val="auto"/>
          <w:sz w:val="21"/>
          <w:szCs w:val="21"/>
          <w:highlight w:val="none"/>
          <w:shd w:val="clear" w:color="auto" w:fill="FFFFFF"/>
        </w:rPr>
        <w:t>。（产品名称1）的（关键组件）</w:t>
      </w:r>
      <w:r>
        <w:rPr>
          <w:rFonts w:hint="eastAsia" w:cs="宋体"/>
          <w:color w:val="auto"/>
          <w:sz w:val="21"/>
          <w:szCs w:val="21"/>
          <w:highlight w:val="none"/>
          <w:shd w:val="clear" w:color="auto" w:fill="FFFFFF"/>
          <w:vertAlign w:val="superscript"/>
        </w:rPr>
        <w:t>4</w:t>
      </w:r>
      <w:r>
        <w:rPr>
          <w:rFonts w:hint="eastAsia" w:cs="宋体"/>
          <w:color w:val="auto"/>
          <w:sz w:val="21"/>
          <w:szCs w:val="21"/>
          <w:highlight w:val="none"/>
          <w:shd w:val="clear" w:color="auto" w:fill="FFFFFF"/>
        </w:rPr>
        <w:t>在中国境内生产。（产品名称1）的（关键工序）</w:t>
      </w:r>
      <w:r>
        <w:rPr>
          <w:rFonts w:hint="eastAsia" w:cs="宋体"/>
          <w:color w:val="auto"/>
          <w:sz w:val="21"/>
          <w:szCs w:val="21"/>
          <w:highlight w:val="none"/>
          <w:shd w:val="clear" w:color="auto" w:fill="FFFFFF"/>
          <w:vertAlign w:val="superscript"/>
        </w:rPr>
        <w:t>5</w:t>
      </w:r>
      <w:r>
        <w:rPr>
          <w:rFonts w:hint="eastAsia" w:cs="宋体"/>
          <w:color w:val="auto"/>
          <w:sz w:val="21"/>
          <w:szCs w:val="21"/>
          <w:highlight w:val="none"/>
          <w:shd w:val="clear" w:color="auto" w:fill="FFFFFF"/>
        </w:rPr>
        <w:t>在中国境内完成。</w:t>
      </w:r>
    </w:p>
    <w:p w14:paraId="57E75602">
      <w:pPr>
        <w:pStyle w:val="74"/>
        <w:shd w:val="clear" w:color="auto" w:fill="FFFFFF"/>
        <w:spacing w:before="0" w:beforeAutospacing="0" w:after="0" w:afterAutospacing="0" w:line="360" w:lineRule="auto"/>
        <w:ind w:left="420" w:leftChars="200"/>
        <w:jc w:val="both"/>
        <w:rPr>
          <w:rFonts w:hint="eastAsia" w:cs="宋体"/>
          <w:color w:val="auto"/>
          <w:sz w:val="21"/>
          <w:szCs w:val="21"/>
          <w:highlight w:val="none"/>
          <w:shd w:val="clear" w:color="auto" w:fill="FFFFFF"/>
        </w:rPr>
      </w:pPr>
    </w:p>
    <w:p w14:paraId="190726E5">
      <w:pPr>
        <w:pStyle w:val="74"/>
        <w:shd w:val="clear" w:color="auto" w:fill="FFFFFF"/>
        <w:spacing w:before="0" w:beforeAutospacing="0" w:after="0" w:afterAutospacing="0" w:line="360" w:lineRule="auto"/>
        <w:ind w:firstLine="420" w:firstLineChars="200"/>
        <w:jc w:val="both"/>
        <w:rPr>
          <w:rFonts w:hint="eastAsia" w:cs="宋体"/>
          <w:color w:val="auto"/>
          <w:sz w:val="21"/>
          <w:szCs w:val="21"/>
          <w:highlight w:val="none"/>
        </w:rPr>
      </w:pPr>
      <w:r>
        <w:rPr>
          <w:rFonts w:hint="eastAsia" w:cs="宋体"/>
          <w:color w:val="auto"/>
          <w:sz w:val="21"/>
          <w:szCs w:val="21"/>
          <w:highlight w:val="none"/>
          <w:shd w:val="clear" w:color="auto" w:fill="FFFFFF"/>
        </w:rPr>
        <w:t>2.（产品名称2），生产厂为（厂名），厂址为（生产厂址）。（产品名称2）的中国境内生产的组件成本占比≥（规定比例）。（产品名称2）的（关键组件）在中国境内生产。（产品名称2）的（关键工序）在中国境内完成。</w:t>
      </w:r>
    </w:p>
    <w:p w14:paraId="2FD3FC1D">
      <w:pPr>
        <w:pStyle w:val="74"/>
        <w:shd w:val="clear" w:color="auto" w:fill="FFFFFF"/>
        <w:spacing w:before="0" w:beforeAutospacing="0" w:after="0" w:afterAutospacing="0" w:line="360" w:lineRule="auto"/>
        <w:jc w:val="both"/>
        <w:rPr>
          <w:rFonts w:hint="eastAsia" w:cs="宋体"/>
          <w:color w:val="auto"/>
          <w:sz w:val="21"/>
          <w:szCs w:val="21"/>
          <w:highlight w:val="none"/>
          <w:shd w:val="clear" w:color="auto" w:fill="FFFFFF"/>
        </w:rPr>
      </w:pPr>
    </w:p>
    <w:p w14:paraId="082AE3FE">
      <w:pPr>
        <w:pStyle w:val="74"/>
        <w:shd w:val="clear" w:color="auto" w:fill="FFFFFF"/>
        <w:spacing w:before="0" w:beforeAutospacing="0" w:after="0" w:afterAutospacing="0" w:line="360" w:lineRule="auto"/>
        <w:jc w:val="both"/>
        <w:rPr>
          <w:rFonts w:hint="eastAsia" w:cs="宋体"/>
          <w:color w:val="auto"/>
          <w:sz w:val="21"/>
          <w:szCs w:val="21"/>
          <w:highlight w:val="none"/>
        </w:rPr>
      </w:pPr>
      <w:r>
        <w:rPr>
          <w:rFonts w:hint="eastAsia" w:cs="宋体"/>
          <w:color w:val="auto"/>
          <w:sz w:val="21"/>
          <w:szCs w:val="21"/>
          <w:highlight w:val="none"/>
          <w:shd w:val="clear" w:color="auto" w:fill="FFFFFF"/>
        </w:rPr>
        <w:t>本公司（单位）对上述声明内容的真实性负责。如有虚假，愿承担相应法律责任。</w:t>
      </w:r>
    </w:p>
    <w:p w14:paraId="0C7CA6F9">
      <w:pPr>
        <w:pStyle w:val="74"/>
        <w:shd w:val="clear" w:color="auto" w:fill="FFFFFF"/>
        <w:spacing w:before="0" w:beforeAutospacing="0" w:after="0" w:afterAutospacing="0" w:line="360" w:lineRule="auto"/>
        <w:jc w:val="right"/>
        <w:rPr>
          <w:rFonts w:hint="eastAsia" w:cs="宋体"/>
          <w:color w:val="auto"/>
          <w:sz w:val="21"/>
          <w:szCs w:val="21"/>
          <w:highlight w:val="none"/>
          <w:shd w:val="clear" w:color="auto" w:fill="FFFFFF"/>
        </w:rPr>
      </w:pPr>
    </w:p>
    <w:p w14:paraId="61DF3750">
      <w:pPr>
        <w:pStyle w:val="74"/>
        <w:shd w:val="clear" w:color="auto" w:fill="FFFFFF"/>
        <w:spacing w:before="0" w:beforeAutospacing="0" w:after="0" w:afterAutospacing="0" w:line="360" w:lineRule="auto"/>
        <w:jc w:val="right"/>
        <w:rPr>
          <w:rFonts w:hint="eastAsia" w:cs="宋体"/>
          <w:color w:val="auto"/>
          <w:sz w:val="21"/>
          <w:szCs w:val="21"/>
          <w:highlight w:val="none"/>
        </w:rPr>
      </w:pPr>
      <w:r>
        <w:rPr>
          <w:rFonts w:hint="eastAsia" w:cs="宋体"/>
          <w:color w:val="auto"/>
          <w:sz w:val="21"/>
          <w:szCs w:val="21"/>
          <w:highlight w:val="none"/>
          <w:shd w:val="clear" w:color="auto" w:fill="FFFFFF"/>
        </w:rPr>
        <w:t>公司（单位）名称（盖章）：</w:t>
      </w:r>
    </w:p>
    <w:p w14:paraId="1735AECC">
      <w:pPr>
        <w:pStyle w:val="74"/>
        <w:shd w:val="clear" w:color="auto" w:fill="FFFFFF"/>
        <w:spacing w:before="0" w:beforeAutospacing="0" w:after="0" w:afterAutospacing="0" w:line="360" w:lineRule="auto"/>
        <w:jc w:val="right"/>
        <w:rPr>
          <w:rFonts w:hint="eastAsia" w:cs="宋体"/>
          <w:color w:val="auto"/>
          <w:sz w:val="21"/>
          <w:szCs w:val="21"/>
          <w:highlight w:val="none"/>
        </w:rPr>
      </w:pPr>
      <w:r>
        <w:rPr>
          <w:rFonts w:hint="eastAsia" w:cs="宋体"/>
          <w:color w:val="auto"/>
          <w:sz w:val="21"/>
          <w:szCs w:val="21"/>
          <w:highlight w:val="none"/>
          <w:shd w:val="clear" w:color="auto" w:fill="FFFFFF"/>
        </w:rPr>
        <w:t>日期：         年　   月　     日</w:t>
      </w:r>
    </w:p>
    <w:p w14:paraId="1E08F736">
      <w:pPr>
        <w:pStyle w:val="74"/>
        <w:shd w:val="clear" w:color="auto" w:fill="FFFFFF"/>
        <w:spacing w:before="0" w:beforeAutospacing="0" w:after="0" w:afterAutospacing="0" w:line="360" w:lineRule="auto"/>
        <w:rPr>
          <w:rFonts w:hint="eastAsia" w:cs="宋体"/>
          <w:color w:val="auto"/>
          <w:sz w:val="21"/>
          <w:szCs w:val="21"/>
          <w:highlight w:val="none"/>
        </w:rPr>
      </w:pPr>
      <w:r>
        <w:rPr>
          <w:rFonts w:hint="eastAsia" w:cs="宋体"/>
          <w:color w:val="auto"/>
          <w:sz w:val="21"/>
          <w:szCs w:val="21"/>
          <w:highlight w:val="none"/>
          <w:shd w:val="clear" w:color="auto" w:fill="FFFFFF"/>
        </w:rPr>
        <w:t>__________________</w:t>
      </w:r>
    </w:p>
    <w:p w14:paraId="6A1FCF59">
      <w:pPr>
        <w:pStyle w:val="74"/>
        <w:shd w:val="clear" w:color="auto" w:fill="FFFFFF"/>
        <w:spacing w:before="0" w:beforeAutospacing="0" w:after="0" w:afterAutospacing="0" w:line="360" w:lineRule="auto"/>
        <w:rPr>
          <w:rFonts w:hint="eastAsia" w:cs="宋体"/>
          <w:color w:val="auto"/>
          <w:sz w:val="21"/>
          <w:szCs w:val="21"/>
          <w:highlight w:val="none"/>
        </w:rPr>
      </w:pPr>
      <w:r>
        <w:rPr>
          <w:rFonts w:hint="eastAsia" w:cs="宋体"/>
          <w:color w:val="auto"/>
          <w:sz w:val="21"/>
          <w:szCs w:val="21"/>
          <w:highlight w:val="none"/>
          <w:shd w:val="clear" w:color="auto" w:fill="FFFFFF"/>
        </w:rPr>
        <w:t>1.产品如有型号，请在“产品名称”栏一并填写。</w:t>
      </w:r>
    </w:p>
    <w:p w14:paraId="66C2ABED">
      <w:pPr>
        <w:pStyle w:val="74"/>
        <w:shd w:val="clear" w:color="auto" w:fill="FFFFFF"/>
        <w:spacing w:before="0" w:beforeAutospacing="0" w:after="0" w:afterAutospacing="0" w:line="360" w:lineRule="auto"/>
        <w:rPr>
          <w:rFonts w:hint="eastAsia" w:cs="宋体"/>
          <w:color w:val="auto"/>
          <w:sz w:val="21"/>
          <w:szCs w:val="21"/>
          <w:highlight w:val="none"/>
        </w:rPr>
      </w:pPr>
      <w:r>
        <w:rPr>
          <w:rFonts w:hint="eastAsia" w:cs="宋体"/>
          <w:color w:val="auto"/>
          <w:sz w:val="21"/>
          <w:szCs w:val="21"/>
          <w:highlight w:val="none"/>
          <w:shd w:val="clear" w:color="auto" w:fill="FFFFFF"/>
        </w:rPr>
        <w:t>2.生产厂名与厂址应与生产厂营业执照载明的相关信息保持一致。</w:t>
      </w:r>
    </w:p>
    <w:p w14:paraId="46181CCB">
      <w:pPr>
        <w:pStyle w:val="74"/>
        <w:shd w:val="clear" w:color="auto" w:fill="FFFFFF"/>
        <w:spacing w:before="0" w:beforeAutospacing="0" w:after="0" w:afterAutospacing="0" w:line="360" w:lineRule="auto"/>
        <w:rPr>
          <w:rFonts w:hint="eastAsia" w:cs="宋体"/>
          <w:color w:val="auto"/>
          <w:sz w:val="21"/>
          <w:szCs w:val="21"/>
          <w:highlight w:val="none"/>
        </w:rPr>
      </w:pPr>
      <w:r>
        <w:rPr>
          <w:rFonts w:hint="eastAsia" w:cs="宋体"/>
          <w:color w:val="auto"/>
          <w:sz w:val="21"/>
          <w:szCs w:val="21"/>
          <w:highlight w:val="none"/>
          <w:shd w:val="clear" w:color="auto" w:fill="FFFFFF"/>
        </w:rPr>
        <w:t>3.该产品的中国境内生产的组件成本占比相关要求实施前，“规定比例”栏可不填，下同。</w:t>
      </w:r>
    </w:p>
    <w:p w14:paraId="31834D3F">
      <w:pPr>
        <w:pStyle w:val="74"/>
        <w:shd w:val="clear" w:color="auto" w:fill="FFFFFF"/>
        <w:spacing w:before="0" w:beforeAutospacing="0" w:after="0" w:afterAutospacing="0" w:line="360" w:lineRule="auto"/>
        <w:rPr>
          <w:rFonts w:hint="eastAsia" w:cs="宋体"/>
          <w:color w:val="auto"/>
          <w:sz w:val="21"/>
          <w:szCs w:val="21"/>
          <w:highlight w:val="none"/>
        </w:rPr>
      </w:pPr>
      <w:r>
        <w:rPr>
          <w:rFonts w:hint="eastAsia" w:cs="宋体"/>
          <w:color w:val="auto"/>
          <w:sz w:val="21"/>
          <w:szCs w:val="21"/>
          <w:highlight w:val="none"/>
          <w:shd w:val="clear" w:color="auto" w:fill="FFFFFF"/>
        </w:rPr>
        <w:t>4.该产品的关键组件要求实施前，“关键组件”栏可不填，下同。</w:t>
      </w:r>
    </w:p>
    <w:p w14:paraId="600D6EA4">
      <w:pPr>
        <w:spacing w:line="360" w:lineRule="auto"/>
        <w:jc w:val="left"/>
        <w:rPr>
          <w:rFonts w:hint="eastAsia" w:ascii="宋体" w:hAnsi="宋体" w:cs="宋体"/>
          <w:color w:val="auto"/>
          <w:sz w:val="24"/>
          <w:highlight w:val="none"/>
          <w:shd w:val="clear" w:color="auto" w:fill="FFFFFF"/>
        </w:rPr>
      </w:pPr>
      <w:r>
        <w:rPr>
          <w:rFonts w:hint="eastAsia" w:ascii="宋体" w:hAnsi="宋体" w:cs="宋体"/>
          <w:color w:val="auto"/>
          <w:szCs w:val="21"/>
          <w:highlight w:val="none"/>
          <w:shd w:val="clear" w:color="auto" w:fill="FFFFFF"/>
        </w:rPr>
        <w:t>5.该产品的关键工序要求实施前，“关键工序”栏可不填，下同</w:t>
      </w:r>
      <w:r>
        <w:rPr>
          <w:rFonts w:hint="eastAsia" w:ascii="宋体" w:hAnsi="宋体" w:cs="宋体"/>
          <w:color w:val="auto"/>
          <w:sz w:val="24"/>
          <w:highlight w:val="none"/>
          <w:shd w:val="clear" w:color="auto" w:fill="FFFFFF"/>
        </w:rPr>
        <w:t>。</w:t>
      </w:r>
    </w:p>
    <w:p w14:paraId="3A45D920">
      <w:pPr>
        <w:spacing w:line="360" w:lineRule="auto"/>
        <w:jc w:val="left"/>
        <w:rPr>
          <w:rFonts w:hint="eastAsia" w:ascii="宋体" w:hAnsi="宋体" w:cs="宋体"/>
          <w:color w:val="auto"/>
          <w:sz w:val="24"/>
          <w:highlight w:val="none"/>
          <w:shd w:val="clear" w:color="auto" w:fill="FFFFFF"/>
        </w:rPr>
      </w:pPr>
    </w:p>
    <w:p w14:paraId="48647925">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注：</w:t>
      </w:r>
    </w:p>
    <w:p w14:paraId="65DDBF38">
      <w:pPr>
        <w:widowControl/>
        <w:kinsoku w:val="0"/>
        <w:autoSpaceDE w:val="0"/>
        <w:autoSpaceDN w:val="0"/>
        <w:adjustRightInd w:val="0"/>
        <w:snapToGrid w:val="0"/>
        <w:spacing w:line="360" w:lineRule="auto"/>
        <w:ind w:firstLine="422" w:firstLineChars="200"/>
        <w:textAlignment w:val="baseline"/>
        <w:rPr>
          <w:rFonts w:hint="eastAsia" w:ascii="宋体" w:hAnsi="宋体" w:cs="宋体"/>
          <w:b/>
          <w:bCs/>
          <w:color w:val="auto"/>
          <w:szCs w:val="21"/>
          <w:highlight w:val="none"/>
        </w:rPr>
      </w:pPr>
      <w:r>
        <w:rPr>
          <w:rFonts w:hint="eastAsia" w:ascii="宋体" w:hAnsi="宋体" w:cs="宋体"/>
          <w:b/>
          <w:bCs/>
          <w:color w:val="auto"/>
          <w:szCs w:val="21"/>
          <w:highlight w:val="none"/>
        </w:rPr>
        <w:t>1、在财政部、工业和信息化部制定出台在中国境内生产的组件成本占比要求，以及特定产品的关键组件、关键工序要求之前，目前，在中国境内生产的产品即视为符合本国产品标准，享受政府采购本国产品支持政策。</w:t>
      </w:r>
    </w:p>
    <w:p w14:paraId="11E96983">
      <w:pPr>
        <w:widowControl/>
        <w:kinsoku w:val="0"/>
        <w:autoSpaceDE w:val="0"/>
        <w:autoSpaceDN w:val="0"/>
        <w:adjustRightInd w:val="0"/>
        <w:snapToGrid w:val="0"/>
        <w:spacing w:line="360" w:lineRule="auto"/>
        <w:ind w:firstLine="422" w:firstLineChars="200"/>
        <w:textAlignment w:val="baseline"/>
        <w:rPr>
          <w:rFonts w:ascii="Arial" w:hAnsi="Arial"/>
          <w:color w:val="auto"/>
          <w:highlight w:val="none"/>
        </w:rPr>
      </w:pPr>
      <w:r>
        <w:rPr>
          <w:rFonts w:hint="eastAsia" w:ascii="宋体" w:hAnsi="宋体" w:cs="宋体"/>
          <w:b/>
          <w:bCs/>
          <w:color w:val="auto"/>
          <w:szCs w:val="21"/>
          <w:highlight w:val="none"/>
        </w:rPr>
        <w:t>2、提供</w:t>
      </w:r>
      <w:r>
        <w:rPr>
          <w:rFonts w:hint="eastAsia" w:ascii="Arial" w:hAnsi="Arial"/>
          <w:color w:val="auto"/>
          <w:highlight w:val="none"/>
        </w:rPr>
        <w:t>财政部会同有关部门规定的符合本国产品标准有关证明文件的，</w:t>
      </w:r>
      <w:r>
        <w:rPr>
          <w:rFonts w:hint="eastAsia" w:ascii="宋体" w:hAnsi="宋体" w:cs="宋体"/>
          <w:color w:val="auto"/>
          <w:szCs w:val="21"/>
          <w:highlight w:val="none"/>
          <w:shd w:val="clear" w:color="auto" w:fill="FFFFFF"/>
        </w:rPr>
        <w:t>无须提供《</w:t>
      </w:r>
      <w:r>
        <w:rPr>
          <w:rFonts w:hint="eastAsia" w:ascii="宋体" w:hAnsi="宋体" w:cs="宋体"/>
          <w:b/>
          <w:bCs/>
          <w:color w:val="auto"/>
          <w:szCs w:val="21"/>
          <w:highlight w:val="none"/>
          <w:shd w:val="clear" w:color="auto" w:fill="FFFFFF"/>
        </w:rPr>
        <w:t>关于符合本国产品标准的声明函</w:t>
      </w:r>
      <w:r>
        <w:rPr>
          <w:rFonts w:hint="eastAsia" w:ascii="宋体" w:hAnsi="宋体" w:cs="宋体"/>
          <w:color w:val="auto"/>
          <w:szCs w:val="21"/>
          <w:highlight w:val="none"/>
          <w:shd w:val="clear" w:color="auto" w:fill="FFFFFF"/>
        </w:rPr>
        <w:t>》</w:t>
      </w:r>
    </w:p>
    <w:p w14:paraId="31F493C6">
      <w:pPr>
        <w:widowControl/>
        <w:kinsoku w:val="0"/>
        <w:autoSpaceDE w:val="0"/>
        <w:autoSpaceDN w:val="0"/>
        <w:adjustRightInd w:val="0"/>
        <w:snapToGrid w:val="0"/>
        <w:spacing w:line="360" w:lineRule="auto"/>
        <w:ind w:firstLine="420" w:firstLineChars="200"/>
        <w:textAlignment w:val="baseline"/>
        <w:rPr>
          <w:rFonts w:hint="eastAsia" w:ascii="宋体" w:hAnsi="宋体" w:cs="宋体"/>
          <w:color w:val="auto"/>
          <w:szCs w:val="21"/>
          <w:highlight w:val="none"/>
        </w:rPr>
      </w:pPr>
      <w:r>
        <w:rPr>
          <w:rFonts w:hint="eastAsia" w:ascii="Arial" w:hAnsi="Arial"/>
          <w:color w:val="auto"/>
          <w:highlight w:val="none"/>
        </w:rPr>
        <w:t>3、</w:t>
      </w:r>
      <w:r>
        <w:rPr>
          <w:rFonts w:hint="eastAsia" w:ascii="宋体" w:hAnsi="宋体" w:cs="宋体"/>
          <w:b/>
          <w:bCs/>
          <w:color w:val="auto"/>
          <w:szCs w:val="21"/>
          <w:highlight w:val="none"/>
        </w:rPr>
        <w:t>根据《</w:t>
      </w:r>
      <w:r>
        <w:rPr>
          <w:rFonts w:hint="eastAsia" w:ascii="宋体" w:hAnsi="宋体" w:cs="宋体"/>
          <w:b/>
          <w:bCs/>
          <w:color w:val="auto"/>
          <w:szCs w:val="21"/>
          <w:highlight w:val="none"/>
          <w:shd w:val="clear" w:color="auto" w:fill="FFFFFF"/>
        </w:rPr>
        <w:t>关于贯彻落实《国务院办公厅关于在政府采购中实施本国产品标准及相关政策的通知》的意见</w:t>
      </w:r>
      <w:r>
        <w:rPr>
          <w:rFonts w:hint="eastAsia" w:ascii="宋体" w:hAnsi="宋体" w:cs="宋体"/>
          <w:b/>
          <w:bCs/>
          <w:color w:val="auto"/>
          <w:szCs w:val="21"/>
          <w:highlight w:val="none"/>
        </w:rPr>
        <w:t>》（</w:t>
      </w:r>
      <w:r>
        <w:rPr>
          <w:rFonts w:hint="eastAsia" w:ascii="宋体" w:hAnsi="宋体" w:cs="宋体"/>
          <w:color w:val="auto"/>
          <w:szCs w:val="21"/>
          <w:highlight w:val="none"/>
          <w:shd w:val="clear" w:color="auto" w:fill="FFFFFF"/>
        </w:rPr>
        <w:t>财库〔2025〕30号），对医疗器械产品，取得药品监督管理部门授予的准字号医疗器械注册证的，属于在中国境内生产的产品，投标文件中提供投标产品的医疗器械注册证后，无须提供《</w:t>
      </w:r>
      <w:r>
        <w:rPr>
          <w:rFonts w:hint="eastAsia" w:ascii="宋体" w:hAnsi="宋体" w:cs="宋体"/>
          <w:b/>
          <w:bCs/>
          <w:color w:val="auto"/>
          <w:szCs w:val="21"/>
          <w:highlight w:val="none"/>
          <w:shd w:val="clear" w:color="auto" w:fill="FFFFFF"/>
        </w:rPr>
        <w:t>关于符合本国产品标准的声明函</w:t>
      </w:r>
      <w:r>
        <w:rPr>
          <w:rFonts w:hint="eastAsia" w:ascii="宋体" w:hAnsi="宋体" w:cs="宋体"/>
          <w:color w:val="auto"/>
          <w:szCs w:val="21"/>
          <w:highlight w:val="none"/>
          <w:shd w:val="clear" w:color="auto" w:fill="FFFFFF"/>
        </w:rPr>
        <w:t>》</w:t>
      </w:r>
    </w:p>
    <w:p w14:paraId="18BE31F3">
      <w:pPr>
        <w:spacing w:line="360" w:lineRule="auto"/>
        <w:jc w:val="left"/>
        <w:rPr>
          <w:rFonts w:hint="eastAsia" w:ascii="宋体" w:hAnsi="宋体" w:cs="宋体"/>
          <w:color w:val="auto"/>
          <w:sz w:val="24"/>
          <w:highlight w:val="none"/>
          <w:shd w:val="clear" w:color="auto" w:fill="FFFFFF"/>
        </w:rPr>
      </w:pPr>
    </w:p>
    <w:p w14:paraId="7B9D4D34">
      <w:pPr>
        <w:rPr>
          <w:color w:val="auto"/>
          <w:highlight w:val="none"/>
        </w:rPr>
      </w:pPr>
    </w:p>
    <w:p w14:paraId="5FBEB759">
      <w:pPr>
        <w:rPr>
          <w:color w:val="auto"/>
          <w:highlight w:val="none"/>
        </w:rPr>
      </w:pPr>
      <w:r>
        <w:rPr>
          <w:rFonts w:hint="eastAsia"/>
          <w:color w:val="auto"/>
          <w:highlight w:val="none"/>
        </w:rPr>
        <w:br w:type="page"/>
      </w:r>
    </w:p>
    <w:p w14:paraId="0491FE71">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（13）</w:t>
      </w:r>
      <w:r>
        <w:rPr>
          <w:rFonts w:hint="eastAsia" w:ascii="宋体" w:hAnsi="宋体" w:cs="宋体"/>
          <w:b/>
          <w:bCs/>
          <w:color w:val="auto"/>
          <w:spacing w:val="-4"/>
          <w:szCs w:val="21"/>
          <w:highlight w:val="none"/>
        </w:rPr>
        <w:t>业绩：投标人自2023年1月1日（以合同签订日期为准）以来具有信息化建设项目或信息化迁建改造项目案例，提供合同复印件；</w:t>
      </w:r>
    </w:p>
    <w:p w14:paraId="2B6AB6D1">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（14）</w:t>
      </w:r>
      <w:r>
        <w:rPr>
          <w:rFonts w:hint="eastAsia"/>
          <w:b/>
          <w:bCs/>
          <w:color w:val="auto"/>
          <w:szCs w:val="21"/>
          <w:highlight w:val="none"/>
        </w:rPr>
        <w:t>投标人</w:t>
      </w:r>
      <w:r>
        <w:rPr>
          <w:rFonts w:hint="eastAsia" w:ascii="宋体" w:hAnsi="宋体" w:cs="宋体"/>
          <w:b/>
          <w:bCs/>
          <w:color w:val="auto"/>
          <w:szCs w:val="21"/>
          <w:highlight w:val="none"/>
        </w:rPr>
        <w:t>具有有效的IS09001质量管理体系认证证书（认证范围：软件开发或系统集成）、ISO20000信息技术服务管理体系认证证书（认证范围：信息系统运行维护）、ISO27001信息安全管理体系认证证书的（认证范围：软件开发或系统集成），</w:t>
      </w:r>
      <w:r>
        <w:rPr>
          <w:rFonts w:hint="eastAsia" w:ascii="宋体" w:hAnsi="宋体" w:cs="宋体"/>
          <w:b/>
          <w:bCs/>
          <w:color w:val="auto"/>
          <w:spacing w:val="-4"/>
          <w:szCs w:val="21"/>
          <w:highlight w:val="none"/>
        </w:rPr>
        <w:t>提供证书复印件和证书在全国认证认可信息公共服务平台查询截图；</w:t>
      </w:r>
    </w:p>
    <w:p w14:paraId="6A898805">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（15）</w:t>
      </w:r>
      <w:r>
        <w:rPr>
          <w:rFonts w:hint="eastAsia" w:ascii="宋体" w:hAnsi="宋体" w:cs="宋体"/>
          <w:b/>
          <w:bCs/>
          <w:color w:val="auto"/>
          <w:szCs w:val="21"/>
          <w:highlight w:val="none"/>
        </w:rPr>
        <w:t>项目现状：包括对医院现有HIS系统、电子病历系统、集成平台系统、数据中心系统的现状分析；</w:t>
      </w:r>
    </w:p>
    <w:p w14:paraId="379DE88E">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（16）核心组件迭代方案；</w:t>
      </w:r>
    </w:p>
    <w:p w14:paraId="61863E86">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（17）核心业务流程改造方案；</w:t>
      </w:r>
    </w:p>
    <w:p w14:paraId="00D8A288">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（18）多院区集成平台接口对接适配方案；</w:t>
      </w:r>
    </w:p>
    <w:p w14:paraId="5FBBC7F5">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（19）应急保障方案：包括应急方案、应急响应效率、应急处置流程、应急演练记录等；</w:t>
      </w:r>
    </w:p>
    <w:p w14:paraId="2BC01760">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（20）投标人项目团队：提供人员名单、分工、职责、证书复印件和近三个月中任意一个月投标人为其缴纳的社保证明；</w:t>
      </w:r>
    </w:p>
    <w:p w14:paraId="45129915">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（21）培训方案；</w:t>
      </w:r>
    </w:p>
    <w:p w14:paraId="0C755669">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（22）售后服务方案；</w:t>
      </w:r>
    </w:p>
    <w:p w14:paraId="78D2D24A">
      <w:pPr>
        <w:pStyle w:val="142"/>
        <w:snapToGrid w:val="0"/>
        <w:spacing w:line="360" w:lineRule="auto"/>
        <w:ind w:firstLine="422"/>
        <w:rPr>
          <w:rFonts w:ascii="Times New Roman" w:hAnsi="Times New Roman"/>
          <w:b/>
          <w:bCs/>
          <w:color w:val="auto"/>
          <w:highlight w:val="none"/>
        </w:rPr>
      </w:pPr>
      <w:r>
        <w:rPr>
          <w:rFonts w:hint="eastAsia" w:ascii="Times New Roman" w:hAnsi="Times New Roman"/>
          <w:b/>
          <w:bCs/>
          <w:color w:val="auto"/>
          <w:highlight w:val="none"/>
        </w:rPr>
        <w:t>（24）</w:t>
      </w:r>
      <w:r>
        <w:rPr>
          <w:rFonts w:hint="eastAsia" w:ascii="Times New Roman" w:hAnsi="Times New Roman"/>
          <w:b/>
          <w:bCs/>
          <w:color w:val="auto"/>
          <w:highlight w:val="none"/>
        </w:rPr>
        <w:tab/>
      </w:r>
      <w:r>
        <w:rPr>
          <w:rFonts w:hint="eastAsia" w:ascii="Times New Roman" w:hAnsi="Times New Roman"/>
          <w:b/>
          <w:bCs/>
          <w:color w:val="auto"/>
          <w:highlight w:val="none"/>
        </w:rPr>
        <w:t>供应商认为有必要提供的其它文件。</w:t>
      </w:r>
    </w:p>
    <w:p w14:paraId="668EC2D2">
      <w:pPr>
        <w:spacing w:line="360" w:lineRule="auto"/>
        <w:rPr>
          <w:color w:val="auto"/>
          <w:highlight w:val="none"/>
        </w:rPr>
      </w:pPr>
      <w:r>
        <w:rPr>
          <w:rFonts w:hint="eastAsia"/>
          <w:b/>
          <w:bCs/>
          <w:color w:val="auto"/>
          <w:highlight w:val="none"/>
        </w:rPr>
        <w:br w:type="page"/>
      </w:r>
      <w:r>
        <w:rPr>
          <w:rFonts w:hint="eastAsia"/>
          <w:color w:val="auto"/>
          <w:highlight w:val="none"/>
        </w:rPr>
        <w:t>附件1</w:t>
      </w:r>
    </w:p>
    <w:p w14:paraId="649CB22C">
      <w:pPr>
        <w:ind w:left="420"/>
        <w:rPr>
          <w:color w:val="auto"/>
          <w:highlight w:val="none"/>
        </w:rPr>
      </w:pPr>
    </w:p>
    <w:p w14:paraId="40E7672A">
      <w:pPr>
        <w:pStyle w:val="1321"/>
        <w:widowControl w:val="0"/>
        <w:snapToGrid w:val="0"/>
        <w:spacing w:line="500" w:lineRule="exact"/>
        <w:jc w:val="center"/>
        <w:rPr>
          <w:rFonts w:hAnsi="宋体" w:cs="方正小标宋简体"/>
          <w:b/>
          <w:color w:val="auto"/>
          <w:sz w:val="28"/>
          <w:szCs w:val="28"/>
          <w:highlight w:val="none"/>
        </w:rPr>
      </w:pPr>
      <w:r>
        <w:rPr>
          <w:rFonts w:hAnsi="宋体" w:cs="方正小标宋简体"/>
          <w:b/>
          <w:color w:val="auto"/>
          <w:sz w:val="28"/>
          <w:szCs w:val="28"/>
          <w:highlight w:val="none"/>
        </w:rPr>
        <w:t>政府采购活动现场确认声明书</w:t>
      </w:r>
    </w:p>
    <w:p w14:paraId="1F1C98B6">
      <w:pPr>
        <w:pStyle w:val="1321"/>
        <w:widowControl w:val="0"/>
        <w:adjustRightInd w:val="0"/>
        <w:snapToGrid w:val="0"/>
        <w:spacing w:line="360" w:lineRule="auto"/>
        <w:jc w:val="both"/>
        <w:rPr>
          <w:rFonts w:ascii="仿宋" w:hAnsi="仿宋"/>
          <w:color w:val="auto"/>
          <w:kern w:val="0"/>
          <w:szCs w:val="21"/>
          <w:highlight w:val="none"/>
          <w:u w:val="single"/>
        </w:rPr>
      </w:pPr>
    </w:p>
    <w:p w14:paraId="6823232F">
      <w:pPr>
        <w:pStyle w:val="1321"/>
        <w:widowControl w:val="0"/>
        <w:adjustRightInd w:val="0"/>
        <w:snapToGrid w:val="0"/>
        <w:spacing w:line="360" w:lineRule="auto"/>
        <w:jc w:val="both"/>
        <w:rPr>
          <w:rFonts w:ascii="仿宋" w:hAnsi="仿宋"/>
          <w:b/>
          <w:color w:val="auto"/>
          <w:szCs w:val="21"/>
          <w:highlight w:val="none"/>
        </w:rPr>
      </w:pPr>
      <w:r>
        <w:rPr>
          <w:rFonts w:ascii="仿宋" w:hAnsi="仿宋"/>
          <w:color w:val="auto"/>
          <w:kern w:val="0"/>
          <w:szCs w:val="21"/>
          <w:highlight w:val="none"/>
          <w:u w:val="single"/>
        </w:rPr>
        <w:t>浙江国际招投标有限公司</w:t>
      </w:r>
      <w:r>
        <w:rPr>
          <w:rFonts w:ascii="仿宋" w:hAnsi="仿宋"/>
          <w:color w:val="auto"/>
          <w:kern w:val="0"/>
          <w:szCs w:val="21"/>
          <w:highlight w:val="none"/>
        </w:rPr>
        <w:t>：</w:t>
      </w:r>
    </w:p>
    <w:p w14:paraId="2BFA5514">
      <w:pPr>
        <w:pStyle w:val="1321"/>
        <w:widowControl w:val="0"/>
        <w:adjustRightInd w:val="0"/>
        <w:snapToGrid w:val="0"/>
        <w:spacing w:line="360" w:lineRule="auto"/>
        <w:ind w:firstLine="444" w:firstLineChars="200"/>
        <w:jc w:val="both"/>
        <w:rPr>
          <w:rFonts w:ascii="仿宋" w:hAnsi="仿宋"/>
          <w:color w:val="auto"/>
          <w:spacing w:val="6"/>
          <w:szCs w:val="21"/>
          <w:highlight w:val="none"/>
        </w:rPr>
      </w:pPr>
      <w:r>
        <w:rPr>
          <w:rFonts w:ascii="仿宋" w:hAnsi="仿宋"/>
          <w:color w:val="auto"/>
          <w:spacing w:val="6"/>
          <w:szCs w:val="21"/>
          <w:highlight w:val="none"/>
        </w:rPr>
        <w:t>本人经由</w:t>
      </w:r>
      <w:r>
        <w:rPr>
          <w:rFonts w:ascii="仿宋" w:hAnsi="仿宋"/>
          <w:color w:val="auto"/>
          <w:spacing w:val="6"/>
          <w:szCs w:val="21"/>
          <w:highlight w:val="none"/>
          <w:u w:val="single"/>
        </w:rPr>
        <w:t xml:space="preserve">              （单位）</w:t>
      </w:r>
      <w:r>
        <w:rPr>
          <w:rFonts w:ascii="仿宋" w:hAnsi="仿宋"/>
          <w:color w:val="auto"/>
          <w:spacing w:val="6"/>
          <w:szCs w:val="21"/>
          <w:highlight w:val="none"/>
        </w:rPr>
        <w:t>负责人</w:t>
      </w:r>
      <w:r>
        <w:rPr>
          <w:rFonts w:ascii="仿宋" w:hAnsi="仿宋"/>
          <w:color w:val="auto"/>
          <w:spacing w:val="6"/>
          <w:szCs w:val="21"/>
          <w:highlight w:val="none"/>
          <w:u w:val="single"/>
        </w:rPr>
        <w:t xml:space="preserve">      （姓名）</w:t>
      </w:r>
      <w:r>
        <w:rPr>
          <w:rFonts w:ascii="仿宋" w:hAnsi="仿宋"/>
          <w:color w:val="auto"/>
          <w:spacing w:val="6"/>
          <w:szCs w:val="21"/>
          <w:highlight w:val="none"/>
        </w:rPr>
        <w:t>合法授权参加</w:t>
      </w:r>
      <w:r>
        <w:rPr>
          <w:rFonts w:ascii="仿宋" w:hAnsi="仿宋"/>
          <w:color w:val="auto"/>
          <w:spacing w:val="6"/>
          <w:szCs w:val="21"/>
          <w:highlight w:val="none"/>
          <w:u w:val="single"/>
        </w:rPr>
        <w:t xml:space="preserve">           </w:t>
      </w:r>
      <w:r>
        <w:rPr>
          <w:rFonts w:ascii="仿宋" w:hAnsi="仿宋"/>
          <w:color w:val="auto"/>
          <w:spacing w:val="6"/>
          <w:szCs w:val="21"/>
          <w:highlight w:val="none"/>
        </w:rPr>
        <w:t>项目</w:t>
      </w:r>
      <w:r>
        <w:rPr>
          <w:rFonts w:ascii="仿宋" w:hAnsi="仿宋"/>
          <w:color w:val="auto"/>
          <w:spacing w:val="6"/>
          <w:szCs w:val="21"/>
          <w:highlight w:val="none"/>
          <w:u w:val="single"/>
        </w:rPr>
        <w:t>（编号：    ）</w:t>
      </w:r>
      <w:r>
        <w:rPr>
          <w:rFonts w:ascii="仿宋" w:hAnsi="仿宋"/>
          <w:color w:val="auto"/>
          <w:spacing w:val="6"/>
          <w:szCs w:val="21"/>
          <w:highlight w:val="none"/>
        </w:rPr>
        <w:t xml:space="preserve">政府采购活动，经与本单位法人代表（负责人）联系确认，现就有关公平竞争事项郑重声明如下： </w:t>
      </w:r>
    </w:p>
    <w:p w14:paraId="5DA82AE5">
      <w:pPr>
        <w:pStyle w:val="1322"/>
        <w:widowControl/>
        <w:numPr>
          <w:ilvl w:val="0"/>
          <w:numId w:val="11"/>
        </w:numPr>
        <w:adjustRightInd w:val="0"/>
        <w:snapToGrid w:val="0"/>
        <w:spacing w:line="360" w:lineRule="auto"/>
        <w:ind w:firstLine="396" w:firstLineChars="189"/>
        <w:rPr>
          <w:rFonts w:ascii="仿宋" w:hAnsi="仿宋"/>
          <w:color w:val="auto"/>
          <w:kern w:val="0"/>
          <w:szCs w:val="21"/>
          <w:highlight w:val="none"/>
        </w:rPr>
      </w:pPr>
      <w:r>
        <w:rPr>
          <w:rFonts w:ascii="仿宋" w:hAnsi="仿宋"/>
          <w:color w:val="auto"/>
          <w:kern w:val="0"/>
          <w:szCs w:val="21"/>
          <w:highlight w:val="none"/>
        </w:rPr>
        <w:t xml:space="preserve">本单位与采购人之间 </w:t>
      </w:r>
      <w:r>
        <w:rPr>
          <w:rFonts w:ascii="宋体" w:hAnsi="宋体" w:cs="宋体"/>
          <w:color w:val="auto"/>
          <w:kern w:val="0"/>
          <w:szCs w:val="21"/>
          <w:highlight w:val="none"/>
        </w:rPr>
        <w:t>□</w:t>
      </w:r>
      <w:r>
        <w:rPr>
          <w:rFonts w:ascii="仿宋" w:hAnsi="仿宋"/>
          <w:color w:val="auto"/>
          <w:kern w:val="0"/>
          <w:szCs w:val="21"/>
          <w:highlight w:val="none"/>
        </w:rPr>
        <w:t xml:space="preserve">不存在利害关系 </w:t>
      </w:r>
      <w:r>
        <w:rPr>
          <w:rFonts w:ascii="宋体" w:hAnsi="宋体" w:cs="宋体"/>
          <w:color w:val="auto"/>
          <w:kern w:val="0"/>
          <w:szCs w:val="21"/>
          <w:highlight w:val="none"/>
        </w:rPr>
        <w:t>□</w:t>
      </w:r>
      <w:r>
        <w:rPr>
          <w:rFonts w:ascii="仿宋" w:hAnsi="仿宋"/>
          <w:color w:val="auto"/>
          <w:kern w:val="0"/>
          <w:szCs w:val="21"/>
          <w:highlight w:val="none"/>
        </w:rPr>
        <w:t>存在下列利害关系</w:t>
      </w:r>
      <w:r>
        <w:rPr>
          <w:rFonts w:ascii="仿宋" w:hAnsi="仿宋"/>
          <w:color w:val="auto"/>
          <w:kern w:val="0"/>
          <w:szCs w:val="21"/>
          <w:highlight w:val="none"/>
          <w:u w:val="single"/>
        </w:rPr>
        <w:t xml:space="preserve">           </w:t>
      </w:r>
      <w:r>
        <w:rPr>
          <w:rFonts w:ascii="仿宋" w:hAnsi="仿宋"/>
          <w:color w:val="auto"/>
          <w:kern w:val="0"/>
          <w:szCs w:val="21"/>
          <w:highlight w:val="none"/>
        </w:rPr>
        <w:t>：</w:t>
      </w:r>
    </w:p>
    <w:p w14:paraId="61C0A9F2">
      <w:pPr>
        <w:pStyle w:val="1322"/>
        <w:widowControl/>
        <w:adjustRightInd w:val="0"/>
        <w:snapToGrid w:val="0"/>
        <w:spacing w:line="360" w:lineRule="auto"/>
        <w:ind w:firstLine="200"/>
        <w:rPr>
          <w:rFonts w:ascii="仿宋" w:hAnsi="仿宋"/>
          <w:color w:val="auto"/>
          <w:kern w:val="0"/>
          <w:szCs w:val="21"/>
          <w:highlight w:val="none"/>
        </w:rPr>
      </w:pPr>
      <w:r>
        <w:rPr>
          <w:rFonts w:ascii="仿宋" w:hAnsi="仿宋"/>
          <w:color w:val="auto"/>
          <w:kern w:val="0"/>
          <w:szCs w:val="21"/>
          <w:highlight w:val="none"/>
        </w:rPr>
        <w:t xml:space="preserve">  A.投资关系    B.行政隶属关系    C.业务指导关系</w:t>
      </w:r>
    </w:p>
    <w:p w14:paraId="5BE989A1">
      <w:pPr>
        <w:pStyle w:val="1322"/>
        <w:widowControl/>
        <w:adjustRightInd w:val="0"/>
        <w:snapToGrid w:val="0"/>
        <w:spacing w:line="360" w:lineRule="auto"/>
        <w:ind w:firstLine="200"/>
        <w:rPr>
          <w:rFonts w:ascii="仿宋" w:hAnsi="仿宋"/>
          <w:color w:val="auto"/>
          <w:kern w:val="0"/>
          <w:szCs w:val="21"/>
          <w:highlight w:val="none"/>
        </w:rPr>
      </w:pPr>
      <w:r>
        <w:rPr>
          <w:rFonts w:ascii="仿宋" w:hAnsi="仿宋"/>
          <w:color w:val="auto"/>
          <w:kern w:val="0"/>
          <w:szCs w:val="21"/>
          <w:highlight w:val="none"/>
        </w:rPr>
        <w:t xml:space="preserve">  D.其他可能</w:t>
      </w:r>
      <w:r>
        <w:rPr>
          <w:rFonts w:ascii="仿宋" w:hAnsi="仿宋"/>
          <w:color w:val="auto"/>
          <w:szCs w:val="21"/>
          <w:highlight w:val="none"/>
        </w:rPr>
        <w:t>影响采购公正的</w:t>
      </w:r>
      <w:r>
        <w:rPr>
          <w:rFonts w:ascii="仿宋" w:hAnsi="仿宋"/>
          <w:color w:val="auto"/>
          <w:kern w:val="0"/>
          <w:szCs w:val="21"/>
          <w:highlight w:val="none"/>
        </w:rPr>
        <w:t>利害关系</w:t>
      </w:r>
      <w:r>
        <w:rPr>
          <w:rFonts w:ascii="仿宋" w:hAnsi="仿宋"/>
          <w:color w:val="auto"/>
          <w:kern w:val="0"/>
          <w:szCs w:val="21"/>
          <w:highlight w:val="none"/>
          <w:u w:val="single"/>
        </w:rPr>
        <w:t xml:space="preserve">（如有，请如实说明）                 </w:t>
      </w:r>
      <w:r>
        <w:rPr>
          <w:rFonts w:ascii="仿宋" w:hAnsi="仿宋"/>
          <w:color w:val="auto"/>
          <w:kern w:val="0"/>
          <w:szCs w:val="21"/>
          <w:highlight w:val="none"/>
        </w:rPr>
        <w:t>。</w:t>
      </w:r>
    </w:p>
    <w:p w14:paraId="125AE056">
      <w:pPr>
        <w:pStyle w:val="1322"/>
        <w:widowControl/>
        <w:adjustRightInd w:val="0"/>
        <w:snapToGrid w:val="0"/>
        <w:spacing w:line="360" w:lineRule="auto"/>
        <w:ind w:firstLine="200"/>
        <w:rPr>
          <w:rFonts w:ascii="仿宋" w:hAnsi="仿宋"/>
          <w:color w:val="auto"/>
          <w:kern w:val="0"/>
          <w:szCs w:val="21"/>
          <w:highlight w:val="none"/>
        </w:rPr>
      </w:pPr>
      <w:r>
        <w:rPr>
          <w:rFonts w:ascii="仿宋" w:hAnsi="仿宋"/>
          <w:color w:val="auto"/>
          <w:spacing w:val="6"/>
          <w:szCs w:val="21"/>
          <w:highlight w:val="none"/>
        </w:rPr>
        <w:t xml:space="preserve">  二、</w:t>
      </w:r>
      <w:r>
        <w:rPr>
          <w:rFonts w:ascii="仿宋" w:hAnsi="仿宋"/>
          <w:color w:val="auto"/>
          <w:kern w:val="0"/>
          <w:szCs w:val="21"/>
          <w:highlight w:val="none"/>
        </w:rPr>
        <w:t xml:space="preserve">现已清楚知道参加本项目采购活动的其他所有供应商名称，本单位 </w:t>
      </w:r>
      <w:r>
        <w:rPr>
          <w:rFonts w:ascii="宋体" w:hAnsi="宋体" w:cs="宋体"/>
          <w:color w:val="auto"/>
          <w:kern w:val="0"/>
          <w:szCs w:val="21"/>
          <w:highlight w:val="none"/>
        </w:rPr>
        <w:t>□与其他所有供应商之间均</w:t>
      </w:r>
      <w:r>
        <w:rPr>
          <w:rFonts w:ascii="仿宋" w:hAnsi="仿宋"/>
          <w:color w:val="auto"/>
          <w:kern w:val="0"/>
          <w:szCs w:val="21"/>
          <w:highlight w:val="none"/>
        </w:rPr>
        <w:t xml:space="preserve">不存在利害关系 </w:t>
      </w:r>
      <w:r>
        <w:rPr>
          <w:rFonts w:ascii="宋体" w:hAnsi="宋体" w:cs="宋体"/>
          <w:color w:val="auto"/>
          <w:kern w:val="0"/>
          <w:szCs w:val="21"/>
          <w:highlight w:val="none"/>
        </w:rPr>
        <w:t>□与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w:t>
      </w:r>
      <w:r>
        <w:rPr>
          <w:rFonts w:ascii="仿宋" w:hAnsi="仿宋"/>
          <w:color w:val="auto"/>
          <w:kern w:val="0"/>
          <w:szCs w:val="21"/>
          <w:highlight w:val="none"/>
        </w:rPr>
        <w:t>存在下列利害关系</w:t>
      </w:r>
      <w:r>
        <w:rPr>
          <w:rFonts w:ascii="仿宋" w:hAnsi="仿宋"/>
          <w:color w:val="auto"/>
          <w:kern w:val="0"/>
          <w:szCs w:val="21"/>
          <w:highlight w:val="none"/>
          <w:u w:val="single"/>
        </w:rPr>
        <w:t xml:space="preserve">          </w:t>
      </w:r>
      <w:r>
        <w:rPr>
          <w:rFonts w:ascii="仿宋" w:hAnsi="仿宋"/>
          <w:color w:val="auto"/>
          <w:kern w:val="0"/>
          <w:szCs w:val="21"/>
          <w:highlight w:val="none"/>
        </w:rPr>
        <w:t>：</w:t>
      </w:r>
    </w:p>
    <w:p w14:paraId="0692ACBB">
      <w:pPr>
        <w:pStyle w:val="1321"/>
        <w:widowControl w:val="0"/>
        <w:adjustRightInd w:val="0"/>
        <w:snapToGrid w:val="0"/>
        <w:spacing w:line="360" w:lineRule="auto"/>
        <w:ind w:firstLine="200"/>
        <w:jc w:val="both"/>
        <w:rPr>
          <w:rFonts w:ascii="仿宋" w:hAnsi="仿宋"/>
          <w:color w:val="auto"/>
          <w:kern w:val="0"/>
          <w:szCs w:val="21"/>
          <w:highlight w:val="none"/>
        </w:rPr>
      </w:pPr>
      <w:r>
        <w:rPr>
          <w:rFonts w:ascii="仿宋" w:hAnsi="仿宋"/>
          <w:color w:val="auto"/>
          <w:kern w:val="0"/>
          <w:szCs w:val="21"/>
          <w:highlight w:val="none"/>
        </w:rPr>
        <w:t xml:space="preserve">  A.法定代表人或负责人或实际控制人是同一人</w:t>
      </w:r>
    </w:p>
    <w:p w14:paraId="0C69CB37">
      <w:pPr>
        <w:pStyle w:val="1321"/>
        <w:widowControl w:val="0"/>
        <w:adjustRightInd w:val="0"/>
        <w:snapToGrid w:val="0"/>
        <w:spacing w:line="360" w:lineRule="auto"/>
        <w:ind w:firstLine="200"/>
        <w:jc w:val="both"/>
        <w:rPr>
          <w:rFonts w:ascii="仿宋" w:hAnsi="仿宋"/>
          <w:color w:val="auto"/>
          <w:spacing w:val="6"/>
          <w:szCs w:val="21"/>
          <w:highlight w:val="none"/>
        </w:rPr>
      </w:pPr>
      <w:r>
        <w:rPr>
          <w:rFonts w:ascii="仿宋" w:hAnsi="仿宋"/>
          <w:color w:val="auto"/>
          <w:kern w:val="0"/>
          <w:szCs w:val="21"/>
          <w:highlight w:val="none"/>
        </w:rPr>
        <w:t xml:space="preserve">  B.法定代表人或负责人或实际控制人是夫妻关系</w:t>
      </w:r>
    </w:p>
    <w:p w14:paraId="6BECE67B">
      <w:pPr>
        <w:pStyle w:val="1321"/>
        <w:widowControl w:val="0"/>
        <w:adjustRightInd w:val="0"/>
        <w:snapToGrid w:val="0"/>
        <w:spacing w:line="360" w:lineRule="auto"/>
        <w:ind w:firstLine="200"/>
        <w:jc w:val="both"/>
        <w:rPr>
          <w:rFonts w:ascii="仿宋" w:hAnsi="仿宋"/>
          <w:color w:val="auto"/>
          <w:spacing w:val="6"/>
          <w:szCs w:val="21"/>
          <w:highlight w:val="none"/>
        </w:rPr>
      </w:pPr>
      <w:r>
        <w:rPr>
          <w:rFonts w:ascii="仿宋" w:hAnsi="仿宋"/>
          <w:color w:val="auto"/>
          <w:kern w:val="0"/>
          <w:szCs w:val="21"/>
          <w:highlight w:val="none"/>
        </w:rPr>
        <w:t xml:space="preserve">  C.法定代表人或负责人或实际控制人是直系血亲关系</w:t>
      </w:r>
    </w:p>
    <w:p w14:paraId="72033808">
      <w:pPr>
        <w:pStyle w:val="1321"/>
        <w:widowControl w:val="0"/>
        <w:adjustRightInd w:val="0"/>
        <w:snapToGrid w:val="0"/>
        <w:spacing w:line="360" w:lineRule="auto"/>
        <w:ind w:firstLine="200"/>
        <w:jc w:val="both"/>
        <w:rPr>
          <w:rFonts w:ascii="仿宋" w:hAnsi="仿宋"/>
          <w:color w:val="auto"/>
          <w:spacing w:val="6"/>
          <w:szCs w:val="21"/>
          <w:highlight w:val="none"/>
        </w:rPr>
      </w:pPr>
      <w:r>
        <w:rPr>
          <w:rFonts w:ascii="仿宋" w:hAnsi="仿宋"/>
          <w:color w:val="auto"/>
          <w:kern w:val="0"/>
          <w:szCs w:val="21"/>
          <w:highlight w:val="none"/>
        </w:rPr>
        <w:t xml:space="preserve">  D.法定代表人或负责人或实际控制人存在三代以内旁系血亲关系</w:t>
      </w:r>
    </w:p>
    <w:p w14:paraId="250C1039">
      <w:pPr>
        <w:pStyle w:val="1321"/>
        <w:widowControl w:val="0"/>
        <w:adjustRightInd w:val="0"/>
        <w:snapToGrid w:val="0"/>
        <w:spacing w:line="360" w:lineRule="auto"/>
        <w:ind w:firstLine="200"/>
        <w:jc w:val="both"/>
        <w:rPr>
          <w:rFonts w:ascii="仿宋" w:hAnsi="仿宋"/>
          <w:color w:val="auto"/>
          <w:kern w:val="0"/>
          <w:szCs w:val="21"/>
          <w:highlight w:val="none"/>
        </w:rPr>
      </w:pPr>
      <w:r>
        <w:rPr>
          <w:rFonts w:ascii="仿宋" w:hAnsi="仿宋"/>
          <w:color w:val="auto"/>
          <w:kern w:val="0"/>
          <w:szCs w:val="21"/>
          <w:highlight w:val="none"/>
        </w:rPr>
        <w:t xml:space="preserve">  E.法定代表人或负责人或实际控制人存在近姻亲关系</w:t>
      </w:r>
    </w:p>
    <w:p w14:paraId="5E05ABF1">
      <w:pPr>
        <w:pStyle w:val="1321"/>
        <w:widowControl w:val="0"/>
        <w:adjustRightInd w:val="0"/>
        <w:snapToGrid w:val="0"/>
        <w:spacing w:line="360" w:lineRule="auto"/>
        <w:ind w:firstLine="200"/>
        <w:jc w:val="both"/>
        <w:rPr>
          <w:rFonts w:ascii="仿宋" w:hAnsi="仿宋"/>
          <w:color w:val="auto"/>
          <w:kern w:val="0"/>
          <w:szCs w:val="21"/>
          <w:highlight w:val="none"/>
        </w:rPr>
      </w:pPr>
      <w:r>
        <w:rPr>
          <w:rFonts w:ascii="仿宋" w:hAnsi="仿宋"/>
          <w:color w:val="auto"/>
          <w:kern w:val="0"/>
          <w:szCs w:val="21"/>
          <w:highlight w:val="none"/>
        </w:rPr>
        <w:t xml:space="preserve">  F.法定代表人或负责人或实际控制人存在股份控制或实际控制关系</w:t>
      </w:r>
    </w:p>
    <w:p w14:paraId="2A811E9B">
      <w:pPr>
        <w:pStyle w:val="1321"/>
        <w:widowControl w:val="0"/>
        <w:adjustRightInd w:val="0"/>
        <w:snapToGrid w:val="0"/>
        <w:spacing w:line="360" w:lineRule="auto"/>
        <w:ind w:firstLine="200"/>
        <w:jc w:val="both"/>
        <w:rPr>
          <w:rFonts w:ascii="仿宋" w:hAnsi="仿宋"/>
          <w:color w:val="auto"/>
          <w:kern w:val="0"/>
          <w:szCs w:val="21"/>
          <w:highlight w:val="none"/>
        </w:rPr>
      </w:pPr>
      <w:r>
        <w:rPr>
          <w:rFonts w:ascii="仿宋" w:hAnsi="仿宋"/>
          <w:color w:val="auto"/>
          <w:kern w:val="0"/>
          <w:szCs w:val="21"/>
          <w:highlight w:val="none"/>
        </w:rPr>
        <w:t xml:space="preserve">  G.存在共同直接或间接投资设立子公司、联营企业和合营企业情况</w:t>
      </w:r>
    </w:p>
    <w:p w14:paraId="1C7F528C">
      <w:pPr>
        <w:pStyle w:val="1321"/>
        <w:widowControl w:val="0"/>
        <w:adjustRightInd w:val="0"/>
        <w:snapToGrid w:val="0"/>
        <w:spacing w:line="360" w:lineRule="auto"/>
        <w:ind w:firstLine="200"/>
        <w:jc w:val="both"/>
        <w:rPr>
          <w:rFonts w:ascii="仿宋" w:hAnsi="仿宋"/>
          <w:color w:val="auto"/>
          <w:szCs w:val="21"/>
          <w:highlight w:val="none"/>
        </w:rPr>
      </w:pPr>
      <w:r>
        <w:rPr>
          <w:rFonts w:ascii="仿宋" w:hAnsi="仿宋"/>
          <w:color w:val="auto"/>
          <w:kern w:val="0"/>
          <w:szCs w:val="21"/>
          <w:highlight w:val="none"/>
        </w:rPr>
        <w:t xml:space="preserve">  H.存在分级代理或代销关系、同一生产制造商关系、</w:t>
      </w:r>
      <w:r>
        <w:rPr>
          <w:rFonts w:ascii="仿宋" w:hAnsi="仿宋"/>
          <w:color w:val="auto"/>
          <w:szCs w:val="21"/>
          <w:highlight w:val="none"/>
        </w:rPr>
        <w:t>管理关系、重要业务（占主营业务收入50%以上）或重要财务往来关系（如融资）等其他实质性控制关系</w:t>
      </w:r>
    </w:p>
    <w:p w14:paraId="2482C85C">
      <w:pPr>
        <w:pStyle w:val="1321"/>
        <w:widowControl w:val="0"/>
        <w:adjustRightInd w:val="0"/>
        <w:snapToGrid w:val="0"/>
        <w:spacing w:line="360" w:lineRule="auto"/>
        <w:ind w:firstLine="200"/>
        <w:jc w:val="both"/>
        <w:rPr>
          <w:rFonts w:ascii="仿宋" w:hAnsi="仿宋"/>
          <w:color w:val="auto"/>
          <w:spacing w:val="6"/>
          <w:szCs w:val="21"/>
          <w:highlight w:val="none"/>
        </w:rPr>
      </w:pPr>
      <w:r>
        <w:rPr>
          <w:rFonts w:ascii="仿宋" w:hAnsi="仿宋"/>
          <w:color w:val="auto"/>
          <w:szCs w:val="21"/>
          <w:highlight w:val="none"/>
        </w:rPr>
        <w:t xml:space="preserve">   I</w:t>
      </w:r>
      <w:r>
        <w:rPr>
          <w:rFonts w:ascii="仿宋" w:hAnsi="仿宋"/>
          <w:color w:val="auto"/>
          <w:kern w:val="0"/>
          <w:szCs w:val="21"/>
          <w:highlight w:val="none"/>
        </w:rPr>
        <w:t>.</w:t>
      </w:r>
      <w:r>
        <w:rPr>
          <w:rFonts w:ascii="仿宋" w:hAnsi="仿宋"/>
          <w:color w:val="auto"/>
          <w:szCs w:val="21"/>
          <w:highlight w:val="none"/>
        </w:rPr>
        <w:t>其他利害关系情况</w:t>
      </w:r>
      <w:r>
        <w:rPr>
          <w:rFonts w:ascii="仿宋" w:hAnsi="仿宋"/>
          <w:color w:val="auto"/>
          <w:szCs w:val="21"/>
          <w:highlight w:val="none"/>
          <w:u w:val="single"/>
        </w:rPr>
        <w:t xml:space="preserve">                              </w:t>
      </w:r>
      <w:r>
        <w:rPr>
          <w:rFonts w:ascii="仿宋" w:hAnsi="仿宋"/>
          <w:color w:val="auto"/>
          <w:kern w:val="0"/>
          <w:szCs w:val="21"/>
          <w:highlight w:val="none"/>
        </w:rPr>
        <w:t>。</w:t>
      </w:r>
    </w:p>
    <w:p w14:paraId="25D99B16">
      <w:pPr>
        <w:pStyle w:val="1322"/>
        <w:widowControl/>
        <w:numPr>
          <w:ilvl w:val="0"/>
          <w:numId w:val="12"/>
        </w:numPr>
        <w:adjustRightInd w:val="0"/>
        <w:snapToGrid w:val="0"/>
        <w:spacing w:line="360" w:lineRule="auto"/>
        <w:ind w:firstLine="396" w:firstLineChars="189"/>
        <w:rPr>
          <w:rFonts w:ascii="仿宋" w:hAnsi="仿宋"/>
          <w:color w:val="auto"/>
          <w:kern w:val="0"/>
          <w:szCs w:val="21"/>
          <w:highlight w:val="none"/>
        </w:rPr>
      </w:pPr>
      <w:r>
        <w:rPr>
          <w:rFonts w:ascii="仿宋" w:hAnsi="仿宋"/>
          <w:color w:val="auto"/>
          <w:szCs w:val="21"/>
          <w:highlight w:val="none"/>
        </w:rPr>
        <w:t>现已清楚知道并</w:t>
      </w:r>
      <w:r>
        <w:rPr>
          <w:rFonts w:ascii="仿宋" w:hAnsi="仿宋"/>
          <w:color w:val="auto"/>
          <w:kern w:val="0"/>
          <w:szCs w:val="21"/>
          <w:highlight w:val="none"/>
        </w:rPr>
        <w:t>严格遵守政府采购法律法规和现场纪律。</w:t>
      </w:r>
    </w:p>
    <w:p w14:paraId="0021F79F">
      <w:pPr>
        <w:pStyle w:val="1322"/>
        <w:widowControl/>
        <w:numPr>
          <w:ilvl w:val="0"/>
          <w:numId w:val="12"/>
        </w:numPr>
        <w:adjustRightInd w:val="0"/>
        <w:snapToGrid w:val="0"/>
        <w:spacing w:line="360" w:lineRule="auto"/>
        <w:ind w:firstLine="396" w:firstLineChars="189"/>
        <w:rPr>
          <w:rFonts w:ascii="仿宋" w:hAnsi="仿宋"/>
          <w:color w:val="auto"/>
          <w:kern w:val="0"/>
          <w:szCs w:val="21"/>
          <w:highlight w:val="none"/>
        </w:rPr>
      </w:pPr>
      <w:r>
        <w:rPr>
          <w:rFonts w:ascii="仿宋" w:hAnsi="仿宋"/>
          <w:color w:val="auto"/>
          <w:kern w:val="0"/>
          <w:szCs w:val="21"/>
          <w:highlight w:val="none"/>
        </w:rPr>
        <w:t>我发现</w:t>
      </w:r>
      <w:r>
        <w:rPr>
          <w:rFonts w:ascii="仿宋" w:hAnsi="仿宋"/>
          <w:color w:val="auto"/>
          <w:kern w:val="0"/>
          <w:szCs w:val="21"/>
          <w:highlight w:val="none"/>
          <w:u w:val="single"/>
        </w:rPr>
        <w:t xml:space="preserve">                    </w:t>
      </w:r>
      <w:r>
        <w:rPr>
          <w:rFonts w:ascii="仿宋" w:hAnsi="仿宋"/>
          <w:color w:val="auto"/>
          <w:kern w:val="0"/>
          <w:szCs w:val="21"/>
          <w:highlight w:val="none"/>
        </w:rPr>
        <w:t>供应商之间存在或可能存在上述第二条第</w:t>
      </w:r>
      <w:r>
        <w:rPr>
          <w:rFonts w:ascii="仿宋" w:hAnsi="仿宋"/>
          <w:color w:val="auto"/>
          <w:kern w:val="0"/>
          <w:szCs w:val="21"/>
          <w:highlight w:val="none"/>
          <w:u w:val="single"/>
        </w:rPr>
        <w:t xml:space="preserve">      </w:t>
      </w:r>
      <w:r>
        <w:rPr>
          <w:rFonts w:hint="default" w:ascii="仿宋" w:hAnsi="仿宋"/>
          <w:color w:val="auto"/>
          <w:kern w:val="0"/>
          <w:szCs w:val="21"/>
          <w:highlight w:val="none"/>
          <w:u w:val="single"/>
        </w:rPr>
        <w:t xml:space="preserve">  </w:t>
      </w:r>
      <w:r>
        <w:rPr>
          <w:rFonts w:ascii="仿宋" w:hAnsi="仿宋"/>
          <w:color w:val="auto"/>
          <w:kern w:val="0"/>
          <w:szCs w:val="21"/>
          <w:highlight w:val="none"/>
        </w:rPr>
        <w:t>项利害关系。</w:t>
      </w:r>
    </w:p>
    <w:p w14:paraId="75732B36">
      <w:pPr>
        <w:pStyle w:val="1322"/>
        <w:widowControl/>
        <w:adjustRightInd w:val="0"/>
        <w:snapToGrid w:val="0"/>
        <w:spacing w:line="360" w:lineRule="auto"/>
        <w:rPr>
          <w:rFonts w:ascii="仿宋" w:hAnsi="仿宋"/>
          <w:color w:val="auto"/>
          <w:kern w:val="0"/>
          <w:szCs w:val="21"/>
          <w:highlight w:val="none"/>
        </w:rPr>
      </w:pPr>
    </w:p>
    <w:p w14:paraId="20286BE1">
      <w:pPr>
        <w:pStyle w:val="1322"/>
        <w:widowControl/>
        <w:adjustRightInd w:val="0"/>
        <w:snapToGrid w:val="0"/>
        <w:spacing w:line="360" w:lineRule="auto"/>
        <w:rPr>
          <w:rFonts w:ascii="仿宋" w:hAnsi="仿宋"/>
          <w:color w:val="auto"/>
          <w:kern w:val="0"/>
          <w:szCs w:val="21"/>
          <w:highlight w:val="none"/>
        </w:rPr>
      </w:pPr>
    </w:p>
    <w:p w14:paraId="20CE03DB">
      <w:pPr>
        <w:pStyle w:val="1321"/>
        <w:widowControl w:val="0"/>
        <w:adjustRightInd w:val="0"/>
        <w:snapToGrid w:val="0"/>
        <w:spacing w:line="360" w:lineRule="auto"/>
        <w:ind w:firstLine="420" w:firstLineChars="200"/>
        <w:jc w:val="both"/>
        <w:rPr>
          <w:rFonts w:ascii="仿宋" w:hAnsi="仿宋"/>
          <w:color w:val="auto"/>
          <w:szCs w:val="21"/>
          <w:highlight w:val="none"/>
        </w:rPr>
      </w:pPr>
      <w:r>
        <w:rPr>
          <w:rFonts w:ascii="仿宋" w:hAnsi="仿宋"/>
          <w:color w:val="auto"/>
          <w:szCs w:val="21"/>
          <w:highlight w:val="none"/>
        </w:rPr>
        <w:t xml:space="preserve">                                                （供应商代表签名）</w:t>
      </w:r>
    </w:p>
    <w:p w14:paraId="5ABF1ED3">
      <w:pPr>
        <w:adjustRightInd w:val="0"/>
        <w:snapToGrid w:val="0"/>
        <w:spacing w:line="360" w:lineRule="auto"/>
        <w:jc w:val="right"/>
        <w:rPr>
          <w:color w:val="auto"/>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年</w:t>
      </w:r>
      <w:r>
        <w:rPr>
          <w:rFonts w:hint="eastAsia"/>
          <w:color w:val="auto"/>
          <w:szCs w:val="21"/>
          <w:highlight w:val="none"/>
        </w:rPr>
        <w:t xml:space="preserve">  </w:t>
      </w:r>
      <w:r>
        <w:rPr>
          <w:color w:val="auto"/>
          <w:szCs w:val="21"/>
          <w:highlight w:val="none"/>
        </w:rPr>
        <w:t>月</w:t>
      </w:r>
      <w:r>
        <w:rPr>
          <w:rFonts w:hint="eastAsia"/>
          <w:color w:val="auto"/>
          <w:szCs w:val="21"/>
          <w:highlight w:val="none"/>
        </w:rPr>
        <w:t xml:space="preserve">  </w:t>
      </w:r>
      <w:r>
        <w:rPr>
          <w:color w:val="auto"/>
          <w:szCs w:val="21"/>
          <w:highlight w:val="none"/>
        </w:rPr>
        <w:t>日</w:t>
      </w:r>
    </w:p>
    <w:p w14:paraId="208228BE">
      <w:pPr>
        <w:spacing w:line="360" w:lineRule="auto"/>
        <w:rPr>
          <w:color w:val="auto"/>
          <w:highlight w:val="none"/>
        </w:rPr>
      </w:pPr>
      <w:r>
        <w:rPr>
          <w:color w:val="auto"/>
          <w:highlight w:val="none"/>
        </w:rPr>
        <w:br w:type="page"/>
      </w:r>
      <w:r>
        <w:rPr>
          <w:rFonts w:hint="eastAsia"/>
          <w:color w:val="auto"/>
          <w:highlight w:val="none"/>
        </w:rPr>
        <w:t>附件2</w:t>
      </w:r>
    </w:p>
    <w:p w14:paraId="6547EBC1">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中标通知书接收函</w:t>
      </w:r>
    </w:p>
    <w:p w14:paraId="0113A5EC">
      <w:pPr>
        <w:spacing w:line="360" w:lineRule="auto"/>
        <w:rPr>
          <w:color w:val="auto"/>
          <w:sz w:val="24"/>
          <w:highlight w:val="none"/>
        </w:rPr>
      </w:pPr>
    </w:p>
    <w:p w14:paraId="1A6EE4E7">
      <w:pPr>
        <w:adjustRightInd w:val="0"/>
        <w:snapToGrid w:val="0"/>
        <w:spacing w:line="360" w:lineRule="auto"/>
        <w:ind w:firstLine="547" w:firstLineChars="228"/>
        <w:rPr>
          <w:rFonts w:hint="eastAsia" w:ascii="宋体" w:hAnsi="宋体" w:cs="宋体"/>
          <w:color w:val="auto"/>
          <w:sz w:val="24"/>
          <w:highlight w:val="none"/>
        </w:rPr>
      </w:pPr>
    </w:p>
    <w:p w14:paraId="1EE3FAB9">
      <w:pPr>
        <w:spacing w:line="360" w:lineRule="auto"/>
        <w:ind w:firstLine="480" w:firstLineChars="200"/>
        <w:rPr>
          <w:color w:val="auto"/>
          <w:sz w:val="24"/>
          <w:highlight w:val="none"/>
          <w:u w:val="single"/>
        </w:rPr>
      </w:pPr>
      <w:r>
        <w:rPr>
          <w:rFonts w:hint="eastAsia"/>
          <w:color w:val="auto"/>
          <w:sz w:val="24"/>
          <w:highlight w:val="none"/>
        </w:rPr>
        <w:t>我公司接收本项目中标通知书的邮箱为：</w:t>
      </w:r>
      <w:r>
        <w:rPr>
          <w:rFonts w:hint="eastAsia"/>
          <w:color w:val="auto"/>
          <w:sz w:val="24"/>
          <w:highlight w:val="none"/>
          <w:u w:val="single"/>
        </w:rPr>
        <w:t xml:space="preserve">                                 </w:t>
      </w:r>
    </w:p>
    <w:p w14:paraId="3BFFDA17">
      <w:pPr>
        <w:spacing w:line="360" w:lineRule="auto"/>
        <w:rPr>
          <w:color w:val="auto"/>
          <w:sz w:val="24"/>
          <w:highlight w:val="none"/>
        </w:rPr>
      </w:pPr>
    </w:p>
    <w:p w14:paraId="43382AA9">
      <w:pPr>
        <w:snapToGrid w:val="0"/>
        <w:spacing w:line="360" w:lineRule="auto"/>
        <w:rPr>
          <w:color w:val="auto"/>
          <w:highlight w:val="none"/>
          <w:u w:val="single"/>
        </w:rPr>
      </w:pPr>
    </w:p>
    <w:p w14:paraId="7E4EEB0D">
      <w:pPr>
        <w:snapToGrid w:val="0"/>
        <w:spacing w:line="360" w:lineRule="auto"/>
        <w:rPr>
          <w:color w:val="auto"/>
          <w:sz w:val="24"/>
          <w:highlight w:val="none"/>
        </w:rPr>
      </w:pPr>
      <w:r>
        <w:rPr>
          <w:rFonts w:hint="eastAsia"/>
          <w:color w:val="auto"/>
          <w:sz w:val="24"/>
          <w:highlight w:val="none"/>
        </w:rPr>
        <w:t>供应商</w:t>
      </w:r>
      <w:r>
        <w:rPr>
          <w:color w:val="auto"/>
          <w:sz w:val="24"/>
          <w:highlight w:val="none"/>
        </w:rPr>
        <w:t>全称（</w:t>
      </w:r>
      <w:r>
        <w:rPr>
          <w:rFonts w:hint="eastAsia"/>
          <w:color w:val="auto"/>
          <w:sz w:val="24"/>
          <w:highlight w:val="none"/>
        </w:rPr>
        <w:t>盖单位公章或电子签章</w:t>
      </w:r>
      <w:r>
        <w:rPr>
          <w:color w:val="auto"/>
          <w:sz w:val="24"/>
          <w:highlight w:val="none"/>
        </w:rPr>
        <w:t>）：</w:t>
      </w:r>
    </w:p>
    <w:p w14:paraId="22991D24">
      <w:pPr>
        <w:snapToGrid w:val="0"/>
        <w:spacing w:line="360" w:lineRule="auto"/>
        <w:rPr>
          <w:color w:val="auto"/>
          <w:sz w:val="24"/>
          <w:highlight w:val="none"/>
        </w:rPr>
      </w:pPr>
      <w:r>
        <w:rPr>
          <w:color w:val="auto"/>
          <w:sz w:val="24"/>
          <w:highlight w:val="none"/>
        </w:rPr>
        <w:t>日期：  年  月  日</w:t>
      </w:r>
    </w:p>
    <w:p w14:paraId="65733A85">
      <w:pPr>
        <w:snapToGrid w:val="0"/>
        <w:spacing w:line="360" w:lineRule="auto"/>
        <w:rPr>
          <w:color w:val="auto"/>
          <w:sz w:val="24"/>
          <w:highlight w:val="none"/>
        </w:rPr>
      </w:pPr>
    </w:p>
    <w:p w14:paraId="37DCDE95">
      <w:pPr>
        <w:rPr>
          <w:color w:val="auto"/>
          <w:highlight w:val="none"/>
        </w:rPr>
      </w:pPr>
    </w:p>
    <w:p w14:paraId="4403FF27">
      <w:pPr>
        <w:snapToGrid w:val="0"/>
        <w:spacing w:line="360" w:lineRule="auto"/>
        <w:rPr>
          <w:color w:val="auto"/>
          <w:sz w:val="24"/>
          <w:highlight w:val="none"/>
        </w:rPr>
      </w:pPr>
      <w:r>
        <w:rPr>
          <w:rFonts w:hint="eastAsia"/>
          <w:color w:val="auto"/>
          <w:sz w:val="24"/>
          <w:highlight w:val="none"/>
        </w:rPr>
        <w:t>通讯地址：</w:t>
      </w:r>
    </w:p>
    <w:p w14:paraId="4E032E5B">
      <w:pPr>
        <w:snapToGrid w:val="0"/>
        <w:spacing w:line="360" w:lineRule="auto"/>
        <w:rPr>
          <w:color w:val="auto"/>
          <w:sz w:val="24"/>
          <w:highlight w:val="none"/>
        </w:rPr>
      </w:pPr>
      <w:r>
        <w:rPr>
          <w:rFonts w:hint="eastAsia"/>
          <w:color w:val="auto"/>
          <w:sz w:val="24"/>
          <w:highlight w:val="none"/>
        </w:rPr>
        <w:t>联系人：</w:t>
      </w:r>
    </w:p>
    <w:p w14:paraId="5DFFA3E7">
      <w:pPr>
        <w:snapToGrid w:val="0"/>
        <w:spacing w:line="360" w:lineRule="auto"/>
        <w:rPr>
          <w:color w:val="auto"/>
          <w:sz w:val="24"/>
          <w:highlight w:val="none"/>
        </w:rPr>
      </w:pPr>
      <w:r>
        <w:rPr>
          <w:rFonts w:hint="eastAsia"/>
          <w:color w:val="auto"/>
          <w:sz w:val="24"/>
          <w:highlight w:val="none"/>
        </w:rPr>
        <w:t>联系手机：</w:t>
      </w:r>
    </w:p>
    <w:p w14:paraId="4DF01AFC">
      <w:pPr>
        <w:rPr>
          <w:color w:val="auto"/>
          <w:highlight w:val="none"/>
        </w:rPr>
      </w:pPr>
    </w:p>
    <w:p w14:paraId="4A191EAB">
      <w:pPr>
        <w:rPr>
          <w:color w:val="auto"/>
          <w:highlight w:val="none"/>
        </w:rPr>
      </w:pPr>
    </w:p>
    <w:p w14:paraId="190741F9">
      <w:pPr>
        <w:rPr>
          <w:color w:val="auto"/>
          <w:highlight w:val="none"/>
        </w:rPr>
      </w:pPr>
    </w:p>
    <w:p w14:paraId="5B2E4A41">
      <w:pPr>
        <w:spacing w:line="240" w:lineRule="atLeast"/>
        <w:rPr>
          <w:rFonts w:hint="eastAsia" w:ascii="宋体" w:hAnsi="宋体"/>
          <w:b/>
          <w:color w:val="auto"/>
          <w:highlight w:val="none"/>
        </w:rPr>
      </w:pPr>
      <w:r>
        <w:rPr>
          <w:rFonts w:ascii="宋体" w:hAnsi="宋体"/>
          <w:b/>
          <w:color w:val="auto"/>
          <w:highlight w:val="none"/>
        </w:rPr>
        <w:t>───────────────────────────────────────────</w:t>
      </w:r>
    </w:p>
    <w:p w14:paraId="2FF7303A">
      <w:pPr>
        <w:spacing w:line="240" w:lineRule="atLeast"/>
        <w:jc w:val="center"/>
        <w:rPr>
          <w:rFonts w:hint="eastAsia" w:ascii="宋体" w:hAnsi="宋体"/>
          <w:b/>
          <w:color w:val="auto"/>
          <w:highlight w:val="none"/>
        </w:rPr>
      </w:pPr>
    </w:p>
    <w:p w14:paraId="44E56C21">
      <w:pPr>
        <w:spacing w:line="360" w:lineRule="auto"/>
        <w:rPr>
          <w:rFonts w:hint="eastAsia" w:ascii="宋体" w:hAnsi="宋体" w:cs="宋体"/>
          <w:color w:val="auto"/>
          <w:sz w:val="24"/>
          <w:highlight w:val="none"/>
        </w:rPr>
      </w:pPr>
    </w:p>
    <w:p w14:paraId="75B9CD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w:t>
      </w:r>
    </w:p>
    <w:p w14:paraId="1CB28510">
      <w:pPr>
        <w:pStyle w:val="781"/>
        <w:spacing w:line="360" w:lineRule="auto"/>
        <w:ind w:left="0" w:leftChars="0" w:firstLine="629" w:firstLineChars="0"/>
        <w:rPr>
          <w:rFonts w:ascii="Times New Roman" w:hAnsi="Times New Roman"/>
          <w:b w:val="0"/>
          <w:bCs w:val="0"/>
          <w:color w:val="auto"/>
          <w:sz w:val="24"/>
          <w:szCs w:val="24"/>
          <w:highlight w:val="none"/>
        </w:rPr>
      </w:pPr>
    </w:p>
    <w:p w14:paraId="6783730B">
      <w:pPr>
        <w:pStyle w:val="781"/>
        <w:spacing w:line="360" w:lineRule="auto"/>
        <w:ind w:left="0" w:leftChars="0" w:firstLine="480" w:firstLineChars="200"/>
        <w:rPr>
          <w:rFonts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中标通知书扫描件会发送至投标人指定邮箱，投标人收到邮件即视为收到中标通知书，须在收到中标通知书之日起30日内与采购人签订合同。</w:t>
      </w:r>
    </w:p>
    <w:p w14:paraId="0D1296E0">
      <w:pPr>
        <w:pStyle w:val="781"/>
        <w:ind w:left="0" w:leftChars="0" w:firstLine="480" w:firstLineChars="200"/>
        <w:rPr>
          <w:rFonts w:ascii="Times New Roman" w:hAnsi="Times New Roman"/>
          <w:b w:val="0"/>
          <w:bCs w:val="0"/>
          <w:color w:val="auto"/>
          <w:sz w:val="24"/>
          <w:szCs w:val="24"/>
          <w:highlight w:val="none"/>
        </w:rPr>
      </w:pPr>
      <w:r>
        <w:rPr>
          <w:rFonts w:hint="eastAsia" w:ascii="Times New Roman" w:hAnsi="Times New Roman"/>
          <w:b w:val="0"/>
          <w:bCs w:val="0"/>
          <w:color w:val="auto"/>
          <w:sz w:val="24"/>
          <w:szCs w:val="24"/>
          <w:highlight w:val="none"/>
        </w:rPr>
        <w:t>如需中标通知书原件，请联系招标代理机构项目负责人现场或邮寄获得。</w:t>
      </w:r>
    </w:p>
    <w:p w14:paraId="3009D43A">
      <w:pPr>
        <w:spacing w:line="360" w:lineRule="auto"/>
        <w:jc w:val="left"/>
        <w:rPr>
          <w:b/>
          <w:color w:val="auto"/>
          <w:spacing w:val="6"/>
          <w:szCs w:val="21"/>
          <w:highlight w:val="none"/>
        </w:rPr>
      </w:pPr>
      <w:r>
        <w:rPr>
          <w:rFonts w:hint="eastAsia"/>
          <w:color w:val="auto"/>
          <w:sz w:val="24"/>
          <w:highlight w:val="none"/>
        </w:rPr>
        <w:br w:type="page"/>
      </w:r>
      <w:r>
        <w:rPr>
          <w:b/>
          <w:color w:val="auto"/>
          <w:spacing w:val="6"/>
          <w:szCs w:val="21"/>
          <w:highlight w:val="none"/>
        </w:rPr>
        <w:t>附件3：质疑函范本及制作说明</w:t>
      </w:r>
    </w:p>
    <w:p w14:paraId="3742C286">
      <w:pPr>
        <w:spacing w:line="360" w:lineRule="auto"/>
        <w:jc w:val="center"/>
        <w:rPr>
          <w:b/>
          <w:color w:val="auto"/>
          <w:spacing w:val="6"/>
          <w:szCs w:val="21"/>
          <w:highlight w:val="none"/>
        </w:rPr>
      </w:pPr>
      <w:r>
        <w:rPr>
          <w:b/>
          <w:color w:val="auto"/>
          <w:spacing w:val="6"/>
          <w:szCs w:val="21"/>
          <w:highlight w:val="none"/>
        </w:rPr>
        <w:t>质疑函范本</w:t>
      </w:r>
    </w:p>
    <w:p w14:paraId="07E368BF">
      <w:pPr>
        <w:snapToGrid w:val="0"/>
        <w:spacing w:before="240" w:beforeLines="100" w:line="360" w:lineRule="auto"/>
        <w:rPr>
          <w:bCs/>
          <w:color w:val="auto"/>
          <w:szCs w:val="21"/>
          <w:highlight w:val="none"/>
        </w:rPr>
      </w:pPr>
      <w:r>
        <w:rPr>
          <w:bCs/>
          <w:color w:val="auto"/>
          <w:szCs w:val="21"/>
          <w:highlight w:val="none"/>
        </w:rPr>
        <w:t>一、质疑供应商基本信息</w:t>
      </w:r>
    </w:p>
    <w:p w14:paraId="52228174">
      <w:pPr>
        <w:snapToGrid w:val="0"/>
        <w:spacing w:line="360" w:lineRule="auto"/>
        <w:rPr>
          <w:color w:val="auto"/>
          <w:szCs w:val="21"/>
          <w:highlight w:val="none"/>
          <w:u w:val="dotted"/>
        </w:rPr>
      </w:pPr>
      <w:r>
        <w:rPr>
          <w:color w:val="auto"/>
          <w:szCs w:val="21"/>
          <w:highlight w:val="none"/>
        </w:rPr>
        <w:t>质疑供应商：</w:t>
      </w:r>
      <w:r>
        <w:rPr>
          <w:color w:val="auto"/>
          <w:szCs w:val="21"/>
          <w:highlight w:val="none"/>
          <w:u w:val="dotted"/>
        </w:rPr>
        <w:t xml:space="preserve">                                        </w:t>
      </w:r>
    </w:p>
    <w:p w14:paraId="1A35FB9B">
      <w:pPr>
        <w:snapToGrid w:val="0"/>
        <w:spacing w:line="360" w:lineRule="auto"/>
        <w:rPr>
          <w:color w:val="auto"/>
          <w:szCs w:val="21"/>
          <w:highlight w:val="none"/>
        </w:rPr>
      </w:pPr>
      <w:r>
        <w:rPr>
          <w:color w:val="auto"/>
          <w:szCs w:val="21"/>
          <w:highlight w:val="none"/>
        </w:rPr>
        <w:t>地址：</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p>
    <w:p w14:paraId="44BF50B9">
      <w:pPr>
        <w:snapToGrid w:val="0"/>
        <w:spacing w:line="360" w:lineRule="auto"/>
        <w:rPr>
          <w:color w:val="auto"/>
          <w:szCs w:val="21"/>
          <w:highlight w:val="none"/>
        </w:rPr>
      </w:pPr>
      <w:r>
        <w:rPr>
          <w:color w:val="auto"/>
          <w:szCs w:val="21"/>
          <w:highlight w:val="none"/>
        </w:rPr>
        <w:t>联系人：</w:t>
      </w:r>
      <w:r>
        <w:rPr>
          <w:color w:val="auto"/>
          <w:szCs w:val="21"/>
          <w:highlight w:val="none"/>
          <w:u w:val="dotted"/>
        </w:rPr>
        <w:t xml:space="preserve">                      </w:t>
      </w:r>
      <w:r>
        <w:rPr>
          <w:color w:val="auto"/>
          <w:szCs w:val="21"/>
          <w:highlight w:val="none"/>
        </w:rPr>
        <w:t>联系电话：</w:t>
      </w:r>
      <w:r>
        <w:rPr>
          <w:color w:val="auto"/>
          <w:szCs w:val="21"/>
          <w:highlight w:val="none"/>
          <w:u w:val="dotted"/>
        </w:rPr>
        <w:t xml:space="preserve">                              </w:t>
      </w:r>
    </w:p>
    <w:p w14:paraId="643D34F9">
      <w:pPr>
        <w:snapToGrid w:val="0"/>
        <w:spacing w:line="360" w:lineRule="auto"/>
        <w:rPr>
          <w:color w:val="auto"/>
          <w:szCs w:val="21"/>
          <w:highlight w:val="none"/>
          <w:u w:val="dotted"/>
        </w:rPr>
      </w:pPr>
      <w:r>
        <w:rPr>
          <w:color w:val="auto"/>
          <w:szCs w:val="21"/>
          <w:highlight w:val="none"/>
        </w:rPr>
        <w:t>授权代表：</w:t>
      </w:r>
      <w:r>
        <w:rPr>
          <w:color w:val="auto"/>
          <w:szCs w:val="21"/>
          <w:highlight w:val="none"/>
          <w:u w:val="dotted"/>
        </w:rPr>
        <w:t xml:space="preserve">                                          </w:t>
      </w:r>
    </w:p>
    <w:p w14:paraId="693CC19C">
      <w:pPr>
        <w:snapToGrid w:val="0"/>
        <w:spacing w:line="360" w:lineRule="auto"/>
        <w:rPr>
          <w:color w:val="auto"/>
          <w:szCs w:val="21"/>
          <w:highlight w:val="none"/>
        </w:rPr>
      </w:pPr>
      <w:r>
        <w:rPr>
          <w:color w:val="auto"/>
          <w:szCs w:val="21"/>
          <w:highlight w:val="none"/>
        </w:rPr>
        <w:t>联系电话：</w:t>
      </w:r>
      <w:r>
        <w:rPr>
          <w:color w:val="auto"/>
          <w:szCs w:val="21"/>
          <w:highlight w:val="none"/>
          <w:u w:val="dotted"/>
        </w:rPr>
        <w:t xml:space="preserve">                                           </w:t>
      </w:r>
      <w:r>
        <w:rPr>
          <w:color w:val="auto"/>
          <w:szCs w:val="21"/>
          <w:highlight w:val="none"/>
        </w:rPr>
        <w:t xml:space="preserve"> </w:t>
      </w:r>
    </w:p>
    <w:p w14:paraId="7A11198E">
      <w:pPr>
        <w:snapToGrid w:val="0"/>
        <w:spacing w:line="360" w:lineRule="auto"/>
        <w:rPr>
          <w:color w:val="auto"/>
          <w:szCs w:val="21"/>
          <w:highlight w:val="none"/>
        </w:rPr>
      </w:pPr>
      <w:r>
        <w:rPr>
          <w:color w:val="auto"/>
          <w:szCs w:val="21"/>
          <w:highlight w:val="none"/>
        </w:rPr>
        <w:t xml:space="preserve">地址： </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p>
    <w:p w14:paraId="19B17195">
      <w:pPr>
        <w:snapToGrid w:val="0"/>
        <w:spacing w:line="360" w:lineRule="auto"/>
        <w:rPr>
          <w:bCs/>
          <w:color w:val="auto"/>
          <w:szCs w:val="21"/>
          <w:highlight w:val="none"/>
        </w:rPr>
      </w:pPr>
      <w:r>
        <w:rPr>
          <w:bCs/>
          <w:color w:val="auto"/>
          <w:szCs w:val="21"/>
          <w:highlight w:val="none"/>
        </w:rPr>
        <w:t>二、质疑项目基本情况</w:t>
      </w:r>
    </w:p>
    <w:p w14:paraId="002DB14B">
      <w:pPr>
        <w:snapToGrid w:val="0"/>
        <w:spacing w:line="360" w:lineRule="auto"/>
        <w:rPr>
          <w:color w:val="auto"/>
          <w:szCs w:val="21"/>
          <w:highlight w:val="none"/>
        </w:rPr>
      </w:pPr>
      <w:r>
        <w:rPr>
          <w:color w:val="auto"/>
          <w:szCs w:val="21"/>
          <w:highlight w:val="none"/>
        </w:rPr>
        <w:t>质疑项目的名称：</w:t>
      </w:r>
      <w:r>
        <w:rPr>
          <w:color w:val="auto"/>
          <w:szCs w:val="21"/>
          <w:highlight w:val="none"/>
          <w:u w:val="dotted"/>
        </w:rPr>
        <w:t xml:space="preserve">                                      </w:t>
      </w:r>
    </w:p>
    <w:p w14:paraId="1007CA12">
      <w:pPr>
        <w:snapToGrid w:val="0"/>
        <w:spacing w:line="360" w:lineRule="auto"/>
        <w:rPr>
          <w:color w:val="auto"/>
          <w:szCs w:val="21"/>
          <w:highlight w:val="none"/>
        </w:rPr>
      </w:pPr>
      <w:r>
        <w:rPr>
          <w:color w:val="auto"/>
          <w:szCs w:val="21"/>
          <w:highlight w:val="none"/>
        </w:rPr>
        <w:t>质疑项目的编号：</w:t>
      </w:r>
      <w:r>
        <w:rPr>
          <w:color w:val="auto"/>
          <w:szCs w:val="21"/>
          <w:highlight w:val="none"/>
          <w:u w:val="dotted"/>
        </w:rPr>
        <w:t xml:space="preserve">               </w:t>
      </w:r>
      <w:r>
        <w:rPr>
          <w:color w:val="auto"/>
          <w:szCs w:val="21"/>
          <w:highlight w:val="none"/>
        </w:rPr>
        <w:t>包号：</w:t>
      </w:r>
      <w:r>
        <w:rPr>
          <w:color w:val="auto"/>
          <w:szCs w:val="21"/>
          <w:highlight w:val="none"/>
          <w:u w:val="dotted"/>
        </w:rPr>
        <w:t xml:space="preserve">                 </w:t>
      </w:r>
    </w:p>
    <w:p w14:paraId="7628E3B8">
      <w:pPr>
        <w:snapToGrid w:val="0"/>
        <w:spacing w:line="360" w:lineRule="auto"/>
        <w:rPr>
          <w:color w:val="auto"/>
          <w:szCs w:val="21"/>
          <w:highlight w:val="none"/>
          <w:u w:val="dotted"/>
        </w:rPr>
      </w:pPr>
      <w:r>
        <w:rPr>
          <w:color w:val="auto"/>
          <w:szCs w:val="21"/>
          <w:highlight w:val="none"/>
        </w:rPr>
        <w:t>采购人名称：</w:t>
      </w:r>
      <w:r>
        <w:rPr>
          <w:color w:val="auto"/>
          <w:szCs w:val="21"/>
          <w:highlight w:val="none"/>
          <w:u w:val="dotted"/>
        </w:rPr>
        <w:t xml:space="preserve">                                         </w:t>
      </w:r>
    </w:p>
    <w:p w14:paraId="3F115F62">
      <w:pPr>
        <w:snapToGrid w:val="0"/>
        <w:spacing w:line="360" w:lineRule="auto"/>
        <w:rPr>
          <w:color w:val="auto"/>
          <w:szCs w:val="21"/>
          <w:highlight w:val="none"/>
        </w:rPr>
      </w:pPr>
      <w:r>
        <w:rPr>
          <w:color w:val="auto"/>
          <w:szCs w:val="21"/>
          <w:highlight w:val="none"/>
        </w:rPr>
        <w:t>采购文件获取日期：</w:t>
      </w:r>
      <w:r>
        <w:rPr>
          <w:color w:val="auto"/>
          <w:szCs w:val="21"/>
          <w:highlight w:val="none"/>
          <w:u w:val="dotted"/>
        </w:rPr>
        <w:t xml:space="preserve">                                           </w:t>
      </w:r>
    </w:p>
    <w:p w14:paraId="43F021B0">
      <w:pPr>
        <w:snapToGrid w:val="0"/>
        <w:spacing w:line="360" w:lineRule="auto"/>
        <w:rPr>
          <w:bCs/>
          <w:color w:val="auto"/>
          <w:szCs w:val="21"/>
          <w:highlight w:val="none"/>
        </w:rPr>
      </w:pPr>
      <w:r>
        <w:rPr>
          <w:bCs/>
          <w:color w:val="auto"/>
          <w:szCs w:val="21"/>
          <w:highlight w:val="none"/>
        </w:rPr>
        <w:t>三、质疑事项具体内容</w:t>
      </w:r>
    </w:p>
    <w:p w14:paraId="406BFF7C">
      <w:pPr>
        <w:snapToGrid w:val="0"/>
        <w:spacing w:line="360" w:lineRule="auto"/>
        <w:rPr>
          <w:color w:val="auto"/>
          <w:szCs w:val="21"/>
          <w:highlight w:val="none"/>
          <w:u w:val="dotted"/>
        </w:rPr>
      </w:pPr>
      <w:r>
        <w:rPr>
          <w:color w:val="auto"/>
          <w:szCs w:val="21"/>
          <w:highlight w:val="none"/>
        </w:rPr>
        <w:t>质疑事项1：</w:t>
      </w:r>
      <w:r>
        <w:rPr>
          <w:color w:val="auto"/>
          <w:szCs w:val="21"/>
          <w:highlight w:val="none"/>
          <w:u w:val="dotted"/>
        </w:rPr>
        <w:t xml:space="preserve">                                         </w:t>
      </w:r>
    </w:p>
    <w:p w14:paraId="279A3454">
      <w:pPr>
        <w:snapToGrid w:val="0"/>
        <w:spacing w:line="360" w:lineRule="auto"/>
        <w:rPr>
          <w:color w:val="auto"/>
          <w:szCs w:val="21"/>
          <w:highlight w:val="none"/>
          <w:u w:val="dotted"/>
        </w:rPr>
      </w:pPr>
      <w:r>
        <w:rPr>
          <w:color w:val="auto"/>
          <w:szCs w:val="21"/>
          <w:highlight w:val="none"/>
        </w:rPr>
        <w:t>事实依据：</w:t>
      </w:r>
      <w:r>
        <w:rPr>
          <w:color w:val="auto"/>
          <w:szCs w:val="21"/>
          <w:highlight w:val="none"/>
          <w:u w:val="dotted"/>
        </w:rPr>
        <w:t xml:space="preserve">                                          </w:t>
      </w:r>
    </w:p>
    <w:p w14:paraId="76C3617A">
      <w:pPr>
        <w:snapToGrid w:val="0"/>
        <w:spacing w:line="360" w:lineRule="auto"/>
        <w:rPr>
          <w:color w:val="auto"/>
          <w:szCs w:val="21"/>
          <w:highlight w:val="none"/>
        </w:rPr>
      </w:pPr>
      <w:r>
        <w:rPr>
          <w:color w:val="auto"/>
          <w:szCs w:val="21"/>
          <w:highlight w:val="none"/>
          <w:u w:val="dotted"/>
        </w:rPr>
        <w:t xml:space="preserve">                                                       </w:t>
      </w:r>
    </w:p>
    <w:p w14:paraId="367165AE">
      <w:pPr>
        <w:snapToGrid w:val="0"/>
        <w:spacing w:line="360" w:lineRule="auto"/>
        <w:rPr>
          <w:color w:val="auto"/>
          <w:szCs w:val="21"/>
          <w:highlight w:val="none"/>
          <w:u w:val="dotted"/>
        </w:rPr>
      </w:pPr>
      <w:r>
        <w:rPr>
          <w:color w:val="auto"/>
          <w:szCs w:val="21"/>
          <w:highlight w:val="none"/>
        </w:rPr>
        <w:t>法律依据：</w:t>
      </w:r>
      <w:r>
        <w:rPr>
          <w:color w:val="auto"/>
          <w:szCs w:val="21"/>
          <w:highlight w:val="none"/>
          <w:u w:val="dotted"/>
        </w:rPr>
        <w:t xml:space="preserve">                                          </w:t>
      </w:r>
    </w:p>
    <w:p w14:paraId="56EC49EC">
      <w:pPr>
        <w:snapToGrid w:val="0"/>
        <w:spacing w:line="360" w:lineRule="auto"/>
        <w:rPr>
          <w:color w:val="auto"/>
          <w:szCs w:val="21"/>
          <w:highlight w:val="none"/>
          <w:u w:val="dotted"/>
        </w:rPr>
      </w:pPr>
      <w:r>
        <w:rPr>
          <w:color w:val="auto"/>
          <w:szCs w:val="21"/>
          <w:highlight w:val="none"/>
          <w:u w:val="dotted"/>
        </w:rPr>
        <w:t xml:space="preserve">                                                     </w:t>
      </w:r>
    </w:p>
    <w:p w14:paraId="422D6D55">
      <w:pPr>
        <w:snapToGrid w:val="0"/>
        <w:spacing w:line="360" w:lineRule="auto"/>
        <w:rPr>
          <w:color w:val="auto"/>
          <w:szCs w:val="21"/>
          <w:highlight w:val="none"/>
          <w:u w:val="dotted"/>
        </w:rPr>
      </w:pPr>
      <w:r>
        <w:rPr>
          <w:color w:val="auto"/>
          <w:szCs w:val="21"/>
          <w:highlight w:val="none"/>
        </w:rPr>
        <w:t>质疑事项2</w:t>
      </w:r>
    </w:p>
    <w:p w14:paraId="34D2D597">
      <w:pPr>
        <w:snapToGrid w:val="0"/>
        <w:spacing w:line="360" w:lineRule="auto"/>
        <w:rPr>
          <w:color w:val="auto"/>
          <w:szCs w:val="21"/>
          <w:highlight w:val="none"/>
        </w:rPr>
      </w:pPr>
      <w:r>
        <w:rPr>
          <w:color w:val="auto"/>
          <w:szCs w:val="21"/>
          <w:highlight w:val="none"/>
        </w:rPr>
        <w:t>……</w:t>
      </w:r>
    </w:p>
    <w:p w14:paraId="314FDDCE">
      <w:pPr>
        <w:snapToGrid w:val="0"/>
        <w:spacing w:line="360" w:lineRule="auto"/>
        <w:rPr>
          <w:bCs/>
          <w:color w:val="auto"/>
          <w:szCs w:val="21"/>
          <w:highlight w:val="none"/>
        </w:rPr>
      </w:pPr>
      <w:r>
        <w:rPr>
          <w:bCs/>
          <w:color w:val="auto"/>
          <w:szCs w:val="21"/>
          <w:highlight w:val="none"/>
        </w:rPr>
        <w:t>四、与质疑事项相关的质疑请求</w:t>
      </w:r>
    </w:p>
    <w:p w14:paraId="6343A43B">
      <w:pPr>
        <w:snapToGrid w:val="0"/>
        <w:spacing w:line="360" w:lineRule="auto"/>
        <w:rPr>
          <w:color w:val="auto"/>
          <w:szCs w:val="21"/>
          <w:highlight w:val="none"/>
          <w:u w:val="dotted"/>
        </w:rPr>
      </w:pPr>
      <w:r>
        <w:rPr>
          <w:color w:val="auto"/>
          <w:szCs w:val="21"/>
          <w:highlight w:val="none"/>
        </w:rPr>
        <w:t>请求：</w:t>
      </w:r>
      <w:r>
        <w:rPr>
          <w:color w:val="auto"/>
          <w:szCs w:val="21"/>
          <w:highlight w:val="none"/>
          <w:u w:val="dotted"/>
        </w:rPr>
        <w:t xml:space="preserve">                                               </w:t>
      </w:r>
    </w:p>
    <w:p w14:paraId="691D8BE4">
      <w:pPr>
        <w:spacing w:line="360" w:lineRule="auto"/>
        <w:rPr>
          <w:color w:val="auto"/>
          <w:szCs w:val="21"/>
          <w:highlight w:val="none"/>
        </w:rPr>
      </w:pPr>
      <w:r>
        <w:rPr>
          <w:color w:val="auto"/>
          <w:szCs w:val="21"/>
          <w:highlight w:val="none"/>
        </w:rPr>
        <w:t>签字</w:t>
      </w:r>
      <w:r>
        <w:rPr>
          <w:rFonts w:hint="eastAsia"/>
          <w:color w:val="auto"/>
          <w:szCs w:val="21"/>
          <w:highlight w:val="none"/>
        </w:rPr>
        <w:t>（</w:t>
      </w:r>
      <w:r>
        <w:rPr>
          <w:color w:val="auto"/>
          <w:szCs w:val="21"/>
          <w:highlight w:val="none"/>
        </w:rPr>
        <w:t>签章</w:t>
      </w:r>
      <w:r>
        <w:rPr>
          <w:rFonts w:hint="eastAsia"/>
          <w:color w:val="auto"/>
          <w:szCs w:val="21"/>
          <w:highlight w:val="none"/>
        </w:rPr>
        <w:t>）</w:t>
      </w:r>
      <w:r>
        <w:rPr>
          <w:color w:val="auto"/>
          <w:szCs w:val="21"/>
          <w:highlight w:val="none"/>
        </w:rPr>
        <w:t xml:space="preserve">：                   公章：                      </w:t>
      </w:r>
    </w:p>
    <w:p w14:paraId="2F2FDBF2">
      <w:pPr>
        <w:spacing w:line="360" w:lineRule="auto"/>
        <w:rPr>
          <w:color w:val="auto"/>
          <w:szCs w:val="21"/>
          <w:highlight w:val="none"/>
        </w:rPr>
      </w:pPr>
      <w:r>
        <w:rPr>
          <w:color w:val="auto"/>
          <w:szCs w:val="21"/>
          <w:highlight w:val="none"/>
        </w:rPr>
        <w:t xml:space="preserve">日期：    </w:t>
      </w:r>
    </w:p>
    <w:p w14:paraId="1B48810F">
      <w:pPr>
        <w:spacing w:line="360" w:lineRule="auto"/>
        <w:rPr>
          <w:b/>
          <w:color w:val="auto"/>
          <w:szCs w:val="21"/>
          <w:highlight w:val="none"/>
        </w:rPr>
      </w:pPr>
    </w:p>
    <w:p w14:paraId="6478958B">
      <w:pPr>
        <w:spacing w:line="360" w:lineRule="auto"/>
        <w:rPr>
          <w:b/>
          <w:color w:val="auto"/>
          <w:szCs w:val="21"/>
          <w:highlight w:val="none"/>
        </w:rPr>
      </w:pPr>
    </w:p>
    <w:p w14:paraId="367D5743">
      <w:pPr>
        <w:spacing w:line="360" w:lineRule="auto"/>
        <w:rPr>
          <w:b/>
          <w:color w:val="auto"/>
          <w:szCs w:val="21"/>
          <w:highlight w:val="none"/>
        </w:rPr>
      </w:pPr>
      <w:r>
        <w:rPr>
          <w:b/>
          <w:color w:val="auto"/>
          <w:szCs w:val="21"/>
          <w:highlight w:val="none"/>
        </w:rPr>
        <w:t>质疑函制作说明：</w:t>
      </w:r>
    </w:p>
    <w:p w14:paraId="3DACA569">
      <w:pPr>
        <w:widowControl/>
        <w:spacing w:line="360" w:lineRule="auto"/>
        <w:ind w:firstLine="420" w:firstLineChars="200"/>
        <w:jc w:val="left"/>
        <w:rPr>
          <w:color w:val="auto"/>
          <w:szCs w:val="21"/>
          <w:highlight w:val="none"/>
        </w:rPr>
      </w:pPr>
      <w:r>
        <w:rPr>
          <w:color w:val="auto"/>
          <w:szCs w:val="21"/>
          <w:highlight w:val="none"/>
        </w:rPr>
        <w:t>1.供应商提出质疑时，应提交质疑函和必要的证明材料。</w:t>
      </w:r>
    </w:p>
    <w:p w14:paraId="2CA0AB4B">
      <w:pPr>
        <w:widowControl/>
        <w:spacing w:line="360" w:lineRule="auto"/>
        <w:ind w:firstLine="420" w:firstLineChars="200"/>
        <w:jc w:val="left"/>
        <w:rPr>
          <w:color w:val="auto"/>
          <w:szCs w:val="21"/>
          <w:highlight w:val="none"/>
        </w:rPr>
      </w:pPr>
      <w:r>
        <w:rPr>
          <w:color w:val="auto"/>
          <w:szCs w:val="21"/>
          <w:highlight w:val="none"/>
        </w:rPr>
        <w:t>2.质疑供应商若委托代理人进行质疑的，质疑函应按要求列明“授权代表”的有关内容，并在附件中提交由质疑</w:t>
      </w:r>
      <w:r>
        <w:rPr>
          <w:color w:val="auto"/>
          <w:kern w:val="0"/>
          <w:szCs w:val="21"/>
          <w:highlight w:val="none"/>
        </w:rPr>
        <w:t>供应商签署的授权委托书。授权委托书应载明代理人的姓名或者名称、代理事项、具体权限、期限和相关事项。</w:t>
      </w:r>
    </w:p>
    <w:p w14:paraId="577B7C73">
      <w:pPr>
        <w:widowControl/>
        <w:spacing w:line="360" w:lineRule="auto"/>
        <w:ind w:firstLine="420" w:firstLineChars="200"/>
        <w:jc w:val="left"/>
        <w:rPr>
          <w:color w:val="auto"/>
          <w:szCs w:val="21"/>
          <w:highlight w:val="none"/>
        </w:rPr>
      </w:pPr>
      <w:r>
        <w:rPr>
          <w:color w:val="auto"/>
          <w:szCs w:val="21"/>
          <w:highlight w:val="none"/>
        </w:rPr>
        <w:t>3.质疑供应商若对项目的某一分包进行质疑，质疑函中应列明具体分包号。</w:t>
      </w:r>
    </w:p>
    <w:p w14:paraId="66B3B384">
      <w:pPr>
        <w:widowControl/>
        <w:spacing w:line="360" w:lineRule="auto"/>
        <w:ind w:firstLine="420" w:firstLineChars="200"/>
        <w:jc w:val="left"/>
        <w:rPr>
          <w:color w:val="auto"/>
          <w:szCs w:val="21"/>
          <w:highlight w:val="none"/>
        </w:rPr>
      </w:pPr>
      <w:r>
        <w:rPr>
          <w:color w:val="auto"/>
          <w:szCs w:val="21"/>
          <w:highlight w:val="none"/>
        </w:rPr>
        <w:t>4.质疑函的质疑事项应具体、明确，并有必要的事实依据和法律依据。</w:t>
      </w:r>
    </w:p>
    <w:p w14:paraId="3BF53476">
      <w:pPr>
        <w:widowControl/>
        <w:spacing w:line="360" w:lineRule="auto"/>
        <w:ind w:firstLine="420" w:firstLineChars="200"/>
        <w:jc w:val="left"/>
        <w:rPr>
          <w:color w:val="auto"/>
          <w:szCs w:val="21"/>
          <w:highlight w:val="none"/>
        </w:rPr>
      </w:pPr>
      <w:r>
        <w:rPr>
          <w:color w:val="auto"/>
          <w:szCs w:val="21"/>
          <w:highlight w:val="none"/>
        </w:rPr>
        <w:t>5.质疑函的质疑请求应与质疑事项相关。</w:t>
      </w:r>
    </w:p>
    <w:p w14:paraId="5EE4F750">
      <w:pPr>
        <w:widowControl/>
        <w:spacing w:line="360" w:lineRule="auto"/>
        <w:ind w:firstLine="420" w:firstLineChars="200"/>
        <w:jc w:val="left"/>
        <w:rPr>
          <w:color w:val="auto"/>
          <w:szCs w:val="21"/>
          <w:highlight w:val="none"/>
        </w:rPr>
      </w:pPr>
      <w:r>
        <w:rPr>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6D99D9B0">
      <w:pPr>
        <w:spacing w:line="360" w:lineRule="auto"/>
        <w:jc w:val="left"/>
        <w:rPr>
          <w:b/>
          <w:color w:val="auto"/>
          <w:spacing w:val="6"/>
          <w:szCs w:val="21"/>
          <w:highlight w:val="none"/>
        </w:rPr>
      </w:pPr>
      <w:r>
        <w:rPr>
          <w:b/>
          <w:color w:val="auto"/>
          <w:spacing w:val="6"/>
          <w:szCs w:val="21"/>
          <w:highlight w:val="none"/>
        </w:rPr>
        <w:br w:type="page"/>
      </w:r>
      <w:r>
        <w:rPr>
          <w:b/>
          <w:color w:val="auto"/>
          <w:spacing w:val="6"/>
          <w:szCs w:val="21"/>
          <w:highlight w:val="none"/>
        </w:rPr>
        <w:t>附件4：投诉书范本及制作说明</w:t>
      </w:r>
    </w:p>
    <w:p w14:paraId="3648C68D">
      <w:pPr>
        <w:spacing w:line="360" w:lineRule="auto"/>
        <w:jc w:val="center"/>
        <w:rPr>
          <w:b/>
          <w:color w:val="auto"/>
          <w:szCs w:val="21"/>
          <w:highlight w:val="none"/>
        </w:rPr>
      </w:pPr>
    </w:p>
    <w:p w14:paraId="666BA8EC">
      <w:pPr>
        <w:spacing w:line="360" w:lineRule="auto"/>
        <w:jc w:val="center"/>
        <w:rPr>
          <w:b/>
          <w:color w:val="auto"/>
          <w:spacing w:val="6"/>
          <w:szCs w:val="21"/>
          <w:highlight w:val="none"/>
        </w:rPr>
      </w:pPr>
      <w:r>
        <w:rPr>
          <w:b/>
          <w:color w:val="auto"/>
          <w:spacing w:val="6"/>
          <w:szCs w:val="21"/>
          <w:highlight w:val="none"/>
        </w:rPr>
        <w:t>投诉书范本</w:t>
      </w:r>
    </w:p>
    <w:p w14:paraId="738F7496">
      <w:pPr>
        <w:spacing w:line="360" w:lineRule="auto"/>
        <w:rPr>
          <w:color w:val="auto"/>
          <w:szCs w:val="21"/>
          <w:highlight w:val="none"/>
        </w:rPr>
      </w:pPr>
      <w:r>
        <w:rPr>
          <w:color w:val="auto"/>
          <w:szCs w:val="21"/>
          <w:highlight w:val="none"/>
        </w:rPr>
        <w:t>一、投诉相关主体基本情况</w:t>
      </w:r>
    </w:p>
    <w:p w14:paraId="6B87DA47">
      <w:pPr>
        <w:spacing w:line="360" w:lineRule="auto"/>
        <w:rPr>
          <w:color w:val="auto"/>
          <w:szCs w:val="21"/>
          <w:highlight w:val="none"/>
          <w:u w:val="dotted"/>
        </w:rPr>
      </w:pPr>
      <w:r>
        <w:rPr>
          <w:color w:val="auto"/>
          <w:szCs w:val="21"/>
          <w:highlight w:val="none"/>
        </w:rPr>
        <w:t>投诉人：</w:t>
      </w:r>
      <w:r>
        <w:rPr>
          <w:color w:val="auto"/>
          <w:szCs w:val="21"/>
          <w:highlight w:val="none"/>
          <w:u w:val="dotted"/>
        </w:rPr>
        <w:t xml:space="preserve">                                               </w:t>
      </w:r>
    </w:p>
    <w:p w14:paraId="23190D5C">
      <w:pPr>
        <w:spacing w:line="360" w:lineRule="auto"/>
        <w:rPr>
          <w:color w:val="auto"/>
          <w:szCs w:val="21"/>
          <w:highlight w:val="none"/>
          <w:u w:val="single"/>
        </w:rPr>
      </w:pPr>
      <w:r>
        <w:rPr>
          <w:color w:val="auto"/>
          <w:szCs w:val="21"/>
          <w:highlight w:val="none"/>
        </w:rPr>
        <w:t>地     址：</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r>
        <w:rPr>
          <w:color w:val="auto"/>
          <w:szCs w:val="21"/>
          <w:highlight w:val="none"/>
          <w:u w:val="single"/>
        </w:rPr>
        <w:t xml:space="preserve">   </w:t>
      </w:r>
    </w:p>
    <w:p w14:paraId="30E26D76">
      <w:pPr>
        <w:tabs>
          <w:tab w:val="left" w:pos="6510"/>
        </w:tabs>
        <w:spacing w:line="360" w:lineRule="auto"/>
        <w:jc w:val="left"/>
        <w:rPr>
          <w:color w:val="auto"/>
          <w:szCs w:val="21"/>
          <w:highlight w:val="none"/>
        </w:rPr>
      </w:pPr>
      <w:r>
        <w:rPr>
          <w:color w:val="auto"/>
          <w:szCs w:val="21"/>
          <w:highlight w:val="none"/>
        </w:rPr>
        <w:t>法定代表人/主要负责人：</w:t>
      </w:r>
      <w:r>
        <w:rPr>
          <w:color w:val="auto"/>
          <w:szCs w:val="21"/>
          <w:highlight w:val="none"/>
          <w:u w:val="dotted"/>
        </w:rPr>
        <w:t xml:space="preserve">                                   </w:t>
      </w:r>
      <w:r>
        <w:rPr>
          <w:color w:val="auto"/>
          <w:szCs w:val="21"/>
          <w:highlight w:val="none"/>
        </w:rPr>
        <w:t xml:space="preserve">  </w:t>
      </w:r>
    </w:p>
    <w:p w14:paraId="6D0A6FA6">
      <w:pPr>
        <w:tabs>
          <w:tab w:val="left" w:pos="6510"/>
        </w:tabs>
        <w:spacing w:line="360" w:lineRule="auto"/>
        <w:rPr>
          <w:color w:val="auto"/>
          <w:szCs w:val="21"/>
          <w:highlight w:val="none"/>
          <w:u w:val="dotted"/>
        </w:rPr>
      </w:pPr>
      <w:r>
        <w:rPr>
          <w:color w:val="auto"/>
          <w:szCs w:val="21"/>
          <w:highlight w:val="none"/>
        </w:rPr>
        <w:t>联系电话：</w:t>
      </w:r>
      <w:r>
        <w:rPr>
          <w:color w:val="auto"/>
          <w:szCs w:val="21"/>
          <w:highlight w:val="none"/>
          <w:u w:val="dotted"/>
        </w:rPr>
        <w:t xml:space="preserve">                                             </w:t>
      </w:r>
    </w:p>
    <w:p w14:paraId="76FE0FC5">
      <w:pPr>
        <w:spacing w:line="360" w:lineRule="auto"/>
        <w:rPr>
          <w:color w:val="auto"/>
          <w:szCs w:val="21"/>
          <w:highlight w:val="none"/>
          <w:u w:val="dotted"/>
        </w:rPr>
      </w:pPr>
      <w:r>
        <w:rPr>
          <w:color w:val="auto"/>
          <w:szCs w:val="21"/>
          <w:highlight w:val="none"/>
        </w:rPr>
        <w:t>授权代表：</w:t>
      </w:r>
      <w:r>
        <w:rPr>
          <w:color w:val="auto"/>
          <w:szCs w:val="21"/>
          <w:highlight w:val="none"/>
          <w:u w:val="dotted"/>
        </w:rPr>
        <w:t xml:space="preserve">             </w:t>
      </w:r>
      <w:r>
        <w:rPr>
          <w:color w:val="auto"/>
          <w:szCs w:val="21"/>
          <w:highlight w:val="none"/>
        </w:rPr>
        <w:t>联系电话</w:t>
      </w:r>
      <w:r>
        <w:rPr>
          <w:color w:val="auto"/>
          <w:szCs w:val="21"/>
          <w:highlight w:val="none"/>
          <w:u w:val="dotted"/>
        </w:rPr>
        <w:t xml:space="preserve">：                  </w:t>
      </w:r>
    </w:p>
    <w:p w14:paraId="75745B43">
      <w:pPr>
        <w:spacing w:line="360" w:lineRule="auto"/>
        <w:rPr>
          <w:color w:val="auto"/>
          <w:szCs w:val="21"/>
          <w:highlight w:val="none"/>
          <w:u w:val="dotted"/>
        </w:rPr>
      </w:pPr>
      <w:r>
        <w:rPr>
          <w:color w:val="auto"/>
          <w:szCs w:val="21"/>
          <w:highlight w:val="none"/>
        </w:rPr>
        <w:t>地     址：</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r>
        <w:rPr>
          <w:color w:val="auto"/>
          <w:szCs w:val="21"/>
          <w:highlight w:val="none"/>
          <w:u w:val="single"/>
        </w:rPr>
        <w:t xml:space="preserve"> </w:t>
      </w:r>
      <w:r>
        <w:rPr>
          <w:color w:val="auto"/>
          <w:szCs w:val="21"/>
          <w:highlight w:val="none"/>
          <w:u w:val="dotted"/>
        </w:rPr>
        <w:t xml:space="preserve">                   </w:t>
      </w:r>
    </w:p>
    <w:p w14:paraId="3BF9F0BF">
      <w:pPr>
        <w:spacing w:line="360" w:lineRule="auto"/>
        <w:rPr>
          <w:color w:val="auto"/>
          <w:szCs w:val="21"/>
          <w:highlight w:val="none"/>
          <w:u w:val="single"/>
        </w:rPr>
      </w:pPr>
      <w:r>
        <w:rPr>
          <w:color w:val="auto"/>
          <w:szCs w:val="21"/>
          <w:highlight w:val="none"/>
        </w:rPr>
        <w:t>被投诉人1：</w:t>
      </w:r>
      <w:r>
        <w:rPr>
          <w:color w:val="auto"/>
          <w:szCs w:val="21"/>
          <w:highlight w:val="none"/>
          <w:u w:val="dotted"/>
        </w:rPr>
        <w:t xml:space="preserve">                                           </w:t>
      </w:r>
      <w:r>
        <w:rPr>
          <w:color w:val="auto"/>
          <w:szCs w:val="21"/>
          <w:highlight w:val="none"/>
          <w:u w:val="single"/>
        </w:rPr>
        <w:t xml:space="preserve">  </w:t>
      </w:r>
    </w:p>
    <w:p w14:paraId="7F78DAEA">
      <w:pPr>
        <w:spacing w:line="360" w:lineRule="auto"/>
        <w:rPr>
          <w:color w:val="auto"/>
          <w:szCs w:val="21"/>
          <w:highlight w:val="none"/>
          <w:u w:val="single"/>
        </w:rPr>
      </w:pPr>
      <w:r>
        <w:rPr>
          <w:color w:val="auto"/>
          <w:szCs w:val="21"/>
          <w:highlight w:val="none"/>
        </w:rPr>
        <w:t>地     址：</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r>
        <w:rPr>
          <w:color w:val="auto"/>
          <w:szCs w:val="21"/>
          <w:highlight w:val="none"/>
          <w:u w:val="single"/>
        </w:rPr>
        <w:t xml:space="preserve"> </w:t>
      </w:r>
    </w:p>
    <w:p w14:paraId="4EDAB940">
      <w:pPr>
        <w:spacing w:line="360" w:lineRule="auto"/>
        <w:rPr>
          <w:color w:val="auto"/>
          <w:szCs w:val="21"/>
          <w:highlight w:val="none"/>
          <w:u w:val="single"/>
        </w:rPr>
      </w:pPr>
      <w:r>
        <w:rPr>
          <w:color w:val="auto"/>
          <w:szCs w:val="21"/>
          <w:highlight w:val="none"/>
        </w:rPr>
        <w:t>联系人：</w:t>
      </w:r>
      <w:r>
        <w:rPr>
          <w:color w:val="auto"/>
          <w:szCs w:val="21"/>
          <w:highlight w:val="none"/>
          <w:u w:val="dotted"/>
        </w:rPr>
        <w:t xml:space="preserve">               </w:t>
      </w:r>
      <w:r>
        <w:rPr>
          <w:color w:val="auto"/>
          <w:szCs w:val="21"/>
          <w:highlight w:val="none"/>
        </w:rPr>
        <w:t>联系电话：</w:t>
      </w:r>
      <w:r>
        <w:rPr>
          <w:color w:val="auto"/>
          <w:szCs w:val="21"/>
          <w:highlight w:val="none"/>
          <w:u w:val="dotted"/>
        </w:rPr>
        <w:t xml:space="preserve">                      </w:t>
      </w:r>
      <w:r>
        <w:rPr>
          <w:color w:val="auto"/>
          <w:szCs w:val="21"/>
          <w:highlight w:val="none"/>
          <w:u w:val="single"/>
        </w:rPr>
        <w:t xml:space="preserve"> </w:t>
      </w:r>
    </w:p>
    <w:p w14:paraId="67C1A5DB">
      <w:pPr>
        <w:spacing w:line="360" w:lineRule="auto"/>
        <w:rPr>
          <w:color w:val="auto"/>
          <w:szCs w:val="21"/>
          <w:highlight w:val="none"/>
        </w:rPr>
      </w:pPr>
      <w:r>
        <w:rPr>
          <w:color w:val="auto"/>
          <w:szCs w:val="21"/>
          <w:highlight w:val="none"/>
        </w:rPr>
        <w:t>被投诉人2</w:t>
      </w:r>
    </w:p>
    <w:p w14:paraId="58459202">
      <w:pPr>
        <w:spacing w:line="360" w:lineRule="auto"/>
        <w:rPr>
          <w:color w:val="auto"/>
          <w:szCs w:val="21"/>
          <w:highlight w:val="none"/>
          <w:u w:val="dotted"/>
        </w:rPr>
      </w:pPr>
      <w:r>
        <w:rPr>
          <w:color w:val="auto"/>
          <w:szCs w:val="21"/>
          <w:highlight w:val="none"/>
        </w:rPr>
        <w:t>……</w:t>
      </w:r>
    </w:p>
    <w:p w14:paraId="170F03DC">
      <w:pPr>
        <w:spacing w:line="360" w:lineRule="auto"/>
        <w:rPr>
          <w:color w:val="auto"/>
          <w:szCs w:val="21"/>
          <w:highlight w:val="none"/>
          <w:u w:val="single"/>
        </w:rPr>
      </w:pPr>
      <w:r>
        <w:rPr>
          <w:color w:val="auto"/>
          <w:szCs w:val="21"/>
          <w:highlight w:val="none"/>
        </w:rPr>
        <w:t>相关供应商：</w:t>
      </w:r>
      <w:r>
        <w:rPr>
          <w:color w:val="auto"/>
          <w:szCs w:val="21"/>
          <w:highlight w:val="none"/>
          <w:u w:val="dotted"/>
        </w:rPr>
        <w:t xml:space="preserve">                                           </w:t>
      </w:r>
      <w:r>
        <w:rPr>
          <w:color w:val="auto"/>
          <w:szCs w:val="21"/>
          <w:highlight w:val="none"/>
          <w:u w:val="single"/>
        </w:rPr>
        <w:t xml:space="preserve">    </w:t>
      </w:r>
    </w:p>
    <w:p w14:paraId="6385F996">
      <w:pPr>
        <w:spacing w:line="360" w:lineRule="auto"/>
        <w:rPr>
          <w:color w:val="auto"/>
          <w:szCs w:val="21"/>
          <w:highlight w:val="none"/>
          <w:u w:val="single"/>
        </w:rPr>
      </w:pPr>
      <w:r>
        <w:rPr>
          <w:color w:val="auto"/>
          <w:szCs w:val="21"/>
          <w:highlight w:val="none"/>
        </w:rPr>
        <w:t>地     址：</w:t>
      </w:r>
      <w:r>
        <w:rPr>
          <w:color w:val="auto"/>
          <w:szCs w:val="21"/>
          <w:highlight w:val="none"/>
          <w:u w:val="dotted"/>
        </w:rPr>
        <w:t xml:space="preserve">                             </w:t>
      </w:r>
      <w:r>
        <w:rPr>
          <w:color w:val="auto"/>
          <w:szCs w:val="21"/>
          <w:highlight w:val="none"/>
        </w:rPr>
        <w:t>邮编：</w:t>
      </w:r>
      <w:r>
        <w:rPr>
          <w:color w:val="auto"/>
          <w:szCs w:val="21"/>
          <w:highlight w:val="none"/>
          <w:u w:val="dotted"/>
        </w:rPr>
        <w:t xml:space="preserve">          </w:t>
      </w:r>
      <w:r>
        <w:rPr>
          <w:color w:val="auto"/>
          <w:szCs w:val="21"/>
          <w:highlight w:val="none"/>
          <w:u w:val="single"/>
        </w:rPr>
        <w:t xml:space="preserve"> </w:t>
      </w:r>
    </w:p>
    <w:p w14:paraId="7693DDE2">
      <w:pPr>
        <w:spacing w:line="360" w:lineRule="auto"/>
        <w:rPr>
          <w:color w:val="auto"/>
          <w:szCs w:val="21"/>
          <w:highlight w:val="none"/>
          <w:u w:val="single"/>
        </w:rPr>
      </w:pPr>
      <w:r>
        <w:rPr>
          <w:color w:val="auto"/>
          <w:szCs w:val="21"/>
          <w:highlight w:val="none"/>
        </w:rPr>
        <w:t>联系人：</w:t>
      </w:r>
      <w:r>
        <w:rPr>
          <w:color w:val="auto"/>
          <w:szCs w:val="21"/>
          <w:highlight w:val="none"/>
          <w:u w:val="dotted"/>
        </w:rPr>
        <w:t xml:space="preserve">               </w:t>
      </w:r>
      <w:r>
        <w:rPr>
          <w:color w:val="auto"/>
          <w:szCs w:val="21"/>
          <w:highlight w:val="none"/>
        </w:rPr>
        <w:t>联系电话：</w:t>
      </w:r>
      <w:r>
        <w:rPr>
          <w:color w:val="auto"/>
          <w:szCs w:val="21"/>
          <w:highlight w:val="none"/>
          <w:u w:val="dotted"/>
        </w:rPr>
        <w:t xml:space="preserve">                      </w:t>
      </w:r>
      <w:r>
        <w:rPr>
          <w:color w:val="auto"/>
          <w:szCs w:val="21"/>
          <w:highlight w:val="none"/>
          <w:u w:val="single"/>
        </w:rPr>
        <w:t xml:space="preserve">      </w:t>
      </w:r>
    </w:p>
    <w:p w14:paraId="0E310131">
      <w:pPr>
        <w:spacing w:line="360" w:lineRule="auto"/>
        <w:rPr>
          <w:color w:val="auto"/>
          <w:szCs w:val="21"/>
          <w:highlight w:val="none"/>
        </w:rPr>
      </w:pPr>
      <w:r>
        <w:rPr>
          <w:color w:val="auto"/>
          <w:szCs w:val="21"/>
          <w:highlight w:val="none"/>
        </w:rPr>
        <w:t>二、投诉项目基本情况</w:t>
      </w:r>
    </w:p>
    <w:p w14:paraId="79997E61">
      <w:pPr>
        <w:spacing w:line="360" w:lineRule="auto"/>
        <w:rPr>
          <w:color w:val="auto"/>
          <w:szCs w:val="21"/>
          <w:highlight w:val="none"/>
          <w:u w:val="dotted"/>
        </w:rPr>
      </w:pPr>
      <w:r>
        <w:rPr>
          <w:color w:val="auto"/>
          <w:szCs w:val="21"/>
          <w:highlight w:val="none"/>
        </w:rPr>
        <w:t>采购</w:t>
      </w:r>
      <w:r>
        <w:rPr>
          <w:color w:val="auto"/>
          <w:kern w:val="0"/>
          <w:szCs w:val="21"/>
          <w:highlight w:val="none"/>
          <w:lang w:val="zh-CN"/>
        </w:rPr>
        <w:t>项目名称</w:t>
      </w:r>
      <w:r>
        <w:rPr>
          <w:color w:val="auto"/>
          <w:szCs w:val="21"/>
          <w:highlight w:val="none"/>
        </w:rPr>
        <w:t>：</w:t>
      </w:r>
      <w:r>
        <w:rPr>
          <w:color w:val="auto"/>
          <w:szCs w:val="21"/>
          <w:highlight w:val="none"/>
          <w:u w:val="dotted"/>
        </w:rPr>
        <w:t xml:space="preserve">                                        </w:t>
      </w:r>
    </w:p>
    <w:p w14:paraId="626C00F4">
      <w:pPr>
        <w:spacing w:line="360" w:lineRule="auto"/>
        <w:rPr>
          <w:color w:val="auto"/>
          <w:szCs w:val="21"/>
          <w:highlight w:val="none"/>
          <w:u w:val="single"/>
        </w:rPr>
      </w:pPr>
      <w:r>
        <w:rPr>
          <w:color w:val="auto"/>
          <w:szCs w:val="21"/>
          <w:highlight w:val="none"/>
        </w:rPr>
        <w:t>采购项目编号：</w:t>
      </w:r>
      <w:r>
        <w:rPr>
          <w:color w:val="auto"/>
          <w:szCs w:val="21"/>
          <w:highlight w:val="none"/>
          <w:u w:val="dotted"/>
        </w:rPr>
        <w:t xml:space="preserve">                 </w:t>
      </w:r>
      <w:r>
        <w:rPr>
          <w:color w:val="auto"/>
          <w:szCs w:val="21"/>
          <w:highlight w:val="none"/>
        </w:rPr>
        <w:t>包号：</w:t>
      </w:r>
      <w:r>
        <w:rPr>
          <w:color w:val="auto"/>
          <w:szCs w:val="21"/>
          <w:highlight w:val="none"/>
          <w:u w:val="dotted"/>
        </w:rPr>
        <w:t xml:space="preserve">              </w:t>
      </w:r>
    </w:p>
    <w:p w14:paraId="20E664D7">
      <w:pPr>
        <w:spacing w:line="360" w:lineRule="auto"/>
        <w:rPr>
          <w:color w:val="auto"/>
          <w:szCs w:val="21"/>
          <w:highlight w:val="none"/>
        </w:rPr>
      </w:pPr>
      <w:r>
        <w:rPr>
          <w:color w:val="auto"/>
          <w:szCs w:val="21"/>
          <w:highlight w:val="none"/>
        </w:rPr>
        <w:t>采购人名称：</w:t>
      </w:r>
      <w:r>
        <w:rPr>
          <w:color w:val="auto"/>
          <w:szCs w:val="21"/>
          <w:highlight w:val="none"/>
          <w:u w:val="dotted"/>
        </w:rPr>
        <w:t xml:space="preserve">                                           </w:t>
      </w:r>
      <w:r>
        <w:rPr>
          <w:color w:val="auto"/>
          <w:szCs w:val="21"/>
          <w:highlight w:val="none"/>
          <w:u w:val="single"/>
        </w:rPr>
        <w:t xml:space="preserve">  </w:t>
      </w:r>
    </w:p>
    <w:p w14:paraId="3F1CC39A">
      <w:pPr>
        <w:spacing w:line="360" w:lineRule="auto"/>
        <w:rPr>
          <w:color w:val="auto"/>
          <w:szCs w:val="21"/>
          <w:highlight w:val="none"/>
          <w:u w:val="single"/>
        </w:rPr>
      </w:pPr>
      <w:r>
        <w:rPr>
          <w:color w:val="auto"/>
          <w:szCs w:val="21"/>
          <w:highlight w:val="none"/>
        </w:rPr>
        <w:t>代理机构名称：</w:t>
      </w:r>
      <w:r>
        <w:rPr>
          <w:color w:val="auto"/>
          <w:szCs w:val="21"/>
          <w:highlight w:val="none"/>
          <w:u w:val="dotted"/>
        </w:rPr>
        <w:t xml:space="preserve">                                         </w:t>
      </w:r>
    </w:p>
    <w:p w14:paraId="7978E79C">
      <w:pPr>
        <w:spacing w:line="360" w:lineRule="auto"/>
        <w:rPr>
          <w:color w:val="auto"/>
          <w:szCs w:val="21"/>
          <w:highlight w:val="none"/>
          <w:u w:val="dotted"/>
        </w:rPr>
      </w:pPr>
      <w:r>
        <w:rPr>
          <w:color w:val="auto"/>
          <w:szCs w:val="21"/>
          <w:highlight w:val="none"/>
        </w:rPr>
        <w:t>采购文件公告：</w:t>
      </w:r>
      <w:r>
        <w:rPr>
          <w:color w:val="auto"/>
          <w:szCs w:val="21"/>
          <w:highlight w:val="none"/>
          <w:u w:val="dotted"/>
        </w:rPr>
        <w:t xml:space="preserve">是/否 </w:t>
      </w:r>
      <w:r>
        <w:rPr>
          <w:color w:val="auto"/>
          <w:szCs w:val="21"/>
          <w:highlight w:val="none"/>
        </w:rPr>
        <w:t>公告期限：</w:t>
      </w:r>
      <w:r>
        <w:rPr>
          <w:color w:val="auto"/>
          <w:szCs w:val="21"/>
          <w:highlight w:val="none"/>
          <w:u w:val="dotted"/>
        </w:rPr>
        <w:t xml:space="preserve">                                 </w:t>
      </w:r>
    </w:p>
    <w:p w14:paraId="08D0B8B9">
      <w:pPr>
        <w:spacing w:line="360" w:lineRule="auto"/>
        <w:rPr>
          <w:color w:val="auto"/>
          <w:szCs w:val="21"/>
          <w:highlight w:val="none"/>
          <w:u w:val="single"/>
        </w:rPr>
      </w:pPr>
      <w:r>
        <w:rPr>
          <w:color w:val="auto"/>
          <w:szCs w:val="21"/>
          <w:highlight w:val="none"/>
        </w:rPr>
        <w:t>采购结果公告：</w:t>
      </w:r>
      <w:r>
        <w:rPr>
          <w:color w:val="auto"/>
          <w:szCs w:val="21"/>
          <w:highlight w:val="none"/>
          <w:u w:val="dotted"/>
        </w:rPr>
        <w:t xml:space="preserve">是/否 </w:t>
      </w:r>
      <w:r>
        <w:rPr>
          <w:color w:val="auto"/>
          <w:szCs w:val="21"/>
          <w:highlight w:val="none"/>
        </w:rPr>
        <w:t>公告期限：</w:t>
      </w:r>
      <w:r>
        <w:rPr>
          <w:color w:val="auto"/>
          <w:szCs w:val="21"/>
          <w:highlight w:val="none"/>
          <w:u w:val="dotted"/>
        </w:rPr>
        <w:t xml:space="preserve">                        </w:t>
      </w:r>
    </w:p>
    <w:p w14:paraId="64C7CE01">
      <w:pPr>
        <w:spacing w:line="360" w:lineRule="auto"/>
        <w:rPr>
          <w:color w:val="auto"/>
          <w:szCs w:val="21"/>
          <w:highlight w:val="none"/>
        </w:rPr>
      </w:pPr>
      <w:r>
        <w:rPr>
          <w:color w:val="auto"/>
          <w:szCs w:val="21"/>
          <w:highlight w:val="none"/>
        </w:rPr>
        <w:t>三、质疑基本情况</w:t>
      </w:r>
    </w:p>
    <w:p w14:paraId="0EEF611D">
      <w:pPr>
        <w:spacing w:line="360" w:lineRule="auto"/>
        <w:ind w:firstLine="420" w:firstLineChars="200"/>
        <w:rPr>
          <w:color w:val="auto"/>
          <w:szCs w:val="21"/>
          <w:highlight w:val="none"/>
          <w:u w:val="dotted"/>
        </w:rPr>
      </w:pPr>
      <w:r>
        <w:rPr>
          <w:color w:val="auto"/>
          <w:szCs w:val="21"/>
          <w:highlight w:val="none"/>
        </w:rPr>
        <w:t>投诉人于</w:t>
      </w:r>
      <w:r>
        <w:rPr>
          <w:color w:val="auto"/>
          <w:szCs w:val="21"/>
          <w:highlight w:val="none"/>
          <w:u w:val="dotted"/>
        </w:rPr>
        <w:t xml:space="preserve">   </w:t>
      </w:r>
      <w:r>
        <w:rPr>
          <w:color w:val="auto"/>
          <w:szCs w:val="21"/>
          <w:highlight w:val="none"/>
        </w:rPr>
        <w:t>年</w:t>
      </w:r>
      <w:r>
        <w:rPr>
          <w:color w:val="auto"/>
          <w:szCs w:val="21"/>
          <w:highlight w:val="none"/>
          <w:u w:val="dotted"/>
        </w:rPr>
        <w:t xml:space="preserve">   </w:t>
      </w:r>
      <w:r>
        <w:rPr>
          <w:color w:val="auto"/>
          <w:szCs w:val="21"/>
          <w:highlight w:val="none"/>
        </w:rPr>
        <w:t>月</w:t>
      </w:r>
      <w:r>
        <w:rPr>
          <w:color w:val="auto"/>
          <w:szCs w:val="21"/>
          <w:highlight w:val="none"/>
          <w:u w:val="dotted"/>
        </w:rPr>
        <w:t xml:space="preserve">  </w:t>
      </w:r>
      <w:r>
        <w:rPr>
          <w:color w:val="auto"/>
          <w:szCs w:val="21"/>
          <w:highlight w:val="none"/>
        </w:rPr>
        <w:t>日,向</w:t>
      </w:r>
      <w:r>
        <w:rPr>
          <w:color w:val="auto"/>
          <w:szCs w:val="21"/>
          <w:highlight w:val="none"/>
          <w:u w:val="dotted"/>
        </w:rPr>
        <w:t xml:space="preserve">                   </w:t>
      </w:r>
      <w:r>
        <w:rPr>
          <w:color w:val="auto"/>
          <w:szCs w:val="21"/>
          <w:highlight w:val="none"/>
        </w:rPr>
        <w:t>提出质疑，质疑事项为：</w:t>
      </w:r>
      <w:r>
        <w:rPr>
          <w:color w:val="auto"/>
          <w:szCs w:val="21"/>
          <w:highlight w:val="none"/>
          <w:u w:val="dotted"/>
        </w:rPr>
        <w:t xml:space="preserve">                                </w:t>
      </w:r>
    </w:p>
    <w:p w14:paraId="2CD1657D">
      <w:pPr>
        <w:spacing w:line="360" w:lineRule="auto"/>
        <w:rPr>
          <w:color w:val="auto"/>
          <w:szCs w:val="21"/>
          <w:highlight w:val="none"/>
          <w:u w:val="dotted"/>
        </w:rPr>
      </w:pPr>
      <w:r>
        <w:rPr>
          <w:color w:val="auto"/>
          <w:szCs w:val="21"/>
          <w:highlight w:val="none"/>
          <w:u w:val="dotted"/>
        </w:rPr>
        <w:t xml:space="preserve">                                                     </w:t>
      </w:r>
      <w:r>
        <w:rPr>
          <w:color w:val="auto"/>
          <w:szCs w:val="21"/>
          <w:highlight w:val="none"/>
        </w:rPr>
        <w:t xml:space="preserve">  </w:t>
      </w:r>
    </w:p>
    <w:p w14:paraId="4EA45FFD">
      <w:pPr>
        <w:spacing w:line="360" w:lineRule="auto"/>
        <w:ind w:firstLine="315" w:firstLineChars="150"/>
        <w:rPr>
          <w:color w:val="auto"/>
          <w:szCs w:val="21"/>
          <w:highlight w:val="none"/>
        </w:rPr>
      </w:pPr>
      <w:r>
        <w:rPr>
          <w:color w:val="auto"/>
          <w:szCs w:val="21"/>
          <w:highlight w:val="none"/>
          <w:u w:val="dotted"/>
        </w:rPr>
        <w:t>采购人/代理机构</w:t>
      </w:r>
      <w:r>
        <w:rPr>
          <w:color w:val="auto"/>
          <w:szCs w:val="21"/>
          <w:highlight w:val="none"/>
        </w:rPr>
        <w:t>于</w:t>
      </w:r>
      <w:r>
        <w:rPr>
          <w:color w:val="auto"/>
          <w:szCs w:val="21"/>
          <w:highlight w:val="none"/>
          <w:u w:val="dotted"/>
        </w:rPr>
        <w:t xml:space="preserve">   </w:t>
      </w:r>
      <w:r>
        <w:rPr>
          <w:color w:val="auto"/>
          <w:szCs w:val="21"/>
          <w:highlight w:val="none"/>
        </w:rPr>
        <w:t>年</w:t>
      </w:r>
      <w:r>
        <w:rPr>
          <w:color w:val="auto"/>
          <w:szCs w:val="21"/>
          <w:highlight w:val="none"/>
          <w:u w:val="dotted"/>
        </w:rPr>
        <w:t xml:space="preserve">   </w:t>
      </w:r>
      <w:r>
        <w:rPr>
          <w:color w:val="auto"/>
          <w:szCs w:val="21"/>
          <w:highlight w:val="none"/>
        </w:rPr>
        <w:t>月</w:t>
      </w:r>
      <w:r>
        <w:rPr>
          <w:color w:val="auto"/>
          <w:szCs w:val="21"/>
          <w:highlight w:val="none"/>
          <w:u w:val="dotted"/>
        </w:rPr>
        <w:t xml:space="preserve">   </w:t>
      </w:r>
      <w:r>
        <w:rPr>
          <w:color w:val="auto"/>
          <w:szCs w:val="21"/>
          <w:highlight w:val="none"/>
        </w:rPr>
        <w:t>日,就质疑事项作出了答复/没有在法定期限内作出答复。</w:t>
      </w:r>
    </w:p>
    <w:p w14:paraId="47221FCF">
      <w:pPr>
        <w:spacing w:line="360" w:lineRule="auto"/>
        <w:rPr>
          <w:color w:val="auto"/>
          <w:szCs w:val="21"/>
          <w:highlight w:val="none"/>
        </w:rPr>
      </w:pPr>
      <w:r>
        <w:rPr>
          <w:color w:val="auto"/>
          <w:szCs w:val="21"/>
          <w:highlight w:val="none"/>
        </w:rPr>
        <w:t>四、投诉事项具体内容</w:t>
      </w:r>
    </w:p>
    <w:p w14:paraId="72CADF6B">
      <w:pPr>
        <w:spacing w:line="360" w:lineRule="auto"/>
        <w:rPr>
          <w:color w:val="auto"/>
          <w:szCs w:val="21"/>
          <w:highlight w:val="none"/>
          <w:u w:val="single"/>
        </w:rPr>
      </w:pPr>
      <w:r>
        <w:rPr>
          <w:color w:val="auto"/>
          <w:szCs w:val="21"/>
          <w:highlight w:val="none"/>
        </w:rPr>
        <w:t>投诉事项 1：</w:t>
      </w:r>
      <w:r>
        <w:rPr>
          <w:color w:val="auto"/>
          <w:szCs w:val="21"/>
          <w:highlight w:val="none"/>
          <w:u w:val="dotted"/>
        </w:rPr>
        <w:t xml:space="preserve">                                       </w:t>
      </w:r>
    </w:p>
    <w:p w14:paraId="75B885D0">
      <w:pPr>
        <w:spacing w:line="360" w:lineRule="auto"/>
        <w:rPr>
          <w:color w:val="auto"/>
          <w:szCs w:val="21"/>
          <w:highlight w:val="none"/>
        </w:rPr>
      </w:pPr>
      <w:r>
        <w:rPr>
          <w:color w:val="auto"/>
          <w:szCs w:val="21"/>
          <w:highlight w:val="none"/>
        </w:rPr>
        <w:t>事实依据：</w:t>
      </w:r>
      <w:r>
        <w:rPr>
          <w:color w:val="auto"/>
          <w:szCs w:val="21"/>
          <w:highlight w:val="none"/>
          <w:u w:val="dotted"/>
        </w:rPr>
        <w:t xml:space="preserve">                                         </w:t>
      </w:r>
    </w:p>
    <w:p w14:paraId="6B674E00">
      <w:pPr>
        <w:spacing w:line="360" w:lineRule="auto"/>
        <w:rPr>
          <w:color w:val="auto"/>
          <w:szCs w:val="21"/>
          <w:highlight w:val="none"/>
          <w:u w:val="dotted"/>
        </w:rPr>
      </w:pPr>
      <w:r>
        <w:rPr>
          <w:color w:val="auto"/>
          <w:szCs w:val="21"/>
          <w:highlight w:val="none"/>
          <w:u w:val="dotted"/>
        </w:rPr>
        <w:t xml:space="preserve">                                                      </w:t>
      </w:r>
    </w:p>
    <w:p w14:paraId="12466EDF">
      <w:pPr>
        <w:spacing w:line="360" w:lineRule="auto"/>
        <w:rPr>
          <w:color w:val="auto"/>
          <w:szCs w:val="21"/>
          <w:highlight w:val="none"/>
          <w:u w:val="single"/>
        </w:rPr>
      </w:pPr>
      <w:r>
        <w:rPr>
          <w:color w:val="auto"/>
          <w:szCs w:val="21"/>
          <w:highlight w:val="none"/>
        </w:rPr>
        <w:t>法律依据：</w:t>
      </w:r>
      <w:r>
        <w:rPr>
          <w:color w:val="auto"/>
          <w:szCs w:val="21"/>
          <w:highlight w:val="none"/>
          <w:u w:val="dotted"/>
        </w:rPr>
        <w:t xml:space="preserve">                                          </w:t>
      </w:r>
    </w:p>
    <w:p w14:paraId="5EA696DF">
      <w:pPr>
        <w:spacing w:line="360" w:lineRule="auto"/>
        <w:rPr>
          <w:color w:val="auto"/>
          <w:szCs w:val="21"/>
          <w:highlight w:val="none"/>
          <w:u w:val="dotted"/>
        </w:rPr>
      </w:pPr>
      <w:r>
        <w:rPr>
          <w:color w:val="auto"/>
          <w:szCs w:val="21"/>
          <w:highlight w:val="none"/>
          <w:u w:val="dotted"/>
        </w:rPr>
        <w:t xml:space="preserve">                                                      </w:t>
      </w:r>
    </w:p>
    <w:p w14:paraId="4DC47A91">
      <w:pPr>
        <w:spacing w:line="360" w:lineRule="auto"/>
        <w:rPr>
          <w:color w:val="auto"/>
          <w:szCs w:val="21"/>
          <w:highlight w:val="none"/>
        </w:rPr>
      </w:pPr>
      <w:r>
        <w:rPr>
          <w:color w:val="auto"/>
          <w:szCs w:val="21"/>
          <w:highlight w:val="none"/>
        </w:rPr>
        <w:t>投诉事项2</w:t>
      </w:r>
    </w:p>
    <w:p w14:paraId="3AEE6D07">
      <w:pPr>
        <w:spacing w:line="360" w:lineRule="auto"/>
        <w:rPr>
          <w:color w:val="auto"/>
          <w:szCs w:val="21"/>
          <w:highlight w:val="none"/>
          <w:u w:val="dotted"/>
        </w:rPr>
      </w:pPr>
      <w:r>
        <w:rPr>
          <w:color w:val="auto"/>
          <w:szCs w:val="21"/>
          <w:highlight w:val="none"/>
        </w:rPr>
        <w:t>……</w:t>
      </w:r>
    </w:p>
    <w:p w14:paraId="6A55ADA6">
      <w:pPr>
        <w:spacing w:line="360" w:lineRule="auto"/>
        <w:rPr>
          <w:color w:val="auto"/>
          <w:szCs w:val="21"/>
          <w:highlight w:val="none"/>
        </w:rPr>
      </w:pPr>
      <w:r>
        <w:rPr>
          <w:color w:val="auto"/>
          <w:szCs w:val="21"/>
          <w:highlight w:val="none"/>
        </w:rPr>
        <w:t>五、与投诉事项相关的投诉请求</w:t>
      </w:r>
    </w:p>
    <w:p w14:paraId="1F73B4D1">
      <w:pPr>
        <w:spacing w:line="360" w:lineRule="auto"/>
        <w:rPr>
          <w:color w:val="auto"/>
          <w:szCs w:val="21"/>
          <w:highlight w:val="none"/>
        </w:rPr>
      </w:pPr>
      <w:r>
        <w:rPr>
          <w:color w:val="auto"/>
          <w:szCs w:val="21"/>
          <w:highlight w:val="none"/>
        </w:rPr>
        <w:t>请求：</w:t>
      </w:r>
      <w:r>
        <w:rPr>
          <w:color w:val="auto"/>
          <w:szCs w:val="21"/>
          <w:highlight w:val="none"/>
          <w:u w:val="dotted"/>
        </w:rPr>
        <w:t xml:space="preserve">                                              </w:t>
      </w:r>
      <w:r>
        <w:rPr>
          <w:color w:val="auto"/>
          <w:szCs w:val="21"/>
          <w:highlight w:val="none"/>
        </w:rPr>
        <w:t xml:space="preserve"> </w:t>
      </w:r>
    </w:p>
    <w:p w14:paraId="69975E6D">
      <w:pPr>
        <w:spacing w:line="360" w:lineRule="auto"/>
        <w:rPr>
          <w:color w:val="auto"/>
          <w:szCs w:val="21"/>
          <w:highlight w:val="none"/>
          <w:u w:val="single"/>
        </w:rPr>
      </w:pPr>
      <w:r>
        <w:rPr>
          <w:color w:val="auto"/>
          <w:szCs w:val="21"/>
          <w:highlight w:val="none"/>
        </w:rPr>
        <w:t xml:space="preserve">                                                                                                    </w:t>
      </w:r>
    </w:p>
    <w:p w14:paraId="65B90730">
      <w:pPr>
        <w:spacing w:line="360" w:lineRule="auto"/>
        <w:rPr>
          <w:color w:val="auto"/>
          <w:szCs w:val="21"/>
          <w:highlight w:val="none"/>
        </w:rPr>
      </w:pPr>
      <w:r>
        <w:rPr>
          <w:color w:val="auto"/>
          <w:szCs w:val="21"/>
          <w:highlight w:val="none"/>
        </w:rPr>
        <w:t>签字</w:t>
      </w:r>
      <w:r>
        <w:rPr>
          <w:rFonts w:hint="eastAsia"/>
          <w:color w:val="auto"/>
          <w:szCs w:val="21"/>
          <w:highlight w:val="none"/>
        </w:rPr>
        <w:t>（</w:t>
      </w:r>
      <w:r>
        <w:rPr>
          <w:color w:val="auto"/>
          <w:szCs w:val="21"/>
          <w:highlight w:val="none"/>
        </w:rPr>
        <w:t>签章</w:t>
      </w:r>
      <w:r>
        <w:rPr>
          <w:rFonts w:hint="eastAsia"/>
          <w:color w:val="auto"/>
          <w:szCs w:val="21"/>
          <w:highlight w:val="none"/>
        </w:rPr>
        <w:t>）</w:t>
      </w:r>
      <w:r>
        <w:rPr>
          <w:color w:val="auto"/>
          <w:szCs w:val="21"/>
          <w:highlight w:val="none"/>
        </w:rPr>
        <w:t xml:space="preserve">：                   公章：                      </w:t>
      </w:r>
    </w:p>
    <w:p w14:paraId="72F62F7D">
      <w:pPr>
        <w:spacing w:line="360" w:lineRule="auto"/>
        <w:rPr>
          <w:color w:val="auto"/>
          <w:szCs w:val="21"/>
          <w:highlight w:val="none"/>
        </w:rPr>
      </w:pPr>
      <w:r>
        <w:rPr>
          <w:color w:val="auto"/>
          <w:szCs w:val="21"/>
          <w:highlight w:val="none"/>
        </w:rPr>
        <w:t xml:space="preserve">日期：    </w:t>
      </w:r>
    </w:p>
    <w:p w14:paraId="3FA90BB3">
      <w:pPr>
        <w:spacing w:line="360" w:lineRule="auto"/>
        <w:rPr>
          <w:b/>
          <w:color w:val="auto"/>
          <w:szCs w:val="21"/>
          <w:highlight w:val="none"/>
        </w:rPr>
      </w:pPr>
    </w:p>
    <w:p w14:paraId="205F2D5B">
      <w:pPr>
        <w:spacing w:line="360" w:lineRule="auto"/>
        <w:rPr>
          <w:b/>
          <w:color w:val="auto"/>
          <w:szCs w:val="21"/>
          <w:highlight w:val="none"/>
        </w:rPr>
      </w:pPr>
    </w:p>
    <w:p w14:paraId="0A355585">
      <w:pPr>
        <w:spacing w:line="360" w:lineRule="auto"/>
        <w:rPr>
          <w:b/>
          <w:color w:val="auto"/>
          <w:szCs w:val="21"/>
          <w:highlight w:val="none"/>
        </w:rPr>
      </w:pPr>
      <w:r>
        <w:rPr>
          <w:b/>
          <w:color w:val="auto"/>
          <w:szCs w:val="21"/>
          <w:highlight w:val="none"/>
        </w:rPr>
        <w:t>投诉书制作说明：</w:t>
      </w:r>
    </w:p>
    <w:p w14:paraId="2EEBC48D">
      <w:pPr>
        <w:widowControl/>
        <w:spacing w:line="360" w:lineRule="auto"/>
        <w:ind w:firstLine="420" w:firstLineChars="200"/>
        <w:rPr>
          <w:color w:val="auto"/>
          <w:kern w:val="0"/>
          <w:szCs w:val="21"/>
          <w:highlight w:val="none"/>
        </w:rPr>
      </w:pPr>
      <w:r>
        <w:rPr>
          <w:color w:val="auto"/>
          <w:szCs w:val="21"/>
          <w:highlight w:val="none"/>
        </w:rPr>
        <w:t>1.投诉人提起投诉时，应当提交投诉书和必要的证明材料，并按照被投诉人和与投诉事项有关的供应商数量提供投诉书副本。</w:t>
      </w:r>
    </w:p>
    <w:p w14:paraId="337367BD">
      <w:pPr>
        <w:widowControl/>
        <w:spacing w:line="360" w:lineRule="auto"/>
        <w:ind w:firstLine="420" w:firstLineChars="200"/>
        <w:jc w:val="left"/>
        <w:rPr>
          <w:color w:val="auto"/>
          <w:kern w:val="0"/>
          <w:szCs w:val="21"/>
          <w:highlight w:val="none"/>
        </w:rPr>
      </w:pPr>
      <w:r>
        <w:rPr>
          <w:color w:val="auto"/>
          <w:szCs w:val="21"/>
          <w:highlight w:val="none"/>
        </w:rPr>
        <w:t>2.投诉人若委托代理人进行投诉的，投诉书应按照要求列明“授权代表”的有关内容，并在附件中提交由</w:t>
      </w:r>
      <w:r>
        <w:rPr>
          <w:color w:val="auto"/>
          <w:kern w:val="0"/>
          <w:szCs w:val="21"/>
          <w:highlight w:val="none"/>
        </w:rPr>
        <w:t>投诉人签署的授权委托书。授权委托书应当载明代理人的姓名或者名称、代理事项、具体权限、期限和相关事项。</w:t>
      </w:r>
    </w:p>
    <w:p w14:paraId="08D5A4C8">
      <w:pPr>
        <w:widowControl/>
        <w:spacing w:line="360" w:lineRule="auto"/>
        <w:ind w:firstLine="420" w:firstLineChars="200"/>
        <w:jc w:val="left"/>
        <w:rPr>
          <w:color w:val="auto"/>
          <w:szCs w:val="21"/>
          <w:highlight w:val="none"/>
        </w:rPr>
      </w:pPr>
      <w:r>
        <w:rPr>
          <w:color w:val="auto"/>
          <w:szCs w:val="21"/>
          <w:highlight w:val="none"/>
        </w:rPr>
        <w:t>3.投诉人若对项目的某一分包进行投诉，投诉书应列明具体分包号。</w:t>
      </w:r>
    </w:p>
    <w:p w14:paraId="234D90F0">
      <w:pPr>
        <w:widowControl/>
        <w:spacing w:line="360" w:lineRule="auto"/>
        <w:ind w:firstLine="420" w:firstLineChars="200"/>
        <w:jc w:val="left"/>
        <w:rPr>
          <w:color w:val="auto"/>
          <w:szCs w:val="21"/>
          <w:highlight w:val="none"/>
        </w:rPr>
      </w:pPr>
      <w:r>
        <w:rPr>
          <w:color w:val="auto"/>
          <w:szCs w:val="21"/>
          <w:highlight w:val="none"/>
        </w:rPr>
        <w:t>4.投诉书应简要列明质疑事项，质疑函、质疑答复等作为附件材料提供。</w:t>
      </w:r>
    </w:p>
    <w:p w14:paraId="6456EEF8">
      <w:pPr>
        <w:widowControl/>
        <w:spacing w:line="360" w:lineRule="auto"/>
        <w:ind w:firstLine="420" w:firstLineChars="200"/>
        <w:jc w:val="left"/>
        <w:rPr>
          <w:color w:val="auto"/>
          <w:szCs w:val="21"/>
          <w:highlight w:val="none"/>
        </w:rPr>
      </w:pPr>
      <w:r>
        <w:rPr>
          <w:color w:val="auto"/>
          <w:szCs w:val="21"/>
          <w:highlight w:val="none"/>
        </w:rPr>
        <w:t>5.投诉书的投诉事项应具体、明确，并有必要的事实依据和法律依据。</w:t>
      </w:r>
    </w:p>
    <w:p w14:paraId="0FB84FC5">
      <w:pPr>
        <w:widowControl/>
        <w:spacing w:line="360" w:lineRule="auto"/>
        <w:ind w:firstLine="420" w:firstLineChars="200"/>
        <w:jc w:val="left"/>
        <w:rPr>
          <w:color w:val="auto"/>
          <w:szCs w:val="21"/>
          <w:highlight w:val="none"/>
        </w:rPr>
      </w:pPr>
      <w:r>
        <w:rPr>
          <w:color w:val="auto"/>
          <w:szCs w:val="21"/>
          <w:highlight w:val="none"/>
        </w:rPr>
        <w:t>6.投诉书的投诉请求应与投诉事项相关。</w:t>
      </w:r>
    </w:p>
    <w:p w14:paraId="18861159">
      <w:pPr>
        <w:widowControl/>
        <w:spacing w:line="360" w:lineRule="auto"/>
        <w:ind w:firstLine="420" w:firstLineChars="200"/>
        <w:jc w:val="left"/>
        <w:rPr>
          <w:color w:val="auto"/>
          <w:kern w:val="0"/>
          <w:szCs w:val="21"/>
          <w:highlight w:val="none"/>
        </w:rPr>
      </w:pPr>
      <w:r>
        <w:rPr>
          <w:color w:val="auto"/>
          <w:szCs w:val="21"/>
          <w:highlight w:val="none"/>
        </w:rPr>
        <w:t>7.投诉人为自然人的，投诉书应当由本人签字；投诉人为法人或者其他组织的，投诉书应当由法定代表人、主要负责人，或者其授权代表签字或者盖章，并加盖公章。</w:t>
      </w:r>
    </w:p>
    <w:p w14:paraId="6C0134C2">
      <w:pPr>
        <w:pStyle w:val="781"/>
        <w:ind w:left="0" w:leftChars="0" w:firstLine="422" w:firstLineChars="200"/>
        <w:rPr>
          <w:rFonts w:ascii="Times New Roman" w:hAnsi="Times New Roman"/>
          <w:color w:val="auto"/>
          <w:highlight w:val="none"/>
        </w:rPr>
      </w:pPr>
    </w:p>
    <w:p w14:paraId="4E06DCF4">
      <w:pPr>
        <w:rPr>
          <w:color w:val="auto"/>
          <w:highlight w:val="none"/>
        </w:rPr>
      </w:pPr>
    </w:p>
    <w:p w14:paraId="3122D261">
      <w:pPr>
        <w:rPr>
          <w:color w:val="auto"/>
          <w:highlight w:val="none"/>
        </w:rPr>
      </w:pPr>
    </w:p>
    <w:p w14:paraId="5DEC1A63">
      <w:pPr>
        <w:rPr>
          <w:color w:val="auto"/>
          <w:highlight w:val="none"/>
        </w:rPr>
      </w:pPr>
    </w:p>
    <w:sectPr>
      <w:footerReference r:id="rId4" w:type="first"/>
      <w:footerReference r:id="rId3" w:type="default"/>
      <w:pgSz w:w="11906" w:h="16838"/>
      <w:pgMar w:top="1247" w:right="1247" w:bottom="1247" w:left="147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D1C566-BA85-4A02-8ED2-6A81D8C995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PMingLiU">
    <w:altName w:val="PMingLiU-ExtB"/>
    <w:panose1 w:val="02010601000101010101"/>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172FE3A-3B63-4553-B6B9-99F648260F6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宋体..璂..">
    <w:altName w:val="宋体"/>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Futura Lt">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sө">
    <w:altName w:val="Noto Sans SC"/>
    <w:panose1 w:val="00000000000000000000"/>
    <w:charset w:val="00"/>
    <w:family w:val="roman"/>
    <w:pitch w:val="default"/>
    <w:sig w:usb0="00000000" w:usb1="00000000" w:usb2="00000000" w:usb3="00000000" w:csb0="00040001" w:csb1="00000000"/>
  </w:font>
  <w:font w:name="Arail">
    <w:altName w:val="Noto Sans SC"/>
    <w:panose1 w:val="00000000000000000000"/>
    <w:charset w:val="00"/>
    <w:family w:val="auto"/>
    <w:pitch w:val="default"/>
    <w:sig w:usb0="00000000" w:usb1="00000000" w:usb2="00000000" w:usb3="00000000" w:csb0="00040001" w:csb1="00000000"/>
  </w:font>
  <w:font w:name="IOBAEE+TimesNewRoman,Bold">
    <w:altName w:val="宋体"/>
    <w:panose1 w:val="00000000000000000000"/>
    <w:charset w:val="86"/>
    <w:family w:val="roma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Futura Bk">
    <w:altName w:val="Segoe Print"/>
    <w:panose1 w:val="00000000000000000000"/>
    <w:charset w:val="00"/>
    <w:family w:val="swiss"/>
    <w:pitch w:val="default"/>
    <w:sig w:usb0="00000000" w:usb1="00000000" w:usb2="00000000" w:usb3="00000000" w:csb0="000000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_GB2312">
    <w:altName w:val="Segoe Print"/>
    <w:panose1 w:val="00000000000000000000"/>
    <w:charset w:val="00"/>
    <w:family w:val="auto"/>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font-weight : 400">
    <w:altName w:val="Noto Sans SC"/>
    <w:panose1 w:val="00000000000000000000"/>
    <w:charset w:val="00"/>
    <w:family w:val="auto"/>
    <w:pitch w:val="default"/>
    <w:sig w:usb0="00000000" w:usb1="00000000" w:usb2="00000000" w:usb3="00000000" w:csb0="00040001" w:csb1="00000000"/>
  </w:font>
  <w:font w:name="Futura-Heavy">
    <w:altName w:val="Segoe Print"/>
    <w:panose1 w:val="00000000000000000000"/>
    <w:charset w:val="00"/>
    <w:family w:val="swiss"/>
    <w:pitch w:val="default"/>
    <w:sig w:usb0="00000000" w:usb1="00000000" w:usb2="00000000" w:usb3="00000000" w:csb0="00000001" w:csb1="00000000"/>
  </w:font>
  <w:font w:name="Futura-Book">
    <w:altName w:val="Segoe Print"/>
    <w:panose1 w:val="00000000000000000000"/>
    <w:charset w:val="00"/>
    <w:family w:val="swiss"/>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MetaBook-Roman">
    <w:altName w:val="Segoe Print"/>
    <w:panose1 w:val="00000000000000000000"/>
    <w:charset w:val="00"/>
    <w:family w:val="swiss"/>
    <w:pitch w:val="default"/>
    <w:sig w:usb0="00000000" w:usb1="00000000" w:usb2="00000000" w:usb3="00000000" w:csb0="00000001" w:csb1="00000000"/>
  </w:font>
  <w:font w:name="IOAPJP+TimesNewRoman">
    <w:altName w:val="宋体"/>
    <w:panose1 w:val="00000000000000000000"/>
    <w:charset w:val="86"/>
    <w:family w:val="roma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Swis721 BlkOul BT">
    <w:altName w:val="Gabriola"/>
    <w:panose1 w:val="00000000000000000000"/>
    <w:charset w:val="00"/>
    <w:family w:val="decorative"/>
    <w:pitch w:val="default"/>
    <w:sig w:usb0="00000000" w:usb1="00000000" w:usb2="00000000" w:usb3="00000000" w:csb0="0000001B" w:csb1="00000000"/>
  </w:font>
  <w:font w:name="Gabriola">
    <w:panose1 w:val="04040605051002020D02"/>
    <w:charset w:val="00"/>
    <w:family w:val="auto"/>
    <w:pitch w:val="default"/>
    <w:sig w:usb0="E00002EF" w:usb1="5000204B" w:usb2="00000000" w:usb3="00000000" w:csb0="2000009F" w:csb1="00000000"/>
  </w:font>
  <w:font w:name="ヒラギノ角ゴ Pro W3">
    <w:altName w:val="Noto Sans SC"/>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文鼎PL细上海宋Uni">
    <w:altName w:val="宋体"/>
    <w:panose1 w:val="00000000000000000000"/>
    <w:charset w:val="80"/>
    <w:family w:val="moder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9" w:usb3="00000000" w:csb0="000001FF" w:csb1="00000000"/>
  </w:font>
  <w:font w:name="Sim Sun">
    <w:altName w:val="宋体"/>
    <w:panose1 w:val="00000000000000000000"/>
    <w:charset w:val="86"/>
    <w:family w:val="swiss"/>
    <w:pitch w:val="default"/>
    <w:sig w:usb0="00000000" w:usb1="00000000" w:usb2="0000001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New Century Schlbk">
    <w:altName w:val="Segoe Print"/>
    <w:panose1 w:val="00000000000000000000"/>
    <w:charset w:val="00"/>
    <w:family w:val="auto"/>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12" w:usb3="00000000" w:csb0="00040001" w:csb1="00000000"/>
    <w:embedRegular r:id="rId3" w:fontKey="{B99FF47D-216C-4012-9BCE-BD0EDA93A8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1F662">
    <w:pPr>
      <w:pStyle w:val="51"/>
      <w:jc w:val="center"/>
    </w:pPr>
    <w:r>
      <w:rPr>
        <w:rFonts w:hint="eastAsia"/>
      </w:rPr>
      <w:t>第</w:t>
    </w:r>
    <w:r>
      <w:fldChar w:fldCharType="begin"/>
    </w:r>
    <w:r>
      <w:instrText xml:space="preserve"> PAGE   \* MERGEFORMAT </w:instrText>
    </w:r>
    <w:r>
      <w:fldChar w:fldCharType="separate"/>
    </w:r>
    <w:r>
      <w:rPr>
        <w:lang w:val="zh-CN"/>
      </w:rPr>
      <w:t>30</w:t>
    </w:r>
    <w:r>
      <w:rPr>
        <w:lang w:val="zh-CN"/>
      </w:rPr>
      <w:fldChar w:fldCharType="end"/>
    </w:r>
    <w:r>
      <w:rPr>
        <w:rFonts w:hint="eastAsia"/>
      </w:rPr>
      <w:t>页，共</w:t>
    </w:r>
    <w:r>
      <w:fldChar w:fldCharType="begin"/>
    </w:r>
    <w:r>
      <w:instrText xml:space="preserve"> NUMPAGES   \* MERGEFORMAT </w:instrText>
    </w:r>
    <w:r>
      <w:fldChar w:fldCharType="separate"/>
    </w:r>
    <w:r>
      <w:t>68</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1B4D3">
    <w:pPr>
      <w:pStyle w:val="51"/>
      <w:jc w:val="center"/>
    </w:pPr>
    <w:r>
      <w:rPr>
        <w:rFonts w:hint="eastAsia"/>
      </w:rPr>
      <w:t>第</w:t>
    </w:r>
    <w:r>
      <w:fldChar w:fldCharType="begin"/>
    </w:r>
    <w:r>
      <w:instrText xml:space="preserve"> PAGE   \* MERGEFORMAT </w:instrText>
    </w:r>
    <w:r>
      <w:fldChar w:fldCharType="separate"/>
    </w:r>
    <w:r>
      <w:rPr>
        <w:lang w:val="zh-CN"/>
      </w:rPr>
      <w:t>30</w:t>
    </w:r>
    <w:r>
      <w:rPr>
        <w:lang w:val="zh-CN"/>
      </w:rPr>
      <w:fldChar w:fldCharType="end"/>
    </w:r>
    <w:r>
      <w:rPr>
        <w:rFonts w:hint="eastAsia"/>
      </w:rPr>
      <w:t>页，共</w:t>
    </w:r>
    <w:r>
      <w:fldChar w:fldCharType="begin"/>
    </w:r>
    <w:r>
      <w:instrText xml:space="preserve"> NUMPAGES   \* MERGEFORMAT </w:instrText>
    </w:r>
    <w:r>
      <w:fldChar w:fldCharType="separate"/>
    </w:r>
    <w:r>
      <w:t>68</w:t>
    </w:r>
    <w:r>
      <w:fldChar w:fldCharType="end"/>
    </w:r>
    <w:r>
      <w:rPr>
        <w:rFonts w:hint="eastAsia"/>
      </w:rPr>
      <w:t>页</w:t>
    </w:r>
  </w:p>
  <w:p w14:paraId="6F2ACE09">
    <w:pPr>
      <w:pStyle w:val="5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E797E"/>
    <w:multiLevelType w:val="singleLevel"/>
    <w:tmpl w:val="C60E797E"/>
    <w:lvl w:ilvl="0" w:tentative="0">
      <w:start w:val="1"/>
      <w:numFmt w:val="decimal"/>
      <w:lvlText w:val="%1."/>
      <w:lvlJc w:val="left"/>
      <w:pPr>
        <w:ind w:left="425" w:hanging="425"/>
      </w:pPr>
      <w:rPr>
        <w:rFonts w:hint="default"/>
      </w:rPr>
    </w:lvl>
  </w:abstractNum>
  <w:abstractNum w:abstractNumId="1">
    <w:nsid w:val="CB531E58"/>
    <w:multiLevelType w:val="singleLevel"/>
    <w:tmpl w:val="CB531E58"/>
    <w:lvl w:ilvl="0" w:tentative="0">
      <w:start w:val="1"/>
      <w:numFmt w:val="decimal"/>
      <w:suff w:val="nothing"/>
      <w:lvlText w:val="%1、"/>
      <w:lvlJc w:val="left"/>
    </w:lvl>
  </w:abstractNum>
  <w:abstractNum w:abstractNumId="2">
    <w:nsid w:val="CBC0DC41"/>
    <w:multiLevelType w:val="singleLevel"/>
    <w:tmpl w:val="CBC0DC41"/>
    <w:lvl w:ilvl="0" w:tentative="0">
      <w:start w:val="1"/>
      <w:numFmt w:val="decimal"/>
      <w:lvlText w:val="%1."/>
      <w:lvlJc w:val="left"/>
      <w:pPr>
        <w:tabs>
          <w:tab w:val="left" w:pos="312"/>
        </w:tabs>
      </w:pPr>
    </w:lvl>
  </w:abstractNum>
  <w:abstractNum w:abstractNumId="3">
    <w:nsid w:val="E2B6E772"/>
    <w:multiLevelType w:val="singleLevel"/>
    <w:tmpl w:val="E2B6E772"/>
    <w:lvl w:ilvl="0" w:tentative="0">
      <w:start w:val="4"/>
      <w:numFmt w:val="decimal"/>
      <w:suff w:val="nothing"/>
      <w:lvlText w:val="（%1）"/>
      <w:lvlJc w:val="left"/>
    </w:lvl>
  </w:abstractNum>
  <w:abstractNum w:abstractNumId="4">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5">
    <w:nsid w:val="FD8902AC"/>
    <w:multiLevelType w:val="singleLevel"/>
    <w:tmpl w:val="FD8902AC"/>
    <w:lvl w:ilvl="0" w:tentative="0">
      <w:start w:val="1"/>
      <w:numFmt w:val="lowerLetter"/>
      <w:lvlText w:val="%1."/>
      <w:lvlJc w:val="left"/>
      <w:pPr>
        <w:ind w:left="425" w:hanging="425"/>
      </w:pPr>
      <w:rPr>
        <w:rFonts w:hint="default"/>
      </w:rPr>
    </w:lvl>
  </w:abstractNum>
  <w:abstractNum w:abstractNumId="6">
    <w:nsid w:val="00000002"/>
    <w:multiLevelType w:val="multilevel"/>
    <w:tmpl w:val="00000002"/>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7">
    <w:nsid w:val="00000006"/>
    <w:multiLevelType w:val="multilevel"/>
    <w:tmpl w:val="00000006"/>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8">
    <w:nsid w:val="00000007"/>
    <w:multiLevelType w:val="multilevel"/>
    <w:tmpl w:val="00000007"/>
    <w:lvl w:ilvl="0" w:tentative="0">
      <w:start w:val="1"/>
      <w:numFmt w:val="none"/>
      <w:suff w:val="nothing"/>
      <w:lvlText w:val=""/>
      <w:lvlJc w:val="left"/>
      <w:pPr>
        <w:tabs>
          <w:tab w:val="left" w:pos="0"/>
        </w:tabs>
        <w:ind w:left="0" w:firstLine="0"/>
      </w:pPr>
      <w:rPr>
        <w:rFonts w:hint="eastAsia" w:ascii="宋体" w:hAnsi="宋体" w:cs="Arial"/>
        <w:b/>
        <w:kern w:val="1"/>
        <w:szCs w:val="21"/>
      </w:r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9">
    <w:nsid w:val="54F403B5"/>
    <w:multiLevelType w:val="singleLevel"/>
    <w:tmpl w:val="54F403B5"/>
    <w:lvl w:ilvl="0" w:tentative="0">
      <w:start w:val="1"/>
      <w:numFmt w:val="chineseCounting"/>
      <w:suff w:val="nothing"/>
      <w:lvlText w:val="%1、"/>
      <w:lvlJc w:val="left"/>
    </w:lvl>
  </w:abstractNum>
  <w:abstractNum w:abstractNumId="10">
    <w:nsid w:val="557FD3DA"/>
    <w:multiLevelType w:val="singleLevel"/>
    <w:tmpl w:val="557FD3DA"/>
    <w:lvl w:ilvl="0" w:tentative="0">
      <w:start w:val="3"/>
      <w:numFmt w:val="chineseCounting"/>
      <w:suff w:val="nothing"/>
      <w:lvlText w:val="%1、"/>
      <w:lvlJc w:val="left"/>
    </w:lvl>
  </w:abstractNum>
  <w:abstractNum w:abstractNumId="11">
    <w:nsid w:val="69B64154"/>
    <w:multiLevelType w:val="singleLevel"/>
    <w:tmpl w:val="69B64154"/>
    <w:lvl w:ilvl="0" w:tentative="0">
      <w:start w:val="3"/>
      <w:numFmt w:val="chineseCounting"/>
      <w:suff w:val="nothing"/>
      <w:lvlText w:val="%1、"/>
      <w:lvlJc w:val="left"/>
      <w:rPr>
        <w:rFonts w:hint="eastAsia"/>
      </w:rPr>
    </w:lvl>
  </w:abstractNum>
  <w:num w:numId="1">
    <w:abstractNumId w:val="3"/>
  </w:num>
  <w:num w:numId="2">
    <w:abstractNumId w:val="11"/>
  </w:num>
  <w:num w:numId="3">
    <w:abstractNumId w:val="0"/>
  </w:num>
  <w:num w:numId="4">
    <w:abstractNumId w:val="8"/>
  </w:num>
  <w:num w:numId="5">
    <w:abstractNumId w:val="7"/>
  </w:num>
  <w:num w:numId="6">
    <w:abstractNumId w:val="1"/>
  </w:num>
  <w:num w:numId="7">
    <w:abstractNumId w:val="6"/>
  </w:num>
  <w:num w:numId="8">
    <w:abstractNumId w:val="5"/>
  </w:num>
  <w:num w:numId="9">
    <w:abstractNumId w:val="4"/>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hZDg3NWJmZmNlYTBkM2I2ZDdhMGZkZDNlNTQ3OWYifQ=="/>
    <w:docVar w:name="KSO_WPS_MARK_KEY" w:val="dd7f40b6-8651-4ca5-9d7a-e03f1c0ae0dd"/>
  </w:docVars>
  <w:rsids>
    <w:rsidRoot w:val="0065469A"/>
    <w:rsid w:val="000003A6"/>
    <w:rsid w:val="00003C80"/>
    <w:rsid w:val="00011CE6"/>
    <w:rsid w:val="00015363"/>
    <w:rsid w:val="0001667D"/>
    <w:rsid w:val="00022860"/>
    <w:rsid w:val="000236D6"/>
    <w:rsid w:val="00024153"/>
    <w:rsid w:val="000258AE"/>
    <w:rsid w:val="00041262"/>
    <w:rsid w:val="00041F76"/>
    <w:rsid w:val="000451C1"/>
    <w:rsid w:val="00046539"/>
    <w:rsid w:val="00047DC5"/>
    <w:rsid w:val="00057057"/>
    <w:rsid w:val="000571AC"/>
    <w:rsid w:val="0006224D"/>
    <w:rsid w:val="0007028C"/>
    <w:rsid w:val="0007588F"/>
    <w:rsid w:val="000811F2"/>
    <w:rsid w:val="00082F7B"/>
    <w:rsid w:val="00082FC6"/>
    <w:rsid w:val="0008785F"/>
    <w:rsid w:val="00091075"/>
    <w:rsid w:val="000934FF"/>
    <w:rsid w:val="00094AA3"/>
    <w:rsid w:val="000978FD"/>
    <w:rsid w:val="00097FF4"/>
    <w:rsid w:val="000A1304"/>
    <w:rsid w:val="000A1DE9"/>
    <w:rsid w:val="000A3A91"/>
    <w:rsid w:val="000A7563"/>
    <w:rsid w:val="000B04D8"/>
    <w:rsid w:val="000B0C1E"/>
    <w:rsid w:val="000B1DDC"/>
    <w:rsid w:val="000B3744"/>
    <w:rsid w:val="000B405E"/>
    <w:rsid w:val="000C1526"/>
    <w:rsid w:val="000C3E6F"/>
    <w:rsid w:val="000C5101"/>
    <w:rsid w:val="000C53C1"/>
    <w:rsid w:val="000C645C"/>
    <w:rsid w:val="000C7999"/>
    <w:rsid w:val="000D07E7"/>
    <w:rsid w:val="000D1550"/>
    <w:rsid w:val="000D27C3"/>
    <w:rsid w:val="000D2867"/>
    <w:rsid w:val="000D2D5E"/>
    <w:rsid w:val="000D328C"/>
    <w:rsid w:val="000D4F6A"/>
    <w:rsid w:val="000D7AF8"/>
    <w:rsid w:val="000E11AD"/>
    <w:rsid w:val="000E1376"/>
    <w:rsid w:val="000E42DB"/>
    <w:rsid w:val="000E52D2"/>
    <w:rsid w:val="000E5632"/>
    <w:rsid w:val="000E5E3A"/>
    <w:rsid w:val="000F3D71"/>
    <w:rsid w:val="000F3FDD"/>
    <w:rsid w:val="000F5BA1"/>
    <w:rsid w:val="000F65C3"/>
    <w:rsid w:val="000F6890"/>
    <w:rsid w:val="001059D6"/>
    <w:rsid w:val="00107A47"/>
    <w:rsid w:val="00117177"/>
    <w:rsid w:val="00117DF7"/>
    <w:rsid w:val="00120931"/>
    <w:rsid w:val="0012107B"/>
    <w:rsid w:val="001216B7"/>
    <w:rsid w:val="00124371"/>
    <w:rsid w:val="001267DB"/>
    <w:rsid w:val="001367AD"/>
    <w:rsid w:val="00140B1D"/>
    <w:rsid w:val="00141C30"/>
    <w:rsid w:val="00152981"/>
    <w:rsid w:val="00155A3B"/>
    <w:rsid w:val="00156402"/>
    <w:rsid w:val="00166476"/>
    <w:rsid w:val="0018397B"/>
    <w:rsid w:val="00185FF3"/>
    <w:rsid w:val="001869AB"/>
    <w:rsid w:val="00191BEB"/>
    <w:rsid w:val="0019211C"/>
    <w:rsid w:val="00192E9E"/>
    <w:rsid w:val="001945C1"/>
    <w:rsid w:val="001977E2"/>
    <w:rsid w:val="001A078B"/>
    <w:rsid w:val="001A178C"/>
    <w:rsid w:val="001A25CE"/>
    <w:rsid w:val="001A4620"/>
    <w:rsid w:val="001A518E"/>
    <w:rsid w:val="001A5973"/>
    <w:rsid w:val="001A5C40"/>
    <w:rsid w:val="001A6EDA"/>
    <w:rsid w:val="001B2EF5"/>
    <w:rsid w:val="001B4962"/>
    <w:rsid w:val="001B5ECC"/>
    <w:rsid w:val="001C6D51"/>
    <w:rsid w:val="001D183F"/>
    <w:rsid w:val="001D47A9"/>
    <w:rsid w:val="001D5815"/>
    <w:rsid w:val="001D63F3"/>
    <w:rsid w:val="001D6D3D"/>
    <w:rsid w:val="001D79DA"/>
    <w:rsid w:val="001E03F4"/>
    <w:rsid w:val="001E07B3"/>
    <w:rsid w:val="001E5A7C"/>
    <w:rsid w:val="001E5FEE"/>
    <w:rsid w:val="001E6298"/>
    <w:rsid w:val="001E7D7A"/>
    <w:rsid w:val="001F0BC8"/>
    <w:rsid w:val="001F1C1B"/>
    <w:rsid w:val="001F4D1F"/>
    <w:rsid w:val="001F75DC"/>
    <w:rsid w:val="00200C3F"/>
    <w:rsid w:val="0020100E"/>
    <w:rsid w:val="002016CB"/>
    <w:rsid w:val="00202736"/>
    <w:rsid w:val="00204D5D"/>
    <w:rsid w:val="00206865"/>
    <w:rsid w:val="00213D0A"/>
    <w:rsid w:val="00217388"/>
    <w:rsid w:val="0021792F"/>
    <w:rsid w:val="0022602A"/>
    <w:rsid w:val="00227C49"/>
    <w:rsid w:val="00231D74"/>
    <w:rsid w:val="002328A1"/>
    <w:rsid w:val="00232A78"/>
    <w:rsid w:val="00233569"/>
    <w:rsid w:val="00234291"/>
    <w:rsid w:val="00234E0C"/>
    <w:rsid w:val="002374F6"/>
    <w:rsid w:val="00245BF5"/>
    <w:rsid w:val="002500C3"/>
    <w:rsid w:val="00252C6C"/>
    <w:rsid w:val="002545E3"/>
    <w:rsid w:val="002550C6"/>
    <w:rsid w:val="0025631A"/>
    <w:rsid w:val="00256523"/>
    <w:rsid w:val="00260797"/>
    <w:rsid w:val="00264572"/>
    <w:rsid w:val="002719BA"/>
    <w:rsid w:val="00272EE4"/>
    <w:rsid w:val="00274912"/>
    <w:rsid w:val="0027531A"/>
    <w:rsid w:val="00277272"/>
    <w:rsid w:val="00280583"/>
    <w:rsid w:val="00282DA5"/>
    <w:rsid w:val="00285910"/>
    <w:rsid w:val="00285D68"/>
    <w:rsid w:val="002954D3"/>
    <w:rsid w:val="002971D3"/>
    <w:rsid w:val="002A337E"/>
    <w:rsid w:val="002A725B"/>
    <w:rsid w:val="002B33AC"/>
    <w:rsid w:val="002B506F"/>
    <w:rsid w:val="002B5753"/>
    <w:rsid w:val="002C0B2F"/>
    <w:rsid w:val="002D0208"/>
    <w:rsid w:val="002D5407"/>
    <w:rsid w:val="002D6352"/>
    <w:rsid w:val="002E019B"/>
    <w:rsid w:val="002E3BB3"/>
    <w:rsid w:val="002E62BB"/>
    <w:rsid w:val="002F560C"/>
    <w:rsid w:val="003079A5"/>
    <w:rsid w:val="00313C1F"/>
    <w:rsid w:val="00317787"/>
    <w:rsid w:val="00324EA3"/>
    <w:rsid w:val="00326F1D"/>
    <w:rsid w:val="00330CFF"/>
    <w:rsid w:val="0033238A"/>
    <w:rsid w:val="003349FD"/>
    <w:rsid w:val="00337133"/>
    <w:rsid w:val="00342201"/>
    <w:rsid w:val="003430A6"/>
    <w:rsid w:val="003544D9"/>
    <w:rsid w:val="00354DBE"/>
    <w:rsid w:val="003553C4"/>
    <w:rsid w:val="00355673"/>
    <w:rsid w:val="00362D50"/>
    <w:rsid w:val="0036335A"/>
    <w:rsid w:val="0036645E"/>
    <w:rsid w:val="00371A58"/>
    <w:rsid w:val="00381131"/>
    <w:rsid w:val="00385A91"/>
    <w:rsid w:val="003872F4"/>
    <w:rsid w:val="00390FC6"/>
    <w:rsid w:val="003910AA"/>
    <w:rsid w:val="003A0AEB"/>
    <w:rsid w:val="003A2D88"/>
    <w:rsid w:val="003A5026"/>
    <w:rsid w:val="003A5971"/>
    <w:rsid w:val="003B6C69"/>
    <w:rsid w:val="003B7092"/>
    <w:rsid w:val="003B71FA"/>
    <w:rsid w:val="003B783B"/>
    <w:rsid w:val="003B7A93"/>
    <w:rsid w:val="003C4A58"/>
    <w:rsid w:val="003C5654"/>
    <w:rsid w:val="003C7CE2"/>
    <w:rsid w:val="003D6F50"/>
    <w:rsid w:val="003E316E"/>
    <w:rsid w:val="003F16EC"/>
    <w:rsid w:val="003F7769"/>
    <w:rsid w:val="00401C4B"/>
    <w:rsid w:val="00410E8F"/>
    <w:rsid w:val="00414236"/>
    <w:rsid w:val="004170D0"/>
    <w:rsid w:val="004307E7"/>
    <w:rsid w:val="00435819"/>
    <w:rsid w:val="00436F57"/>
    <w:rsid w:val="004374B7"/>
    <w:rsid w:val="00437FEE"/>
    <w:rsid w:val="00442B07"/>
    <w:rsid w:val="00442E75"/>
    <w:rsid w:val="00446077"/>
    <w:rsid w:val="00446111"/>
    <w:rsid w:val="00447A52"/>
    <w:rsid w:val="00447B6D"/>
    <w:rsid w:val="00450024"/>
    <w:rsid w:val="00453050"/>
    <w:rsid w:val="0045324A"/>
    <w:rsid w:val="004563F6"/>
    <w:rsid w:val="00456A27"/>
    <w:rsid w:val="0045791B"/>
    <w:rsid w:val="00460123"/>
    <w:rsid w:val="00466D44"/>
    <w:rsid w:val="00473873"/>
    <w:rsid w:val="0047451D"/>
    <w:rsid w:val="00475FA1"/>
    <w:rsid w:val="00477B5C"/>
    <w:rsid w:val="00484519"/>
    <w:rsid w:val="00485119"/>
    <w:rsid w:val="004879D1"/>
    <w:rsid w:val="004913ED"/>
    <w:rsid w:val="004A195A"/>
    <w:rsid w:val="004A600D"/>
    <w:rsid w:val="004A627F"/>
    <w:rsid w:val="004A7058"/>
    <w:rsid w:val="004B168E"/>
    <w:rsid w:val="004B218E"/>
    <w:rsid w:val="004C0FB8"/>
    <w:rsid w:val="004D609C"/>
    <w:rsid w:val="004D7C13"/>
    <w:rsid w:val="004E0B2D"/>
    <w:rsid w:val="004E0CA1"/>
    <w:rsid w:val="004E34C4"/>
    <w:rsid w:val="004F029E"/>
    <w:rsid w:val="004F76F8"/>
    <w:rsid w:val="00501940"/>
    <w:rsid w:val="005023C5"/>
    <w:rsid w:val="00502C16"/>
    <w:rsid w:val="00505153"/>
    <w:rsid w:val="00506724"/>
    <w:rsid w:val="00507985"/>
    <w:rsid w:val="005108B6"/>
    <w:rsid w:val="00511088"/>
    <w:rsid w:val="0051364A"/>
    <w:rsid w:val="0051379A"/>
    <w:rsid w:val="00513AFB"/>
    <w:rsid w:val="00515D6D"/>
    <w:rsid w:val="0052081A"/>
    <w:rsid w:val="00520E4A"/>
    <w:rsid w:val="0052179B"/>
    <w:rsid w:val="00521EED"/>
    <w:rsid w:val="00524C35"/>
    <w:rsid w:val="005269D3"/>
    <w:rsid w:val="00530101"/>
    <w:rsid w:val="00540F97"/>
    <w:rsid w:val="00541806"/>
    <w:rsid w:val="00547595"/>
    <w:rsid w:val="005516A8"/>
    <w:rsid w:val="00561BA3"/>
    <w:rsid w:val="005656E4"/>
    <w:rsid w:val="00572045"/>
    <w:rsid w:val="00577629"/>
    <w:rsid w:val="00577C21"/>
    <w:rsid w:val="0058035F"/>
    <w:rsid w:val="00581F8D"/>
    <w:rsid w:val="00584764"/>
    <w:rsid w:val="005A45DD"/>
    <w:rsid w:val="005B3646"/>
    <w:rsid w:val="005B4416"/>
    <w:rsid w:val="005B5A16"/>
    <w:rsid w:val="005B6E3E"/>
    <w:rsid w:val="005C148F"/>
    <w:rsid w:val="005C335A"/>
    <w:rsid w:val="005C4AD3"/>
    <w:rsid w:val="005C5344"/>
    <w:rsid w:val="005C6C46"/>
    <w:rsid w:val="005C715A"/>
    <w:rsid w:val="005D0903"/>
    <w:rsid w:val="005D164E"/>
    <w:rsid w:val="005E4EC5"/>
    <w:rsid w:val="005E6558"/>
    <w:rsid w:val="005F6F20"/>
    <w:rsid w:val="005F738E"/>
    <w:rsid w:val="00600B60"/>
    <w:rsid w:val="00601F10"/>
    <w:rsid w:val="00602468"/>
    <w:rsid w:val="00607973"/>
    <w:rsid w:val="00611135"/>
    <w:rsid w:val="00613421"/>
    <w:rsid w:val="00614F4E"/>
    <w:rsid w:val="00630D42"/>
    <w:rsid w:val="006315D2"/>
    <w:rsid w:val="006319C6"/>
    <w:rsid w:val="00636D3D"/>
    <w:rsid w:val="00640934"/>
    <w:rsid w:val="00647324"/>
    <w:rsid w:val="00652933"/>
    <w:rsid w:val="006535DA"/>
    <w:rsid w:val="0065469A"/>
    <w:rsid w:val="0066016E"/>
    <w:rsid w:val="00663D0B"/>
    <w:rsid w:val="00666FFB"/>
    <w:rsid w:val="00670A96"/>
    <w:rsid w:val="00672B8B"/>
    <w:rsid w:val="00675098"/>
    <w:rsid w:val="00676B3A"/>
    <w:rsid w:val="00677F9C"/>
    <w:rsid w:val="00680646"/>
    <w:rsid w:val="00681985"/>
    <w:rsid w:val="0068423A"/>
    <w:rsid w:val="006849CC"/>
    <w:rsid w:val="00684BE6"/>
    <w:rsid w:val="00692A32"/>
    <w:rsid w:val="00697452"/>
    <w:rsid w:val="0069776B"/>
    <w:rsid w:val="006A12AF"/>
    <w:rsid w:val="006A135F"/>
    <w:rsid w:val="006A4A1C"/>
    <w:rsid w:val="006A65FC"/>
    <w:rsid w:val="006A7C4B"/>
    <w:rsid w:val="006B5084"/>
    <w:rsid w:val="006B5489"/>
    <w:rsid w:val="006B5F4B"/>
    <w:rsid w:val="006B67F8"/>
    <w:rsid w:val="006B6D83"/>
    <w:rsid w:val="006C01E7"/>
    <w:rsid w:val="006C1570"/>
    <w:rsid w:val="006C40BE"/>
    <w:rsid w:val="006D0292"/>
    <w:rsid w:val="006D22B1"/>
    <w:rsid w:val="006D6C3F"/>
    <w:rsid w:val="006E07AE"/>
    <w:rsid w:val="006E699D"/>
    <w:rsid w:val="006E6AC8"/>
    <w:rsid w:val="006E6B8D"/>
    <w:rsid w:val="006F3368"/>
    <w:rsid w:val="006F482B"/>
    <w:rsid w:val="00705036"/>
    <w:rsid w:val="007252A1"/>
    <w:rsid w:val="00726F6C"/>
    <w:rsid w:val="0073041A"/>
    <w:rsid w:val="00736ACE"/>
    <w:rsid w:val="00743012"/>
    <w:rsid w:val="00745207"/>
    <w:rsid w:val="00745FA4"/>
    <w:rsid w:val="00746894"/>
    <w:rsid w:val="0075205C"/>
    <w:rsid w:val="0075333A"/>
    <w:rsid w:val="0075463B"/>
    <w:rsid w:val="007606AD"/>
    <w:rsid w:val="00762A2D"/>
    <w:rsid w:val="0076351A"/>
    <w:rsid w:val="00763DF2"/>
    <w:rsid w:val="00771985"/>
    <w:rsid w:val="00773321"/>
    <w:rsid w:val="00774D23"/>
    <w:rsid w:val="00774F17"/>
    <w:rsid w:val="007769FB"/>
    <w:rsid w:val="007777D4"/>
    <w:rsid w:val="007816D4"/>
    <w:rsid w:val="007911B5"/>
    <w:rsid w:val="00792689"/>
    <w:rsid w:val="007949C5"/>
    <w:rsid w:val="007A0118"/>
    <w:rsid w:val="007A289A"/>
    <w:rsid w:val="007B611D"/>
    <w:rsid w:val="007B6515"/>
    <w:rsid w:val="007C432C"/>
    <w:rsid w:val="007C636E"/>
    <w:rsid w:val="007D0A09"/>
    <w:rsid w:val="007D18B9"/>
    <w:rsid w:val="007D6C5E"/>
    <w:rsid w:val="007D7380"/>
    <w:rsid w:val="007E019A"/>
    <w:rsid w:val="007E081C"/>
    <w:rsid w:val="007E11FE"/>
    <w:rsid w:val="007E22D3"/>
    <w:rsid w:val="007E4B55"/>
    <w:rsid w:val="007E5902"/>
    <w:rsid w:val="007F1B9A"/>
    <w:rsid w:val="0081101E"/>
    <w:rsid w:val="00813590"/>
    <w:rsid w:val="008137CF"/>
    <w:rsid w:val="00813D43"/>
    <w:rsid w:val="00813E99"/>
    <w:rsid w:val="008147FD"/>
    <w:rsid w:val="0081566C"/>
    <w:rsid w:val="0081572A"/>
    <w:rsid w:val="00822334"/>
    <w:rsid w:val="00823D2A"/>
    <w:rsid w:val="00825DF3"/>
    <w:rsid w:val="008276E6"/>
    <w:rsid w:val="008319A0"/>
    <w:rsid w:val="00833006"/>
    <w:rsid w:val="00835349"/>
    <w:rsid w:val="00840350"/>
    <w:rsid w:val="0084058A"/>
    <w:rsid w:val="00842BA6"/>
    <w:rsid w:val="00845B44"/>
    <w:rsid w:val="0085151B"/>
    <w:rsid w:val="008526E1"/>
    <w:rsid w:val="008531F6"/>
    <w:rsid w:val="00855D6E"/>
    <w:rsid w:val="00861971"/>
    <w:rsid w:val="00861DD2"/>
    <w:rsid w:val="00862FEC"/>
    <w:rsid w:val="00866D7C"/>
    <w:rsid w:val="008702D6"/>
    <w:rsid w:val="00872F10"/>
    <w:rsid w:val="00876CAD"/>
    <w:rsid w:val="008774ED"/>
    <w:rsid w:val="00881906"/>
    <w:rsid w:val="00881AC1"/>
    <w:rsid w:val="00886AD7"/>
    <w:rsid w:val="00891405"/>
    <w:rsid w:val="00891672"/>
    <w:rsid w:val="00894FF8"/>
    <w:rsid w:val="008A016B"/>
    <w:rsid w:val="008A0A4E"/>
    <w:rsid w:val="008A7330"/>
    <w:rsid w:val="008A733E"/>
    <w:rsid w:val="008B0A24"/>
    <w:rsid w:val="008B3517"/>
    <w:rsid w:val="008C638B"/>
    <w:rsid w:val="008D1891"/>
    <w:rsid w:val="008D213F"/>
    <w:rsid w:val="008D49C9"/>
    <w:rsid w:val="008E0B32"/>
    <w:rsid w:val="008E279E"/>
    <w:rsid w:val="008E2FFC"/>
    <w:rsid w:val="008E7670"/>
    <w:rsid w:val="008F31F4"/>
    <w:rsid w:val="008F3CEB"/>
    <w:rsid w:val="008F6AAE"/>
    <w:rsid w:val="00902362"/>
    <w:rsid w:val="009103D0"/>
    <w:rsid w:val="00910EE2"/>
    <w:rsid w:val="00911A08"/>
    <w:rsid w:val="00915911"/>
    <w:rsid w:val="00915F40"/>
    <w:rsid w:val="009212CD"/>
    <w:rsid w:val="00927FE7"/>
    <w:rsid w:val="009300BF"/>
    <w:rsid w:val="0093247A"/>
    <w:rsid w:val="009335F2"/>
    <w:rsid w:val="009378FB"/>
    <w:rsid w:val="00942AA5"/>
    <w:rsid w:val="00943834"/>
    <w:rsid w:val="00943D3C"/>
    <w:rsid w:val="00945B8F"/>
    <w:rsid w:val="009510F1"/>
    <w:rsid w:val="009544FD"/>
    <w:rsid w:val="00957543"/>
    <w:rsid w:val="00961F16"/>
    <w:rsid w:val="009625F7"/>
    <w:rsid w:val="00964394"/>
    <w:rsid w:val="00966D9C"/>
    <w:rsid w:val="009676B3"/>
    <w:rsid w:val="009700C5"/>
    <w:rsid w:val="00974580"/>
    <w:rsid w:val="0097568C"/>
    <w:rsid w:val="00976A77"/>
    <w:rsid w:val="00985892"/>
    <w:rsid w:val="00985ECE"/>
    <w:rsid w:val="00987B1B"/>
    <w:rsid w:val="0099259A"/>
    <w:rsid w:val="009959E7"/>
    <w:rsid w:val="00996EB8"/>
    <w:rsid w:val="009A19E3"/>
    <w:rsid w:val="009A2B1E"/>
    <w:rsid w:val="009A3EC5"/>
    <w:rsid w:val="009A78DB"/>
    <w:rsid w:val="009A7FDE"/>
    <w:rsid w:val="009B36ED"/>
    <w:rsid w:val="009B5F2C"/>
    <w:rsid w:val="009B70D7"/>
    <w:rsid w:val="009C0CA6"/>
    <w:rsid w:val="009C10FA"/>
    <w:rsid w:val="009C509D"/>
    <w:rsid w:val="009C5DB6"/>
    <w:rsid w:val="009D2E94"/>
    <w:rsid w:val="009D6DFA"/>
    <w:rsid w:val="009E108D"/>
    <w:rsid w:val="009E6425"/>
    <w:rsid w:val="009E7D0E"/>
    <w:rsid w:val="009E7F11"/>
    <w:rsid w:val="009F120A"/>
    <w:rsid w:val="009F3048"/>
    <w:rsid w:val="009F3D4E"/>
    <w:rsid w:val="009F46A3"/>
    <w:rsid w:val="009F6937"/>
    <w:rsid w:val="009F7816"/>
    <w:rsid w:val="00A00634"/>
    <w:rsid w:val="00A0082C"/>
    <w:rsid w:val="00A04805"/>
    <w:rsid w:val="00A0548A"/>
    <w:rsid w:val="00A06097"/>
    <w:rsid w:val="00A23BB3"/>
    <w:rsid w:val="00A24CDA"/>
    <w:rsid w:val="00A274A9"/>
    <w:rsid w:val="00A30907"/>
    <w:rsid w:val="00A3156F"/>
    <w:rsid w:val="00A37D70"/>
    <w:rsid w:val="00A407A0"/>
    <w:rsid w:val="00A41FB5"/>
    <w:rsid w:val="00A42CC8"/>
    <w:rsid w:val="00A4403B"/>
    <w:rsid w:val="00A46829"/>
    <w:rsid w:val="00A46E36"/>
    <w:rsid w:val="00A47F17"/>
    <w:rsid w:val="00A53A16"/>
    <w:rsid w:val="00A53FED"/>
    <w:rsid w:val="00A6168A"/>
    <w:rsid w:val="00A62E2E"/>
    <w:rsid w:val="00A67690"/>
    <w:rsid w:val="00A67A46"/>
    <w:rsid w:val="00A765C2"/>
    <w:rsid w:val="00A76C9A"/>
    <w:rsid w:val="00A81132"/>
    <w:rsid w:val="00A84185"/>
    <w:rsid w:val="00A90C87"/>
    <w:rsid w:val="00A947D9"/>
    <w:rsid w:val="00A95C5D"/>
    <w:rsid w:val="00AA0D0F"/>
    <w:rsid w:val="00AA1C6C"/>
    <w:rsid w:val="00AA304C"/>
    <w:rsid w:val="00AB048A"/>
    <w:rsid w:val="00AB7024"/>
    <w:rsid w:val="00AB77BC"/>
    <w:rsid w:val="00AC7EA0"/>
    <w:rsid w:val="00AD14F2"/>
    <w:rsid w:val="00AD29D7"/>
    <w:rsid w:val="00AD4207"/>
    <w:rsid w:val="00AD730E"/>
    <w:rsid w:val="00AD7575"/>
    <w:rsid w:val="00AE075D"/>
    <w:rsid w:val="00AE3EA6"/>
    <w:rsid w:val="00AE4FE9"/>
    <w:rsid w:val="00AF40D4"/>
    <w:rsid w:val="00B0062E"/>
    <w:rsid w:val="00B07FB4"/>
    <w:rsid w:val="00B11212"/>
    <w:rsid w:val="00B25688"/>
    <w:rsid w:val="00B316F0"/>
    <w:rsid w:val="00B3392B"/>
    <w:rsid w:val="00B33B08"/>
    <w:rsid w:val="00B349BE"/>
    <w:rsid w:val="00B4107F"/>
    <w:rsid w:val="00B44B02"/>
    <w:rsid w:val="00B47237"/>
    <w:rsid w:val="00B50CA5"/>
    <w:rsid w:val="00B51120"/>
    <w:rsid w:val="00B54CD7"/>
    <w:rsid w:val="00B550C9"/>
    <w:rsid w:val="00B55588"/>
    <w:rsid w:val="00B579A0"/>
    <w:rsid w:val="00B66C0B"/>
    <w:rsid w:val="00B67771"/>
    <w:rsid w:val="00B70E82"/>
    <w:rsid w:val="00B71304"/>
    <w:rsid w:val="00B77FF7"/>
    <w:rsid w:val="00B83F87"/>
    <w:rsid w:val="00B85626"/>
    <w:rsid w:val="00B85EEF"/>
    <w:rsid w:val="00B91EC3"/>
    <w:rsid w:val="00BA294D"/>
    <w:rsid w:val="00BA2F36"/>
    <w:rsid w:val="00BA74BB"/>
    <w:rsid w:val="00BB2FA0"/>
    <w:rsid w:val="00BB5F26"/>
    <w:rsid w:val="00BB76D5"/>
    <w:rsid w:val="00BC12D7"/>
    <w:rsid w:val="00BC22AA"/>
    <w:rsid w:val="00BC3040"/>
    <w:rsid w:val="00BC31B6"/>
    <w:rsid w:val="00BC4753"/>
    <w:rsid w:val="00BD03A0"/>
    <w:rsid w:val="00BD3281"/>
    <w:rsid w:val="00BD4E73"/>
    <w:rsid w:val="00BD596F"/>
    <w:rsid w:val="00BD68F1"/>
    <w:rsid w:val="00BD73EB"/>
    <w:rsid w:val="00BD781F"/>
    <w:rsid w:val="00BE39A2"/>
    <w:rsid w:val="00BF21B9"/>
    <w:rsid w:val="00BF51B8"/>
    <w:rsid w:val="00C020E1"/>
    <w:rsid w:val="00C050E8"/>
    <w:rsid w:val="00C05FE4"/>
    <w:rsid w:val="00C124AA"/>
    <w:rsid w:val="00C13452"/>
    <w:rsid w:val="00C15626"/>
    <w:rsid w:val="00C16D71"/>
    <w:rsid w:val="00C21107"/>
    <w:rsid w:val="00C24D41"/>
    <w:rsid w:val="00C24E9A"/>
    <w:rsid w:val="00C30995"/>
    <w:rsid w:val="00C325AA"/>
    <w:rsid w:val="00C335E7"/>
    <w:rsid w:val="00C3371B"/>
    <w:rsid w:val="00C34E95"/>
    <w:rsid w:val="00C352B8"/>
    <w:rsid w:val="00C37644"/>
    <w:rsid w:val="00C41698"/>
    <w:rsid w:val="00C43E70"/>
    <w:rsid w:val="00C46C9D"/>
    <w:rsid w:val="00C514CA"/>
    <w:rsid w:val="00C55A60"/>
    <w:rsid w:val="00C603A1"/>
    <w:rsid w:val="00C62E05"/>
    <w:rsid w:val="00C62EE7"/>
    <w:rsid w:val="00C6307F"/>
    <w:rsid w:val="00C70BD0"/>
    <w:rsid w:val="00C73E71"/>
    <w:rsid w:val="00C7513A"/>
    <w:rsid w:val="00C77CA4"/>
    <w:rsid w:val="00C83759"/>
    <w:rsid w:val="00C84CDC"/>
    <w:rsid w:val="00C854D7"/>
    <w:rsid w:val="00C86AD0"/>
    <w:rsid w:val="00C87800"/>
    <w:rsid w:val="00C903F1"/>
    <w:rsid w:val="00C951F1"/>
    <w:rsid w:val="00C97277"/>
    <w:rsid w:val="00C97D64"/>
    <w:rsid w:val="00CA249D"/>
    <w:rsid w:val="00CA334E"/>
    <w:rsid w:val="00CA7C91"/>
    <w:rsid w:val="00CB4073"/>
    <w:rsid w:val="00CC0F80"/>
    <w:rsid w:val="00CC2F86"/>
    <w:rsid w:val="00CC4589"/>
    <w:rsid w:val="00CC6CFB"/>
    <w:rsid w:val="00CD0E8C"/>
    <w:rsid w:val="00CD4279"/>
    <w:rsid w:val="00CE20E1"/>
    <w:rsid w:val="00CE3A18"/>
    <w:rsid w:val="00CE42A2"/>
    <w:rsid w:val="00CE6EC6"/>
    <w:rsid w:val="00CE73DF"/>
    <w:rsid w:val="00CE770C"/>
    <w:rsid w:val="00D008C9"/>
    <w:rsid w:val="00D03021"/>
    <w:rsid w:val="00D03060"/>
    <w:rsid w:val="00D074BD"/>
    <w:rsid w:val="00D103A2"/>
    <w:rsid w:val="00D16689"/>
    <w:rsid w:val="00D174CE"/>
    <w:rsid w:val="00D20EF5"/>
    <w:rsid w:val="00D26B2E"/>
    <w:rsid w:val="00D302C7"/>
    <w:rsid w:val="00D31B80"/>
    <w:rsid w:val="00D370CB"/>
    <w:rsid w:val="00D40B6E"/>
    <w:rsid w:val="00D52C2F"/>
    <w:rsid w:val="00D5325C"/>
    <w:rsid w:val="00D566BF"/>
    <w:rsid w:val="00D61117"/>
    <w:rsid w:val="00D63AB7"/>
    <w:rsid w:val="00D716B5"/>
    <w:rsid w:val="00D71925"/>
    <w:rsid w:val="00D7229A"/>
    <w:rsid w:val="00D74825"/>
    <w:rsid w:val="00D84031"/>
    <w:rsid w:val="00D86703"/>
    <w:rsid w:val="00D94A50"/>
    <w:rsid w:val="00DA1320"/>
    <w:rsid w:val="00DA2C11"/>
    <w:rsid w:val="00DA5044"/>
    <w:rsid w:val="00DA598A"/>
    <w:rsid w:val="00DB0EFF"/>
    <w:rsid w:val="00DB3B81"/>
    <w:rsid w:val="00DB52D6"/>
    <w:rsid w:val="00DB60FB"/>
    <w:rsid w:val="00DB77E3"/>
    <w:rsid w:val="00DC310B"/>
    <w:rsid w:val="00DC3C98"/>
    <w:rsid w:val="00DC5032"/>
    <w:rsid w:val="00DD0DE7"/>
    <w:rsid w:val="00DE0733"/>
    <w:rsid w:val="00DE5E52"/>
    <w:rsid w:val="00DE69A1"/>
    <w:rsid w:val="00DE7F3E"/>
    <w:rsid w:val="00DF048A"/>
    <w:rsid w:val="00DF256D"/>
    <w:rsid w:val="00DF61CC"/>
    <w:rsid w:val="00E0460B"/>
    <w:rsid w:val="00E06875"/>
    <w:rsid w:val="00E10944"/>
    <w:rsid w:val="00E10CB6"/>
    <w:rsid w:val="00E15C40"/>
    <w:rsid w:val="00E266E1"/>
    <w:rsid w:val="00E3001C"/>
    <w:rsid w:val="00E463FC"/>
    <w:rsid w:val="00E53473"/>
    <w:rsid w:val="00E57B5C"/>
    <w:rsid w:val="00E65180"/>
    <w:rsid w:val="00E66FAE"/>
    <w:rsid w:val="00E72182"/>
    <w:rsid w:val="00E73A5F"/>
    <w:rsid w:val="00E740A6"/>
    <w:rsid w:val="00E74628"/>
    <w:rsid w:val="00E751D7"/>
    <w:rsid w:val="00E76968"/>
    <w:rsid w:val="00E847A0"/>
    <w:rsid w:val="00E93E9B"/>
    <w:rsid w:val="00E951C5"/>
    <w:rsid w:val="00E96629"/>
    <w:rsid w:val="00E968C4"/>
    <w:rsid w:val="00EA02D0"/>
    <w:rsid w:val="00EA04C4"/>
    <w:rsid w:val="00EA1BFB"/>
    <w:rsid w:val="00EA57C1"/>
    <w:rsid w:val="00EB7937"/>
    <w:rsid w:val="00EC033F"/>
    <w:rsid w:val="00EC05F1"/>
    <w:rsid w:val="00EC2A01"/>
    <w:rsid w:val="00EC30DB"/>
    <w:rsid w:val="00ED07D6"/>
    <w:rsid w:val="00ED2DF7"/>
    <w:rsid w:val="00ED39C0"/>
    <w:rsid w:val="00ED4649"/>
    <w:rsid w:val="00ED5151"/>
    <w:rsid w:val="00EE2634"/>
    <w:rsid w:val="00EE7D0E"/>
    <w:rsid w:val="00EF2D23"/>
    <w:rsid w:val="00EF49E3"/>
    <w:rsid w:val="00EF6D72"/>
    <w:rsid w:val="00EF7890"/>
    <w:rsid w:val="00F07697"/>
    <w:rsid w:val="00F127A9"/>
    <w:rsid w:val="00F16BD2"/>
    <w:rsid w:val="00F21786"/>
    <w:rsid w:val="00F226B1"/>
    <w:rsid w:val="00F2471E"/>
    <w:rsid w:val="00F352DA"/>
    <w:rsid w:val="00F422C2"/>
    <w:rsid w:val="00F452A7"/>
    <w:rsid w:val="00F526E8"/>
    <w:rsid w:val="00F52EF7"/>
    <w:rsid w:val="00F54E04"/>
    <w:rsid w:val="00F56A32"/>
    <w:rsid w:val="00F6150A"/>
    <w:rsid w:val="00F62C17"/>
    <w:rsid w:val="00F635B6"/>
    <w:rsid w:val="00F675B2"/>
    <w:rsid w:val="00F7163C"/>
    <w:rsid w:val="00F73BC7"/>
    <w:rsid w:val="00F76944"/>
    <w:rsid w:val="00F77231"/>
    <w:rsid w:val="00F81233"/>
    <w:rsid w:val="00F82607"/>
    <w:rsid w:val="00F84637"/>
    <w:rsid w:val="00F84DA6"/>
    <w:rsid w:val="00F86CEB"/>
    <w:rsid w:val="00F9461D"/>
    <w:rsid w:val="00FA0D45"/>
    <w:rsid w:val="00FA1DD4"/>
    <w:rsid w:val="00FA717C"/>
    <w:rsid w:val="00FA7DEC"/>
    <w:rsid w:val="00FC5E21"/>
    <w:rsid w:val="00FD2088"/>
    <w:rsid w:val="00FD3071"/>
    <w:rsid w:val="00FD3AE2"/>
    <w:rsid w:val="00FE3582"/>
    <w:rsid w:val="00FE6E5D"/>
    <w:rsid w:val="00FF38E8"/>
    <w:rsid w:val="00FF792C"/>
    <w:rsid w:val="01334FB6"/>
    <w:rsid w:val="013E4434"/>
    <w:rsid w:val="014F4CF1"/>
    <w:rsid w:val="01626E41"/>
    <w:rsid w:val="01D478DB"/>
    <w:rsid w:val="01E57458"/>
    <w:rsid w:val="01E75987"/>
    <w:rsid w:val="022401D1"/>
    <w:rsid w:val="025021B0"/>
    <w:rsid w:val="02701D4F"/>
    <w:rsid w:val="027D4BD3"/>
    <w:rsid w:val="027F54D2"/>
    <w:rsid w:val="02881E0B"/>
    <w:rsid w:val="02B06C5B"/>
    <w:rsid w:val="02B32C00"/>
    <w:rsid w:val="02E551B1"/>
    <w:rsid w:val="02F72AEC"/>
    <w:rsid w:val="031A24B2"/>
    <w:rsid w:val="03461DA9"/>
    <w:rsid w:val="036B1671"/>
    <w:rsid w:val="039F491C"/>
    <w:rsid w:val="03AC3F3C"/>
    <w:rsid w:val="03B065CF"/>
    <w:rsid w:val="03D354A3"/>
    <w:rsid w:val="03DF748D"/>
    <w:rsid w:val="03EF3544"/>
    <w:rsid w:val="042C703E"/>
    <w:rsid w:val="04AE6E7E"/>
    <w:rsid w:val="04BA2023"/>
    <w:rsid w:val="04CC1D57"/>
    <w:rsid w:val="04D44D2B"/>
    <w:rsid w:val="04FC6741"/>
    <w:rsid w:val="05080FE1"/>
    <w:rsid w:val="05102AB7"/>
    <w:rsid w:val="0522228A"/>
    <w:rsid w:val="05442F26"/>
    <w:rsid w:val="054E541D"/>
    <w:rsid w:val="056A1124"/>
    <w:rsid w:val="059A66A2"/>
    <w:rsid w:val="059A6A00"/>
    <w:rsid w:val="05B678A1"/>
    <w:rsid w:val="05E836B5"/>
    <w:rsid w:val="06112117"/>
    <w:rsid w:val="066E1BC1"/>
    <w:rsid w:val="069375D7"/>
    <w:rsid w:val="06B04863"/>
    <w:rsid w:val="06C66263"/>
    <w:rsid w:val="06CC652D"/>
    <w:rsid w:val="06E81CB3"/>
    <w:rsid w:val="06EB4687"/>
    <w:rsid w:val="0709430D"/>
    <w:rsid w:val="07174E15"/>
    <w:rsid w:val="071D4AEC"/>
    <w:rsid w:val="074107DA"/>
    <w:rsid w:val="07480532"/>
    <w:rsid w:val="0763442C"/>
    <w:rsid w:val="077D4834"/>
    <w:rsid w:val="0786149F"/>
    <w:rsid w:val="079528D4"/>
    <w:rsid w:val="07964C64"/>
    <w:rsid w:val="07DF16B0"/>
    <w:rsid w:val="07E44B6F"/>
    <w:rsid w:val="07ED337D"/>
    <w:rsid w:val="080A5070"/>
    <w:rsid w:val="0815655F"/>
    <w:rsid w:val="081B0A49"/>
    <w:rsid w:val="082E197B"/>
    <w:rsid w:val="084A7B62"/>
    <w:rsid w:val="08634780"/>
    <w:rsid w:val="089E3A0A"/>
    <w:rsid w:val="08DB6AEA"/>
    <w:rsid w:val="08F12EFD"/>
    <w:rsid w:val="0936334E"/>
    <w:rsid w:val="09483F2F"/>
    <w:rsid w:val="09616F12"/>
    <w:rsid w:val="0967408D"/>
    <w:rsid w:val="097A7B9C"/>
    <w:rsid w:val="098212A7"/>
    <w:rsid w:val="098F0DC8"/>
    <w:rsid w:val="09DB0564"/>
    <w:rsid w:val="0A3F5346"/>
    <w:rsid w:val="0A40746F"/>
    <w:rsid w:val="0A48656D"/>
    <w:rsid w:val="0A582796"/>
    <w:rsid w:val="0A6E79A6"/>
    <w:rsid w:val="0A717628"/>
    <w:rsid w:val="0A8F3EBD"/>
    <w:rsid w:val="0AB71BC3"/>
    <w:rsid w:val="0AD71253"/>
    <w:rsid w:val="0B005796"/>
    <w:rsid w:val="0B1E411A"/>
    <w:rsid w:val="0B47674D"/>
    <w:rsid w:val="0B571229"/>
    <w:rsid w:val="0B7427DE"/>
    <w:rsid w:val="0BF254A5"/>
    <w:rsid w:val="0C4F74F5"/>
    <w:rsid w:val="0C6F5DE9"/>
    <w:rsid w:val="0C774C9E"/>
    <w:rsid w:val="0C8A134F"/>
    <w:rsid w:val="0C99082D"/>
    <w:rsid w:val="0CAD35B0"/>
    <w:rsid w:val="0CB04057"/>
    <w:rsid w:val="0D186FCA"/>
    <w:rsid w:val="0D330BC5"/>
    <w:rsid w:val="0D431F16"/>
    <w:rsid w:val="0D731909"/>
    <w:rsid w:val="0D9F45D1"/>
    <w:rsid w:val="0DA56EB4"/>
    <w:rsid w:val="0DAE5905"/>
    <w:rsid w:val="0DBB6155"/>
    <w:rsid w:val="0DEE1A67"/>
    <w:rsid w:val="0DF54279"/>
    <w:rsid w:val="0E000676"/>
    <w:rsid w:val="0E2D1C4A"/>
    <w:rsid w:val="0E303356"/>
    <w:rsid w:val="0E3802AA"/>
    <w:rsid w:val="0E7E38D5"/>
    <w:rsid w:val="0E895415"/>
    <w:rsid w:val="0E910299"/>
    <w:rsid w:val="0E99714E"/>
    <w:rsid w:val="0E9B546B"/>
    <w:rsid w:val="0EBF6208"/>
    <w:rsid w:val="0EC54764"/>
    <w:rsid w:val="0EE6281D"/>
    <w:rsid w:val="0EFE77C2"/>
    <w:rsid w:val="0F0536B9"/>
    <w:rsid w:val="0F2E3D3A"/>
    <w:rsid w:val="0F533C6F"/>
    <w:rsid w:val="0F6C1229"/>
    <w:rsid w:val="0F747958"/>
    <w:rsid w:val="0F953DB9"/>
    <w:rsid w:val="0FB3668E"/>
    <w:rsid w:val="0FD52407"/>
    <w:rsid w:val="0FEE5277"/>
    <w:rsid w:val="0FF33F05"/>
    <w:rsid w:val="0FF859FC"/>
    <w:rsid w:val="10005238"/>
    <w:rsid w:val="10205710"/>
    <w:rsid w:val="10462E50"/>
    <w:rsid w:val="1060697B"/>
    <w:rsid w:val="108F4FB1"/>
    <w:rsid w:val="10936028"/>
    <w:rsid w:val="10A219FE"/>
    <w:rsid w:val="10B15251"/>
    <w:rsid w:val="10E213DC"/>
    <w:rsid w:val="11102465"/>
    <w:rsid w:val="117443FC"/>
    <w:rsid w:val="117B6FDE"/>
    <w:rsid w:val="11812CBA"/>
    <w:rsid w:val="11CB5E3D"/>
    <w:rsid w:val="11E15C34"/>
    <w:rsid w:val="12017C58"/>
    <w:rsid w:val="12470F94"/>
    <w:rsid w:val="124A036D"/>
    <w:rsid w:val="124F777A"/>
    <w:rsid w:val="125A1C72"/>
    <w:rsid w:val="126B0E01"/>
    <w:rsid w:val="129414E0"/>
    <w:rsid w:val="129465AA"/>
    <w:rsid w:val="129A5E14"/>
    <w:rsid w:val="12A34B2A"/>
    <w:rsid w:val="12D42571"/>
    <w:rsid w:val="130F3851"/>
    <w:rsid w:val="13290BB4"/>
    <w:rsid w:val="13593FDF"/>
    <w:rsid w:val="13956851"/>
    <w:rsid w:val="13EC5F71"/>
    <w:rsid w:val="13FA2BF5"/>
    <w:rsid w:val="145C64C3"/>
    <w:rsid w:val="149070D4"/>
    <w:rsid w:val="149F4D92"/>
    <w:rsid w:val="14C30A80"/>
    <w:rsid w:val="14D07BFC"/>
    <w:rsid w:val="14D16BB3"/>
    <w:rsid w:val="15995C85"/>
    <w:rsid w:val="15A5287C"/>
    <w:rsid w:val="15AA12DE"/>
    <w:rsid w:val="160F065B"/>
    <w:rsid w:val="164C3BAB"/>
    <w:rsid w:val="1665032C"/>
    <w:rsid w:val="167E6870"/>
    <w:rsid w:val="169D2FFB"/>
    <w:rsid w:val="16AB5C70"/>
    <w:rsid w:val="16D36215"/>
    <w:rsid w:val="16E37952"/>
    <w:rsid w:val="171D66D9"/>
    <w:rsid w:val="17317497"/>
    <w:rsid w:val="17346CEF"/>
    <w:rsid w:val="17371525"/>
    <w:rsid w:val="1743552A"/>
    <w:rsid w:val="174A761B"/>
    <w:rsid w:val="17532A95"/>
    <w:rsid w:val="175D557E"/>
    <w:rsid w:val="177F55E5"/>
    <w:rsid w:val="178D2752"/>
    <w:rsid w:val="178F4BF9"/>
    <w:rsid w:val="17936E30"/>
    <w:rsid w:val="17B13632"/>
    <w:rsid w:val="17CD12C5"/>
    <w:rsid w:val="17D3661F"/>
    <w:rsid w:val="17D36975"/>
    <w:rsid w:val="17DF2A99"/>
    <w:rsid w:val="1803292B"/>
    <w:rsid w:val="18064E23"/>
    <w:rsid w:val="1808314A"/>
    <w:rsid w:val="181A4065"/>
    <w:rsid w:val="1821268E"/>
    <w:rsid w:val="18261DE9"/>
    <w:rsid w:val="18295701"/>
    <w:rsid w:val="187E30D6"/>
    <w:rsid w:val="188B0A95"/>
    <w:rsid w:val="18952734"/>
    <w:rsid w:val="189A44B4"/>
    <w:rsid w:val="18B12631"/>
    <w:rsid w:val="18C20594"/>
    <w:rsid w:val="190D6062"/>
    <w:rsid w:val="191C6C04"/>
    <w:rsid w:val="192F0878"/>
    <w:rsid w:val="19566367"/>
    <w:rsid w:val="196A224C"/>
    <w:rsid w:val="199D5859"/>
    <w:rsid w:val="199F72D4"/>
    <w:rsid w:val="19C203BC"/>
    <w:rsid w:val="19E25516"/>
    <w:rsid w:val="19FD2C86"/>
    <w:rsid w:val="1A28436D"/>
    <w:rsid w:val="1A3062CC"/>
    <w:rsid w:val="1A6151E2"/>
    <w:rsid w:val="1A7A6085"/>
    <w:rsid w:val="1A942330"/>
    <w:rsid w:val="1A9B2530"/>
    <w:rsid w:val="1AB33224"/>
    <w:rsid w:val="1ACC119E"/>
    <w:rsid w:val="1AFD0A64"/>
    <w:rsid w:val="1AFE4788"/>
    <w:rsid w:val="1B027E29"/>
    <w:rsid w:val="1B064E2C"/>
    <w:rsid w:val="1B332719"/>
    <w:rsid w:val="1B656D35"/>
    <w:rsid w:val="1B884E11"/>
    <w:rsid w:val="1B9F32CE"/>
    <w:rsid w:val="1BB2268A"/>
    <w:rsid w:val="1C3A49E4"/>
    <w:rsid w:val="1C494E2D"/>
    <w:rsid w:val="1C6570DB"/>
    <w:rsid w:val="1C6F45A1"/>
    <w:rsid w:val="1C765DF9"/>
    <w:rsid w:val="1C874A89"/>
    <w:rsid w:val="1CC25291"/>
    <w:rsid w:val="1D210C02"/>
    <w:rsid w:val="1D3D27DA"/>
    <w:rsid w:val="1D4F73F6"/>
    <w:rsid w:val="1D651D8E"/>
    <w:rsid w:val="1D9E02DC"/>
    <w:rsid w:val="1DA8115B"/>
    <w:rsid w:val="1DB54245"/>
    <w:rsid w:val="1DC53AC0"/>
    <w:rsid w:val="1DC53D86"/>
    <w:rsid w:val="1DF32616"/>
    <w:rsid w:val="1E381A17"/>
    <w:rsid w:val="1E710300"/>
    <w:rsid w:val="1E77656C"/>
    <w:rsid w:val="1E7B3239"/>
    <w:rsid w:val="1E964521"/>
    <w:rsid w:val="1EB176E0"/>
    <w:rsid w:val="1EDD6BE3"/>
    <w:rsid w:val="1EFD1C5C"/>
    <w:rsid w:val="1F007BE8"/>
    <w:rsid w:val="1F17023D"/>
    <w:rsid w:val="1F170B91"/>
    <w:rsid w:val="1F412CB0"/>
    <w:rsid w:val="1F43427D"/>
    <w:rsid w:val="1F4A7ECF"/>
    <w:rsid w:val="1F9F033C"/>
    <w:rsid w:val="1FA3361F"/>
    <w:rsid w:val="1FD326EC"/>
    <w:rsid w:val="202178A0"/>
    <w:rsid w:val="20323A70"/>
    <w:rsid w:val="204C4020"/>
    <w:rsid w:val="20595DE6"/>
    <w:rsid w:val="205B1568"/>
    <w:rsid w:val="20691A65"/>
    <w:rsid w:val="20857532"/>
    <w:rsid w:val="209452FF"/>
    <w:rsid w:val="209544AB"/>
    <w:rsid w:val="209A74BF"/>
    <w:rsid w:val="20B322F1"/>
    <w:rsid w:val="20C5553B"/>
    <w:rsid w:val="20ED2632"/>
    <w:rsid w:val="21416F2F"/>
    <w:rsid w:val="21586D55"/>
    <w:rsid w:val="2160387B"/>
    <w:rsid w:val="216F5503"/>
    <w:rsid w:val="21814068"/>
    <w:rsid w:val="21863561"/>
    <w:rsid w:val="21921F06"/>
    <w:rsid w:val="21966379"/>
    <w:rsid w:val="21A5011E"/>
    <w:rsid w:val="21C66EB3"/>
    <w:rsid w:val="21D7200F"/>
    <w:rsid w:val="21D90A25"/>
    <w:rsid w:val="220A2A9C"/>
    <w:rsid w:val="22330628"/>
    <w:rsid w:val="22437980"/>
    <w:rsid w:val="22471176"/>
    <w:rsid w:val="224E542F"/>
    <w:rsid w:val="22597EF7"/>
    <w:rsid w:val="225A426B"/>
    <w:rsid w:val="226E4597"/>
    <w:rsid w:val="22791B01"/>
    <w:rsid w:val="22A805E7"/>
    <w:rsid w:val="22A96E45"/>
    <w:rsid w:val="22B92851"/>
    <w:rsid w:val="22B932C2"/>
    <w:rsid w:val="22D14CB0"/>
    <w:rsid w:val="22D37274"/>
    <w:rsid w:val="22F20284"/>
    <w:rsid w:val="23024E6A"/>
    <w:rsid w:val="230E1A60"/>
    <w:rsid w:val="230E7C34"/>
    <w:rsid w:val="233D697C"/>
    <w:rsid w:val="23411E36"/>
    <w:rsid w:val="23445D0F"/>
    <w:rsid w:val="23473F1E"/>
    <w:rsid w:val="23621DAC"/>
    <w:rsid w:val="23723E79"/>
    <w:rsid w:val="23AE4983"/>
    <w:rsid w:val="23ED3D6C"/>
    <w:rsid w:val="23F91212"/>
    <w:rsid w:val="242D4E41"/>
    <w:rsid w:val="243E62FB"/>
    <w:rsid w:val="245636BF"/>
    <w:rsid w:val="246F22A9"/>
    <w:rsid w:val="24701F1C"/>
    <w:rsid w:val="247F3DCD"/>
    <w:rsid w:val="24804188"/>
    <w:rsid w:val="24DF0C7B"/>
    <w:rsid w:val="25646F7F"/>
    <w:rsid w:val="2581571A"/>
    <w:rsid w:val="259B7867"/>
    <w:rsid w:val="25B83F05"/>
    <w:rsid w:val="262E7CAB"/>
    <w:rsid w:val="267C0A8F"/>
    <w:rsid w:val="26B873F8"/>
    <w:rsid w:val="26C8461C"/>
    <w:rsid w:val="26CB03ED"/>
    <w:rsid w:val="26CB0D56"/>
    <w:rsid w:val="26D11723"/>
    <w:rsid w:val="26D514A9"/>
    <w:rsid w:val="26D8257F"/>
    <w:rsid w:val="26FF3103"/>
    <w:rsid w:val="276D259D"/>
    <w:rsid w:val="27A110F5"/>
    <w:rsid w:val="27CF6884"/>
    <w:rsid w:val="27E2526A"/>
    <w:rsid w:val="27E67E3C"/>
    <w:rsid w:val="283273C5"/>
    <w:rsid w:val="288B01EE"/>
    <w:rsid w:val="28BA5491"/>
    <w:rsid w:val="28E22C2D"/>
    <w:rsid w:val="290A0CCB"/>
    <w:rsid w:val="292702AA"/>
    <w:rsid w:val="29336BF5"/>
    <w:rsid w:val="29337116"/>
    <w:rsid w:val="29387FBC"/>
    <w:rsid w:val="295D70D9"/>
    <w:rsid w:val="29B261EE"/>
    <w:rsid w:val="2A0948C5"/>
    <w:rsid w:val="2A22226A"/>
    <w:rsid w:val="2A273037"/>
    <w:rsid w:val="2A292A09"/>
    <w:rsid w:val="2A7724D9"/>
    <w:rsid w:val="2A783C63"/>
    <w:rsid w:val="2A8E16D9"/>
    <w:rsid w:val="2AB37291"/>
    <w:rsid w:val="2AB62B05"/>
    <w:rsid w:val="2AB75919"/>
    <w:rsid w:val="2AD3351F"/>
    <w:rsid w:val="2AD52E64"/>
    <w:rsid w:val="2AFE474E"/>
    <w:rsid w:val="2B257563"/>
    <w:rsid w:val="2B3202B6"/>
    <w:rsid w:val="2B7670A3"/>
    <w:rsid w:val="2BAB2946"/>
    <w:rsid w:val="2BAC615C"/>
    <w:rsid w:val="2C1022B4"/>
    <w:rsid w:val="2C2916B9"/>
    <w:rsid w:val="2C367714"/>
    <w:rsid w:val="2C4B52C5"/>
    <w:rsid w:val="2C917FFA"/>
    <w:rsid w:val="2C9F40EC"/>
    <w:rsid w:val="2CFA4E04"/>
    <w:rsid w:val="2D087520"/>
    <w:rsid w:val="2D0B028D"/>
    <w:rsid w:val="2D783D56"/>
    <w:rsid w:val="2D940DB4"/>
    <w:rsid w:val="2DA11E8F"/>
    <w:rsid w:val="2DC63C70"/>
    <w:rsid w:val="2DE73199"/>
    <w:rsid w:val="2DF02AE0"/>
    <w:rsid w:val="2DF1231F"/>
    <w:rsid w:val="2DF3280D"/>
    <w:rsid w:val="2E041B65"/>
    <w:rsid w:val="2E11316D"/>
    <w:rsid w:val="2E2A34C6"/>
    <w:rsid w:val="2E3503AF"/>
    <w:rsid w:val="2E400F3C"/>
    <w:rsid w:val="2E460FBB"/>
    <w:rsid w:val="2EE70102"/>
    <w:rsid w:val="2EFE3960"/>
    <w:rsid w:val="2F2C584A"/>
    <w:rsid w:val="2F4A3E20"/>
    <w:rsid w:val="2F5F051D"/>
    <w:rsid w:val="2F916372"/>
    <w:rsid w:val="2FA57D5D"/>
    <w:rsid w:val="2FF344B8"/>
    <w:rsid w:val="30297EDA"/>
    <w:rsid w:val="305C2F7D"/>
    <w:rsid w:val="30640398"/>
    <w:rsid w:val="308B5E1C"/>
    <w:rsid w:val="30CD2B4A"/>
    <w:rsid w:val="30D31646"/>
    <w:rsid w:val="31134C5D"/>
    <w:rsid w:val="31197CDE"/>
    <w:rsid w:val="31440D43"/>
    <w:rsid w:val="314D37F5"/>
    <w:rsid w:val="315A4D97"/>
    <w:rsid w:val="31AF710F"/>
    <w:rsid w:val="31D5284E"/>
    <w:rsid w:val="32036508"/>
    <w:rsid w:val="32067705"/>
    <w:rsid w:val="323F58AE"/>
    <w:rsid w:val="325E7967"/>
    <w:rsid w:val="3279568B"/>
    <w:rsid w:val="32A92715"/>
    <w:rsid w:val="331A1D5C"/>
    <w:rsid w:val="33631954"/>
    <w:rsid w:val="337A0A4C"/>
    <w:rsid w:val="337D2E86"/>
    <w:rsid w:val="33A91C3C"/>
    <w:rsid w:val="33B658A8"/>
    <w:rsid w:val="33CC3B8B"/>
    <w:rsid w:val="33D22636"/>
    <w:rsid w:val="33FF72B3"/>
    <w:rsid w:val="34574C85"/>
    <w:rsid w:val="348002E4"/>
    <w:rsid w:val="349819ED"/>
    <w:rsid w:val="349B24EF"/>
    <w:rsid w:val="349B48DE"/>
    <w:rsid w:val="34AC53F9"/>
    <w:rsid w:val="34C207E6"/>
    <w:rsid w:val="34C72F0D"/>
    <w:rsid w:val="34D36666"/>
    <w:rsid w:val="351538DA"/>
    <w:rsid w:val="354B2475"/>
    <w:rsid w:val="355754E9"/>
    <w:rsid w:val="3566198E"/>
    <w:rsid w:val="357D13A9"/>
    <w:rsid w:val="357E2A76"/>
    <w:rsid w:val="35BA7826"/>
    <w:rsid w:val="35D07F22"/>
    <w:rsid w:val="35D51E56"/>
    <w:rsid w:val="35F9034E"/>
    <w:rsid w:val="36104342"/>
    <w:rsid w:val="362819E9"/>
    <w:rsid w:val="362C0724"/>
    <w:rsid w:val="36413487"/>
    <w:rsid w:val="368D569B"/>
    <w:rsid w:val="3697072A"/>
    <w:rsid w:val="36B43069"/>
    <w:rsid w:val="36C64AEF"/>
    <w:rsid w:val="36C72259"/>
    <w:rsid w:val="36D9316C"/>
    <w:rsid w:val="36F0462C"/>
    <w:rsid w:val="3701314C"/>
    <w:rsid w:val="37113475"/>
    <w:rsid w:val="3715513B"/>
    <w:rsid w:val="371E0791"/>
    <w:rsid w:val="3722036D"/>
    <w:rsid w:val="3758447A"/>
    <w:rsid w:val="376004E6"/>
    <w:rsid w:val="37777590"/>
    <w:rsid w:val="37A35FA3"/>
    <w:rsid w:val="37E42938"/>
    <w:rsid w:val="381864A3"/>
    <w:rsid w:val="3837515E"/>
    <w:rsid w:val="386015BC"/>
    <w:rsid w:val="386F1ED9"/>
    <w:rsid w:val="38C70E89"/>
    <w:rsid w:val="38C9433D"/>
    <w:rsid w:val="38D70119"/>
    <w:rsid w:val="38D92525"/>
    <w:rsid w:val="38F17A02"/>
    <w:rsid w:val="390C2146"/>
    <w:rsid w:val="391600CF"/>
    <w:rsid w:val="393D6F10"/>
    <w:rsid w:val="39414B4E"/>
    <w:rsid w:val="395065BD"/>
    <w:rsid w:val="39692819"/>
    <w:rsid w:val="39797C10"/>
    <w:rsid w:val="397BE318"/>
    <w:rsid w:val="39982879"/>
    <w:rsid w:val="39A64AE6"/>
    <w:rsid w:val="39B134BA"/>
    <w:rsid w:val="39B23B55"/>
    <w:rsid w:val="39CB75E6"/>
    <w:rsid w:val="39CF1831"/>
    <w:rsid w:val="3A330F2B"/>
    <w:rsid w:val="3A6A405B"/>
    <w:rsid w:val="3ABC215F"/>
    <w:rsid w:val="3AC850CF"/>
    <w:rsid w:val="3AD3146C"/>
    <w:rsid w:val="3AEC6902"/>
    <w:rsid w:val="3B0A6B5A"/>
    <w:rsid w:val="3B21771E"/>
    <w:rsid w:val="3B310402"/>
    <w:rsid w:val="3B32226E"/>
    <w:rsid w:val="3B416603"/>
    <w:rsid w:val="3B5C1708"/>
    <w:rsid w:val="3B6C0D61"/>
    <w:rsid w:val="3B911236"/>
    <w:rsid w:val="3B9528C7"/>
    <w:rsid w:val="3BA65CB3"/>
    <w:rsid w:val="3BD35BB6"/>
    <w:rsid w:val="3BFF191F"/>
    <w:rsid w:val="3C0826F4"/>
    <w:rsid w:val="3C3A7BDE"/>
    <w:rsid w:val="3C6A0F3E"/>
    <w:rsid w:val="3C74693C"/>
    <w:rsid w:val="3C8A42BC"/>
    <w:rsid w:val="3CEA2E8B"/>
    <w:rsid w:val="3D001FC2"/>
    <w:rsid w:val="3D0910C3"/>
    <w:rsid w:val="3D143CBF"/>
    <w:rsid w:val="3D280270"/>
    <w:rsid w:val="3D53112B"/>
    <w:rsid w:val="3D645268"/>
    <w:rsid w:val="3DA61A48"/>
    <w:rsid w:val="3DF7705C"/>
    <w:rsid w:val="3E2C473A"/>
    <w:rsid w:val="3E4B7A1D"/>
    <w:rsid w:val="3EB07159"/>
    <w:rsid w:val="3EC5323B"/>
    <w:rsid w:val="3EEF3931"/>
    <w:rsid w:val="3EFD446C"/>
    <w:rsid w:val="3F0D7D72"/>
    <w:rsid w:val="3F203799"/>
    <w:rsid w:val="3F7312B5"/>
    <w:rsid w:val="3F771F82"/>
    <w:rsid w:val="3F7B58EA"/>
    <w:rsid w:val="3FBE6ABC"/>
    <w:rsid w:val="3FC06C64"/>
    <w:rsid w:val="3FF83250"/>
    <w:rsid w:val="40081B56"/>
    <w:rsid w:val="400A4834"/>
    <w:rsid w:val="40112738"/>
    <w:rsid w:val="401A5953"/>
    <w:rsid w:val="405F5252"/>
    <w:rsid w:val="40723795"/>
    <w:rsid w:val="40890521"/>
    <w:rsid w:val="40A1518E"/>
    <w:rsid w:val="40BE5F87"/>
    <w:rsid w:val="40F41AF4"/>
    <w:rsid w:val="40F707A1"/>
    <w:rsid w:val="41372A17"/>
    <w:rsid w:val="413942E8"/>
    <w:rsid w:val="413F7983"/>
    <w:rsid w:val="41735459"/>
    <w:rsid w:val="418040B9"/>
    <w:rsid w:val="419A4180"/>
    <w:rsid w:val="41B6305A"/>
    <w:rsid w:val="41B8516E"/>
    <w:rsid w:val="41F9557F"/>
    <w:rsid w:val="42145BD1"/>
    <w:rsid w:val="42421985"/>
    <w:rsid w:val="425F1568"/>
    <w:rsid w:val="425F4B16"/>
    <w:rsid w:val="42925CEB"/>
    <w:rsid w:val="429D4825"/>
    <w:rsid w:val="42C00723"/>
    <w:rsid w:val="42D20ABE"/>
    <w:rsid w:val="42D65BD8"/>
    <w:rsid w:val="42D84892"/>
    <w:rsid w:val="42EF6D61"/>
    <w:rsid w:val="430B7913"/>
    <w:rsid w:val="43B02F88"/>
    <w:rsid w:val="43C47B66"/>
    <w:rsid w:val="43D47D05"/>
    <w:rsid w:val="43EE4EAE"/>
    <w:rsid w:val="43FA058C"/>
    <w:rsid w:val="43FE22ED"/>
    <w:rsid w:val="441324B3"/>
    <w:rsid w:val="443455D0"/>
    <w:rsid w:val="44706CB8"/>
    <w:rsid w:val="447A63F1"/>
    <w:rsid w:val="447F437D"/>
    <w:rsid w:val="44805482"/>
    <w:rsid w:val="44CE3C0B"/>
    <w:rsid w:val="44D01489"/>
    <w:rsid w:val="44D3620E"/>
    <w:rsid w:val="44D8699D"/>
    <w:rsid w:val="44D93AD8"/>
    <w:rsid w:val="44F7014F"/>
    <w:rsid w:val="45191C30"/>
    <w:rsid w:val="451E56DB"/>
    <w:rsid w:val="4542069B"/>
    <w:rsid w:val="454D2D60"/>
    <w:rsid w:val="4568402F"/>
    <w:rsid w:val="4580427C"/>
    <w:rsid w:val="4598360B"/>
    <w:rsid w:val="45A81636"/>
    <w:rsid w:val="45B63EBF"/>
    <w:rsid w:val="45CC0694"/>
    <w:rsid w:val="45D24718"/>
    <w:rsid w:val="46026DAB"/>
    <w:rsid w:val="4616667A"/>
    <w:rsid w:val="462D134F"/>
    <w:rsid w:val="46611F1A"/>
    <w:rsid w:val="46641814"/>
    <w:rsid w:val="467632F5"/>
    <w:rsid w:val="46BB00AD"/>
    <w:rsid w:val="46E91893"/>
    <w:rsid w:val="46FF1EC6"/>
    <w:rsid w:val="470E2BF1"/>
    <w:rsid w:val="472D7CF0"/>
    <w:rsid w:val="474D6C23"/>
    <w:rsid w:val="47737835"/>
    <w:rsid w:val="47B7588A"/>
    <w:rsid w:val="47FE17F4"/>
    <w:rsid w:val="480F3A01"/>
    <w:rsid w:val="481059AE"/>
    <w:rsid w:val="4819283B"/>
    <w:rsid w:val="481D611E"/>
    <w:rsid w:val="484429DA"/>
    <w:rsid w:val="48743011"/>
    <w:rsid w:val="487D79D2"/>
    <w:rsid w:val="48A779AB"/>
    <w:rsid w:val="48AB197C"/>
    <w:rsid w:val="48B93B9B"/>
    <w:rsid w:val="48F12EFF"/>
    <w:rsid w:val="490C0EAD"/>
    <w:rsid w:val="49100DC9"/>
    <w:rsid w:val="4919240C"/>
    <w:rsid w:val="493807D9"/>
    <w:rsid w:val="494160C9"/>
    <w:rsid w:val="494B2817"/>
    <w:rsid w:val="496304CA"/>
    <w:rsid w:val="49637285"/>
    <w:rsid w:val="49680319"/>
    <w:rsid w:val="499E492A"/>
    <w:rsid w:val="49CE7207"/>
    <w:rsid w:val="49F8118A"/>
    <w:rsid w:val="4A2607DD"/>
    <w:rsid w:val="4A3634C7"/>
    <w:rsid w:val="4A37573B"/>
    <w:rsid w:val="4A5E47CC"/>
    <w:rsid w:val="4A677B24"/>
    <w:rsid w:val="4A8B2E82"/>
    <w:rsid w:val="4ACD594D"/>
    <w:rsid w:val="4AEB3DE7"/>
    <w:rsid w:val="4B080390"/>
    <w:rsid w:val="4B26428E"/>
    <w:rsid w:val="4B601505"/>
    <w:rsid w:val="4BAD3606"/>
    <w:rsid w:val="4BC17AB6"/>
    <w:rsid w:val="4BC34DF5"/>
    <w:rsid w:val="4BF7404F"/>
    <w:rsid w:val="4C081969"/>
    <w:rsid w:val="4C177113"/>
    <w:rsid w:val="4C494CA5"/>
    <w:rsid w:val="4C5603C6"/>
    <w:rsid w:val="4C5F77C7"/>
    <w:rsid w:val="4C976464"/>
    <w:rsid w:val="4CA77DCD"/>
    <w:rsid w:val="4CC21476"/>
    <w:rsid w:val="4CD80E99"/>
    <w:rsid w:val="4CFD5677"/>
    <w:rsid w:val="4D0351BD"/>
    <w:rsid w:val="4D135EFD"/>
    <w:rsid w:val="4D344E5B"/>
    <w:rsid w:val="4D3A507C"/>
    <w:rsid w:val="4D3F2693"/>
    <w:rsid w:val="4D780DC5"/>
    <w:rsid w:val="4D9E1AAF"/>
    <w:rsid w:val="4DD90246"/>
    <w:rsid w:val="4DDA28BA"/>
    <w:rsid w:val="4E0B6A19"/>
    <w:rsid w:val="4E127810"/>
    <w:rsid w:val="4E377211"/>
    <w:rsid w:val="4E3844BD"/>
    <w:rsid w:val="4E524648"/>
    <w:rsid w:val="4E6A1D33"/>
    <w:rsid w:val="4E6C5709"/>
    <w:rsid w:val="4E8934AF"/>
    <w:rsid w:val="4EFE638F"/>
    <w:rsid w:val="4F5D14F6"/>
    <w:rsid w:val="4F844CD5"/>
    <w:rsid w:val="4F8F3A41"/>
    <w:rsid w:val="4F9766FD"/>
    <w:rsid w:val="4FA871BC"/>
    <w:rsid w:val="4FC32DBB"/>
    <w:rsid w:val="4FF512DD"/>
    <w:rsid w:val="50106568"/>
    <w:rsid w:val="501452CE"/>
    <w:rsid w:val="5015491E"/>
    <w:rsid w:val="502D0EC8"/>
    <w:rsid w:val="50310CCE"/>
    <w:rsid w:val="505B4281"/>
    <w:rsid w:val="506B4F93"/>
    <w:rsid w:val="50736CC9"/>
    <w:rsid w:val="50A078D0"/>
    <w:rsid w:val="50BD7C11"/>
    <w:rsid w:val="50D25DF0"/>
    <w:rsid w:val="51156A2C"/>
    <w:rsid w:val="514114DA"/>
    <w:rsid w:val="514379B7"/>
    <w:rsid w:val="51494E7A"/>
    <w:rsid w:val="518A3785"/>
    <w:rsid w:val="519A444B"/>
    <w:rsid w:val="51B83CD4"/>
    <w:rsid w:val="51C6590F"/>
    <w:rsid w:val="520768B1"/>
    <w:rsid w:val="521959E7"/>
    <w:rsid w:val="52207D77"/>
    <w:rsid w:val="52326C6A"/>
    <w:rsid w:val="523F0C82"/>
    <w:rsid w:val="5299079A"/>
    <w:rsid w:val="52CF13D4"/>
    <w:rsid w:val="52DB5CCA"/>
    <w:rsid w:val="52DF2079"/>
    <w:rsid w:val="52E8017F"/>
    <w:rsid w:val="52F8622C"/>
    <w:rsid w:val="530F07D3"/>
    <w:rsid w:val="536F3021"/>
    <w:rsid w:val="537310AC"/>
    <w:rsid w:val="53D446F2"/>
    <w:rsid w:val="53D61877"/>
    <w:rsid w:val="53D651EE"/>
    <w:rsid w:val="542E16B3"/>
    <w:rsid w:val="54307871"/>
    <w:rsid w:val="5446623B"/>
    <w:rsid w:val="546C1308"/>
    <w:rsid w:val="547A57C1"/>
    <w:rsid w:val="549D022E"/>
    <w:rsid w:val="54B42188"/>
    <w:rsid w:val="54B54AE0"/>
    <w:rsid w:val="54D173E9"/>
    <w:rsid w:val="54E83D10"/>
    <w:rsid w:val="54F41FB5"/>
    <w:rsid w:val="55945546"/>
    <w:rsid w:val="55AF5D23"/>
    <w:rsid w:val="55C65606"/>
    <w:rsid w:val="55DB07F4"/>
    <w:rsid w:val="55E16CFF"/>
    <w:rsid w:val="56151579"/>
    <w:rsid w:val="561612F7"/>
    <w:rsid w:val="565E3A33"/>
    <w:rsid w:val="56662A3F"/>
    <w:rsid w:val="567A6E1F"/>
    <w:rsid w:val="569B776C"/>
    <w:rsid w:val="569D33C0"/>
    <w:rsid w:val="56C449A6"/>
    <w:rsid w:val="56FA6BBD"/>
    <w:rsid w:val="570C114E"/>
    <w:rsid w:val="57361052"/>
    <w:rsid w:val="57535E2A"/>
    <w:rsid w:val="57636E58"/>
    <w:rsid w:val="57646851"/>
    <w:rsid w:val="577371ED"/>
    <w:rsid w:val="57783371"/>
    <w:rsid w:val="579D1958"/>
    <w:rsid w:val="57AE36D7"/>
    <w:rsid w:val="57CE2F91"/>
    <w:rsid w:val="57DF3CC7"/>
    <w:rsid w:val="57ED695E"/>
    <w:rsid w:val="57F33196"/>
    <w:rsid w:val="57F45321"/>
    <w:rsid w:val="581030F7"/>
    <w:rsid w:val="582726A1"/>
    <w:rsid w:val="58437BB4"/>
    <w:rsid w:val="58633DC2"/>
    <w:rsid w:val="58D31AE6"/>
    <w:rsid w:val="58D9595A"/>
    <w:rsid w:val="58E93781"/>
    <w:rsid w:val="59030A18"/>
    <w:rsid w:val="590D43CD"/>
    <w:rsid w:val="5913676B"/>
    <w:rsid w:val="59301A29"/>
    <w:rsid w:val="598B63C8"/>
    <w:rsid w:val="59993FB7"/>
    <w:rsid w:val="59C821CB"/>
    <w:rsid w:val="5A034DE3"/>
    <w:rsid w:val="5A405001"/>
    <w:rsid w:val="5A6B61E3"/>
    <w:rsid w:val="5A6C6043"/>
    <w:rsid w:val="5A83065D"/>
    <w:rsid w:val="5AAF1CD4"/>
    <w:rsid w:val="5AB74101"/>
    <w:rsid w:val="5AE44879"/>
    <w:rsid w:val="5AFD24B7"/>
    <w:rsid w:val="5B09082B"/>
    <w:rsid w:val="5B0F67EC"/>
    <w:rsid w:val="5B254C44"/>
    <w:rsid w:val="5B326E35"/>
    <w:rsid w:val="5B3733FE"/>
    <w:rsid w:val="5B855579"/>
    <w:rsid w:val="5B9C2F9E"/>
    <w:rsid w:val="5BA05FCF"/>
    <w:rsid w:val="5BC4133E"/>
    <w:rsid w:val="5C494E51"/>
    <w:rsid w:val="5C57461B"/>
    <w:rsid w:val="5C78171D"/>
    <w:rsid w:val="5D026AB5"/>
    <w:rsid w:val="5D207771"/>
    <w:rsid w:val="5D301FF8"/>
    <w:rsid w:val="5D325D70"/>
    <w:rsid w:val="5D3F0561"/>
    <w:rsid w:val="5D410143"/>
    <w:rsid w:val="5D440FA8"/>
    <w:rsid w:val="5D5B51F7"/>
    <w:rsid w:val="5D861A18"/>
    <w:rsid w:val="5D9562FF"/>
    <w:rsid w:val="5DE15076"/>
    <w:rsid w:val="5E133183"/>
    <w:rsid w:val="5E2B7C9F"/>
    <w:rsid w:val="5E336317"/>
    <w:rsid w:val="5E391380"/>
    <w:rsid w:val="5E5815A9"/>
    <w:rsid w:val="5E6608D0"/>
    <w:rsid w:val="5E7B54F5"/>
    <w:rsid w:val="5E941D2E"/>
    <w:rsid w:val="5E987E55"/>
    <w:rsid w:val="5EAB2EFC"/>
    <w:rsid w:val="5F0D2091"/>
    <w:rsid w:val="5F687741"/>
    <w:rsid w:val="5FB47823"/>
    <w:rsid w:val="5FBF6023"/>
    <w:rsid w:val="5FE67309"/>
    <w:rsid w:val="5FFB5A91"/>
    <w:rsid w:val="600C2E4A"/>
    <w:rsid w:val="602814EE"/>
    <w:rsid w:val="6051475F"/>
    <w:rsid w:val="609C19C2"/>
    <w:rsid w:val="60A41BAB"/>
    <w:rsid w:val="60AA76D6"/>
    <w:rsid w:val="60B775E7"/>
    <w:rsid w:val="60DD1575"/>
    <w:rsid w:val="60DD333C"/>
    <w:rsid w:val="60FB4536"/>
    <w:rsid w:val="61291B23"/>
    <w:rsid w:val="612E13D6"/>
    <w:rsid w:val="616C5544"/>
    <w:rsid w:val="616F187C"/>
    <w:rsid w:val="619B65F6"/>
    <w:rsid w:val="61C251E9"/>
    <w:rsid w:val="61ED04B8"/>
    <w:rsid w:val="620C1FE5"/>
    <w:rsid w:val="623E0D13"/>
    <w:rsid w:val="62946B14"/>
    <w:rsid w:val="62960B4F"/>
    <w:rsid w:val="62B74308"/>
    <w:rsid w:val="62DE2DEB"/>
    <w:rsid w:val="62E5611B"/>
    <w:rsid w:val="62FB7D36"/>
    <w:rsid w:val="63024F4B"/>
    <w:rsid w:val="630A1E4B"/>
    <w:rsid w:val="634104B4"/>
    <w:rsid w:val="639044CB"/>
    <w:rsid w:val="639D536F"/>
    <w:rsid w:val="63B111A7"/>
    <w:rsid w:val="63BA45E6"/>
    <w:rsid w:val="63F76DCD"/>
    <w:rsid w:val="640F6E0B"/>
    <w:rsid w:val="64155A88"/>
    <w:rsid w:val="646C75AA"/>
    <w:rsid w:val="64706CCF"/>
    <w:rsid w:val="64783FA4"/>
    <w:rsid w:val="64905406"/>
    <w:rsid w:val="649E4D2F"/>
    <w:rsid w:val="64D140C0"/>
    <w:rsid w:val="64DB0AB7"/>
    <w:rsid w:val="64DD4946"/>
    <w:rsid w:val="64F54301"/>
    <w:rsid w:val="65C92FEA"/>
    <w:rsid w:val="65DA72BA"/>
    <w:rsid w:val="65E96281"/>
    <w:rsid w:val="65FD1764"/>
    <w:rsid w:val="66027AF4"/>
    <w:rsid w:val="660B1BF1"/>
    <w:rsid w:val="66353554"/>
    <w:rsid w:val="6650196B"/>
    <w:rsid w:val="668B098E"/>
    <w:rsid w:val="66EE573D"/>
    <w:rsid w:val="67045E89"/>
    <w:rsid w:val="671207C4"/>
    <w:rsid w:val="67232C21"/>
    <w:rsid w:val="673710BA"/>
    <w:rsid w:val="673D4559"/>
    <w:rsid w:val="67B66E5B"/>
    <w:rsid w:val="67C96E71"/>
    <w:rsid w:val="67CE1560"/>
    <w:rsid w:val="67D277EB"/>
    <w:rsid w:val="67F736E2"/>
    <w:rsid w:val="680B538A"/>
    <w:rsid w:val="6832131A"/>
    <w:rsid w:val="683A1723"/>
    <w:rsid w:val="683B1DD1"/>
    <w:rsid w:val="68956DE4"/>
    <w:rsid w:val="68B31F75"/>
    <w:rsid w:val="68CF576B"/>
    <w:rsid w:val="68D13056"/>
    <w:rsid w:val="69056559"/>
    <w:rsid w:val="6911546D"/>
    <w:rsid w:val="69147375"/>
    <w:rsid w:val="69174FF4"/>
    <w:rsid w:val="691F64BB"/>
    <w:rsid w:val="69564750"/>
    <w:rsid w:val="696D4C7B"/>
    <w:rsid w:val="69704EF9"/>
    <w:rsid w:val="69941D7E"/>
    <w:rsid w:val="6998274D"/>
    <w:rsid w:val="69B11670"/>
    <w:rsid w:val="6A0C2394"/>
    <w:rsid w:val="6A135B72"/>
    <w:rsid w:val="6A18573A"/>
    <w:rsid w:val="6A1A5725"/>
    <w:rsid w:val="6A282F05"/>
    <w:rsid w:val="6A3C1DAA"/>
    <w:rsid w:val="6A5240D6"/>
    <w:rsid w:val="6A535578"/>
    <w:rsid w:val="6A536D5B"/>
    <w:rsid w:val="6A917462"/>
    <w:rsid w:val="6ABF2AF1"/>
    <w:rsid w:val="6B1341AA"/>
    <w:rsid w:val="6B2F2B54"/>
    <w:rsid w:val="6B347DAA"/>
    <w:rsid w:val="6B733D98"/>
    <w:rsid w:val="6B796189"/>
    <w:rsid w:val="6B7B2FD8"/>
    <w:rsid w:val="6B900307"/>
    <w:rsid w:val="6BB63811"/>
    <w:rsid w:val="6BE22CEF"/>
    <w:rsid w:val="6C197F0F"/>
    <w:rsid w:val="6C263F82"/>
    <w:rsid w:val="6C2E4645"/>
    <w:rsid w:val="6C3E10C1"/>
    <w:rsid w:val="6C9205D9"/>
    <w:rsid w:val="6CF742F8"/>
    <w:rsid w:val="6CFA617E"/>
    <w:rsid w:val="6D067661"/>
    <w:rsid w:val="6D325661"/>
    <w:rsid w:val="6D7D6BF0"/>
    <w:rsid w:val="6DA45BED"/>
    <w:rsid w:val="6DCC18C9"/>
    <w:rsid w:val="6DD853F1"/>
    <w:rsid w:val="6DDF5F56"/>
    <w:rsid w:val="6DF6187E"/>
    <w:rsid w:val="6E821A44"/>
    <w:rsid w:val="6E955D30"/>
    <w:rsid w:val="6EC62E2D"/>
    <w:rsid w:val="6ECA20EF"/>
    <w:rsid w:val="6EDB736C"/>
    <w:rsid w:val="6EE60B30"/>
    <w:rsid w:val="6F033087"/>
    <w:rsid w:val="6F2319BD"/>
    <w:rsid w:val="6F430DD8"/>
    <w:rsid w:val="6F480544"/>
    <w:rsid w:val="6F7F4719"/>
    <w:rsid w:val="6FA80114"/>
    <w:rsid w:val="700E0BB4"/>
    <w:rsid w:val="70162C0A"/>
    <w:rsid w:val="70290C42"/>
    <w:rsid w:val="702E0619"/>
    <w:rsid w:val="7048616B"/>
    <w:rsid w:val="708244C1"/>
    <w:rsid w:val="708A1206"/>
    <w:rsid w:val="70BF74C3"/>
    <w:rsid w:val="70E9754F"/>
    <w:rsid w:val="711D657E"/>
    <w:rsid w:val="71355C6E"/>
    <w:rsid w:val="71390726"/>
    <w:rsid w:val="71391D05"/>
    <w:rsid w:val="715B0686"/>
    <w:rsid w:val="716A6647"/>
    <w:rsid w:val="71BE59CD"/>
    <w:rsid w:val="71E2674F"/>
    <w:rsid w:val="72135D18"/>
    <w:rsid w:val="72262B5B"/>
    <w:rsid w:val="723D0CEE"/>
    <w:rsid w:val="726355CD"/>
    <w:rsid w:val="726D3825"/>
    <w:rsid w:val="72A40ACE"/>
    <w:rsid w:val="72D22CA0"/>
    <w:rsid w:val="72E64802"/>
    <w:rsid w:val="730C2768"/>
    <w:rsid w:val="73276853"/>
    <w:rsid w:val="7349363D"/>
    <w:rsid w:val="735A7977"/>
    <w:rsid w:val="73621E2B"/>
    <w:rsid w:val="737B4E77"/>
    <w:rsid w:val="738A5E3D"/>
    <w:rsid w:val="73A1050E"/>
    <w:rsid w:val="73B976BC"/>
    <w:rsid w:val="73D4453E"/>
    <w:rsid w:val="73F43D49"/>
    <w:rsid w:val="741C14A9"/>
    <w:rsid w:val="744236CC"/>
    <w:rsid w:val="74453B55"/>
    <w:rsid w:val="744C47ED"/>
    <w:rsid w:val="74522394"/>
    <w:rsid w:val="74724DC6"/>
    <w:rsid w:val="748762C7"/>
    <w:rsid w:val="748E5B2A"/>
    <w:rsid w:val="7499627D"/>
    <w:rsid w:val="74EE6D18"/>
    <w:rsid w:val="75297606"/>
    <w:rsid w:val="75382BF6"/>
    <w:rsid w:val="75401578"/>
    <w:rsid w:val="758F6E36"/>
    <w:rsid w:val="7591056F"/>
    <w:rsid w:val="75D95F27"/>
    <w:rsid w:val="75EA4511"/>
    <w:rsid w:val="75F53987"/>
    <w:rsid w:val="76095450"/>
    <w:rsid w:val="76726D86"/>
    <w:rsid w:val="76867A1D"/>
    <w:rsid w:val="76915D93"/>
    <w:rsid w:val="76DC7890"/>
    <w:rsid w:val="76EF6965"/>
    <w:rsid w:val="770042A1"/>
    <w:rsid w:val="771B11CB"/>
    <w:rsid w:val="776174DF"/>
    <w:rsid w:val="77754D7F"/>
    <w:rsid w:val="778D3E30"/>
    <w:rsid w:val="77902F97"/>
    <w:rsid w:val="77B238DE"/>
    <w:rsid w:val="77C3206A"/>
    <w:rsid w:val="780659D7"/>
    <w:rsid w:val="783111B7"/>
    <w:rsid w:val="78337C28"/>
    <w:rsid w:val="783E35ED"/>
    <w:rsid w:val="784D1858"/>
    <w:rsid w:val="7859644F"/>
    <w:rsid w:val="785E32E8"/>
    <w:rsid w:val="78622EF5"/>
    <w:rsid w:val="787B1B35"/>
    <w:rsid w:val="7880578A"/>
    <w:rsid w:val="78D47783"/>
    <w:rsid w:val="78E733BE"/>
    <w:rsid w:val="78F53717"/>
    <w:rsid w:val="790A1333"/>
    <w:rsid w:val="7939625A"/>
    <w:rsid w:val="794511BD"/>
    <w:rsid w:val="794B0E38"/>
    <w:rsid w:val="79634E0A"/>
    <w:rsid w:val="797800CC"/>
    <w:rsid w:val="798E0B2E"/>
    <w:rsid w:val="79914096"/>
    <w:rsid w:val="799728E1"/>
    <w:rsid w:val="799F46BE"/>
    <w:rsid w:val="79C9115F"/>
    <w:rsid w:val="79DB436C"/>
    <w:rsid w:val="7A24483B"/>
    <w:rsid w:val="7A26111A"/>
    <w:rsid w:val="7A3675AF"/>
    <w:rsid w:val="7A411120"/>
    <w:rsid w:val="7A5F71A8"/>
    <w:rsid w:val="7A717A45"/>
    <w:rsid w:val="7A724E95"/>
    <w:rsid w:val="7A93098B"/>
    <w:rsid w:val="7A995483"/>
    <w:rsid w:val="7ACC7359"/>
    <w:rsid w:val="7ACD57BB"/>
    <w:rsid w:val="7ACF09E3"/>
    <w:rsid w:val="7ACF72D4"/>
    <w:rsid w:val="7AF262F7"/>
    <w:rsid w:val="7B275B17"/>
    <w:rsid w:val="7B3735BC"/>
    <w:rsid w:val="7BAB7E53"/>
    <w:rsid w:val="7BB028B5"/>
    <w:rsid w:val="7BC8328B"/>
    <w:rsid w:val="7BDE0AE9"/>
    <w:rsid w:val="7BE67FFA"/>
    <w:rsid w:val="7BFF2458"/>
    <w:rsid w:val="7C22150E"/>
    <w:rsid w:val="7C2964B3"/>
    <w:rsid w:val="7C2C288D"/>
    <w:rsid w:val="7C3518F1"/>
    <w:rsid w:val="7C3E46E5"/>
    <w:rsid w:val="7C655F7C"/>
    <w:rsid w:val="7CA1381B"/>
    <w:rsid w:val="7CA3671B"/>
    <w:rsid w:val="7CA47E6E"/>
    <w:rsid w:val="7CAB3B3C"/>
    <w:rsid w:val="7CC0228C"/>
    <w:rsid w:val="7CFF0D3B"/>
    <w:rsid w:val="7D17676E"/>
    <w:rsid w:val="7D29590B"/>
    <w:rsid w:val="7D4F7E21"/>
    <w:rsid w:val="7D4F7EC9"/>
    <w:rsid w:val="7D595D45"/>
    <w:rsid w:val="7D6572F5"/>
    <w:rsid w:val="7D7963E5"/>
    <w:rsid w:val="7D7E776D"/>
    <w:rsid w:val="7DC3133B"/>
    <w:rsid w:val="7E1A15E1"/>
    <w:rsid w:val="7E751B09"/>
    <w:rsid w:val="7E9E131B"/>
    <w:rsid w:val="7EB55A72"/>
    <w:rsid w:val="7EC8454A"/>
    <w:rsid w:val="7EF0176F"/>
    <w:rsid w:val="7F231B4A"/>
    <w:rsid w:val="7F380DA1"/>
    <w:rsid w:val="7F521320"/>
    <w:rsid w:val="7F8B33FD"/>
    <w:rsid w:val="7F955B3A"/>
    <w:rsid w:val="7F9D0C10"/>
    <w:rsid w:val="7F9E55F2"/>
    <w:rsid w:val="7FB07C4C"/>
    <w:rsid w:val="DBF3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iPriority="99" w:semiHidden="0" w:name="List Bullet 3"/>
    <w:lsdException w:uiPriority="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qFormat="1"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9"/>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link w:val="103"/>
    <w:qFormat/>
    <w:uiPriority w:val="0"/>
    <w:pPr>
      <w:keepNext/>
      <w:keepLines/>
      <w:snapToGrid w:val="0"/>
      <w:spacing w:line="300" w:lineRule="auto"/>
      <w:ind w:firstLine="200" w:firstLineChars="200"/>
      <w:outlineLvl w:val="1"/>
    </w:pPr>
    <w:rPr>
      <w:rFonts w:ascii="Arial" w:hAnsi="Arial"/>
      <w:b/>
      <w:bCs/>
      <w:szCs w:val="32"/>
    </w:rPr>
  </w:style>
  <w:style w:type="paragraph" w:styleId="4">
    <w:name w:val="heading 3"/>
    <w:basedOn w:val="1"/>
    <w:next w:val="1"/>
    <w:link w:val="100"/>
    <w:qFormat/>
    <w:uiPriority w:val="9"/>
    <w:pPr>
      <w:widowControl/>
      <w:autoSpaceDE w:val="0"/>
      <w:autoSpaceDN w:val="0"/>
      <w:snapToGrid w:val="0"/>
      <w:spacing w:line="300" w:lineRule="auto"/>
      <w:ind w:firstLine="200" w:firstLineChars="200"/>
      <w:outlineLvl w:val="2"/>
    </w:pPr>
    <w:rPr>
      <w:rFonts w:ascii="Arial" w:hAnsi="Arial"/>
      <w:b/>
      <w:szCs w:val="20"/>
    </w:rPr>
  </w:style>
  <w:style w:type="paragraph" w:styleId="5">
    <w:name w:val="heading 4"/>
    <w:basedOn w:val="1"/>
    <w:next w:val="1"/>
    <w:link w:val="97"/>
    <w:qFormat/>
    <w:uiPriority w:val="9"/>
    <w:pPr>
      <w:widowControl/>
      <w:adjustRightInd w:val="0"/>
      <w:snapToGrid w:val="0"/>
      <w:spacing w:line="300" w:lineRule="auto"/>
      <w:ind w:firstLine="200" w:firstLineChars="200"/>
      <w:jc w:val="left"/>
      <w:outlineLvl w:val="3"/>
    </w:pPr>
    <w:rPr>
      <w:rFonts w:ascii="Arial" w:hAnsi="Arial"/>
      <w:kern w:val="0"/>
    </w:rPr>
  </w:style>
  <w:style w:type="paragraph" w:styleId="6">
    <w:name w:val="heading 5"/>
    <w:basedOn w:val="1"/>
    <w:next w:val="1"/>
    <w:link w:val="98"/>
    <w:qFormat/>
    <w:uiPriority w:val="0"/>
    <w:pPr>
      <w:keepNext/>
      <w:keepLines/>
      <w:tabs>
        <w:tab w:val="left" w:pos="1008"/>
        <w:tab w:val="left" w:pos="2100"/>
      </w:tabs>
      <w:spacing w:before="280" w:after="290" w:line="377" w:lineRule="auto"/>
      <w:ind w:left="2100" w:hanging="420"/>
      <w:outlineLvl w:val="4"/>
    </w:pPr>
    <w:rPr>
      <w:rFonts w:ascii="宋体" w:hAnsi="宋体"/>
      <w:b/>
      <w:bCs/>
      <w:sz w:val="28"/>
    </w:rPr>
  </w:style>
  <w:style w:type="paragraph" w:styleId="7">
    <w:name w:val="heading 6"/>
    <w:basedOn w:val="1"/>
    <w:next w:val="1"/>
    <w:link w:val="106"/>
    <w:qFormat/>
    <w:uiPriority w:val="0"/>
    <w:pPr>
      <w:keepNext/>
      <w:keepLines/>
      <w:tabs>
        <w:tab w:val="left" w:pos="2232"/>
        <w:tab w:val="left" w:pos="2520"/>
      </w:tabs>
      <w:spacing w:before="240" w:after="64" w:line="319" w:lineRule="auto"/>
      <w:ind w:left="2520" w:hanging="420"/>
      <w:outlineLvl w:val="5"/>
    </w:pPr>
    <w:rPr>
      <w:rFonts w:ascii="Arial" w:hAnsi="Arial"/>
      <w:b/>
      <w:bCs/>
      <w:sz w:val="24"/>
    </w:rPr>
  </w:style>
  <w:style w:type="paragraph" w:styleId="8">
    <w:name w:val="heading 7"/>
    <w:basedOn w:val="1"/>
    <w:next w:val="1"/>
    <w:link w:val="107"/>
    <w:qFormat/>
    <w:uiPriority w:val="0"/>
    <w:pPr>
      <w:keepNext/>
      <w:keepLines/>
      <w:tabs>
        <w:tab w:val="left" w:pos="2376"/>
        <w:tab w:val="left" w:pos="2940"/>
      </w:tabs>
      <w:spacing w:before="240" w:after="64" w:line="319" w:lineRule="auto"/>
      <w:ind w:left="2940" w:hanging="420"/>
      <w:outlineLvl w:val="6"/>
    </w:pPr>
    <w:rPr>
      <w:rFonts w:ascii="宋体" w:hAnsi="宋体"/>
      <w:b/>
      <w:bCs/>
    </w:rPr>
  </w:style>
  <w:style w:type="paragraph" w:styleId="9">
    <w:name w:val="heading 8"/>
    <w:basedOn w:val="1"/>
    <w:next w:val="1"/>
    <w:link w:val="108"/>
    <w:qFormat/>
    <w:uiPriority w:val="0"/>
    <w:pPr>
      <w:keepNext/>
      <w:keepLines/>
      <w:tabs>
        <w:tab w:val="left" w:pos="2520"/>
        <w:tab w:val="left" w:pos="3360"/>
      </w:tabs>
      <w:spacing w:before="240" w:after="64" w:line="320" w:lineRule="auto"/>
      <w:ind w:left="3360" w:hanging="420"/>
      <w:outlineLvl w:val="7"/>
    </w:pPr>
    <w:rPr>
      <w:rFonts w:ascii="Arial" w:hAnsi="Arial" w:eastAsia="黑体"/>
      <w:sz w:val="24"/>
    </w:rPr>
  </w:style>
  <w:style w:type="paragraph" w:styleId="10">
    <w:name w:val="heading 9"/>
    <w:basedOn w:val="1"/>
    <w:next w:val="1"/>
    <w:link w:val="109"/>
    <w:qFormat/>
    <w:uiPriority w:val="0"/>
    <w:pPr>
      <w:keepNext/>
      <w:keepLines/>
      <w:tabs>
        <w:tab w:val="left" w:pos="2664"/>
        <w:tab w:val="left" w:pos="3780"/>
      </w:tabs>
      <w:spacing w:before="240" w:after="64" w:line="320" w:lineRule="auto"/>
      <w:ind w:left="3780" w:hanging="420"/>
      <w:outlineLvl w:val="8"/>
    </w:pPr>
    <w:rPr>
      <w:rFonts w:ascii="Arial" w:hAnsi="Arial" w:eastAsia="黑体"/>
      <w:szCs w:val="21"/>
    </w:rPr>
  </w:style>
  <w:style w:type="character" w:default="1" w:styleId="83">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szCs w:val="20"/>
    </w:rPr>
  </w:style>
  <w:style w:type="paragraph" w:styleId="12">
    <w:name w:val="toc 7"/>
    <w:basedOn w:val="1"/>
    <w:next w:val="1"/>
    <w:qFormat/>
    <w:uiPriority w:val="0"/>
    <w:pPr>
      <w:ind w:left="1260"/>
      <w:jc w:val="left"/>
    </w:pPr>
    <w:rPr>
      <w:sz w:val="18"/>
      <w:szCs w:val="18"/>
    </w:rPr>
  </w:style>
  <w:style w:type="paragraph" w:styleId="13">
    <w:name w:val="List Number 2"/>
    <w:basedOn w:val="1"/>
    <w:next w:val="14"/>
    <w:qFormat/>
    <w:uiPriority w:val="0"/>
    <w:pPr>
      <w:widowControl/>
      <w:tabs>
        <w:tab w:val="left" w:pos="714"/>
      </w:tabs>
      <w:overflowPunct w:val="0"/>
      <w:autoSpaceDE w:val="0"/>
      <w:autoSpaceDN w:val="0"/>
      <w:adjustRightInd w:val="0"/>
      <w:spacing w:line="360" w:lineRule="auto"/>
      <w:ind w:left="714" w:hanging="357"/>
      <w:textAlignment w:val="baseline"/>
    </w:pPr>
    <w:rPr>
      <w:rFonts w:ascii="Tahoma" w:hAnsi="Tahoma" w:eastAsia="DFKai-SB"/>
      <w:kern w:val="0"/>
      <w:sz w:val="22"/>
      <w:szCs w:val="20"/>
      <w:lang w:eastAsia="zh-TW"/>
    </w:rPr>
  </w:style>
  <w:style w:type="paragraph" w:styleId="14">
    <w:name w:val="List Continue 2"/>
    <w:basedOn w:val="1"/>
    <w:qFormat/>
    <w:uiPriority w:val="0"/>
    <w:pPr>
      <w:spacing w:after="120" w:line="360" w:lineRule="auto"/>
      <w:ind w:left="840" w:leftChars="400" w:firstLine="420"/>
    </w:pPr>
    <w:rPr>
      <w:rFonts w:ascii="宋体" w:hAnsi="宋体"/>
    </w:rPr>
  </w:style>
  <w:style w:type="paragraph" w:styleId="15">
    <w:name w:val="table of authorities"/>
    <w:basedOn w:val="16"/>
    <w:next w:val="1"/>
    <w:qFormat/>
    <w:uiPriority w:val="0"/>
    <w:pPr>
      <w:jc w:val="center"/>
    </w:pPr>
    <w:rPr>
      <w:b/>
      <w:bCs/>
      <w:sz w:val="40"/>
      <w:szCs w:val="32"/>
    </w:rPr>
  </w:style>
  <w:style w:type="paragraph" w:customStyle="1" w:styleId="16">
    <w:name w:val="Heading"/>
    <w:basedOn w:val="1"/>
    <w:next w:val="17"/>
    <w:qFormat/>
    <w:uiPriority w:val="0"/>
    <w:pPr>
      <w:keepNext/>
      <w:autoSpaceDN w:val="0"/>
      <w:adjustRightInd w:val="0"/>
      <w:spacing w:before="240" w:after="120"/>
      <w:jc w:val="left"/>
    </w:pPr>
    <w:rPr>
      <w:rFonts w:ascii="Arial" w:hAnsi="Arial" w:eastAsia="PMingLiU" w:cs="Tahoma"/>
      <w:kern w:val="0"/>
      <w:sz w:val="44"/>
      <w:szCs w:val="28"/>
      <w:lang w:val="en-GB" w:eastAsia="zh-TW"/>
    </w:rPr>
  </w:style>
  <w:style w:type="paragraph" w:styleId="17">
    <w:name w:val="Body Text"/>
    <w:basedOn w:val="1"/>
    <w:link w:val="104"/>
    <w:qFormat/>
    <w:uiPriority w:val="0"/>
    <w:pPr>
      <w:adjustRightInd w:val="0"/>
      <w:spacing w:line="315" w:lineRule="atLeast"/>
      <w:jc w:val="left"/>
      <w:textAlignment w:val="baseline"/>
    </w:pPr>
    <w:rPr>
      <w:rFonts w:ascii="仿宋_GB2312" w:eastAsia="仿宋_GB2312"/>
      <w:kern w:val="0"/>
      <w:sz w:val="28"/>
      <w:szCs w:val="20"/>
    </w:rPr>
  </w:style>
  <w:style w:type="paragraph" w:styleId="18">
    <w:name w:val="Note Heading"/>
    <w:basedOn w:val="1"/>
    <w:next w:val="1"/>
    <w:link w:val="110"/>
    <w:qFormat/>
    <w:uiPriority w:val="0"/>
    <w:pPr>
      <w:tabs>
        <w:tab w:val="left" w:pos="840"/>
      </w:tabs>
      <w:spacing w:line="360" w:lineRule="auto"/>
      <w:jc w:val="center"/>
    </w:pPr>
    <w:rPr>
      <w:rFonts w:ascii="宋体" w:hAnsi="宋体"/>
    </w:rPr>
  </w:style>
  <w:style w:type="paragraph" w:styleId="19">
    <w:name w:val="index 8"/>
    <w:basedOn w:val="1"/>
    <w:next w:val="1"/>
    <w:qFormat/>
    <w:uiPriority w:val="0"/>
    <w:pPr>
      <w:tabs>
        <w:tab w:val="left" w:pos="0"/>
        <w:tab w:val="left" w:pos="390"/>
      </w:tabs>
      <w:autoSpaceDE w:val="0"/>
      <w:autoSpaceDN w:val="0"/>
      <w:adjustRightInd w:val="0"/>
      <w:snapToGrid w:val="0"/>
      <w:spacing w:line="360" w:lineRule="auto"/>
      <w:ind w:left="1680" w:hanging="210" w:firstLineChars="177"/>
      <w:jc w:val="left"/>
    </w:pPr>
    <w:rPr>
      <w:rFonts w:hAnsi="宋体"/>
      <w:color w:val="000000"/>
      <w:kern w:val="0"/>
      <w:sz w:val="20"/>
      <w:szCs w:val="20"/>
    </w:rPr>
  </w:style>
  <w:style w:type="paragraph" w:styleId="20">
    <w:name w:val="List Number"/>
    <w:basedOn w:val="1"/>
    <w:qFormat/>
    <w:uiPriority w:val="0"/>
    <w:pPr>
      <w:tabs>
        <w:tab w:val="left" w:pos="425"/>
      </w:tabs>
      <w:spacing w:line="300" w:lineRule="auto"/>
      <w:ind w:left="425" w:hanging="425"/>
    </w:pPr>
    <w:rPr>
      <w:rFonts w:ascii="宋体" w:hAnsi="宋体"/>
      <w:b/>
      <w:bCs/>
      <w:sz w:val="24"/>
    </w:rPr>
  </w:style>
  <w:style w:type="paragraph" w:styleId="21">
    <w:name w:val="Normal Indent"/>
    <w:basedOn w:val="1"/>
    <w:next w:val="1"/>
    <w:link w:val="111"/>
    <w:qFormat/>
    <w:uiPriority w:val="0"/>
    <w:pPr>
      <w:ind w:firstLine="420" w:firstLineChars="200"/>
    </w:pPr>
  </w:style>
  <w:style w:type="paragraph" w:styleId="22">
    <w:name w:val="caption"/>
    <w:basedOn w:val="1"/>
    <w:next w:val="1"/>
    <w:link w:val="112"/>
    <w:qFormat/>
    <w:uiPriority w:val="0"/>
    <w:pPr>
      <w:spacing w:before="152" w:after="160" w:line="360" w:lineRule="auto"/>
      <w:ind w:firstLine="420"/>
    </w:pPr>
    <w:rPr>
      <w:rFonts w:ascii="Arial" w:hAnsi="Arial" w:eastAsia="黑体"/>
      <w:kern w:val="0"/>
      <w:sz w:val="20"/>
      <w:szCs w:val="20"/>
    </w:rPr>
  </w:style>
  <w:style w:type="paragraph" w:styleId="23">
    <w:name w:val="index 5"/>
    <w:basedOn w:val="1"/>
    <w:next w:val="1"/>
    <w:qFormat/>
    <w:uiPriority w:val="0"/>
    <w:pPr>
      <w:tabs>
        <w:tab w:val="left" w:pos="0"/>
        <w:tab w:val="left" w:pos="390"/>
      </w:tabs>
      <w:autoSpaceDE w:val="0"/>
      <w:autoSpaceDN w:val="0"/>
      <w:adjustRightInd w:val="0"/>
      <w:snapToGrid w:val="0"/>
      <w:spacing w:line="360" w:lineRule="auto"/>
      <w:ind w:left="1050" w:hanging="210" w:firstLineChars="177"/>
      <w:jc w:val="left"/>
    </w:pPr>
    <w:rPr>
      <w:rFonts w:hAnsi="宋体"/>
      <w:color w:val="000000"/>
      <w:kern w:val="0"/>
      <w:sz w:val="20"/>
      <w:szCs w:val="20"/>
    </w:rPr>
  </w:style>
  <w:style w:type="paragraph" w:styleId="24">
    <w:name w:val="List Bullet"/>
    <w:basedOn w:val="1"/>
    <w:qFormat/>
    <w:uiPriority w:val="0"/>
    <w:pPr>
      <w:tabs>
        <w:tab w:val="left" w:pos="400"/>
      </w:tabs>
      <w:spacing w:line="360" w:lineRule="auto"/>
      <w:ind w:left="420" w:leftChars="200" w:firstLine="420"/>
    </w:pPr>
    <w:rPr>
      <w:rFonts w:ascii="Arial" w:hAnsi="Arial"/>
      <w:szCs w:val="21"/>
    </w:rPr>
  </w:style>
  <w:style w:type="paragraph" w:styleId="25">
    <w:name w:val="envelope address"/>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26">
    <w:name w:val="Document Map"/>
    <w:basedOn w:val="1"/>
    <w:link w:val="113"/>
    <w:qFormat/>
    <w:uiPriority w:val="99"/>
    <w:pPr>
      <w:shd w:val="clear" w:color="auto" w:fill="000080"/>
    </w:pPr>
  </w:style>
  <w:style w:type="paragraph" w:styleId="27">
    <w:name w:val="annotation text"/>
    <w:basedOn w:val="1"/>
    <w:link w:val="114"/>
    <w:qFormat/>
    <w:uiPriority w:val="0"/>
    <w:pPr>
      <w:jc w:val="left"/>
    </w:pPr>
    <w:rPr>
      <w:szCs w:val="20"/>
    </w:rPr>
  </w:style>
  <w:style w:type="paragraph" w:styleId="28">
    <w:name w:val="index 6"/>
    <w:basedOn w:val="1"/>
    <w:next w:val="1"/>
    <w:qFormat/>
    <w:uiPriority w:val="0"/>
    <w:pPr>
      <w:tabs>
        <w:tab w:val="left" w:pos="0"/>
        <w:tab w:val="left" w:pos="390"/>
      </w:tabs>
      <w:autoSpaceDE w:val="0"/>
      <w:autoSpaceDN w:val="0"/>
      <w:adjustRightInd w:val="0"/>
      <w:snapToGrid w:val="0"/>
      <w:spacing w:line="360" w:lineRule="auto"/>
      <w:ind w:left="1260" w:hanging="210" w:firstLineChars="177"/>
      <w:jc w:val="left"/>
    </w:pPr>
    <w:rPr>
      <w:rFonts w:hAnsi="宋体"/>
      <w:color w:val="000000"/>
      <w:kern w:val="0"/>
      <w:sz w:val="20"/>
      <w:szCs w:val="20"/>
    </w:rPr>
  </w:style>
  <w:style w:type="paragraph" w:styleId="29">
    <w:name w:val="Salutation"/>
    <w:basedOn w:val="1"/>
    <w:next w:val="1"/>
    <w:link w:val="115"/>
    <w:qFormat/>
    <w:uiPriority w:val="0"/>
    <w:pPr>
      <w:spacing w:line="360" w:lineRule="auto"/>
      <w:ind w:firstLine="420"/>
    </w:pPr>
    <w:rPr>
      <w:kern w:val="0"/>
      <w:sz w:val="24"/>
    </w:rPr>
  </w:style>
  <w:style w:type="paragraph" w:styleId="30">
    <w:name w:val="Body Text 3"/>
    <w:basedOn w:val="1"/>
    <w:link w:val="116"/>
    <w:qFormat/>
    <w:uiPriority w:val="0"/>
    <w:pPr>
      <w:spacing w:line="440" w:lineRule="atLeast"/>
      <w:jc w:val="center"/>
    </w:pPr>
    <w:rPr>
      <w:rFonts w:ascii="楷体_GB2312" w:eastAsia="楷体_GB2312"/>
      <w:b/>
      <w:color w:val="000000"/>
      <w:sz w:val="30"/>
    </w:rPr>
  </w:style>
  <w:style w:type="paragraph" w:styleId="31">
    <w:name w:val="List Bullet 3"/>
    <w:basedOn w:val="1"/>
    <w:unhideWhenUsed/>
    <w:qFormat/>
    <w:uiPriority w:val="99"/>
    <w:pPr>
      <w:tabs>
        <w:tab w:val="left" w:pos="1200"/>
      </w:tabs>
      <w:ind w:left="900" w:hanging="420"/>
      <w:contextualSpacing/>
    </w:pPr>
    <w:rPr>
      <w:szCs w:val="22"/>
    </w:rPr>
  </w:style>
  <w:style w:type="paragraph" w:styleId="32">
    <w:name w:val="Body Text Indent"/>
    <w:basedOn w:val="1"/>
    <w:next w:val="21"/>
    <w:link w:val="117"/>
    <w:qFormat/>
    <w:uiPriority w:val="0"/>
    <w:pPr>
      <w:widowControl/>
      <w:autoSpaceDE w:val="0"/>
      <w:autoSpaceDN w:val="0"/>
      <w:snapToGrid w:val="0"/>
      <w:spacing w:before="120" w:line="400" w:lineRule="atLeast"/>
      <w:ind w:firstLine="570"/>
      <w:textAlignment w:val="bottom"/>
    </w:pPr>
    <w:rPr>
      <w:rFonts w:ascii="宋体"/>
      <w:kern w:val="0"/>
      <w:sz w:val="24"/>
      <w:szCs w:val="20"/>
    </w:rPr>
  </w:style>
  <w:style w:type="paragraph" w:styleId="33">
    <w:name w:val="List Number 3"/>
    <w:basedOn w:val="1"/>
    <w:qFormat/>
    <w:uiPriority w:val="0"/>
    <w:pPr>
      <w:tabs>
        <w:tab w:val="left" w:pos="1200"/>
      </w:tabs>
      <w:spacing w:line="360" w:lineRule="auto"/>
    </w:pPr>
    <w:rPr>
      <w:rFonts w:ascii="宋体" w:hAnsi="宋体"/>
      <w:sz w:val="24"/>
    </w:rPr>
  </w:style>
  <w:style w:type="paragraph" w:styleId="34">
    <w:name w:val="List 2"/>
    <w:basedOn w:val="1"/>
    <w:qFormat/>
    <w:uiPriority w:val="0"/>
    <w:pPr>
      <w:ind w:left="100" w:leftChars="200" w:hanging="200" w:hangingChars="200"/>
    </w:pPr>
  </w:style>
  <w:style w:type="paragraph" w:styleId="35">
    <w:name w:val="Block Text"/>
    <w:basedOn w:val="1"/>
    <w:qFormat/>
    <w:uiPriority w:val="0"/>
    <w:pPr>
      <w:widowControl/>
      <w:tabs>
        <w:tab w:val="left" w:pos="2880"/>
      </w:tabs>
      <w:spacing w:line="360" w:lineRule="auto"/>
      <w:ind w:left="2880" w:hanging="420"/>
      <w:jc w:val="left"/>
    </w:pPr>
    <w:rPr>
      <w:rFonts w:ascii="Arial" w:hAnsi="Arial"/>
      <w:kern w:val="0"/>
      <w:sz w:val="18"/>
      <w:szCs w:val="20"/>
      <w:lang w:eastAsia="en-US"/>
    </w:rPr>
  </w:style>
  <w:style w:type="paragraph" w:styleId="36">
    <w:name w:val="List Bullet 2"/>
    <w:basedOn w:val="1"/>
    <w:qFormat/>
    <w:uiPriority w:val="0"/>
    <w:pPr>
      <w:tabs>
        <w:tab w:val="left" w:pos="780"/>
        <w:tab w:val="left" w:pos="2160"/>
      </w:tabs>
      <w:spacing w:line="360" w:lineRule="auto"/>
      <w:ind w:left="780" w:firstLine="420"/>
    </w:pPr>
    <w:rPr>
      <w:rFonts w:ascii="宋体" w:hAnsi="宋体"/>
      <w:sz w:val="24"/>
    </w:rPr>
  </w:style>
  <w:style w:type="paragraph" w:styleId="37">
    <w:name w:val="index 4"/>
    <w:basedOn w:val="1"/>
    <w:next w:val="1"/>
    <w:qFormat/>
    <w:uiPriority w:val="0"/>
    <w:pPr>
      <w:tabs>
        <w:tab w:val="left" w:pos="0"/>
        <w:tab w:val="left" w:pos="390"/>
      </w:tabs>
      <w:autoSpaceDE w:val="0"/>
      <w:autoSpaceDN w:val="0"/>
      <w:adjustRightInd w:val="0"/>
      <w:snapToGrid w:val="0"/>
      <w:spacing w:line="360" w:lineRule="auto"/>
      <w:ind w:hanging="210" w:firstLineChars="177"/>
      <w:jc w:val="left"/>
    </w:pPr>
    <w:rPr>
      <w:rFonts w:hAnsi="宋体"/>
      <w:color w:val="000000"/>
      <w:kern w:val="0"/>
      <w:sz w:val="20"/>
      <w:szCs w:val="20"/>
    </w:rPr>
  </w:style>
  <w:style w:type="paragraph" w:styleId="38">
    <w:name w:val="toc 5"/>
    <w:basedOn w:val="1"/>
    <w:next w:val="1"/>
    <w:qFormat/>
    <w:uiPriority w:val="0"/>
    <w:pPr>
      <w:ind w:left="840"/>
      <w:jc w:val="left"/>
    </w:pPr>
    <w:rPr>
      <w:sz w:val="18"/>
      <w:szCs w:val="18"/>
    </w:rPr>
  </w:style>
  <w:style w:type="paragraph" w:styleId="39">
    <w:name w:val="toc 3"/>
    <w:basedOn w:val="1"/>
    <w:next w:val="1"/>
    <w:qFormat/>
    <w:uiPriority w:val="0"/>
    <w:pPr>
      <w:ind w:left="420"/>
      <w:jc w:val="left"/>
    </w:pPr>
    <w:rPr>
      <w:i/>
      <w:iCs/>
      <w:sz w:val="20"/>
      <w:szCs w:val="20"/>
    </w:rPr>
  </w:style>
  <w:style w:type="paragraph" w:styleId="40">
    <w:name w:val="Plain Text"/>
    <w:basedOn w:val="1"/>
    <w:link w:val="118"/>
    <w:qFormat/>
    <w:uiPriority w:val="0"/>
    <w:rPr>
      <w:rFonts w:ascii="宋体" w:hAnsi="Courier New"/>
      <w:szCs w:val="20"/>
    </w:rPr>
  </w:style>
  <w:style w:type="paragraph" w:styleId="41">
    <w:name w:val="List Bullet 5"/>
    <w:basedOn w:val="1"/>
    <w:next w:val="42"/>
    <w:qFormat/>
    <w:uiPriority w:val="0"/>
    <w:pPr>
      <w:widowControl/>
      <w:tabs>
        <w:tab w:val="left" w:pos="1780"/>
      </w:tabs>
      <w:overflowPunct w:val="0"/>
      <w:autoSpaceDE w:val="0"/>
      <w:autoSpaceDN w:val="0"/>
      <w:adjustRightInd w:val="0"/>
      <w:spacing w:line="360" w:lineRule="auto"/>
      <w:ind w:left="1780" w:hanging="357"/>
      <w:textAlignment w:val="baseline"/>
    </w:pPr>
    <w:rPr>
      <w:rFonts w:ascii="Tahoma" w:hAnsi="Tahoma" w:eastAsia="DFKai-SB"/>
      <w:kern w:val="0"/>
      <w:sz w:val="22"/>
      <w:szCs w:val="20"/>
      <w:lang w:eastAsia="en-US"/>
    </w:rPr>
  </w:style>
  <w:style w:type="paragraph" w:styleId="42">
    <w:name w:val="List Continue 5"/>
    <w:basedOn w:val="1"/>
    <w:qFormat/>
    <w:uiPriority w:val="0"/>
    <w:pPr>
      <w:spacing w:after="120" w:line="360" w:lineRule="auto"/>
      <w:ind w:left="2100" w:leftChars="1000" w:firstLine="420"/>
    </w:pPr>
    <w:rPr>
      <w:rFonts w:ascii="宋体" w:hAnsi="宋体"/>
    </w:rPr>
  </w:style>
  <w:style w:type="paragraph" w:styleId="43">
    <w:name w:val="List Number 4"/>
    <w:basedOn w:val="1"/>
    <w:qFormat/>
    <w:uiPriority w:val="0"/>
    <w:pPr>
      <w:tabs>
        <w:tab w:val="left" w:pos="1620"/>
      </w:tabs>
      <w:spacing w:line="360" w:lineRule="auto"/>
    </w:pPr>
    <w:rPr>
      <w:rFonts w:ascii="宋体" w:hAnsi="宋体"/>
      <w:sz w:val="24"/>
    </w:rPr>
  </w:style>
  <w:style w:type="paragraph" w:styleId="44">
    <w:name w:val="toc 8"/>
    <w:basedOn w:val="1"/>
    <w:next w:val="1"/>
    <w:qFormat/>
    <w:uiPriority w:val="0"/>
    <w:pPr>
      <w:ind w:left="1470"/>
      <w:jc w:val="left"/>
    </w:pPr>
    <w:rPr>
      <w:sz w:val="18"/>
      <w:szCs w:val="18"/>
    </w:rPr>
  </w:style>
  <w:style w:type="paragraph" w:styleId="45">
    <w:name w:val="index 3"/>
    <w:basedOn w:val="46"/>
    <w:next w:val="1"/>
    <w:qFormat/>
    <w:uiPriority w:val="0"/>
    <w:pPr>
      <w:ind w:left="566"/>
    </w:pPr>
  </w:style>
  <w:style w:type="paragraph" w:customStyle="1" w:styleId="46">
    <w:name w:val="Index"/>
    <w:basedOn w:val="1"/>
    <w:qFormat/>
    <w:uiPriority w:val="0"/>
    <w:pPr>
      <w:autoSpaceDN w:val="0"/>
      <w:adjustRightInd w:val="0"/>
      <w:jc w:val="left"/>
    </w:pPr>
    <w:rPr>
      <w:rFonts w:ascii="Arial" w:hAnsi="Arial" w:eastAsia="PMingLiU" w:cs="Tahoma"/>
      <w:kern w:val="0"/>
      <w:sz w:val="20"/>
      <w:szCs w:val="20"/>
      <w:lang w:val="en-GB" w:eastAsia="zh-TW"/>
    </w:rPr>
  </w:style>
  <w:style w:type="paragraph" w:styleId="47">
    <w:name w:val="Date"/>
    <w:basedOn w:val="1"/>
    <w:next w:val="1"/>
    <w:link w:val="119"/>
    <w:qFormat/>
    <w:uiPriority w:val="0"/>
    <w:pPr>
      <w:ind w:left="100" w:leftChars="2500"/>
    </w:pPr>
    <w:rPr>
      <w:color w:val="000000"/>
      <w:sz w:val="24"/>
    </w:rPr>
  </w:style>
  <w:style w:type="paragraph" w:styleId="48">
    <w:name w:val="Body Text Indent 2"/>
    <w:basedOn w:val="1"/>
    <w:link w:val="120"/>
    <w:qFormat/>
    <w:uiPriority w:val="99"/>
    <w:pPr>
      <w:widowControl/>
      <w:spacing w:line="480" w:lineRule="atLeast"/>
      <w:ind w:firstLine="480"/>
    </w:pPr>
    <w:rPr>
      <w:rFonts w:ascii="宋体"/>
      <w:kern w:val="0"/>
      <w:sz w:val="24"/>
      <w:szCs w:val="20"/>
    </w:rPr>
  </w:style>
  <w:style w:type="paragraph" w:styleId="49">
    <w:name w:val="endnote text"/>
    <w:basedOn w:val="1"/>
    <w:link w:val="121"/>
    <w:qFormat/>
    <w:uiPriority w:val="0"/>
    <w:pPr>
      <w:autoSpaceDN w:val="0"/>
      <w:adjustRightInd w:val="0"/>
      <w:ind w:left="283" w:hanging="283"/>
      <w:jc w:val="left"/>
    </w:pPr>
    <w:rPr>
      <w:rFonts w:ascii="Arial" w:hAnsi="Arial" w:eastAsia="PMingLiU"/>
      <w:kern w:val="0"/>
      <w:sz w:val="20"/>
      <w:szCs w:val="20"/>
      <w:lang w:val="en-GB" w:eastAsia="zh-TW"/>
    </w:rPr>
  </w:style>
  <w:style w:type="paragraph" w:styleId="50">
    <w:name w:val="Balloon Text"/>
    <w:basedOn w:val="1"/>
    <w:link w:val="122"/>
    <w:qFormat/>
    <w:uiPriority w:val="99"/>
    <w:rPr>
      <w:sz w:val="18"/>
      <w:szCs w:val="18"/>
    </w:rPr>
  </w:style>
  <w:style w:type="paragraph" w:styleId="51">
    <w:name w:val="footer"/>
    <w:basedOn w:val="1"/>
    <w:link w:val="123"/>
    <w:qFormat/>
    <w:uiPriority w:val="99"/>
    <w:pPr>
      <w:pBdr>
        <w:top w:val="single" w:color="auto" w:sz="4" w:space="1"/>
      </w:pBdr>
      <w:tabs>
        <w:tab w:val="center" w:pos="4153"/>
        <w:tab w:val="right" w:pos="8306"/>
      </w:tabs>
      <w:snapToGrid w:val="0"/>
      <w:jc w:val="left"/>
    </w:pPr>
    <w:rPr>
      <w:sz w:val="18"/>
      <w:szCs w:val="18"/>
    </w:rPr>
  </w:style>
  <w:style w:type="paragraph" w:styleId="52">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53">
    <w:name w:val="header"/>
    <w:basedOn w:val="1"/>
    <w:link w:val="124"/>
    <w:qFormat/>
    <w:uiPriority w:val="99"/>
    <w:pPr>
      <w:pBdr>
        <w:bottom w:val="single" w:color="auto" w:sz="6" w:space="1"/>
      </w:pBdr>
      <w:tabs>
        <w:tab w:val="center" w:pos="4153"/>
        <w:tab w:val="right" w:pos="8306"/>
      </w:tabs>
      <w:snapToGrid w:val="0"/>
      <w:jc w:val="center"/>
    </w:pPr>
    <w:rPr>
      <w:sz w:val="18"/>
      <w:szCs w:val="18"/>
    </w:rPr>
  </w:style>
  <w:style w:type="paragraph" w:styleId="54">
    <w:name w:val="Signature"/>
    <w:basedOn w:val="1"/>
    <w:link w:val="125"/>
    <w:qFormat/>
    <w:uiPriority w:val="0"/>
    <w:pPr>
      <w:autoSpaceDN w:val="0"/>
      <w:adjustRightInd w:val="0"/>
      <w:jc w:val="left"/>
    </w:pPr>
    <w:rPr>
      <w:rFonts w:ascii="Arial" w:hAnsi="Arial" w:eastAsia="PMingLiU"/>
      <w:kern w:val="0"/>
      <w:sz w:val="20"/>
      <w:szCs w:val="20"/>
      <w:lang w:val="en-GB" w:eastAsia="zh-TW"/>
    </w:rPr>
  </w:style>
  <w:style w:type="paragraph" w:styleId="55">
    <w:name w:val="toc 1"/>
    <w:basedOn w:val="1"/>
    <w:next w:val="1"/>
    <w:qFormat/>
    <w:uiPriority w:val="39"/>
    <w:pPr>
      <w:tabs>
        <w:tab w:val="right" w:leader="dot" w:pos="9403"/>
      </w:tabs>
      <w:snapToGrid w:val="0"/>
      <w:spacing w:line="360" w:lineRule="auto"/>
    </w:pPr>
    <w:rPr>
      <w:rFonts w:ascii="Arial" w:hAnsi="Arial"/>
      <w:b/>
      <w:bCs/>
      <w:caps/>
    </w:rPr>
  </w:style>
  <w:style w:type="paragraph" w:styleId="56">
    <w:name w:val="toc 4"/>
    <w:basedOn w:val="1"/>
    <w:next w:val="1"/>
    <w:qFormat/>
    <w:uiPriority w:val="0"/>
    <w:pPr>
      <w:ind w:left="630"/>
      <w:jc w:val="left"/>
    </w:pPr>
    <w:rPr>
      <w:sz w:val="18"/>
      <w:szCs w:val="18"/>
    </w:rPr>
  </w:style>
  <w:style w:type="paragraph" w:styleId="57">
    <w:name w:val="index heading"/>
    <w:basedOn w:val="16"/>
    <w:next w:val="58"/>
    <w:qFormat/>
    <w:uiPriority w:val="0"/>
    <w:rPr>
      <w:b/>
      <w:bCs/>
      <w:sz w:val="32"/>
      <w:szCs w:val="32"/>
    </w:rPr>
  </w:style>
  <w:style w:type="paragraph" w:styleId="58">
    <w:name w:val="index 1"/>
    <w:basedOn w:val="1"/>
    <w:next w:val="1"/>
    <w:qFormat/>
    <w:uiPriority w:val="0"/>
    <w:pPr>
      <w:widowControl/>
      <w:spacing w:line="360" w:lineRule="auto"/>
      <w:jc w:val="center"/>
    </w:pPr>
    <w:rPr>
      <w:rFonts w:ascii="Arial" w:hAnsi="Arial" w:cs="Arial"/>
      <w:kern w:val="0"/>
      <w:sz w:val="24"/>
    </w:rPr>
  </w:style>
  <w:style w:type="paragraph" w:styleId="59">
    <w:name w:val="Subtitle"/>
    <w:basedOn w:val="1"/>
    <w:next w:val="1"/>
    <w:link w:val="126"/>
    <w:qFormat/>
    <w:uiPriority w:val="0"/>
    <w:pPr>
      <w:spacing w:before="240" w:after="60" w:line="312" w:lineRule="auto"/>
      <w:jc w:val="center"/>
      <w:outlineLvl w:val="1"/>
    </w:pPr>
    <w:rPr>
      <w:rFonts w:ascii="Cambria" w:hAnsi="Cambria"/>
      <w:b/>
      <w:bCs/>
      <w:kern w:val="28"/>
      <w:sz w:val="32"/>
      <w:szCs w:val="32"/>
    </w:rPr>
  </w:style>
  <w:style w:type="paragraph" w:styleId="60">
    <w:name w:val="List Number 5"/>
    <w:basedOn w:val="1"/>
    <w:qFormat/>
    <w:uiPriority w:val="0"/>
    <w:pPr>
      <w:tabs>
        <w:tab w:val="left" w:pos="2040"/>
      </w:tabs>
      <w:spacing w:line="360" w:lineRule="auto"/>
    </w:pPr>
    <w:rPr>
      <w:rFonts w:ascii="宋体" w:hAnsi="宋体"/>
      <w:sz w:val="24"/>
    </w:rPr>
  </w:style>
  <w:style w:type="paragraph" w:styleId="61">
    <w:name w:val="List"/>
    <w:basedOn w:val="1"/>
    <w:qFormat/>
    <w:uiPriority w:val="0"/>
    <w:pPr>
      <w:ind w:left="200" w:hanging="200" w:hangingChars="200"/>
    </w:pPr>
  </w:style>
  <w:style w:type="paragraph" w:styleId="62">
    <w:name w:val="footnote text"/>
    <w:basedOn w:val="1"/>
    <w:link w:val="127"/>
    <w:qFormat/>
    <w:uiPriority w:val="0"/>
    <w:pPr>
      <w:widowControl/>
      <w:spacing w:line="360" w:lineRule="auto"/>
      <w:ind w:firstLine="420"/>
      <w:jc w:val="left"/>
    </w:pPr>
    <w:rPr>
      <w:rFonts w:ascii="Arial" w:hAnsi="Arial"/>
      <w:kern w:val="0"/>
      <w:sz w:val="20"/>
      <w:szCs w:val="20"/>
      <w:lang w:eastAsia="en-US"/>
    </w:rPr>
  </w:style>
  <w:style w:type="paragraph" w:styleId="63">
    <w:name w:val="toc 6"/>
    <w:basedOn w:val="1"/>
    <w:next w:val="1"/>
    <w:qFormat/>
    <w:uiPriority w:val="0"/>
    <w:pPr>
      <w:ind w:left="1050"/>
      <w:jc w:val="left"/>
    </w:pPr>
    <w:rPr>
      <w:sz w:val="18"/>
      <w:szCs w:val="18"/>
    </w:rPr>
  </w:style>
  <w:style w:type="paragraph" w:styleId="64">
    <w:name w:val="List 5"/>
    <w:basedOn w:val="1"/>
    <w:qFormat/>
    <w:uiPriority w:val="0"/>
    <w:pPr>
      <w:ind w:left="100" w:leftChars="800" w:hanging="200" w:hangingChars="200"/>
    </w:pPr>
    <w:rPr>
      <w:szCs w:val="20"/>
    </w:rPr>
  </w:style>
  <w:style w:type="paragraph" w:styleId="65">
    <w:name w:val="Body Text Indent 3"/>
    <w:basedOn w:val="1"/>
    <w:link w:val="128"/>
    <w:qFormat/>
    <w:uiPriority w:val="99"/>
    <w:pPr>
      <w:autoSpaceDE w:val="0"/>
      <w:autoSpaceDN w:val="0"/>
      <w:spacing w:line="400" w:lineRule="atLeast"/>
      <w:ind w:firstLine="443" w:firstLineChars="200"/>
      <w:textAlignment w:val="bottom"/>
    </w:pPr>
    <w:rPr>
      <w:rFonts w:eastAsia="黑体"/>
      <w:color w:val="000000"/>
      <w:sz w:val="24"/>
    </w:rPr>
  </w:style>
  <w:style w:type="paragraph" w:styleId="66">
    <w:name w:val="index 7"/>
    <w:basedOn w:val="1"/>
    <w:next w:val="1"/>
    <w:qFormat/>
    <w:uiPriority w:val="0"/>
    <w:pPr>
      <w:tabs>
        <w:tab w:val="left" w:pos="0"/>
        <w:tab w:val="left" w:pos="390"/>
      </w:tabs>
      <w:autoSpaceDE w:val="0"/>
      <w:autoSpaceDN w:val="0"/>
      <w:adjustRightInd w:val="0"/>
      <w:snapToGrid w:val="0"/>
      <w:spacing w:line="360" w:lineRule="auto"/>
      <w:ind w:left="1470" w:hanging="210" w:firstLineChars="177"/>
      <w:jc w:val="left"/>
    </w:pPr>
    <w:rPr>
      <w:rFonts w:hAnsi="宋体"/>
      <w:color w:val="000000"/>
      <w:kern w:val="0"/>
      <w:sz w:val="20"/>
      <w:szCs w:val="20"/>
    </w:rPr>
  </w:style>
  <w:style w:type="paragraph" w:styleId="67">
    <w:name w:val="index 9"/>
    <w:basedOn w:val="1"/>
    <w:next w:val="1"/>
    <w:qFormat/>
    <w:uiPriority w:val="0"/>
    <w:pPr>
      <w:tabs>
        <w:tab w:val="left" w:pos="0"/>
        <w:tab w:val="left" w:pos="390"/>
      </w:tabs>
      <w:autoSpaceDE w:val="0"/>
      <w:autoSpaceDN w:val="0"/>
      <w:adjustRightInd w:val="0"/>
      <w:snapToGrid w:val="0"/>
      <w:spacing w:line="360" w:lineRule="auto"/>
      <w:ind w:left="1890" w:hanging="210" w:firstLineChars="177"/>
      <w:jc w:val="left"/>
    </w:pPr>
    <w:rPr>
      <w:rFonts w:hAnsi="宋体"/>
      <w:color w:val="000000"/>
      <w:kern w:val="0"/>
      <w:sz w:val="20"/>
      <w:szCs w:val="20"/>
    </w:rPr>
  </w:style>
  <w:style w:type="paragraph" w:styleId="68">
    <w:name w:val="table of figures"/>
    <w:basedOn w:val="1"/>
    <w:next w:val="1"/>
    <w:qFormat/>
    <w:uiPriority w:val="0"/>
    <w:pPr>
      <w:tabs>
        <w:tab w:val="left" w:pos="874"/>
      </w:tabs>
      <w:spacing w:line="360" w:lineRule="auto"/>
      <w:ind w:left="840" w:leftChars="200" w:hanging="200" w:hangingChars="200"/>
    </w:pPr>
    <w:rPr>
      <w:rFonts w:ascii="宋体" w:hAnsi="宋体"/>
    </w:rPr>
  </w:style>
  <w:style w:type="paragraph" w:styleId="69">
    <w:name w:val="toc 2"/>
    <w:basedOn w:val="1"/>
    <w:next w:val="1"/>
    <w:qFormat/>
    <w:uiPriority w:val="39"/>
    <w:pPr>
      <w:tabs>
        <w:tab w:val="right" w:leader="dot" w:pos="9403"/>
      </w:tabs>
      <w:snapToGrid w:val="0"/>
      <w:spacing w:line="360" w:lineRule="auto"/>
      <w:ind w:firstLine="200" w:firstLineChars="200"/>
    </w:pPr>
    <w:rPr>
      <w:rFonts w:ascii="Arial" w:hAnsi="Arial"/>
      <w:smallCaps/>
    </w:rPr>
  </w:style>
  <w:style w:type="paragraph" w:styleId="70">
    <w:name w:val="toc 9"/>
    <w:basedOn w:val="1"/>
    <w:next w:val="1"/>
    <w:qFormat/>
    <w:uiPriority w:val="0"/>
    <w:pPr>
      <w:ind w:left="1680"/>
      <w:jc w:val="left"/>
    </w:pPr>
    <w:rPr>
      <w:sz w:val="18"/>
      <w:szCs w:val="18"/>
    </w:rPr>
  </w:style>
  <w:style w:type="paragraph" w:styleId="71">
    <w:name w:val="Body Text 2"/>
    <w:basedOn w:val="1"/>
    <w:link w:val="129"/>
    <w:qFormat/>
    <w:uiPriority w:val="0"/>
    <w:rPr>
      <w:b/>
      <w:bCs/>
      <w:color w:val="000000"/>
      <w:sz w:val="28"/>
    </w:rPr>
  </w:style>
  <w:style w:type="paragraph" w:styleId="72">
    <w:name w:val="List 4"/>
    <w:basedOn w:val="1"/>
    <w:qFormat/>
    <w:uiPriority w:val="0"/>
    <w:pPr>
      <w:ind w:left="100" w:leftChars="600" w:hanging="200" w:hangingChars="200"/>
    </w:pPr>
    <w:rPr>
      <w:szCs w:val="20"/>
    </w:rPr>
  </w:style>
  <w:style w:type="paragraph" w:styleId="73">
    <w:name w:val="HTML Preformatted"/>
    <w:basedOn w:val="1"/>
    <w:link w:val="13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4">
    <w:name w:val="Normal (Web)"/>
    <w:basedOn w:val="1"/>
    <w:link w:val="131"/>
    <w:qFormat/>
    <w:uiPriority w:val="0"/>
    <w:pPr>
      <w:widowControl/>
      <w:spacing w:before="100" w:beforeAutospacing="1" w:after="100" w:afterAutospacing="1"/>
      <w:jc w:val="left"/>
    </w:pPr>
    <w:rPr>
      <w:rFonts w:ascii="宋体" w:hAnsi="宋体"/>
      <w:kern w:val="0"/>
      <w:sz w:val="24"/>
    </w:rPr>
  </w:style>
  <w:style w:type="paragraph" w:styleId="75">
    <w:name w:val="index 2"/>
    <w:basedOn w:val="46"/>
    <w:next w:val="1"/>
    <w:qFormat/>
    <w:uiPriority w:val="0"/>
    <w:pPr>
      <w:ind w:left="283"/>
    </w:pPr>
  </w:style>
  <w:style w:type="paragraph" w:styleId="76">
    <w:name w:val="Title"/>
    <w:basedOn w:val="1"/>
    <w:link w:val="132"/>
    <w:qFormat/>
    <w:uiPriority w:val="0"/>
    <w:pPr>
      <w:jc w:val="center"/>
    </w:pPr>
    <w:rPr>
      <w:sz w:val="30"/>
    </w:rPr>
  </w:style>
  <w:style w:type="paragraph" w:styleId="77">
    <w:name w:val="annotation subject"/>
    <w:basedOn w:val="27"/>
    <w:next w:val="27"/>
    <w:link w:val="133"/>
    <w:qFormat/>
    <w:uiPriority w:val="0"/>
    <w:rPr>
      <w:b/>
      <w:bCs/>
    </w:rPr>
  </w:style>
  <w:style w:type="paragraph" w:styleId="78">
    <w:name w:val="Body Text First Indent"/>
    <w:basedOn w:val="17"/>
    <w:link w:val="105"/>
    <w:qFormat/>
    <w:uiPriority w:val="0"/>
    <w:pPr>
      <w:adjustRightInd/>
      <w:spacing w:after="120" w:line="240" w:lineRule="auto"/>
      <w:ind w:firstLine="420" w:firstLineChars="100"/>
      <w:jc w:val="both"/>
      <w:textAlignment w:val="auto"/>
    </w:pPr>
    <w:rPr>
      <w:rFonts w:ascii="Times New Roman" w:eastAsia="宋体"/>
      <w:kern w:val="2"/>
      <w:sz w:val="21"/>
    </w:rPr>
  </w:style>
  <w:style w:type="paragraph" w:styleId="79">
    <w:name w:val="Body Text First Indent 2"/>
    <w:basedOn w:val="32"/>
    <w:next w:val="1"/>
    <w:link w:val="134"/>
    <w:unhideWhenUsed/>
    <w:qFormat/>
    <w:uiPriority w:val="0"/>
    <w:pPr>
      <w:widowControl w:val="0"/>
      <w:tabs>
        <w:tab w:val="left" w:pos="1680"/>
      </w:tabs>
      <w:autoSpaceDE/>
      <w:autoSpaceDN/>
      <w:snapToGrid/>
      <w:spacing w:before="0" w:after="120" w:line="360" w:lineRule="auto"/>
      <w:ind w:left="420" w:leftChars="200" w:firstLine="420" w:firstLineChars="200"/>
      <w:textAlignment w:val="auto"/>
    </w:pPr>
    <w:rPr>
      <w:rFonts w:ascii="Calibri" w:hAnsi="Calibri"/>
      <w:kern w:val="2"/>
      <w:sz w:val="21"/>
      <w:szCs w:val="22"/>
    </w:rPr>
  </w:style>
  <w:style w:type="table" w:styleId="81">
    <w:name w:val="Table Grid"/>
    <w:basedOn w:val="8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80"/>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b/>
    </w:rPr>
  </w:style>
  <w:style w:type="character" w:styleId="85">
    <w:name w:val="page number"/>
    <w:qFormat/>
    <w:uiPriority w:val="0"/>
    <w:rPr>
      <w:rFonts w:eastAsia="Arial"/>
    </w:rPr>
  </w:style>
  <w:style w:type="character" w:styleId="86">
    <w:name w:val="FollowedHyperlink"/>
    <w:qFormat/>
    <w:uiPriority w:val="0"/>
    <w:rPr>
      <w:color w:val="800080"/>
      <w:u w:val="single"/>
    </w:rPr>
  </w:style>
  <w:style w:type="character" w:styleId="87">
    <w:name w:val="Emphasis"/>
    <w:qFormat/>
    <w:uiPriority w:val="0"/>
    <w:rPr>
      <w:color w:val="CC0033"/>
    </w:rPr>
  </w:style>
  <w:style w:type="character" w:styleId="88">
    <w:name w:val="HTML Definition"/>
    <w:qFormat/>
    <w:uiPriority w:val="0"/>
  </w:style>
  <w:style w:type="character" w:styleId="89">
    <w:name w:val="HTML Variable"/>
    <w:qFormat/>
    <w:uiPriority w:val="0"/>
  </w:style>
  <w:style w:type="character" w:styleId="90">
    <w:name w:val="Hyperlink"/>
    <w:basedOn w:val="83"/>
    <w:qFormat/>
    <w:uiPriority w:val="99"/>
    <w:rPr>
      <w:color w:val="0000FF"/>
      <w:u w:val="single"/>
    </w:rPr>
  </w:style>
  <w:style w:type="character" w:styleId="91">
    <w:name w:val="HTML Code"/>
    <w:qFormat/>
    <w:uiPriority w:val="0"/>
    <w:rPr>
      <w:rFonts w:ascii="Courier New" w:hAnsi="Courier New" w:eastAsia="Courier New" w:cs="Courier New"/>
      <w:sz w:val="20"/>
    </w:rPr>
  </w:style>
  <w:style w:type="character" w:styleId="92">
    <w:name w:val="annotation reference"/>
    <w:qFormat/>
    <w:uiPriority w:val="0"/>
    <w:rPr>
      <w:sz w:val="21"/>
      <w:szCs w:val="21"/>
    </w:rPr>
  </w:style>
  <w:style w:type="character" w:styleId="93">
    <w:name w:val="HTML Cite"/>
    <w:qFormat/>
    <w:uiPriority w:val="0"/>
  </w:style>
  <w:style w:type="character" w:styleId="94">
    <w:name w:val="footnote reference"/>
    <w:qFormat/>
    <w:uiPriority w:val="0"/>
    <w:rPr>
      <w:vertAlign w:val="superscript"/>
    </w:rPr>
  </w:style>
  <w:style w:type="character" w:styleId="95">
    <w:name w:val="HTML Keyboard"/>
    <w:qFormat/>
    <w:uiPriority w:val="0"/>
    <w:rPr>
      <w:rFonts w:ascii="Courier New" w:hAnsi="Courier New" w:eastAsia="Courier New" w:cs="Courier New"/>
      <w:sz w:val="20"/>
    </w:rPr>
  </w:style>
  <w:style w:type="character" w:styleId="96">
    <w:name w:val="HTML Sample"/>
    <w:qFormat/>
    <w:uiPriority w:val="0"/>
    <w:rPr>
      <w:rFonts w:ascii="Courier New" w:hAnsi="Courier New" w:eastAsia="Courier New" w:cs="Courier New"/>
      <w:sz w:val="16"/>
      <w:szCs w:val="0"/>
    </w:rPr>
  </w:style>
  <w:style w:type="character" w:customStyle="1" w:styleId="97">
    <w:name w:val="标题 4 字符"/>
    <w:link w:val="5"/>
    <w:qFormat/>
    <w:uiPriority w:val="9"/>
    <w:rPr>
      <w:rFonts w:ascii="Arial" w:hAnsi="Arial"/>
      <w:sz w:val="21"/>
      <w:szCs w:val="24"/>
    </w:rPr>
  </w:style>
  <w:style w:type="character" w:customStyle="1" w:styleId="98">
    <w:name w:val="标题 5 字符"/>
    <w:link w:val="6"/>
    <w:qFormat/>
    <w:uiPriority w:val="0"/>
    <w:rPr>
      <w:rFonts w:ascii="宋体" w:hAnsi="宋体"/>
      <w:b/>
      <w:bCs/>
      <w:kern w:val="2"/>
      <w:sz w:val="28"/>
      <w:szCs w:val="24"/>
    </w:rPr>
  </w:style>
  <w:style w:type="character" w:customStyle="1" w:styleId="99">
    <w:name w:val="标题 1 字符"/>
    <w:link w:val="2"/>
    <w:qFormat/>
    <w:uiPriority w:val="0"/>
    <w:rPr>
      <w:rFonts w:ascii="Arial" w:hAnsi="Arial" w:eastAsia="华文中宋"/>
      <w:b/>
      <w:color w:val="000000"/>
      <w:kern w:val="2"/>
      <w:sz w:val="32"/>
      <w:szCs w:val="24"/>
    </w:rPr>
  </w:style>
  <w:style w:type="character" w:customStyle="1" w:styleId="100">
    <w:name w:val="标题 3 字符"/>
    <w:link w:val="4"/>
    <w:qFormat/>
    <w:uiPriority w:val="9"/>
    <w:rPr>
      <w:rFonts w:ascii="Arial" w:hAnsi="Arial"/>
      <w:b/>
      <w:kern w:val="2"/>
      <w:sz w:val="21"/>
    </w:rPr>
  </w:style>
  <w:style w:type="paragraph" w:customStyle="1" w:styleId="101">
    <w:name w:val="列出段落1"/>
    <w:basedOn w:val="1"/>
    <w:link w:val="257"/>
    <w:qFormat/>
    <w:uiPriority w:val="34"/>
    <w:pPr>
      <w:ind w:firstLine="420" w:firstLineChars="200"/>
    </w:pPr>
  </w:style>
  <w:style w:type="paragraph" w:customStyle="1" w:styleId="102">
    <w:name w:val="Default"/>
    <w:link w:val="135"/>
    <w:qFormat/>
    <w:uiPriority w:val="0"/>
    <w:pPr>
      <w:widowControl w:val="0"/>
      <w:autoSpaceDE w:val="0"/>
      <w:autoSpaceDN w:val="0"/>
      <w:adjustRightInd w:val="0"/>
    </w:pPr>
    <w:rPr>
      <w:rFonts w:ascii="宋体..璂.." w:hAnsi="Times New Roman" w:eastAsia="宋体..璂.." w:cs="宋体..璂.."/>
      <w:color w:val="000000"/>
      <w:sz w:val="24"/>
      <w:szCs w:val="24"/>
      <w:lang w:val="en-US" w:eastAsia="zh-CN" w:bidi="ar-SA"/>
    </w:rPr>
  </w:style>
  <w:style w:type="character" w:customStyle="1" w:styleId="103">
    <w:name w:val="标题 2 字符"/>
    <w:link w:val="3"/>
    <w:qFormat/>
    <w:uiPriority w:val="0"/>
    <w:rPr>
      <w:rFonts w:ascii="Arial" w:hAnsi="Arial"/>
      <w:b/>
      <w:bCs/>
      <w:kern w:val="2"/>
      <w:sz w:val="21"/>
      <w:szCs w:val="32"/>
    </w:rPr>
  </w:style>
  <w:style w:type="character" w:customStyle="1" w:styleId="104">
    <w:name w:val="正文文本 字符"/>
    <w:link w:val="17"/>
    <w:qFormat/>
    <w:uiPriority w:val="0"/>
    <w:rPr>
      <w:rFonts w:ascii="仿宋_GB2312" w:eastAsia="仿宋_GB2312"/>
      <w:sz w:val="28"/>
    </w:rPr>
  </w:style>
  <w:style w:type="character" w:customStyle="1" w:styleId="105">
    <w:name w:val="正文文本首行缩进 字符"/>
    <w:link w:val="78"/>
    <w:qFormat/>
    <w:uiPriority w:val="0"/>
    <w:rPr>
      <w:kern w:val="2"/>
      <w:sz w:val="21"/>
    </w:rPr>
  </w:style>
  <w:style w:type="character" w:customStyle="1" w:styleId="106">
    <w:name w:val="标题 6 字符"/>
    <w:link w:val="7"/>
    <w:qFormat/>
    <w:uiPriority w:val="0"/>
    <w:rPr>
      <w:rFonts w:ascii="Arial" w:hAnsi="Arial"/>
      <w:b/>
      <w:bCs/>
      <w:kern w:val="2"/>
      <w:sz w:val="24"/>
      <w:szCs w:val="24"/>
    </w:rPr>
  </w:style>
  <w:style w:type="character" w:customStyle="1" w:styleId="107">
    <w:name w:val="标题 7 字符"/>
    <w:link w:val="8"/>
    <w:qFormat/>
    <w:uiPriority w:val="0"/>
    <w:rPr>
      <w:rFonts w:ascii="宋体" w:hAnsi="宋体"/>
      <w:b/>
      <w:bCs/>
      <w:kern w:val="2"/>
      <w:sz w:val="21"/>
      <w:szCs w:val="24"/>
    </w:rPr>
  </w:style>
  <w:style w:type="character" w:customStyle="1" w:styleId="108">
    <w:name w:val="标题 8 字符"/>
    <w:link w:val="9"/>
    <w:qFormat/>
    <w:uiPriority w:val="0"/>
    <w:rPr>
      <w:rFonts w:ascii="Arial" w:hAnsi="Arial" w:eastAsia="黑体"/>
      <w:kern w:val="2"/>
      <w:sz w:val="24"/>
      <w:szCs w:val="24"/>
    </w:rPr>
  </w:style>
  <w:style w:type="character" w:customStyle="1" w:styleId="109">
    <w:name w:val="标题 9 字符"/>
    <w:link w:val="10"/>
    <w:qFormat/>
    <w:uiPriority w:val="0"/>
    <w:rPr>
      <w:rFonts w:ascii="Arial" w:hAnsi="Arial" w:eastAsia="黑体"/>
      <w:kern w:val="2"/>
      <w:sz w:val="21"/>
      <w:szCs w:val="21"/>
    </w:rPr>
  </w:style>
  <w:style w:type="character" w:customStyle="1" w:styleId="110">
    <w:name w:val="注释标题 字符"/>
    <w:link w:val="18"/>
    <w:qFormat/>
    <w:uiPriority w:val="0"/>
    <w:rPr>
      <w:rFonts w:ascii="宋体" w:hAnsi="宋体"/>
      <w:kern w:val="2"/>
      <w:sz w:val="21"/>
      <w:szCs w:val="24"/>
    </w:rPr>
  </w:style>
  <w:style w:type="character" w:customStyle="1" w:styleId="111">
    <w:name w:val="正文缩进 字符"/>
    <w:link w:val="21"/>
    <w:qFormat/>
    <w:uiPriority w:val="0"/>
    <w:rPr>
      <w:rFonts w:eastAsia="宋体"/>
      <w:kern w:val="2"/>
      <w:sz w:val="21"/>
      <w:szCs w:val="24"/>
      <w:lang w:val="en-US" w:eastAsia="zh-CN" w:bidi="ar-SA"/>
    </w:rPr>
  </w:style>
  <w:style w:type="character" w:customStyle="1" w:styleId="112">
    <w:name w:val="题注 字符"/>
    <w:link w:val="22"/>
    <w:qFormat/>
    <w:uiPriority w:val="0"/>
    <w:rPr>
      <w:rFonts w:ascii="Arial" w:hAnsi="Arial" w:eastAsia="黑体" w:cs="Arial"/>
    </w:rPr>
  </w:style>
  <w:style w:type="character" w:customStyle="1" w:styleId="113">
    <w:name w:val="文档结构图 字符"/>
    <w:link w:val="26"/>
    <w:qFormat/>
    <w:uiPriority w:val="99"/>
    <w:rPr>
      <w:kern w:val="2"/>
      <w:sz w:val="21"/>
      <w:szCs w:val="24"/>
      <w:shd w:val="clear" w:color="auto" w:fill="000080"/>
    </w:rPr>
  </w:style>
  <w:style w:type="character" w:customStyle="1" w:styleId="114">
    <w:name w:val="批注文字 字符"/>
    <w:link w:val="27"/>
    <w:qFormat/>
    <w:uiPriority w:val="0"/>
    <w:rPr>
      <w:kern w:val="2"/>
      <w:sz w:val="21"/>
    </w:rPr>
  </w:style>
  <w:style w:type="character" w:customStyle="1" w:styleId="115">
    <w:name w:val="称呼 字符"/>
    <w:link w:val="29"/>
    <w:qFormat/>
    <w:uiPriority w:val="0"/>
    <w:rPr>
      <w:sz w:val="24"/>
      <w:szCs w:val="24"/>
    </w:rPr>
  </w:style>
  <w:style w:type="character" w:customStyle="1" w:styleId="116">
    <w:name w:val="正文文本 3 字符"/>
    <w:link w:val="30"/>
    <w:qFormat/>
    <w:uiPriority w:val="0"/>
    <w:rPr>
      <w:rFonts w:ascii="楷体_GB2312" w:eastAsia="楷体_GB2312"/>
      <w:b/>
      <w:color w:val="000000"/>
      <w:kern w:val="2"/>
      <w:sz w:val="30"/>
      <w:szCs w:val="24"/>
    </w:rPr>
  </w:style>
  <w:style w:type="character" w:customStyle="1" w:styleId="117">
    <w:name w:val="正文文本缩进 字符"/>
    <w:link w:val="32"/>
    <w:qFormat/>
    <w:uiPriority w:val="0"/>
    <w:rPr>
      <w:rFonts w:ascii="宋体"/>
      <w:sz w:val="24"/>
    </w:rPr>
  </w:style>
  <w:style w:type="character" w:customStyle="1" w:styleId="118">
    <w:name w:val="纯文本 字符"/>
    <w:link w:val="40"/>
    <w:qFormat/>
    <w:uiPriority w:val="0"/>
    <w:rPr>
      <w:rFonts w:ascii="宋体" w:hAnsi="Courier New" w:eastAsia="宋体"/>
      <w:kern w:val="2"/>
      <w:sz w:val="21"/>
      <w:lang w:val="en-US" w:eastAsia="zh-CN" w:bidi="ar-SA"/>
    </w:rPr>
  </w:style>
  <w:style w:type="character" w:customStyle="1" w:styleId="119">
    <w:name w:val="日期 字符"/>
    <w:link w:val="47"/>
    <w:qFormat/>
    <w:uiPriority w:val="0"/>
    <w:rPr>
      <w:color w:val="000000"/>
      <w:kern w:val="2"/>
      <w:sz w:val="24"/>
      <w:szCs w:val="24"/>
    </w:rPr>
  </w:style>
  <w:style w:type="character" w:customStyle="1" w:styleId="120">
    <w:name w:val="正文文本缩进 2 字符"/>
    <w:link w:val="48"/>
    <w:qFormat/>
    <w:uiPriority w:val="99"/>
    <w:rPr>
      <w:rFonts w:ascii="宋体"/>
      <w:sz w:val="24"/>
    </w:rPr>
  </w:style>
  <w:style w:type="character" w:customStyle="1" w:styleId="121">
    <w:name w:val="尾注文本 字符"/>
    <w:link w:val="49"/>
    <w:qFormat/>
    <w:uiPriority w:val="0"/>
    <w:rPr>
      <w:rFonts w:ascii="Arial" w:hAnsi="Arial" w:eastAsia="PMingLiU"/>
      <w:lang w:val="en-GB" w:eastAsia="zh-TW"/>
    </w:rPr>
  </w:style>
  <w:style w:type="character" w:customStyle="1" w:styleId="122">
    <w:name w:val="批注框文本 字符"/>
    <w:link w:val="50"/>
    <w:qFormat/>
    <w:uiPriority w:val="99"/>
    <w:rPr>
      <w:kern w:val="2"/>
      <w:sz w:val="18"/>
      <w:szCs w:val="18"/>
    </w:rPr>
  </w:style>
  <w:style w:type="character" w:customStyle="1" w:styleId="123">
    <w:name w:val="页脚 字符"/>
    <w:link w:val="51"/>
    <w:qFormat/>
    <w:uiPriority w:val="99"/>
    <w:rPr>
      <w:rFonts w:eastAsia="宋体"/>
      <w:kern w:val="2"/>
      <w:sz w:val="18"/>
      <w:szCs w:val="18"/>
      <w:lang w:val="en-US" w:eastAsia="zh-CN" w:bidi="ar-SA"/>
    </w:rPr>
  </w:style>
  <w:style w:type="character" w:customStyle="1" w:styleId="124">
    <w:name w:val="页眉 字符"/>
    <w:link w:val="53"/>
    <w:qFormat/>
    <w:uiPriority w:val="99"/>
    <w:rPr>
      <w:rFonts w:eastAsia="宋体"/>
      <w:kern w:val="2"/>
      <w:sz w:val="18"/>
      <w:szCs w:val="18"/>
      <w:lang w:val="en-US" w:eastAsia="zh-CN" w:bidi="ar-SA"/>
    </w:rPr>
  </w:style>
  <w:style w:type="character" w:customStyle="1" w:styleId="125">
    <w:name w:val="签名 字符"/>
    <w:link w:val="54"/>
    <w:qFormat/>
    <w:uiPriority w:val="0"/>
    <w:rPr>
      <w:rFonts w:ascii="Arial" w:hAnsi="Arial" w:eastAsia="PMingLiU"/>
      <w:lang w:val="en-GB" w:eastAsia="zh-TW"/>
    </w:rPr>
  </w:style>
  <w:style w:type="character" w:customStyle="1" w:styleId="126">
    <w:name w:val="副标题 字符"/>
    <w:link w:val="59"/>
    <w:qFormat/>
    <w:uiPriority w:val="0"/>
    <w:rPr>
      <w:rFonts w:ascii="Cambria" w:hAnsi="Cambria" w:eastAsia="宋体"/>
      <w:b/>
      <w:bCs/>
      <w:kern w:val="28"/>
      <w:sz w:val="32"/>
      <w:szCs w:val="32"/>
      <w:lang w:val="en-US" w:eastAsia="zh-CN" w:bidi="ar-SA"/>
    </w:rPr>
  </w:style>
  <w:style w:type="character" w:customStyle="1" w:styleId="127">
    <w:name w:val="脚注文本 字符"/>
    <w:link w:val="62"/>
    <w:qFormat/>
    <w:uiPriority w:val="0"/>
    <w:rPr>
      <w:rFonts w:ascii="Arial" w:hAnsi="Arial"/>
      <w:lang w:eastAsia="en-US"/>
    </w:rPr>
  </w:style>
  <w:style w:type="character" w:customStyle="1" w:styleId="128">
    <w:name w:val="正文文本缩进 3 字符"/>
    <w:link w:val="65"/>
    <w:qFormat/>
    <w:locked/>
    <w:uiPriority w:val="99"/>
    <w:rPr>
      <w:rFonts w:eastAsia="黑体"/>
      <w:color w:val="000000"/>
      <w:kern w:val="2"/>
      <w:sz w:val="24"/>
      <w:szCs w:val="24"/>
    </w:rPr>
  </w:style>
  <w:style w:type="character" w:customStyle="1" w:styleId="129">
    <w:name w:val="正文文本 2 字符"/>
    <w:link w:val="71"/>
    <w:qFormat/>
    <w:uiPriority w:val="0"/>
    <w:rPr>
      <w:b/>
      <w:bCs/>
      <w:color w:val="000000"/>
      <w:kern w:val="2"/>
      <w:sz w:val="28"/>
      <w:szCs w:val="24"/>
    </w:rPr>
  </w:style>
  <w:style w:type="character" w:customStyle="1" w:styleId="130">
    <w:name w:val="HTML 预设格式 字符"/>
    <w:link w:val="73"/>
    <w:qFormat/>
    <w:uiPriority w:val="0"/>
    <w:rPr>
      <w:rFonts w:ascii="宋体" w:hAnsi="宋体" w:cs="宋体"/>
      <w:sz w:val="24"/>
      <w:szCs w:val="24"/>
    </w:rPr>
  </w:style>
  <w:style w:type="character" w:customStyle="1" w:styleId="131">
    <w:name w:val="普通(网站) 字符"/>
    <w:link w:val="74"/>
    <w:qFormat/>
    <w:uiPriority w:val="0"/>
    <w:rPr>
      <w:rFonts w:ascii="宋体" w:hAnsi="宋体"/>
      <w:sz w:val="24"/>
      <w:szCs w:val="24"/>
    </w:rPr>
  </w:style>
  <w:style w:type="character" w:customStyle="1" w:styleId="132">
    <w:name w:val="标题 字符"/>
    <w:link w:val="76"/>
    <w:qFormat/>
    <w:uiPriority w:val="0"/>
    <w:rPr>
      <w:kern w:val="2"/>
      <w:sz w:val="30"/>
      <w:szCs w:val="24"/>
    </w:rPr>
  </w:style>
  <w:style w:type="character" w:customStyle="1" w:styleId="133">
    <w:name w:val="批注主题 字符"/>
    <w:link w:val="77"/>
    <w:qFormat/>
    <w:uiPriority w:val="0"/>
    <w:rPr>
      <w:b/>
      <w:bCs/>
      <w:kern w:val="2"/>
      <w:sz w:val="21"/>
    </w:rPr>
  </w:style>
  <w:style w:type="character" w:customStyle="1" w:styleId="134">
    <w:name w:val="正文文本首行缩进 2 字符"/>
    <w:link w:val="79"/>
    <w:qFormat/>
    <w:uiPriority w:val="0"/>
    <w:rPr>
      <w:rFonts w:ascii="Calibri" w:hAnsi="Calibri"/>
      <w:kern w:val="2"/>
      <w:sz w:val="21"/>
      <w:szCs w:val="22"/>
    </w:rPr>
  </w:style>
  <w:style w:type="character" w:customStyle="1" w:styleId="135">
    <w:name w:val="Default Char"/>
    <w:link w:val="102"/>
    <w:qFormat/>
    <w:uiPriority w:val="0"/>
    <w:rPr>
      <w:rFonts w:ascii="宋体..璂.." w:eastAsia="宋体..璂.." w:cs="宋体..璂.."/>
      <w:color w:val="000000"/>
      <w:sz w:val="24"/>
      <w:szCs w:val="24"/>
      <w:lang w:val="en-US" w:eastAsia="zh-CN" w:bidi="ar-SA"/>
    </w:rPr>
  </w:style>
  <w:style w:type="character" w:customStyle="1" w:styleId="136">
    <w:name w:val="字元 字元1"/>
    <w:qFormat/>
    <w:locked/>
    <w:uiPriority w:val="0"/>
    <w:rPr>
      <w:rFonts w:ascii="Arial" w:hAnsi="Arial" w:eastAsia="Times New Roman" w:cs="Times New Roman"/>
      <w:b/>
      <w:bCs/>
      <w:lang w:val="en-GB"/>
    </w:rPr>
  </w:style>
  <w:style w:type="character" w:customStyle="1" w:styleId="137">
    <w:name w:val="标题 2 Char1"/>
    <w:qFormat/>
    <w:uiPriority w:val="0"/>
    <w:rPr>
      <w:rFonts w:ascii="Arial" w:hAnsi="Arial" w:eastAsia="黑体" w:cs="Times New Roman"/>
      <w:b/>
      <w:bCs/>
      <w:sz w:val="32"/>
      <w:szCs w:val="32"/>
    </w:rPr>
  </w:style>
  <w:style w:type="character" w:customStyle="1" w:styleId="138">
    <w:name w:val="标准段落 Char"/>
    <w:link w:val="139"/>
    <w:qFormat/>
    <w:locked/>
    <w:uiPriority w:val="0"/>
    <w:rPr>
      <w:sz w:val="24"/>
      <w:szCs w:val="24"/>
      <w:lang w:val="en-US" w:eastAsia="zh-CN"/>
    </w:rPr>
  </w:style>
  <w:style w:type="paragraph" w:customStyle="1" w:styleId="139">
    <w:name w:val="标准段落"/>
    <w:basedOn w:val="1"/>
    <w:link w:val="138"/>
    <w:qFormat/>
    <w:uiPriority w:val="0"/>
    <w:pPr>
      <w:autoSpaceDN w:val="0"/>
      <w:spacing w:line="360" w:lineRule="auto"/>
      <w:ind w:firstLine="480" w:firstLineChars="200"/>
    </w:pPr>
    <w:rPr>
      <w:kern w:val="0"/>
      <w:sz w:val="24"/>
    </w:rPr>
  </w:style>
  <w:style w:type="character" w:customStyle="1" w:styleId="140">
    <w:name w:val="普通文字 Char Char2"/>
    <w:qFormat/>
    <w:uiPriority w:val="0"/>
    <w:rPr>
      <w:rFonts w:ascii="宋体" w:hAnsi="Courier New" w:eastAsia="宋体"/>
      <w:kern w:val="2"/>
      <w:sz w:val="21"/>
      <w:lang w:val="en-US" w:eastAsia="zh-CN" w:bidi="ar-SA"/>
    </w:rPr>
  </w:style>
  <w:style w:type="character" w:customStyle="1" w:styleId="141">
    <w:name w:val="样式1 Char Char"/>
    <w:link w:val="142"/>
    <w:qFormat/>
    <w:uiPriority w:val="0"/>
    <w:rPr>
      <w:rFonts w:ascii="Arial" w:hAnsi="Arial" w:eastAsia="宋体"/>
      <w:kern w:val="2"/>
      <w:sz w:val="21"/>
      <w:szCs w:val="24"/>
      <w:lang w:val="en-US" w:eastAsia="zh-CN" w:bidi="ar-SA"/>
    </w:rPr>
  </w:style>
  <w:style w:type="paragraph" w:customStyle="1" w:styleId="142">
    <w:name w:val="样式1"/>
    <w:basedOn w:val="1"/>
    <w:link w:val="141"/>
    <w:qFormat/>
    <w:uiPriority w:val="0"/>
    <w:pPr>
      <w:spacing w:line="360" w:lineRule="exact"/>
      <w:ind w:firstLine="200" w:firstLineChars="200"/>
    </w:pPr>
    <w:rPr>
      <w:rFonts w:ascii="Arial" w:hAnsi="Arial"/>
    </w:rPr>
  </w:style>
  <w:style w:type="character" w:customStyle="1" w:styleId="143">
    <w:name w:val="style6"/>
    <w:basedOn w:val="83"/>
    <w:qFormat/>
    <w:uiPriority w:val="0"/>
  </w:style>
  <w:style w:type="character" w:customStyle="1" w:styleId="144">
    <w:name w:val="font31"/>
    <w:basedOn w:val="83"/>
    <w:qFormat/>
    <w:uiPriority w:val="0"/>
    <w:rPr>
      <w:rFonts w:hint="eastAsia" w:ascii="宋体" w:hAnsi="宋体" w:eastAsia="宋体" w:cs="宋体"/>
      <w:color w:val="000000"/>
      <w:sz w:val="20"/>
      <w:szCs w:val="20"/>
      <w:u w:val="none"/>
    </w:rPr>
  </w:style>
  <w:style w:type="character" w:customStyle="1" w:styleId="145">
    <w:name w:val="样式 正文首行缩进 + 加粗 Char"/>
    <w:link w:val="146"/>
    <w:qFormat/>
    <w:uiPriority w:val="0"/>
    <w:rPr>
      <w:b/>
      <w:bCs/>
      <w:szCs w:val="24"/>
    </w:rPr>
  </w:style>
  <w:style w:type="paragraph" w:customStyle="1" w:styleId="146">
    <w:name w:val="样式 正文首行缩进 + 加粗"/>
    <w:basedOn w:val="78"/>
    <w:link w:val="145"/>
    <w:qFormat/>
    <w:uiPriority w:val="0"/>
    <w:pPr>
      <w:spacing w:before="100" w:beforeAutospacing="1" w:after="100" w:afterAutospacing="1" w:line="360" w:lineRule="auto"/>
      <w:ind w:firstLine="200" w:firstLineChars="200"/>
    </w:pPr>
    <w:rPr>
      <w:b/>
      <w:bCs/>
      <w:kern w:val="0"/>
      <w:sz w:val="20"/>
      <w:szCs w:val="24"/>
    </w:rPr>
  </w:style>
  <w:style w:type="character" w:customStyle="1" w:styleId="147">
    <w:name w:val="font91"/>
    <w:basedOn w:val="83"/>
    <w:qFormat/>
    <w:uiPriority w:val="0"/>
    <w:rPr>
      <w:rFonts w:hint="eastAsia" w:ascii="宋体" w:hAnsi="宋体" w:eastAsia="宋体" w:cs="宋体"/>
      <w:color w:val="FF0000"/>
      <w:sz w:val="20"/>
      <w:szCs w:val="20"/>
      <w:u w:val="none"/>
    </w:rPr>
  </w:style>
  <w:style w:type="character" w:customStyle="1" w:styleId="148">
    <w:name w:val="style31"/>
    <w:qFormat/>
    <w:uiPriority w:val="0"/>
    <w:rPr>
      <w:rFonts w:hint="default" w:ascii="Verdana" w:hAnsi="Verdana"/>
      <w:color w:val="979797"/>
      <w:sz w:val="15"/>
      <w:szCs w:val="15"/>
    </w:rPr>
  </w:style>
  <w:style w:type="character" w:customStyle="1" w:styleId="149">
    <w:name w:val="titlepurple1"/>
    <w:qFormat/>
    <w:uiPriority w:val="0"/>
    <w:rPr>
      <w:b/>
      <w:bCs/>
      <w:color w:val="845A92"/>
      <w:sz w:val="37"/>
      <w:szCs w:val="37"/>
    </w:rPr>
  </w:style>
  <w:style w:type="character" w:customStyle="1" w:styleId="150">
    <w:name w:val="apple-converted-space"/>
    <w:basedOn w:val="83"/>
    <w:qFormat/>
    <w:uiPriority w:val="0"/>
  </w:style>
  <w:style w:type="character" w:customStyle="1" w:styleId="151">
    <w:name w:val="列表框1 Char Char"/>
    <w:link w:val="152"/>
    <w:qFormat/>
    <w:uiPriority w:val="0"/>
    <w:rPr>
      <w:spacing w:val="10"/>
      <w:sz w:val="24"/>
      <w:szCs w:val="24"/>
    </w:rPr>
  </w:style>
  <w:style w:type="paragraph" w:customStyle="1" w:styleId="152">
    <w:name w:val="列表框1"/>
    <w:basedOn w:val="153"/>
    <w:next w:val="153"/>
    <w:link w:val="151"/>
    <w:qFormat/>
    <w:uiPriority w:val="0"/>
    <w:pPr>
      <w:tabs>
        <w:tab w:val="left" w:pos="390"/>
        <w:tab w:val="left" w:pos="567"/>
        <w:tab w:val="left" w:pos="1701"/>
        <w:tab w:val="left" w:pos="8585"/>
      </w:tabs>
      <w:ind w:left="1133" w:leftChars="472" w:firstLine="138" w:firstLineChars="53"/>
    </w:pPr>
    <w:rPr>
      <w:color w:val="auto"/>
    </w:rPr>
  </w:style>
  <w:style w:type="paragraph" w:customStyle="1" w:styleId="153">
    <w:name w:val="内容文本"/>
    <w:basedOn w:val="1"/>
    <w:link w:val="154"/>
    <w:qFormat/>
    <w:uiPriority w:val="0"/>
    <w:pPr>
      <w:tabs>
        <w:tab w:val="left" w:pos="390"/>
        <w:tab w:val="left" w:pos="567"/>
      </w:tabs>
      <w:autoSpaceDE w:val="0"/>
      <w:autoSpaceDN w:val="0"/>
      <w:adjustRightInd w:val="0"/>
      <w:snapToGrid w:val="0"/>
      <w:spacing w:line="360" w:lineRule="auto"/>
      <w:ind w:left="566" w:leftChars="236" w:firstLine="478" w:firstLineChars="184"/>
      <w:jc w:val="left"/>
    </w:pPr>
    <w:rPr>
      <w:color w:val="000000"/>
      <w:spacing w:val="10"/>
      <w:kern w:val="0"/>
      <w:sz w:val="24"/>
    </w:rPr>
  </w:style>
  <w:style w:type="character" w:customStyle="1" w:styleId="154">
    <w:name w:val="内容文本 Char Char"/>
    <w:link w:val="153"/>
    <w:qFormat/>
    <w:uiPriority w:val="0"/>
    <w:rPr>
      <w:color w:val="000000"/>
      <w:spacing w:val="10"/>
      <w:sz w:val="24"/>
      <w:szCs w:val="24"/>
    </w:rPr>
  </w:style>
  <w:style w:type="character" w:customStyle="1" w:styleId="155">
    <w:name w:val="字元 字元21"/>
    <w:qFormat/>
    <w:locked/>
    <w:uiPriority w:val="0"/>
    <w:rPr>
      <w:rFonts w:ascii="Cambria" w:hAnsi="Cambria" w:eastAsia="Times New Roman" w:cs="Times New Roman"/>
      <w:b/>
      <w:bCs/>
      <w:color w:val="4F81BD"/>
      <w:sz w:val="26"/>
      <w:szCs w:val="26"/>
    </w:rPr>
  </w:style>
  <w:style w:type="character" w:customStyle="1" w:styleId="156">
    <w:name w:val="正文文本 Char1"/>
    <w:qFormat/>
    <w:uiPriority w:val="0"/>
    <w:rPr>
      <w:rFonts w:eastAsia="??"/>
      <w:kern w:val="2"/>
      <w:sz w:val="24"/>
      <w:szCs w:val="28"/>
    </w:rPr>
  </w:style>
  <w:style w:type="character" w:customStyle="1" w:styleId="157">
    <w:name w:val="样式 标书应答 + 首行缩进:  1 字符1 Char"/>
    <w:link w:val="158"/>
    <w:qFormat/>
    <w:uiPriority w:val="0"/>
    <w:rPr>
      <w:rFonts w:ascii="Arial" w:hAnsi="Arial"/>
      <w:b/>
      <w:bCs/>
      <w:i/>
      <w:iCs/>
      <w:sz w:val="24"/>
      <w:szCs w:val="24"/>
      <w:em w:val="dot"/>
    </w:rPr>
  </w:style>
  <w:style w:type="paragraph" w:customStyle="1" w:styleId="158">
    <w:name w:val="样式 标书应答 + 首行缩进:  1 字符1"/>
    <w:basedOn w:val="1"/>
    <w:link w:val="157"/>
    <w:qFormat/>
    <w:uiPriority w:val="0"/>
    <w:pPr>
      <w:tabs>
        <w:tab w:val="left" w:pos="390"/>
      </w:tabs>
      <w:spacing w:after="120"/>
      <w:ind w:firstLine="211" w:firstLineChars="177"/>
      <w:jc w:val="left"/>
    </w:pPr>
    <w:rPr>
      <w:rFonts w:ascii="Arial" w:hAnsi="Arial"/>
      <w:b/>
      <w:bCs/>
      <w:i/>
      <w:iCs/>
      <w:kern w:val="0"/>
      <w:sz w:val="24"/>
      <w:em w:val="dot"/>
    </w:rPr>
  </w:style>
  <w:style w:type="character" w:customStyle="1" w:styleId="159">
    <w:name w:val="emphasizedtitle1"/>
    <w:qFormat/>
    <w:uiPriority w:val="0"/>
    <w:rPr>
      <w:rFonts w:hint="default" w:ascii="Arial" w:hAnsi="Arial" w:cs="Arial"/>
      <w:b/>
      <w:bCs/>
      <w:sz w:val="30"/>
      <w:szCs w:val="30"/>
    </w:rPr>
  </w:style>
  <w:style w:type="character" w:customStyle="1" w:styleId="160">
    <w:name w:val="style11"/>
    <w:basedOn w:val="83"/>
    <w:qFormat/>
    <w:uiPriority w:val="0"/>
  </w:style>
  <w:style w:type="character" w:customStyle="1" w:styleId="161">
    <w:name w:val="字元 字元5"/>
    <w:qFormat/>
    <w:locked/>
    <w:uiPriority w:val="0"/>
    <w:rPr>
      <w:rFonts w:ascii="Arial" w:hAnsi="Arial" w:eastAsia="Times New Roman" w:cs="Times New Roman"/>
      <w:lang w:val="en-GB"/>
    </w:rPr>
  </w:style>
  <w:style w:type="character" w:customStyle="1" w:styleId="162">
    <w:name w:val="正文2 Char"/>
    <w:qFormat/>
    <w:locked/>
    <w:uiPriority w:val="0"/>
    <w:rPr>
      <w:rFonts w:eastAsia="宋体"/>
      <w:kern w:val="2"/>
      <w:sz w:val="24"/>
      <w:lang w:val="en-US" w:eastAsia="zh-CN" w:bidi="ar-SA"/>
    </w:rPr>
  </w:style>
  <w:style w:type="character" w:customStyle="1" w:styleId="163">
    <w:name w:val="*Body Text Char1"/>
    <w:link w:val="164"/>
    <w:qFormat/>
    <w:uiPriority w:val="0"/>
    <w:rPr>
      <w:rFonts w:ascii="Futura Lt" w:hAnsi="Futura Lt"/>
      <w:sz w:val="21"/>
      <w:lang w:val="en-US" w:eastAsia="en-US" w:bidi="ar-SA"/>
    </w:rPr>
  </w:style>
  <w:style w:type="paragraph" w:customStyle="1" w:styleId="164">
    <w:name w:val="*Body Text"/>
    <w:link w:val="163"/>
    <w:qFormat/>
    <w:uiPriority w:val="0"/>
    <w:pPr>
      <w:spacing w:line="360" w:lineRule="auto"/>
    </w:pPr>
    <w:rPr>
      <w:rFonts w:ascii="Futura Lt" w:hAnsi="Futura Lt" w:eastAsia="宋体" w:cs="Times New Roman"/>
      <w:sz w:val="21"/>
      <w:lang w:val="en-US" w:eastAsia="en-US" w:bidi="ar-SA"/>
    </w:rPr>
  </w:style>
  <w:style w:type="character" w:customStyle="1" w:styleId="165">
    <w:name w:val="附录 Char Char"/>
    <w:basedOn w:val="83"/>
    <w:link w:val="166"/>
    <w:qFormat/>
    <w:uiPriority w:val="0"/>
    <w:rPr>
      <w:rFonts w:ascii="楷体_GB2312" w:hAnsi="华文细黑" w:eastAsia="方正姚体"/>
      <w:kern w:val="2"/>
      <w:sz w:val="30"/>
      <w:szCs w:val="24"/>
    </w:rPr>
  </w:style>
  <w:style w:type="paragraph" w:customStyle="1" w:styleId="166">
    <w:name w:val="附录"/>
    <w:basedOn w:val="1"/>
    <w:next w:val="1"/>
    <w:link w:val="165"/>
    <w:qFormat/>
    <w:uiPriority w:val="0"/>
    <w:pPr>
      <w:jc w:val="left"/>
      <w:outlineLvl w:val="1"/>
    </w:pPr>
    <w:rPr>
      <w:rFonts w:ascii="楷体_GB2312" w:hAnsi="华文细黑" w:eastAsia="方正姚体"/>
      <w:sz w:val="30"/>
    </w:rPr>
  </w:style>
  <w:style w:type="character" w:customStyle="1" w:styleId="167">
    <w:name w:val="中等深浅网格 1 - 强调文字颜色 2 Char"/>
    <w:link w:val="168"/>
    <w:qFormat/>
    <w:locked/>
    <w:uiPriority w:val="99"/>
    <w:rPr>
      <w:rFonts w:ascii="Calibri" w:hAnsi="Calibri"/>
    </w:rPr>
  </w:style>
  <w:style w:type="paragraph" w:customStyle="1" w:styleId="168">
    <w:name w:val="中等深浅网格 1 - 强调文字颜色 21"/>
    <w:basedOn w:val="1"/>
    <w:link w:val="167"/>
    <w:qFormat/>
    <w:uiPriority w:val="99"/>
    <w:pPr>
      <w:ind w:firstLine="420" w:firstLineChars="200"/>
    </w:pPr>
    <w:rPr>
      <w:rFonts w:ascii="Calibri" w:hAnsi="Calibri"/>
      <w:kern w:val="0"/>
      <w:sz w:val="20"/>
      <w:szCs w:val="20"/>
    </w:rPr>
  </w:style>
  <w:style w:type="character" w:customStyle="1" w:styleId="169">
    <w:name w:val="Variable"/>
    <w:qFormat/>
    <w:uiPriority w:val="0"/>
    <w:rPr>
      <w:i/>
      <w:lang w:val="en-GB"/>
    </w:rPr>
  </w:style>
  <w:style w:type="character" w:customStyle="1" w:styleId="170">
    <w:name w:val="WW8Num22z1"/>
    <w:qFormat/>
    <w:uiPriority w:val="0"/>
    <w:rPr>
      <w:rFonts w:ascii="Courier New" w:hAnsi="Courier New"/>
      <w:lang w:val="en-GB"/>
    </w:rPr>
  </w:style>
  <w:style w:type="character" w:customStyle="1" w:styleId="171">
    <w:name w:val="tw4winInternal"/>
    <w:qFormat/>
    <w:uiPriority w:val="0"/>
    <w:rPr>
      <w:rFonts w:ascii="Courier New" w:hAnsi="Courier New" w:cs="Courier New"/>
      <w:color w:val="FF0000"/>
      <w:lang w:val="en-US" w:eastAsia="zh-CN"/>
    </w:rPr>
  </w:style>
  <w:style w:type="character" w:customStyle="1" w:styleId="172">
    <w:name w:val="标题 1 Char1"/>
    <w:qFormat/>
    <w:uiPriority w:val="0"/>
    <w:rPr>
      <w:rFonts w:ascii="宋体" w:hAnsi="宋体"/>
      <w:b/>
      <w:bCs/>
      <w:kern w:val="44"/>
      <w:sz w:val="44"/>
      <w:szCs w:val="44"/>
    </w:rPr>
  </w:style>
  <w:style w:type="character" w:customStyle="1" w:styleId="173">
    <w:name w:val="displayitem"/>
    <w:basedOn w:val="83"/>
    <w:qFormat/>
    <w:uiPriority w:val="0"/>
  </w:style>
  <w:style w:type="character" w:customStyle="1" w:styleId="174">
    <w:name w:val="Char Char Char"/>
    <w:link w:val="175"/>
    <w:qFormat/>
    <w:uiPriority w:val="0"/>
    <w:rPr>
      <w:rFonts w:ascii="宋体" w:hAnsi="宋体" w:eastAsia="宋体"/>
      <w:b/>
      <w:kern w:val="2"/>
      <w:sz w:val="21"/>
      <w:szCs w:val="21"/>
      <w:lang w:val="en-US" w:eastAsia="zh-CN" w:bidi="ar-SA"/>
    </w:rPr>
  </w:style>
  <w:style w:type="paragraph" w:customStyle="1" w:styleId="175">
    <w:name w:val="Char3"/>
    <w:basedOn w:val="53"/>
    <w:next w:val="53"/>
    <w:link w:val="174"/>
    <w:qFormat/>
    <w:uiPriority w:val="0"/>
    <w:pPr>
      <w:snapToGrid/>
      <w:jc w:val="right"/>
    </w:pPr>
    <w:rPr>
      <w:rFonts w:ascii="宋体" w:hAnsi="宋体"/>
      <w:b/>
      <w:sz w:val="21"/>
      <w:szCs w:val="21"/>
    </w:rPr>
  </w:style>
  <w:style w:type="character" w:customStyle="1" w:styleId="176">
    <w:name w:val="字元 字元16"/>
    <w:qFormat/>
    <w:locked/>
    <w:uiPriority w:val="0"/>
    <w:rPr>
      <w:rFonts w:ascii="Times New Roman" w:hAnsi="Times New Roman" w:eastAsia="Times New Roman" w:cs="Times New Roman"/>
      <w:b/>
      <w:lang w:val="en-GB"/>
    </w:rPr>
  </w:style>
  <w:style w:type="character" w:customStyle="1" w:styleId="177">
    <w:name w:val="WW8Num21z1"/>
    <w:qFormat/>
    <w:uiPriority w:val="0"/>
    <w:rPr>
      <w:rFonts w:ascii="Courier New" w:hAnsi="Courier New"/>
      <w:lang w:val="en-GB"/>
    </w:rPr>
  </w:style>
  <w:style w:type="character" w:customStyle="1" w:styleId="178">
    <w:name w:val="样式 标准段落 + 首行缩进:  2 字符 Char"/>
    <w:link w:val="179"/>
    <w:qFormat/>
    <w:uiPriority w:val="0"/>
    <w:rPr>
      <w:rFonts w:ascii="宋体" w:hAnsi="宋体"/>
      <w:sz w:val="24"/>
    </w:rPr>
  </w:style>
  <w:style w:type="paragraph" w:customStyle="1" w:styleId="179">
    <w:name w:val="样式 标准段落 + 首行缩进:  2 字符"/>
    <w:basedOn w:val="1"/>
    <w:link w:val="178"/>
    <w:qFormat/>
    <w:uiPriority w:val="0"/>
    <w:pPr>
      <w:tabs>
        <w:tab w:val="left" w:pos="820"/>
      </w:tabs>
      <w:autoSpaceDN w:val="0"/>
      <w:spacing w:line="360" w:lineRule="auto"/>
      <w:ind w:firstLine="480" w:firstLineChars="200"/>
      <w:textAlignment w:val="baseline"/>
    </w:pPr>
    <w:rPr>
      <w:rFonts w:ascii="宋体" w:hAnsi="宋体"/>
      <w:kern w:val="0"/>
      <w:sz w:val="24"/>
      <w:szCs w:val="20"/>
    </w:rPr>
  </w:style>
  <w:style w:type="character" w:customStyle="1" w:styleId="180">
    <w:name w:val="Table Text Char1"/>
    <w:link w:val="181"/>
    <w:qFormat/>
    <w:uiPriority w:val="0"/>
    <w:rPr>
      <w:rFonts w:ascii="Arial" w:hAnsi="Arial" w:cs="Arial"/>
      <w:sz w:val="18"/>
      <w:szCs w:val="18"/>
      <w:lang w:val="en-US" w:eastAsia="zh-CN" w:bidi="ar-SA"/>
    </w:rPr>
  </w:style>
  <w:style w:type="paragraph" w:customStyle="1" w:styleId="181">
    <w:name w:val="Table Text"/>
    <w:link w:val="180"/>
    <w:qFormat/>
    <w:uiPriority w:val="0"/>
    <w:pPr>
      <w:snapToGrid w:val="0"/>
      <w:spacing w:before="80" w:after="80"/>
    </w:pPr>
    <w:rPr>
      <w:rFonts w:ascii="Arial" w:hAnsi="Arial" w:eastAsia="宋体" w:cs="Arial"/>
      <w:sz w:val="18"/>
      <w:szCs w:val="18"/>
      <w:lang w:val="en-US" w:eastAsia="zh-CN" w:bidi="ar-SA"/>
    </w:rPr>
  </w:style>
  <w:style w:type="character" w:customStyle="1" w:styleId="182">
    <w:name w:val="正文不缩进 Char1"/>
    <w:qFormat/>
    <w:uiPriority w:val="0"/>
    <w:rPr>
      <w:rFonts w:eastAsia="宋体"/>
      <w:sz w:val="24"/>
      <w:szCs w:val="24"/>
      <w:lang w:val="en-US" w:eastAsia="zh-CN" w:bidi="ar-SA"/>
    </w:rPr>
  </w:style>
  <w:style w:type="character" w:customStyle="1" w:styleId="183">
    <w:name w:val="atitle3"/>
    <w:basedOn w:val="83"/>
    <w:qFormat/>
    <w:uiPriority w:val="0"/>
  </w:style>
  <w:style w:type="character" w:customStyle="1" w:styleId="184">
    <w:name w:val="WW8Num22z2"/>
    <w:qFormat/>
    <w:locked/>
    <w:uiPriority w:val="0"/>
    <w:rPr>
      <w:rFonts w:ascii="Wingdings" w:hAnsi="Wingdings"/>
      <w:lang w:val="en-GB"/>
    </w:rPr>
  </w:style>
  <w:style w:type="character" w:customStyle="1" w:styleId="185">
    <w:name w:val="字元 字元15"/>
    <w:qFormat/>
    <w:locked/>
    <w:uiPriority w:val="0"/>
    <w:rPr>
      <w:rFonts w:ascii="Times New Roman" w:hAnsi="Times New Roman" w:eastAsia="Times New Roman" w:cs="Times New Roman"/>
      <w:b/>
      <w:u w:val="single"/>
      <w:lang w:val="en-GB"/>
    </w:rPr>
  </w:style>
  <w:style w:type="character" w:customStyle="1" w:styleId="186">
    <w:name w:val="尾注文本 Char2"/>
    <w:qFormat/>
    <w:uiPriority w:val="0"/>
    <w:rPr>
      <w:kern w:val="2"/>
      <w:sz w:val="21"/>
      <w:szCs w:val="24"/>
    </w:rPr>
  </w:style>
  <w:style w:type="character" w:customStyle="1" w:styleId="187">
    <w:name w:val="tw4winPopup"/>
    <w:qFormat/>
    <w:uiPriority w:val="0"/>
    <w:rPr>
      <w:rFonts w:ascii="Courier New" w:hAnsi="Courier New" w:cs="Courier New"/>
      <w:color w:val="008000"/>
      <w:lang w:val="en-US" w:eastAsia="zh-CN"/>
    </w:rPr>
  </w:style>
  <w:style w:type="character" w:customStyle="1" w:styleId="188">
    <w:name w:val="zbggmain style9"/>
    <w:basedOn w:val="83"/>
    <w:qFormat/>
    <w:uiPriority w:val="0"/>
  </w:style>
  <w:style w:type="character" w:customStyle="1" w:styleId="189">
    <w:name w:val="副标题 Char1"/>
    <w:basedOn w:val="83"/>
    <w:qFormat/>
    <w:uiPriority w:val="11"/>
    <w:rPr>
      <w:rFonts w:ascii="Cambria" w:hAnsi="Cambria" w:cs="Times New Roman"/>
      <w:b/>
      <w:bCs/>
      <w:kern w:val="28"/>
      <w:sz w:val="32"/>
      <w:szCs w:val="32"/>
    </w:rPr>
  </w:style>
  <w:style w:type="character" w:customStyle="1" w:styleId="190">
    <w:name w:val="tw4winError"/>
    <w:qFormat/>
    <w:uiPriority w:val="0"/>
    <w:rPr>
      <w:rFonts w:ascii="Courier New" w:hAnsi="Courier New" w:cs="Courier New"/>
      <w:color w:val="00FF00"/>
      <w:sz w:val="40"/>
      <w:szCs w:val="40"/>
    </w:rPr>
  </w:style>
  <w:style w:type="character" w:customStyle="1" w:styleId="191">
    <w:name w:val="*Bullet #1 Single Char"/>
    <w:link w:val="192"/>
    <w:qFormat/>
    <w:uiPriority w:val="0"/>
    <w:rPr>
      <w:rFonts w:ascii="Arial" w:hAnsi="Arial"/>
      <w:color w:val="000000"/>
      <w:lang w:eastAsia="en-US"/>
    </w:rPr>
  </w:style>
  <w:style w:type="paragraph" w:customStyle="1" w:styleId="192">
    <w:name w:val="*Bullet #1 Single"/>
    <w:basedOn w:val="164"/>
    <w:link w:val="191"/>
    <w:qFormat/>
    <w:uiPriority w:val="0"/>
    <w:pPr>
      <w:tabs>
        <w:tab w:val="left" w:pos="1080"/>
      </w:tabs>
      <w:ind w:left="950" w:hanging="230"/>
    </w:pPr>
    <w:rPr>
      <w:rFonts w:ascii="Arial" w:hAnsi="Arial"/>
      <w:color w:val="000000"/>
      <w:sz w:val="20"/>
    </w:rPr>
  </w:style>
  <w:style w:type="character" w:customStyle="1" w:styleId="193">
    <w:name w:val="样式 标题 + 二号 Char"/>
    <w:link w:val="194"/>
    <w:qFormat/>
    <w:uiPriority w:val="0"/>
    <w:rPr>
      <w:b/>
      <w:color w:val="000000"/>
      <w:kern w:val="44"/>
      <w:sz w:val="44"/>
      <w:szCs w:val="24"/>
    </w:rPr>
  </w:style>
  <w:style w:type="paragraph" w:customStyle="1" w:styleId="194">
    <w:name w:val="样式 标题 + 二号"/>
    <w:basedOn w:val="2"/>
    <w:next w:val="3"/>
    <w:link w:val="193"/>
    <w:qFormat/>
    <w:uiPriority w:val="0"/>
    <w:pPr>
      <w:keepNext w:val="0"/>
      <w:tabs>
        <w:tab w:val="center" w:pos="-6"/>
        <w:tab w:val="left" w:pos="390"/>
        <w:tab w:val="left" w:pos="1080"/>
        <w:tab w:val="left" w:pos="4253"/>
      </w:tabs>
      <w:autoSpaceDE w:val="0"/>
      <w:autoSpaceDN w:val="0"/>
      <w:adjustRightInd w:val="0"/>
      <w:snapToGrid w:val="0"/>
      <w:ind w:firstLine="569" w:firstLineChars="177"/>
    </w:pPr>
    <w:rPr>
      <w:rFonts w:ascii="Times New Roman" w:hAnsi="Times New Roman" w:eastAsia="宋体"/>
      <w:kern w:val="44"/>
      <w:sz w:val="44"/>
    </w:rPr>
  </w:style>
  <w:style w:type="character" w:customStyle="1" w:styleId="195">
    <w:name w:val="style10"/>
    <w:basedOn w:val="83"/>
    <w:qFormat/>
    <w:uiPriority w:val="0"/>
  </w:style>
  <w:style w:type="character" w:customStyle="1" w:styleId="196">
    <w:name w:val="Internet link"/>
    <w:qFormat/>
    <w:uiPriority w:val="0"/>
    <w:rPr>
      <w:color w:val="000080"/>
      <w:u w:val="single"/>
      <w:lang w:val="en-GB"/>
    </w:rPr>
  </w:style>
  <w:style w:type="character" w:customStyle="1" w:styleId="197">
    <w:name w:val="文档正文 Char"/>
    <w:qFormat/>
    <w:uiPriority w:val="0"/>
    <w:rPr>
      <w:rFonts w:ascii="Arial Narrow" w:hAnsi="Arial Narrow" w:eastAsia="宋体"/>
      <w:sz w:val="24"/>
      <w:szCs w:val="24"/>
      <w:lang w:val="en-US" w:eastAsia="zh-CN" w:bidi="ar-SA"/>
    </w:rPr>
  </w:style>
  <w:style w:type="character" w:customStyle="1" w:styleId="198">
    <w:name w:val="访问过的超链接11"/>
    <w:qFormat/>
    <w:uiPriority w:val="0"/>
    <w:rPr>
      <w:color w:val="800080"/>
      <w:u w:val="single"/>
    </w:rPr>
  </w:style>
  <w:style w:type="character" w:customStyle="1" w:styleId="199">
    <w:name w:val="Line numbering"/>
    <w:qFormat/>
    <w:uiPriority w:val="0"/>
    <w:rPr>
      <w:lang w:val="en-GB"/>
    </w:rPr>
  </w:style>
  <w:style w:type="character" w:customStyle="1" w:styleId="200">
    <w:name w:val="Table Text Char Char2"/>
    <w:qFormat/>
    <w:uiPriority w:val="0"/>
    <w:rPr>
      <w:rFonts w:ascii="Arial" w:hAnsi="Arial" w:eastAsia="宋体"/>
      <w:sz w:val="18"/>
      <w:lang w:val="en-US" w:eastAsia="zh-CN" w:bidi="ar-SA"/>
    </w:rPr>
  </w:style>
  <w:style w:type="character" w:customStyle="1" w:styleId="201">
    <w:name w:val="WW8Num19z1"/>
    <w:qFormat/>
    <w:uiPriority w:val="0"/>
    <w:rPr>
      <w:rFonts w:ascii="Courier New" w:hAnsi="Courier New"/>
      <w:lang w:val="en-GB"/>
    </w:rPr>
  </w:style>
  <w:style w:type="character" w:customStyle="1" w:styleId="202">
    <w:name w:val="*Heading 4 Char"/>
    <w:link w:val="203"/>
    <w:qFormat/>
    <w:uiPriority w:val="0"/>
    <w:rPr>
      <w:rFonts w:ascii="Arial" w:hAnsi="宋体"/>
      <w:snapToGrid w:val="0"/>
      <w:color w:val="00637A"/>
      <w:sz w:val="28"/>
      <w:szCs w:val="28"/>
      <w:lang w:val="en-US" w:eastAsia="zh-CN" w:bidi="ar-SA"/>
    </w:rPr>
  </w:style>
  <w:style w:type="paragraph" w:customStyle="1" w:styleId="203">
    <w:name w:val="*Heading 4"/>
    <w:next w:val="1"/>
    <w:link w:val="202"/>
    <w:qFormat/>
    <w:uiPriority w:val="0"/>
    <w:pPr>
      <w:keepNext/>
      <w:keepLines/>
      <w:tabs>
        <w:tab w:val="left" w:pos="851"/>
        <w:tab w:val="left" w:pos="1134"/>
      </w:tabs>
      <w:spacing w:before="240" w:after="120"/>
    </w:pPr>
    <w:rPr>
      <w:rFonts w:ascii="Arial" w:hAnsi="宋体" w:eastAsia="宋体" w:cs="Times New Roman"/>
      <w:snapToGrid w:val="0"/>
      <w:color w:val="00637A"/>
      <w:sz w:val="28"/>
      <w:szCs w:val="28"/>
      <w:lang w:val="en-US" w:eastAsia="zh-CN" w:bidi="ar-SA"/>
    </w:rPr>
  </w:style>
  <w:style w:type="character" w:customStyle="1" w:styleId="204">
    <w:name w:val="Caption Char"/>
    <w:qFormat/>
    <w:locked/>
    <w:uiPriority w:val="0"/>
    <w:rPr>
      <w:rFonts w:ascii="Arial" w:hAnsi="Arial" w:eastAsia="黑体"/>
      <w:kern w:val="0"/>
      <w:sz w:val="20"/>
    </w:rPr>
  </w:style>
  <w:style w:type="character" w:customStyle="1" w:styleId="205">
    <w:name w:val="Numbering Symbols"/>
    <w:qFormat/>
    <w:uiPriority w:val="0"/>
    <w:rPr>
      <w:lang w:val="en-GB"/>
    </w:rPr>
  </w:style>
  <w:style w:type="character" w:customStyle="1" w:styleId="206">
    <w:name w:val="WW8Num19z2"/>
    <w:qFormat/>
    <w:uiPriority w:val="0"/>
    <w:rPr>
      <w:rFonts w:ascii="Wingdings" w:hAnsi="Wingdings"/>
      <w:lang w:val="en-GB"/>
    </w:rPr>
  </w:style>
  <w:style w:type="character" w:customStyle="1" w:styleId="207">
    <w:name w:val="Strong Emphasis"/>
    <w:qFormat/>
    <w:locked/>
    <w:uiPriority w:val="0"/>
    <w:rPr>
      <w:b/>
      <w:lang w:val="en-GB"/>
    </w:rPr>
  </w:style>
  <w:style w:type="character" w:customStyle="1" w:styleId="208">
    <w:name w:val="应答文本 Char Char"/>
    <w:link w:val="209"/>
    <w:qFormat/>
    <w:uiPriority w:val="0"/>
    <w:rPr>
      <w:rFonts w:hAnsi="宋体"/>
      <w:spacing w:val="10"/>
      <w:szCs w:val="21"/>
    </w:rPr>
  </w:style>
  <w:style w:type="paragraph" w:customStyle="1" w:styleId="209">
    <w:name w:val="应答文本"/>
    <w:basedOn w:val="1"/>
    <w:link w:val="208"/>
    <w:qFormat/>
    <w:uiPriority w:val="0"/>
    <w:pPr>
      <w:tabs>
        <w:tab w:val="left" w:pos="0"/>
        <w:tab w:val="left" w:pos="390"/>
      </w:tabs>
      <w:autoSpaceDE w:val="0"/>
      <w:autoSpaceDN w:val="0"/>
      <w:adjustRightInd w:val="0"/>
      <w:snapToGrid w:val="0"/>
      <w:spacing w:line="360" w:lineRule="auto"/>
      <w:ind w:left="720" w:leftChars="400" w:firstLine="425" w:firstLineChars="177"/>
      <w:jc w:val="left"/>
    </w:pPr>
    <w:rPr>
      <w:rFonts w:hAnsi="宋体"/>
      <w:spacing w:val="10"/>
      <w:kern w:val="0"/>
      <w:sz w:val="20"/>
      <w:szCs w:val="21"/>
    </w:rPr>
  </w:style>
  <w:style w:type="character" w:customStyle="1" w:styleId="210">
    <w:name w:val="字元 字元14"/>
    <w:qFormat/>
    <w:locked/>
    <w:uiPriority w:val="0"/>
    <w:rPr>
      <w:rFonts w:ascii="Times New Roman" w:hAnsi="Times New Roman" w:eastAsia="Times New Roman" w:cs="Times New Roman"/>
      <w:b/>
      <w:i/>
      <w:lang w:val="en-GB"/>
    </w:rPr>
  </w:style>
  <w:style w:type="character" w:customStyle="1" w:styleId="211">
    <w:name w:val="脚注文本 Char2"/>
    <w:qFormat/>
    <w:uiPriority w:val="0"/>
    <w:rPr>
      <w:kern w:val="2"/>
      <w:sz w:val="18"/>
      <w:szCs w:val="18"/>
    </w:rPr>
  </w:style>
  <w:style w:type="character" w:customStyle="1" w:styleId="212">
    <w:name w:val="WW8Num11z2"/>
    <w:qFormat/>
    <w:uiPriority w:val="0"/>
    <w:rPr>
      <w:rFonts w:ascii="Wingdings" w:hAnsi="Wingdings"/>
      <w:lang w:val="en-GB"/>
    </w:rPr>
  </w:style>
  <w:style w:type="character" w:customStyle="1" w:styleId="213">
    <w:name w:val="Figure Char"/>
    <w:link w:val="214"/>
    <w:qFormat/>
    <w:uiPriority w:val="0"/>
    <w:rPr>
      <w:rFonts w:ascii="Arial" w:hAnsi="Arial" w:cs="Arial"/>
      <w:szCs w:val="21"/>
    </w:rPr>
  </w:style>
  <w:style w:type="paragraph" w:customStyle="1" w:styleId="214">
    <w:name w:val="Figure"/>
    <w:basedOn w:val="1"/>
    <w:next w:val="215"/>
    <w:link w:val="213"/>
    <w:qFormat/>
    <w:uiPriority w:val="0"/>
    <w:pPr>
      <w:keepNext/>
      <w:widowControl/>
      <w:snapToGrid w:val="0"/>
      <w:spacing w:before="80" w:after="80" w:line="300" w:lineRule="auto"/>
      <w:ind w:firstLine="420"/>
      <w:jc w:val="center"/>
    </w:pPr>
    <w:rPr>
      <w:rFonts w:ascii="Arial" w:hAnsi="Arial"/>
      <w:kern w:val="0"/>
      <w:sz w:val="20"/>
      <w:szCs w:val="21"/>
    </w:rPr>
  </w:style>
  <w:style w:type="paragraph" w:customStyle="1" w:styleId="215">
    <w:name w:val="Figure Description"/>
    <w:next w:val="1"/>
    <w:link w:val="216"/>
    <w:qFormat/>
    <w:uiPriority w:val="0"/>
    <w:pPr>
      <w:adjustRightInd w:val="0"/>
      <w:snapToGrid w:val="0"/>
      <w:spacing w:before="80" w:after="320"/>
      <w:jc w:val="center"/>
    </w:pPr>
    <w:rPr>
      <w:rFonts w:ascii="Arial" w:hAnsi="Arial" w:eastAsia="黑体" w:cs="Times New Roman"/>
      <w:sz w:val="18"/>
      <w:szCs w:val="18"/>
      <w:lang w:val="en-US" w:eastAsia="zh-CN" w:bidi="ar-SA"/>
    </w:rPr>
  </w:style>
  <w:style w:type="character" w:customStyle="1" w:styleId="216">
    <w:name w:val="Figure Description Char"/>
    <w:link w:val="215"/>
    <w:qFormat/>
    <w:uiPriority w:val="0"/>
    <w:rPr>
      <w:rFonts w:ascii="Arial" w:hAnsi="Arial" w:eastAsia="黑体"/>
      <w:sz w:val="18"/>
      <w:szCs w:val="18"/>
      <w:lang w:val="en-US" w:eastAsia="zh-CN" w:bidi="ar-SA"/>
    </w:rPr>
  </w:style>
  <w:style w:type="character" w:customStyle="1" w:styleId="217">
    <w:name w:val="blithe2 Char1"/>
    <w:link w:val="218"/>
    <w:qFormat/>
    <w:uiPriority w:val="0"/>
    <w:rPr>
      <w:rFonts w:ascii="宋体" w:hAnsi="宋体"/>
      <w:b/>
      <w:bCs/>
      <w:color w:val="000000"/>
      <w:sz w:val="36"/>
      <w:szCs w:val="36"/>
    </w:rPr>
  </w:style>
  <w:style w:type="paragraph" w:customStyle="1" w:styleId="218">
    <w:name w:val="blithe2"/>
    <w:basedOn w:val="17"/>
    <w:next w:val="79"/>
    <w:link w:val="217"/>
    <w:qFormat/>
    <w:uiPriority w:val="0"/>
    <w:pPr>
      <w:widowControl/>
      <w:tabs>
        <w:tab w:val="left" w:pos="1260"/>
      </w:tabs>
      <w:adjustRightInd/>
      <w:spacing w:line="360" w:lineRule="auto"/>
      <w:ind w:left="1260" w:hanging="420"/>
      <w:textAlignment w:val="auto"/>
      <w:outlineLvl w:val="1"/>
    </w:pPr>
    <w:rPr>
      <w:rFonts w:ascii="宋体" w:hAnsi="宋体" w:eastAsia="宋体"/>
      <w:b/>
      <w:bCs/>
      <w:color w:val="000000"/>
      <w:sz w:val="36"/>
      <w:szCs w:val="36"/>
    </w:rPr>
  </w:style>
  <w:style w:type="character" w:customStyle="1" w:styleId="219">
    <w:name w:val="sort"/>
    <w:qFormat/>
    <w:uiPriority w:val="0"/>
    <w:rPr>
      <w:color w:val="FFFFFF"/>
      <w:bdr w:val="single" w:color="auto" w:sz="24" w:space="0"/>
    </w:rPr>
  </w:style>
  <w:style w:type="character" w:customStyle="1" w:styleId="220">
    <w:name w:val="Anchor (A)"/>
    <w:qFormat/>
    <w:uiPriority w:val="0"/>
    <w:rPr>
      <w:color w:val="0000FF"/>
      <w:u w:val="single"/>
    </w:rPr>
  </w:style>
  <w:style w:type="character" w:customStyle="1" w:styleId="221">
    <w:name w:val="tw4winTerm"/>
    <w:qFormat/>
    <w:uiPriority w:val="0"/>
    <w:rPr>
      <w:color w:val="0000FF"/>
    </w:rPr>
  </w:style>
  <w:style w:type="character" w:customStyle="1" w:styleId="222">
    <w:name w:val="字元 字元22"/>
    <w:qFormat/>
    <w:locked/>
    <w:uiPriority w:val="0"/>
    <w:rPr>
      <w:rFonts w:ascii="Cambria" w:hAnsi="Cambria" w:eastAsia="Times New Roman" w:cs="Times New Roman"/>
      <w:b/>
      <w:bCs/>
      <w:color w:val="365F91"/>
      <w:sz w:val="28"/>
      <w:szCs w:val="28"/>
    </w:rPr>
  </w:style>
  <w:style w:type="character" w:customStyle="1" w:styleId="223">
    <w:name w:val="WW8Num13z1"/>
    <w:qFormat/>
    <w:uiPriority w:val="0"/>
    <w:rPr>
      <w:rFonts w:ascii="Courier New" w:hAnsi="Courier New"/>
      <w:lang w:val="en-GB"/>
    </w:rPr>
  </w:style>
  <w:style w:type="character" w:customStyle="1" w:styleId="224">
    <w:name w:val="SANGFOR_6_正文 Char"/>
    <w:link w:val="225"/>
    <w:qFormat/>
    <w:uiPriority w:val="0"/>
    <w:rPr>
      <w:szCs w:val="24"/>
    </w:rPr>
  </w:style>
  <w:style w:type="paragraph" w:customStyle="1" w:styleId="225">
    <w:name w:val="SANGFOR_6_正文"/>
    <w:basedOn w:val="1"/>
    <w:link w:val="224"/>
    <w:qFormat/>
    <w:uiPriority w:val="0"/>
    <w:pPr>
      <w:spacing w:line="360" w:lineRule="auto"/>
      <w:ind w:firstLine="420"/>
    </w:pPr>
    <w:rPr>
      <w:kern w:val="0"/>
      <w:sz w:val="20"/>
    </w:rPr>
  </w:style>
  <w:style w:type="character" w:customStyle="1" w:styleId="226">
    <w:name w:val="WW8Num16z0"/>
    <w:qFormat/>
    <w:uiPriority w:val="0"/>
    <w:rPr>
      <w:rFonts w:ascii="Symbol" w:hAnsi="Symbol"/>
      <w:lang w:val="en-GB"/>
    </w:rPr>
  </w:style>
  <w:style w:type="character" w:customStyle="1" w:styleId="227">
    <w:name w:val="text_121"/>
    <w:qFormat/>
    <w:uiPriority w:val="0"/>
    <w:rPr>
      <w:rFonts w:hint="default" w:ascii="sө" w:hAnsi="sө"/>
      <w:color w:val="000000"/>
      <w:sz w:val="15"/>
      <w:szCs w:val="15"/>
    </w:rPr>
  </w:style>
  <w:style w:type="character" w:customStyle="1" w:styleId="228">
    <w:name w:val="WW8Num16z1"/>
    <w:qFormat/>
    <w:uiPriority w:val="0"/>
    <w:rPr>
      <w:rFonts w:ascii="Courier New" w:hAnsi="Courier New"/>
      <w:lang w:val="en-GB"/>
    </w:rPr>
  </w:style>
  <w:style w:type="character" w:customStyle="1" w:styleId="229">
    <w:name w:val="WW8Num18z2"/>
    <w:qFormat/>
    <w:uiPriority w:val="0"/>
    <w:rPr>
      <w:rFonts w:ascii="Wingdings" w:hAnsi="Wingdings"/>
      <w:lang w:val="en-GB"/>
    </w:rPr>
  </w:style>
  <w:style w:type="character" w:customStyle="1" w:styleId="230">
    <w:name w:val="Normal Indent Char Char"/>
    <w:qFormat/>
    <w:uiPriority w:val="0"/>
    <w:rPr>
      <w:rFonts w:eastAsia="宋体"/>
      <w:kern w:val="2"/>
      <w:sz w:val="21"/>
      <w:lang w:val="en-US" w:eastAsia="zh-CN" w:bidi="ar-SA"/>
    </w:rPr>
  </w:style>
  <w:style w:type="character" w:customStyle="1" w:styleId="231">
    <w:name w:val="字元 字元4"/>
    <w:qFormat/>
    <w:locked/>
    <w:uiPriority w:val="0"/>
    <w:rPr>
      <w:rFonts w:ascii="Arial" w:hAnsi="Arial" w:eastAsia="Times New Roman" w:cs="Times New Roman"/>
      <w:lang w:val="en-GB"/>
    </w:rPr>
  </w:style>
  <w:style w:type="character" w:customStyle="1" w:styleId="232">
    <w:name w:val="字元 字元3"/>
    <w:qFormat/>
    <w:locked/>
    <w:uiPriority w:val="0"/>
    <w:rPr>
      <w:rFonts w:ascii="Arial" w:hAnsi="Arial" w:eastAsia="Times New Roman" w:cs="Tahoma"/>
      <w:iCs/>
      <w:sz w:val="28"/>
      <w:szCs w:val="28"/>
      <w:lang w:val="en-GB"/>
    </w:rPr>
  </w:style>
  <w:style w:type="character" w:customStyle="1" w:styleId="233">
    <w:name w:val="left4"/>
    <w:qFormat/>
    <w:uiPriority w:val="0"/>
    <w:rPr>
      <w:b/>
      <w:bCs/>
      <w:color w:val="3D3B3C"/>
      <w:sz w:val="28"/>
      <w:szCs w:val="28"/>
    </w:rPr>
  </w:style>
  <w:style w:type="character" w:customStyle="1" w:styleId="234">
    <w:name w:val="内容文本 Char"/>
    <w:qFormat/>
    <w:uiPriority w:val="0"/>
    <w:rPr>
      <w:rFonts w:ascii="宋体" w:hAnsi="宋体"/>
      <w:sz w:val="24"/>
      <w:szCs w:val="24"/>
      <w:lang w:eastAsia="en-US" w:bidi="en-US"/>
    </w:rPr>
  </w:style>
  <w:style w:type="character" w:customStyle="1" w:styleId="235">
    <w:name w:val="tw4winExternal"/>
    <w:qFormat/>
    <w:uiPriority w:val="0"/>
    <w:rPr>
      <w:rFonts w:ascii="Courier New" w:hAnsi="Courier New" w:cs="Courier New"/>
      <w:color w:val="808080"/>
      <w:lang w:val="en-US" w:eastAsia="zh-CN"/>
    </w:rPr>
  </w:style>
  <w:style w:type="character" w:customStyle="1" w:styleId="236">
    <w:name w:val="字元 字元19"/>
    <w:qFormat/>
    <w:locked/>
    <w:uiPriority w:val="0"/>
    <w:rPr>
      <w:rFonts w:eastAsia="Times New Roman" w:cs="Times New Roman"/>
      <w:b/>
      <w:bCs/>
      <w:sz w:val="28"/>
      <w:szCs w:val="28"/>
    </w:rPr>
  </w:style>
  <w:style w:type="character" w:customStyle="1" w:styleId="237">
    <w:name w:val="标题 6 Char"/>
    <w:qFormat/>
    <w:uiPriority w:val="0"/>
    <w:rPr>
      <w:rFonts w:ascii="Cambria" w:hAnsi="Cambria" w:eastAsia="宋体" w:cs="Times New Roman"/>
      <w:b/>
      <w:bCs/>
      <w:kern w:val="2"/>
      <w:sz w:val="24"/>
      <w:szCs w:val="24"/>
    </w:rPr>
  </w:style>
  <w:style w:type="character" w:customStyle="1" w:styleId="238">
    <w:name w:val="21 Char"/>
    <w:qFormat/>
    <w:uiPriority w:val="0"/>
    <w:rPr>
      <w:rFonts w:ascii="Arial" w:hAnsi="Arial" w:eastAsia="黑体"/>
      <w:b/>
      <w:kern w:val="2"/>
      <w:sz w:val="21"/>
      <w:lang w:val="en-US" w:eastAsia="zh-CN" w:bidi="ar-SA"/>
    </w:rPr>
  </w:style>
  <w:style w:type="character" w:customStyle="1" w:styleId="239">
    <w:name w:val="Char Char8"/>
    <w:qFormat/>
    <w:uiPriority w:val="0"/>
    <w:rPr>
      <w:kern w:val="2"/>
      <w:sz w:val="18"/>
      <w:szCs w:val="18"/>
    </w:rPr>
  </w:style>
  <w:style w:type="character" w:customStyle="1" w:styleId="240">
    <w:name w:val="首行缩进 Char"/>
    <w:link w:val="241"/>
    <w:qFormat/>
    <w:uiPriority w:val="0"/>
    <w:rPr>
      <w:rFonts w:ascii="Arial" w:hAnsi="Arial"/>
      <w:sz w:val="21"/>
    </w:rPr>
  </w:style>
  <w:style w:type="paragraph" w:customStyle="1" w:styleId="241">
    <w:name w:val="首行缩进"/>
    <w:basedOn w:val="1"/>
    <w:link w:val="240"/>
    <w:qFormat/>
    <w:uiPriority w:val="0"/>
    <w:pPr>
      <w:widowControl/>
      <w:tabs>
        <w:tab w:val="left" w:pos="822"/>
      </w:tabs>
      <w:snapToGrid w:val="0"/>
      <w:spacing w:before="40" w:after="40" w:line="300" w:lineRule="atLeast"/>
      <w:ind w:left="2940" w:hanging="420"/>
    </w:pPr>
    <w:rPr>
      <w:rFonts w:ascii="Arial" w:hAnsi="Arial"/>
      <w:kern w:val="0"/>
      <w:szCs w:val="20"/>
    </w:rPr>
  </w:style>
  <w:style w:type="character" w:customStyle="1" w:styleId="242">
    <w:name w:val="lemmatitleh1"/>
    <w:basedOn w:val="83"/>
    <w:qFormat/>
    <w:uiPriority w:val="0"/>
  </w:style>
  <w:style w:type="character" w:customStyle="1" w:styleId="243">
    <w:name w:val="样式 首行缩进:  2 字符 Char"/>
    <w:link w:val="244"/>
    <w:qFormat/>
    <w:uiPriority w:val="0"/>
    <w:rPr>
      <w:rFonts w:ascii="宋体" w:hAnsi="宋体"/>
      <w:bCs/>
      <w:color w:val="000000"/>
      <w:sz w:val="24"/>
      <w:szCs w:val="24"/>
    </w:rPr>
  </w:style>
  <w:style w:type="paragraph" w:customStyle="1" w:styleId="244">
    <w:name w:val="样式 首行缩进:  2 字符"/>
    <w:basedOn w:val="1"/>
    <w:link w:val="243"/>
    <w:qFormat/>
    <w:uiPriority w:val="0"/>
    <w:pPr>
      <w:widowControl/>
      <w:tabs>
        <w:tab w:val="left" w:pos="420"/>
      </w:tabs>
      <w:spacing w:line="360" w:lineRule="auto"/>
    </w:pPr>
    <w:rPr>
      <w:rFonts w:ascii="宋体" w:hAnsi="宋体"/>
      <w:bCs/>
      <w:color w:val="000000"/>
      <w:kern w:val="0"/>
      <w:sz w:val="24"/>
    </w:rPr>
  </w:style>
  <w:style w:type="character" w:customStyle="1" w:styleId="245">
    <w:name w:val="sidecatalog-index1"/>
    <w:qFormat/>
    <w:uiPriority w:val="0"/>
    <w:rPr>
      <w:rFonts w:ascii="Arial" w:hAnsi="Arial" w:cs="Arial"/>
      <w:b/>
      <w:color w:val="999999"/>
      <w:sz w:val="21"/>
      <w:szCs w:val="21"/>
    </w:rPr>
  </w:style>
  <w:style w:type="character" w:customStyle="1" w:styleId="246">
    <w:name w:val="样式 首行缩进:  2.25 字符 Char"/>
    <w:link w:val="247"/>
    <w:qFormat/>
    <w:uiPriority w:val="0"/>
    <w:rPr>
      <w:rFonts w:ascii="Arial" w:hAnsi="Arial" w:cs="宋体"/>
      <w:sz w:val="24"/>
    </w:rPr>
  </w:style>
  <w:style w:type="paragraph" w:customStyle="1" w:styleId="247">
    <w:name w:val="样式 首行缩进:  2.25 字符"/>
    <w:basedOn w:val="1"/>
    <w:link w:val="246"/>
    <w:qFormat/>
    <w:uiPriority w:val="0"/>
    <w:pPr>
      <w:spacing w:line="360" w:lineRule="auto"/>
      <w:ind w:firstLine="542" w:firstLineChars="225"/>
    </w:pPr>
    <w:rPr>
      <w:rFonts w:ascii="Arial" w:hAnsi="Arial"/>
      <w:kern w:val="0"/>
      <w:sz w:val="24"/>
      <w:szCs w:val="20"/>
    </w:rPr>
  </w:style>
  <w:style w:type="character" w:customStyle="1" w:styleId="248">
    <w:name w:val="1正文 Char"/>
    <w:link w:val="249"/>
    <w:qFormat/>
    <w:uiPriority w:val="0"/>
    <w:rPr>
      <w:rFonts w:ascii="宋体" w:hAnsi="宋体"/>
      <w:kern w:val="2"/>
      <w:sz w:val="28"/>
      <w:szCs w:val="28"/>
    </w:rPr>
  </w:style>
  <w:style w:type="paragraph" w:customStyle="1" w:styleId="249">
    <w:name w:val="1正文"/>
    <w:basedOn w:val="1"/>
    <w:link w:val="248"/>
    <w:qFormat/>
    <w:uiPriority w:val="0"/>
    <w:pPr>
      <w:snapToGrid w:val="0"/>
      <w:spacing w:line="360" w:lineRule="auto"/>
      <w:ind w:firstLine="560" w:firstLineChars="200"/>
    </w:pPr>
    <w:rPr>
      <w:rFonts w:ascii="宋体" w:hAnsi="宋体"/>
      <w:sz w:val="28"/>
      <w:szCs w:val="28"/>
    </w:rPr>
  </w:style>
  <w:style w:type="character" w:customStyle="1" w:styleId="250">
    <w:name w:val="*Body Text Char"/>
    <w:qFormat/>
    <w:uiPriority w:val="0"/>
    <w:rPr>
      <w:rFonts w:ascii="Arial" w:hAnsi="Arial"/>
      <w:color w:val="000000"/>
      <w:lang w:val="en-US" w:eastAsia="en-US" w:bidi="ar-SA"/>
    </w:rPr>
  </w:style>
  <w:style w:type="character" w:customStyle="1" w:styleId="251">
    <w:name w:val="sidecatalog-index2"/>
    <w:qFormat/>
    <w:uiPriority w:val="0"/>
    <w:rPr>
      <w:rFonts w:ascii="Arail" w:hAnsi="Arail" w:eastAsia="Arail" w:cs="Arail"/>
      <w:color w:val="999999"/>
      <w:sz w:val="21"/>
      <w:szCs w:val="21"/>
    </w:rPr>
  </w:style>
  <w:style w:type="character" w:customStyle="1" w:styleId="252">
    <w:name w:val="WW8Num14z1"/>
    <w:qFormat/>
    <w:uiPriority w:val="0"/>
    <w:rPr>
      <w:rFonts w:ascii="Courier New" w:hAnsi="Courier New"/>
      <w:lang w:val="en-GB"/>
    </w:rPr>
  </w:style>
  <w:style w:type="character" w:customStyle="1" w:styleId="253">
    <w:name w:val="px14"/>
    <w:qFormat/>
    <w:uiPriority w:val="0"/>
  </w:style>
  <w:style w:type="character" w:customStyle="1" w:styleId="254">
    <w:name w:val="*Body Text Char Char Char Char"/>
    <w:link w:val="255"/>
    <w:qFormat/>
    <w:uiPriority w:val="0"/>
    <w:rPr>
      <w:rFonts w:ascii="Arial" w:hAnsi="Arial"/>
      <w:color w:val="000000"/>
      <w:kern w:val="2"/>
      <w:sz w:val="21"/>
      <w:szCs w:val="22"/>
      <w:lang w:val="en-US" w:eastAsia="en-US" w:bidi="ar-SA"/>
    </w:rPr>
  </w:style>
  <w:style w:type="paragraph" w:customStyle="1" w:styleId="255">
    <w:name w:val="*Body Text Char Char Char"/>
    <w:link w:val="254"/>
    <w:qFormat/>
    <w:uiPriority w:val="0"/>
    <w:pPr>
      <w:spacing w:after="220" w:line="220" w:lineRule="atLeast"/>
    </w:pPr>
    <w:rPr>
      <w:rFonts w:ascii="Arial" w:hAnsi="Arial" w:eastAsia="宋体" w:cs="Times New Roman"/>
      <w:color w:val="000000"/>
      <w:kern w:val="2"/>
      <w:sz w:val="21"/>
      <w:szCs w:val="22"/>
      <w:lang w:val="en-US" w:eastAsia="en-US" w:bidi="ar-SA"/>
    </w:rPr>
  </w:style>
  <w:style w:type="character" w:customStyle="1" w:styleId="256">
    <w:name w:val="bds_more"/>
    <w:basedOn w:val="83"/>
    <w:qFormat/>
    <w:uiPriority w:val="0"/>
  </w:style>
  <w:style w:type="character" w:customStyle="1" w:styleId="257">
    <w:name w:val="列出段落 Char"/>
    <w:link w:val="101"/>
    <w:qFormat/>
    <w:uiPriority w:val="34"/>
    <w:rPr>
      <w:rFonts w:eastAsia="宋体"/>
      <w:kern w:val="2"/>
      <w:sz w:val="21"/>
      <w:szCs w:val="24"/>
      <w:lang w:val="en-US" w:eastAsia="zh-CN" w:bidi="ar-SA"/>
    </w:rPr>
  </w:style>
  <w:style w:type="character" w:customStyle="1" w:styleId="258">
    <w:name w:val="图形题注 Char"/>
    <w:link w:val="259"/>
    <w:qFormat/>
    <w:uiPriority w:val="0"/>
    <w:rPr>
      <w:rFonts w:hAnsi="宋体"/>
      <w:spacing w:val="10"/>
      <w:sz w:val="24"/>
      <w:szCs w:val="24"/>
    </w:rPr>
  </w:style>
  <w:style w:type="paragraph" w:customStyle="1" w:styleId="259">
    <w:name w:val="图形题注"/>
    <w:basedOn w:val="1"/>
    <w:next w:val="1"/>
    <w:link w:val="258"/>
    <w:qFormat/>
    <w:uiPriority w:val="0"/>
    <w:pPr>
      <w:tabs>
        <w:tab w:val="left" w:pos="0"/>
        <w:tab w:val="left" w:pos="390"/>
      </w:tabs>
      <w:autoSpaceDE w:val="0"/>
      <w:autoSpaceDN w:val="0"/>
      <w:adjustRightInd w:val="0"/>
      <w:snapToGrid w:val="0"/>
      <w:spacing w:line="320" w:lineRule="exact"/>
      <w:ind w:firstLine="425" w:firstLineChars="177"/>
      <w:jc w:val="left"/>
    </w:pPr>
    <w:rPr>
      <w:rFonts w:hAnsi="宋体"/>
      <w:spacing w:val="10"/>
      <w:kern w:val="0"/>
      <w:sz w:val="24"/>
    </w:rPr>
  </w:style>
  <w:style w:type="character" w:customStyle="1" w:styleId="260">
    <w:name w:val="Clear Character Fonts"/>
    <w:qFormat/>
    <w:locked/>
    <w:uiPriority w:val="0"/>
    <w:rPr>
      <w:rFonts w:ascii="Times New Roman" w:hAnsi="Times New Roman"/>
      <w:sz w:val="20"/>
      <w:lang w:val="en-GB"/>
    </w:rPr>
  </w:style>
  <w:style w:type="character" w:customStyle="1" w:styleId="261">
    <w:name w:val="表格 Char Char"/>
    <w:link w:val="262"/>
    <w:qFormat/>
    <w:uiPriority w:val="0"/>
    <w:rPr>
      <w:rFonts w:ascii="宋体" w:hAnsi="宋体"/>
    </w:rPr>
  </w:style>
  <w:style w:type="paragraph" w:customStyle="1" w:styleId="262">
    <w:name w:val="表格"/>
    <w:basedOn w:val="263"/>
    <w:next w:val="1"/>
    <w:link w:val="261"/>
    <w:qFormat/>
    <w:uiPriority w:val="0"/>
    <w:pPr>
      <w:snapToGrid w:val="0"/>
      <w:spacing w:line="360" w:lineRule="auto"/>
      <w:ind w:firstLine="42" w:firstLineChars="21"/>
    </w:pPr>
    <w:rPr>
      <w:szCs w:val="20"/>
    </w:rPr>
  </w:style>
  <w:style w:type="paragraph" w:customStyle="1" w:styleId="263">
    <w:name w:val="表头"/>
    <w:basedOn w:val="264"/>
    <w:qFormat/>
    <w:uiPriority w:val="0"/>
    <w:pPr>
      <w:spacing w:line="320" w:lineRule="exact"/>
      <w:ind w:firstLine="420"/>
    </w:pPr>
    <w:rPr>
      <w:rFonts w:ascii="宋体" w:hAnsi="宋体"/>
      <w:bCs/>
      <w:szCs w:val="18"/>
    </w:rPr>
  </w:style>
  <w:style w:type="paragraph" w:customStyle="1" w:styleId="264">
    <w:name w:val="No Spacing1"/>
    <w:basedOn w:val="1"/>
    <w:qFormat/>
    <w:uiPriority w:val="0"/>
    <w:pPr>
      <w:widowControl/>
      <w:jc w:val="left"/>
    </w:pPr>
    <w:rPr>
      <w:rFonts w:ascii="Calibri" w:hAnsi="Calibri"/>
      <w:kern w:val="0"/>
      <w:sz w:val="20"/>
      <w:lang w:eastAsia="en-US" w:bidi="en-US"/>
    </w:rPr>
  </w:style>
  <w:style w:type="character" w:customStyle="1" w:styleId="265">
    <w:name w:val="图形布置 Char"/>
    <w:link w:val="266"/>
    <w:qFormat/>
    <w:uiPriority w:val="0"/>
    <w:rPr>
      <w:rFonts w:hAnsi="宋体" w:cs="宋体"/>
      <w:sz w:val="24"/>
    </w:rPr>
  </w:style>
  <w:style w:type="paragraph" w:customStyle="1" w:styleId="266">
    <w:name w:val="图形布置"/>
    <w:basedOn w:val="1"/>
    <w:link w:val="265"/>
    <w:qFormat/>
    <w:uiPriority w:val="0"/>
    <w:pPr>
      <w:tabs>
        <w:tab w:val="left" w:pos="0"/>
        <w:tab w:val="left" w:pos="390"/>
        <w:tab w:val="left" w:pos="540"/>
      </w:tabs>
      <w:autoSpaceDE w:val="0"/>
      <w:autoSpaceDN w:val="0"/>
      <w:adjustRightInd w:val="0"/>
      <w:snapToGrid w:val="0"/>
      <w:ind w:firstLine="425" w:firstLineChars="177"/>
      <w:jc w:val="left"/>
    </w:pPr>
    <w:rPr>
      <w:rFonts w:hAnsi="宋体"/>
      <w:kern w:val="0"/>
      <w:sz w:val="24"/>
      <w:szCs w:val="20"/>
    </w:rPr>
  </w:style>
  <w:style w:type="character" w:customStyle="1" w:styleId="267">
    <w:name w:val="MOT-Text-1 Char"/>
    <w:link w:val="268"/>
    <w:qFormat/>
    <w:uiPriority w:val="0"/>
    <w:rPr>
      <w:sz w:val="22"/>
      <w:szCs w:val="24"/>
    </w:rPr>
  </w:style>
  <w:style w:type="paragraph" w:customStyle="1" w:styleId="268">
    <w:name w:val="MOT-Text-1"/>
    <w:basedOn w:val="1"/>
    <w:link w:val="267"/>
    <w:qFormat/>
    <w:uiPriority w:val="0"/>
    <w:pPr>
      <w:tabs>
        <w:tab w:val="left" w:pos="0"/>
        <w:tab w:val="left" w:pos="390"/>
      </w:tabs>
      <w:autoSpaceDE w:val="0"/>
      <w:autoSpaceDN w:val="0"/>
      <w:adjustRightInd w:val="0"/>
      <w:snapToGrid w:val="0"/>
      <w:spacing w:afterLines="100" w:line="360" w:lineRule="auto"/>
      <w:ind w:firstLine="425" w:firstLineChars="177"/>
      <w:jc w:val="left"/>
    </w:pPr>
    <w:rPr>
      <w:kern w:val="0"/>
      <w:sz w:val="22"/>
    </w:rPr>
  </w:style>
  <w:style w:type="character" w:customStyle="1" w:styleId="269">
    <w:name w:val="short_text"/>
    <w:basedOn w:val="83"/>
    <w:qFormat/>
    <w:uiPriority w:val="0"/>
  </w:style>
  <w:style w:type="character" w:customStyle="1" w:styleId="270">
    <w:name w:val="杭州技术规格书 Char"/>
    <w:link w:val="271"/>
    <w:qFormat/>
    <w:uiPriority w:val="0"/>
    <w:rPr>
      <w:rFonts w:ascii="Tahoma" w:hAnsi="Tahoma"/>
      <w:sz w:val="24"/>
    </w:rPr>
  </w:style>
  <w:style w:type="paragraph" w:customStyle="1" w:styleId="271">
    <w:name w:val="杭州技术规格书"/>
    <w:basedOn w:val="1"/>
    <w:link w:val="270"/>
    <w:qFormat/>
    <w:uiPriority w:val="0"/>
    <w:pPr>
      <w:tabs>
        <w:tab w:val="left" w:pos="0"/>
        <w:tab w:val="left" w:pos="390"/>
      </w:tabs>
      <w:autoSpaceDE w:val="0"/>
      <w:autoSpaceDN w:val="0"/>
      <w:adjustRightInd w:val="0"/>
      <w:snapToGrid w:val="0"/>
      <w:ind w:firstLine="425" w:firstLineChars="177"/>
      <w:jc w:val="left"/>
    </w:pPr>
    <w:rPr>
      <w:rFonts w:ascii="Tahoma" w:hAnsi="Tahoma"/>
      <w:kern w:val="0"/>
      <w:sz w:val="24"/>
      <w:szCs w:val="20"/>
    </w:rPr>
  </w:style>
  <w:style w:type="character" w:customStyle="1" w:styleId="272">
    <w:name w:val="apple-style-span"/>
    <w:basedOn w:val="83"/>
    <w:qFormat/>
    <w:uiPriority w:val="0"/>
  </w:style>
  <w:style w:type="character" w:customStyle="1" w:styleId="273">
    <w:name w:val="字元 字元6"/>
    <w:qFormat/>
    <w:locked/>
    <w:uiPriority w:val="0"/>
    <w:rPr>
      <w:rFonts w:ascii="Arial" w:hAnsi="Arial" w:eastAsia="Times New Roman" w:cs="Times New Roman"/>
      <w:lang w:val="en-GB"/>
    </w:rPr>
  </w:style>
  <w:style w:type="character" w:customStyle="1" w:styleId="274">
    <w:name w:val="*Bullet #1 Double Char"/>
    <w:link w:val="275"/>
    <w:qFormat/>
    <w:uiPriority w:val="0"/>
    <w:rPr>
      <w:rFonts w:ascii="Arial" w:hAnsi="Arial"/>
      <w:color w:val="000000"/>
      <w:sz w:val="21"/>
      <w:lang w:eastAsia="en-US"/>
    </w:rPr>
  </w:style>
  <w:style w:type="paragraph" w:customStyle="1" w:styleId="275">
    <w:name w:val="*Bullet #1 Double"/>
    <w:basedOn w:val="1"/>
    <w:link w:val="274"/>
    <w:qFormat/>
    <w:uiPriority w:val="0"/>
    <w:pPr>
      <w:widowControl/>
      <w:tabs>
        <w:tab w:val="left" w:pos="900"/>
      </w:tabs>
      <w:spacing w:after="220" w:line="360" w:lineRule="auto"/>
      <w:ind w:left="360" w:hanging="360"/>
      <w:jc w:val="left"/>
    </w:pPr>
    <w:rPr>
      <w:rFonts w:ascii="Arial" w:hAnsi="Arial"/>
      <w:color w:val="000000"/>
      <w:kern w:val="0"/>
      <w:szCs w:val="20"/>
      <w:lang w:eastAsia="en-US"/>
    </w:rPr>
  </w:style>
  <w:style w:type="character" w:customStyle="1" w:styleId="276">
    <w:name w:val="MOT-Text-1 Char Char Char"/>
    <w:link w:val="277"/>
    <w:qFormat/>
    <w:uiPriority w:val="0"/>
    <w:rPr>
      <w:sz w:val="22"/>
      <w:szCs w:val="24"/>
    </w:rPr>
  </w:style>
  <w:style w:type="paragraph" w:customStyle="1" w:styleId="277">
    <w:name w:val="MOT-Text-1 Char Char"/>
    <w:basedOn w:val="1"/>
    <w:link w:val="276"/>
    <w:qFormat/>
    <w:uiPriority w:val="0"/>
    <w:pPr>
      <w:tabs>
        <w:tab w:val="left" w:pos="0"/>
        <w:tab w:val="left" w:pos="390"/>
      </w:tabs>
      <w:autoSpaceDE w:val="0"/>
      <w:autoSpaceDN w:val="0"/>
      <w:adjustRightInd w:val="0"/>
      <w:snapToGrid w:val="0"/>
      <w:spacing w:afterLines="100" w:line="360" w:lineRule="auto"/>
      <w:ind w:firstLine="425" w:firstLineChars="177"/>
      <w:jc w:val="left"/>
    </w:pPr>
    <w:rPr>
      <w:kern w:val="0"/>
      <w:sz w:val="22"/>
    </w:rPr>
  </w:style>
  <w:style w:type="character" w:customStyle="1" w:styleId="278">
    <w:name w:val="正文缩进 Char1"/>
    <w:qFormat/>
    <w:uiPriority w:val="0"/>
    <w:rPr>
      <w:rFonts w:ascii="Times New Roman" w:hAnsi="Times New Roman"/>
      <w:kern w:val="2"/>
      <w:sz w:val="21"/>
      <w:szCs w:val="24"/>
    </w:rPr>
  </w:style>
  <w:style w:type="character" w:customStyle="1" w:styleId="279">
    <w:name w:val="字元 字元10"/>
    <w:qFormat/>
    <w:locked/>
    <w:uiPriority w:val="0"/>
    <w:rPr>
      <w:rFonts w:ascii="Tahoma" w:hAnsi="Tahoma" w:cs="Tahoma"/>
      <w:sz w:val="16"/>
      <w:szCs w:val="16"/>
    </w:rPr>
  </w:style>
  <w:style w:type="character" w:customStyle="1" w:styleId="280">
    <w:name w:val="样式5 Char"/>
    <w:link w:val="281"/>
    <w:qFormat/>
    <w:uiPriority w:val="0"/>
    <w:rPr>
      <w:rFonts w:ascii="宋体" w:hAnsi="宋体"/>
      <w:kern w:val="2"/>
      <w:sz w:val="24"/>
      <w:szCs w:val="24"/>
    </w:rPr>
  </w:style>
  <w:style w:type="paragraph" w:customStyle="1" w:styleId="281">
    <w:name w:val="样式5"/>
    <w:basedOn w:val="1"/>
    <w:link w:val="280"/>
    <w:qFormat/>
    <w:uiPriority w:val="0"/>
    <w:pPr>
      <w:spacing w:line="360" w:lineRule="auto"/>
      <w:ind w:firstLine="480" w:firstLineChars="200"/>
    </w:pPr>
    <w:rPr>
      <w:rFonts w:ascii="宋体" w:hAnsi="宋体"/>
      <w:sz w:val="24"/>
    </w:rPr>
  </w:style>
  <w:style w:type="character" w:customStyle="1" w:styleId="282">
    <w:name w:val="字元 字元20"/>
    <w:qFormat/>
    <w:locked/>
    <w:uiPriority w:val="0"/>
    <w:rPr>
      <w:rFonts w:ascii="Cambria" w:hAnsi="Cambria" w:eastAsia="Times New Roman" w:cs="Times New Roman"/>
      <w:b/>
      <w:bCs/>
      <w:sz w:val="26"/>
      <w:szCs w:val="26"/>
    </w:rPr>
  </w:style>
  <w:style w:type="character" w:customStyle="1" w:styleId="283">
    <w:name w:val="font61"/>
    <w:qFormat/>
    <w:uiPriority w:val="0"/>
    <w:rPr>
      <w:rFonts w:hint="default" w:ascii="Times New Roman" w:hAnsi="Times New Roman" w:cs="Times New Roman"/>
      <w:color w:val="000000"/>
      <w:sz w:val="24"/>
      <w:szCs w:val="24"/>
      <w:u w:val="none"/>
    </w:rPr>
  </w:style>
  <w:style w:type="character" w:customStyle="1" w:styleId="284">
    <w:name w:val="WW8Num17z0"/>
    <w:qFormat/>
    <w:uiPriority w:val="0"/>
    <w:rPr>
      <w:rFonts w:ascii="Symbol" w:hAnsi="Symbol"/>
      <w:lang w:val="en-GB"/>
    </w:rPr>
  </w:style>
  <w:style w:type="character" w:customStyle="1" w:styleId="285">
    <w:name w:val="正文首行缩进 2 Char2"/>
    <w:basedOn w:val="117"/>
    <w:qFormat/>
    <w:uiPriority w:val="0"/>
    <w:rPr>
      <w:rFonts w:ascii="宋体"/>
      <w:sz w:val="24"/>
    </w:rPr>
  </w:style>
  <w:style w:type="character" w:customStyle="1" w:styleId="286">
    <w:name w:val="正文2 Char Char"/>
    <w:link w:val="287"/>
    <w:qFormat/>
    <w:uiPriority w:val="0"/>
    <w:rPr>
      <w:rFonts w:ascii="宋体" w:hAnsi="宋体"/>
      <w:kern w:val="2"/>
      <w:sz w:val="24"/>
    </w:rPr>
  </w:style>
  <w:style w:type="paragraph" w:customStyle="1" w:styleId="287">
    <w:name w:val="正文2"/>
    <w:basedOn w:val="1"/>
    <w:link w:val="286"/>
    <w:qFormat/>
    <w:uiPriority w:val="0"/>
    <w:pPr>
      <w:spacing w:before="156" w:line="360" w:lineRule="auto"/>
      <w:ind w:firstLine="510" w:firstLineChars="200"/>
    </w:pPr>
    <w:rPr>
      <w:rFonts w:ascii="宋体" w:hAnsi="宋体"/>
      <w:sz w:val="24"/>
      <w:szCs w:val="20"/>
    </w:rPr>
  </w:style>
  <w:style w:type="character" w:customStyle="1" w:styleId="288">
    <w:name w:val="atitle2"/>
    <w:basedOn w:val="83"/>
    <w:qFormat/>
    <w:uiPriority w:val="0"/>
  </w:style>
  <w:style w:type="character" w:customStyle="1" w:styleId="289">
    <w:name w:val="User Entry"/>
    <w:qFormat/>
    <w:uiPriority w:val="0"/>
    <w:rPr>
      <w:rFonts w:ascii="Courier New" w:hAnsi="Courier New"/>
      <w:lang w:val="en-GB"/>
    </w:rPr>
  </w:style>
  <w:style w:type="character" w:customStyle="1" w:styleId="290">
    <w:name w:val="bds_nopic1"/>
    <w:basedOn w:val="83"/>
    <w:qFormat/>
    <w:uiPriority w:val="0"/>
  </w:style>
  <w:style w:type="character" w:customStyle="1" w:styleId="291">
    <w:name w:val="tw4winJump"/>
    <w:qFormat/>
    <w:uiPriority w:val="0"/>
    <w:rPr>
      <w:rFonts w:ascii="Courier New" w:hAnsi="Courier New" w:cs="Courier New"/>
      <w:color w:val="008080"/>
      <w:lang w:val="en-US" w:eastAsia="zh-CN"/>
    </w:rPr>
  </w:style>
  <w:style w:type="character" w:customStyle="1" w:styleId="292">
    <w:name w:val="字元 字元12"/>
    <w:qFormat/>
    <w:locked/>
    <w:uiPriority w:val="0"/>
    <w:rPr>
      <w:rFonts w:cs="Times New Roman"/>
    </w:rPr>
  </w:style>
  <w:style w:type="character" w:customStyle="1" w:styleId="293">
    <w:name w:val="彩色列表 - 强调文字颜色 1 Char"/>
    <w:qFormat/>
    <w:uiPriority w:val="0"/>
    <w:rPr>
      <w:rFonts w:ascii="Times New Roman" w:hAnsi="Times New Roman" w:eastAsia="宋体" w:cs="Times New Roman"/>
      <w:szCs w:val="24"/>
    </w:rPr>
  </w:style>
  <w:style w:type="character" w:customStyle="1" w:styleId="294">
    <w:name w:val="正文首行缩进 Char Char Char Char Char Char"/>
    <w:qFormat/>
    <w:uiPriority w:val="0"/>
    <w:rPr>
      <w:rFonts w:ascii="宋体" w:hAnsi="宋体" w:eastAsia="宋体"/>
      <w:sz w:val="24"/>
      <w:lang w:val="en-US" w:eastAsia="zh-CN" w:bidi="ar-SA"/>
    </w:rPr>
  </w:style>
  <w:style w:type="character" w:customStyle="1" w:styleId="295">
    <w:name w:val="bold"/>
    <w:basedOn w:val="83"/>
    <w:qFormat/>
    <w:uiPriority w:val="0"/>
  </w:style>
  <w:style w:type="character" w:customStyle="1" w:styleId="296">
    <w:name w:val="样式2 Char"/>
    <w:link w:val="297"/>
    <w:qFormat/>
    <w:uiPriority w:val="0"/>
    <w:rPr>
      <w:rFonts w:ascii="宋体" w:hAnsi="宋体"/>
      <w:kern w:val="2"/>
      <w:sz w:val="21"/>
      <w:szCs w:val="24"/>
    </w:rPr>
  </w:style>
  <w:style w:type="paragraph" w:customStyle="1" w:styleId="297">
    <w:name w:val="样式2"/>
    <w:basedOn w:val="1"/>
    <w:next w:val="6"/>
    <w:link w:val="296"/>
    <w:qFormat/>
    <w:uiPriority w:val="0"/>
    <w:pPr>
      <w:spacing w:line="360" w:lineRule="auto"/>
      <w:ind w:firstLine="420"/>
    </w:pPr>
    <w:rPr>
      <w:rFonts w:ascii="宋体" w:hAnsi="宋体"/>
    </w:rPr>
  </w:style>
  <w:style w:type="character" w:customStyle="1" w:styleId="298">
    <w:name w:val="bds_more4"/>
    <w:qFormat/>
    <w:uiPriority w:val="0"/>
  </w:style>
  <w:style w:type="character" w:customStyle="1" w:styleId="299">
    <w:name w:val="Endnote Symbol"/>
    <w:qFormat/>
    <w:uiPriority w:val="0"/>
    <w:rPr>
      <w:lang w:val="en-GB"/>
    </w:rPr>
  </w:style>
  <w:style w:type="character" w:customStyle="1" w:styleId="300">
    <w:name w:val="纯文本 Char2"/>
    <w:qFormat/>
    <w:uiPriority w:val="0"/>
    <w:rPr>
      <w:rFonts w:ascii="宋体" w:hAnsi="Courier New" w:eastAsia="宋体"/>
      <w:kern w:val="2"/>
      <w:sz w:val="21"/>
    </w:rPr>
  </w:style>
  <w:style w:type="character" w:customStyle="1" w:styleId="301">
    <w:name w:val="grame"/>
    <w:basedOn w:val="83"/>
    <w:qFormat/>
    <w:uiPriority w:val="0"/>
  </w:style>
  <w:style w:type="character" w:customStyle="1" w:styleId="302">
    <w:name w:val="small1"/>
    <w:qFormat/>
    <w:uiPriority w:val="0"/>
    <w:rPr>
      <w:sz w:val="22"/>
      <w:szCs w:val="22"/>
    </w:rPr>
  </w:style>
  <w:style w:type="character" w:customStyle="1" w:styleId="303">
    <w:name w:val="普通文字 Char1"/>
    <w:qFormat/>
    <w:uiPriority w:val="0"/>
    <w:rPr>
      <w:rFonts w:ascii="宋体" w:hAnsi="Courier New" w:eastAsia="宋体"/>
      <w:kern w:val="2"/>
      <w:sz w:val="21"/>
      <w:lang w:val="en-US" w:eastAsia="zh-CN"/>
    </w:rPr>
  </w:style>
  <w:style w:type="character" w:customStyle="1" w:styleId="304">
    <w:name w:val="bold2"/>
    <w:qFormat/>
    <w:uiPriority w:val="0"/>
    <w:rPr>
      <w:b/>
      <w:bCs/>
    </w:rPr>
  </w:style>
  <w:style w:type="character" w:customStyle="1" w:styleId="305">
    <w:name w:val="章标题 Char"/>
    <w:qFormat/>
    <w:uiPriority w:val="0"/>
    <w:rPr>
      <w:rFonts w:ascii="黑体" w:eastAsia="黑体"/>
      <w:sz w:val="21"/>
      <w:lang w:val="en-US" w:eastAsia="zh-CN" w:bidi="ar-SA"/>
    </w:rPr>
  </w:style>
  <w:style w:type="character" w:customStyle="1" w:styleId="306">
    <w:name w:val="标题3 Char"/>
    <w:link w:val="307"/>
    <w:qFormat/>
    <w:uiPriority w:val="0"/>
    <w:rPr>
      <w:rFonts w:ascii="Arial" w:hAnsi="Arial"/>
      <w:b/>
      <w:sz w:val="21"/>
      <w:szCs w:val="24"/>
    </w:rPr>
  </w:style>
  <w:style w:type="paragraph" w:customStyle="1" w:styleId="307">
    <w:name w:val="标题3"/>
    <w:basedOn w:val="1"/>
    <w:link w:val="306"/>
    <w:qFormat/>
    <w:uiPriority w:val="0"/>
    <w:pPr>
      <w:adjustRightInd w:val="0"/>
      <w:snapToGrid w:val="0"/>
      <w:spacing w:line="300" w:lineRule="auto"/>
      <w:ind w:firstLine="200" w:firstLineChars="200"/>
    </w:pPr>
    <w:rPr>
      <w:rFonts w:ascii="Arial" w:hAnsi="Arial"/>
      <w:b/>
      <w:kern w:val="0"/>
    </w:rPr>
  </w:style>
  <w:style w:type="character" w:customStyle="1" w:styleId="308">
    <w:name w:val="bds_more2"/>
    <w:qFormat/>
    <w:uiPriority w:val="0"/>
  </w:style>
  <w:style w:type="character" w:customStyle="1" w:styleId="309">
    <w:name w:val="text"/>
    <w:basedOn w:val="83"/>
    <w:qFormat/>
    <w:uiPriority w:val="0"/>
  </w:style>
  <w:style w:type="character" w:customStyle="1" w:styleId="310">
    <w:name w:val="Footnote Symbol"/>
    <w:qFormat/>
    <w:uiPriority w:val="0"/>
    <w:rPr>
      <w:lang w:val="en-GB"/>
    </w:rPr>
  </w:style>
  <w:style w:type="character" w:customStyle="1" w:styleId="311">
    <w:name w:val="ZJGIS图表 Char"/>
    <w:link w:val="312"/>
    <w:qFormat/>
    <w:locked/>
    <w:uiPriority w:val="99"/>
    <w:rPr>
      <w:rFonts w:eastAsia="黑体"/>
      <w:color w:val="000000"/>
      <w:sz w:val="24"/>
    </w:rPr>
  </w:style>
  <w:style w:type="paragraph" w:customStyle="1" w:styleId="312">
    <w:name w:val="ZJGIS图表"/>
    <w:basedOn w:val="1"/>
    <w:link w:val="311"/>
    <w:qFormat/>
    <w:uiPriority w:val="99"/>
    <w:pPr>
      <w:jc w:val="center"/>
    </w:pPr>
    <w:rPr>
      <w:rFonts w:eastAsia="黑体"/>
      <w:color w:val="000000"/>
      <w:kern w:val="0"/>
      <w:sz w:val="24"/>
      <w:szCs w:val="20"/>
    </w:rPr>
  </w:style>
  <w:style w:type="character" w:customStyle="1" w:styleId="313">
    <w:name w:val="sidecatalog-dot1"/>
    <w:basedOn w:val="83"/>
    <w:qFormat/>
    <w:uiPriority w:val="0"/>
  </w:style>
  <w:style w:type="character" w:customStyle="1" w:styleId="314">
    <w:name w:val="morelink-item"/>
    <w:qFormat/>
    <w:uiPriority w:val="0"/>
  </w:style>
  <w:style w:type="character" w:customStyle="1" w:styleId="315">
    <w:name w:val="正文文本缩进 Char1"/>
    <w:qFormat/>
    <w:uiPriority w:val="99"/>
    <w:rPr>
      <w:rFonts w:ascii="Times New Roman" w:hAnsi="Times New Roman" w:eastAsia="PMingLiU" w:cs="Times New Roman"/>
      <w:snapToGrid w:val="0"/>
      <w:kern w:val="0"/>
      <w:sz w:val="20"/>
      <w:szCs w:val="20"/>
      <w:lang w:val="en-GB" w:eastAsia="zh-TW"/>
    </w:rPr>
  </w:style>
  <w:style w:type="character" w:customStyle="1" w:styleId="316">
    <w:name w:val="WW8Num22z0"/>
    <w:qFormat/>
    <w:uiPriority w:val="0"/>
    <w:rPr>
      <w:rFonts w:ascii="Symbol" w:hAnsi="Symbol"/>
      <w:lang w:val="en-GB"/>
    </w:rPr>
  </w:style>
  <w:style w:type="character" w:customStyle="1" w:styleId="317">
    <w:name w:val="WW8Num16z2"/>
    <w:qFormat/>
    <w:uiPriority w:val="0"/>
    <w:rPr>
      <w:rFonts w:ascii="Wingdings" w:hAnsi="Wingdings"/>
      <w:lang w:val="en-GB"/>
    </w:rPr>
  </w:style>
  <w:style w:type="character" w:customStyle="1" w:styleId="318">
    <w:name w:val="WW8Num12z0"/>
    <w:qFormat/>
    <w:uiPriority w:val="0"/>
    <w:rPr>
      <w:rFonts w:ascii="Symbol" w:hAnsi="Symbol"/>
      <w:lang w:val="en-GB"/>
    </w:rPr>
  </w:style>
  <w:style w:type="character" w:customStyle="1" w:styleId="319">
    <w:name w:val="表格文本 Char"/>
    <w:link w:val="320"/>
    <w:qFormat/>
    <w:uiPriority w:val="0"/>
    <w:rPr>
      <w:rFonts w:ascii="Arial" w:hAnsi="Arial"/>
      <w:sz w:val="24"/>
      <w:szCs w:val="21"/>
      <w:lang w:val="en-US" w:eastAsia="zh-CN"/>
    </w:rPr>
  </w:style>
  <w:style w:type="paragraph" w:customStyle="1" w:styleId="320">
    <w:name w:val="表格文本"/>
    <w:basedOn w:val="1"/>
    <w:link w:val="319"/>
    <w:qFormat/>
    <w:uiPriority w:val="0"/>
    <w:pPr>
      <w:tabs>
        <w:tab w:val="decimal" w:pos="0"/>
      </w:tabs>
      <w:autoSpaceDE w:val="0"/>
      <w:autoSpaceDN w:val="0"/>
      <w:adjustRightInd w:val="0"/>
      <w:spacing w:line="360" w:lineRule="auto"/>
      <w:ind w:firstLine="420"/>
      <w:jc w:val="left"/>
    </w:pPr>
    <w:rPr>
      <w:rFonts w:ascii="Arial" w:hAnsi="Arial"/>
      <w:kern w:val="0"/>
      <w:sz w:val="24"/>
      <w:szCs w:val="21"/>
    </w:rPr>
  </w:style>
  <w:style w:type="character" w:customStyle="1" w:styleId="321">
    <w:name w:val="二级样式 Char"/>
    <w:link w:val="322"/>
    <w:qFormat/>
    <w:uiPriority w:val="0"/>
    <w:rPr>
      <w:rFonts w:ascii="黑体" w:hAnsi="Wingdings" w:eastAsia="黑体" w:cs="IOBAEE+TimesNewRoman,Bold"/>
      <w:b/>
      <w:color w:val="000000"/>
      <w:sz w:val="24"/>
      <w:szCs w:val="24"/>
    </w:rPr>
  </w:style>
  <w:style w:type="paragraph" w:customStyle="1" w:styleId="322">
    <w:name w:val="二级样式"/>
    <w:basedOn w:val="1"/>
    <w:link w:val="321"/>
    <w:qFormat/>
    <w:uiPriority w:val="0"/>
    <w:pPr>
      <w:autoSpaceDE w:val="0"/>
      <w:autoSpaceDN w:val="0"/>
      <w:adjustRightInd w:val="0"/>
      <w:spacing w:line="360" w:lineRule="auto"/>
      <w:ind w:firstLine="420"/>
      <w:jc w:val="left"/>
      <w:outlineLvl w:val="1"/>
    </w:pPr>
    <w:rPr>
      <w:rFonts w:ascii="黑体" w:hAnsi="Wingdings" w:eastAsia="黑体"/>
      <w:b/>
      <w:color w:val="000000"/>
      <w:kern w:val="0"/>
      <w:sz w:val="24"/>
    </w:rPr>
  </w:style>
  <w:style w:type="character" w:customStyle="1" w:styleId="323">
    <w:name w:val="Char Char20"/>
    <w:qFormat/>
    <w:uiPriority w:val="0"/>
    <w:rPr>
      <w:kern w:val="2"/>
      <w:sz w:val="18"/>
      <w:szCs w:val="18"/>
    </w:rPr>
  </w:style>
  <w:style w:type="character" w:customStyle="1" w:styleId="324">
    <w:name w:val="polysemyred"/>
    <w:qFormat/>
    <w:uiPriority w:val="0"/>
    <w:rPr>
      <w:color w:val="FF6666"/>
      <w:sz w:val="18"/>
      <w:szCs w:val="18"/>
    </w:rPr>
  </w:style>
  <w:style w:type="character" w:customStyle="1" w:styleId="325">
    <w:name w:val="‧ N character bold new"/>
    <w:qFormat/>
    <w:uiPriority w:val="0"/>
    <w:rPr>
      <w:rFonts w:ascii="Times New Roman" w:hAnsi="Times New Roman" w:cs="Tahoma"/>
      <w:b/>
      <w:sz w:val="20"/>
      <w:lang w:val="en-GB"/>
    </w:rPr>
  </w:style>
  <w:style w:type="character" w:customStyle="1" w:styleId="326">
    <w:name w:val="blithe3 Char1 Char"/>
    <w:link w:val="327"/>
    <w:qFormat/>
    <w:uiPriority w:val="0"/>
    <w:rPr>
      <w:rFonts w:ascii="宋体" w:hAnsi="宋体"/>
      <w:b/>
      <w:bCs/>
      <w:color w:val="000000"/>
      <w:sz w:val="28"/>
      <w:szCs w:val="36"/>
    </w:rPr>
  </w:style>
  <w:style w:type="paragraph" w:customStyle="1" w:styleId="327">
    <w:name w:val="blithe3 Char1"/>
    <w:basedOn w:val="218"/>
    <w:next w:val="1"/>
    <w:link w:val="326"/>
    <w:qFormat/>
    <w:uiPriority w:val="0"/>
    <w:pPr>
      <w:tabs>
        <w:tab w:val="left" w:pos="360"/>
        <w:tab w:val="left" w:pos="2520"/>
      </w:tabs>
      <w:ind w:left="0" w:firstLine="0"/>
      <w:outlineLvl w:val="2"/>
    </w:pPr>
    <w:rPr>
      <w:sz w:val="28"/>
    </w:rPr>
  </w:style>
  <w:style w:type="character" w:customStyle="1" w:styleId="328">
    <w:name w:val="子系统 Char"/>
    <w:qFormat/>
    <w:uiPriority w:val="0"/>
    <w:rPr>
      <w:rFonts w:ascii="宋体" w:hAnsi="宋体" w:eastAsia="宋体" w:cs="Microsoft Sans Serif"/>
      <w:b/>
      <w:bCs/>
      <w:color w:val="FF0000"/>
      <w:sz w:val="28"/>
      <w:szCs w:val="28"/>
      <w:lang w:val="en-US" w:eastAsia="en-US" w:bidi="ar-SA"/>
    </w:rPr>
  </w:style>
  <w:style w:type="character" w:customStyle="1" w:styleId="329">
    <w:name w:val="Footer-Even Char Char"/>
    <w:qFormat/>
    <w:uiPriority w:val="0"/>
    <w:rPr>
      <w:rFonts w:eastAsia="宋体"/>
      <w:kern w:val="2"/>
      <w:sz w:val="18"/>
      <w:szCs w:val="18"/>
      <w:lang w:val="en-US" w:eastAsia="zh-CN" w:bidi="ar-SA"/>
    </w:rPr>
  </w:style>
  <w:style w:type="character" w:customStyle="1" w:styleId="330">
    <w:name w:val="强调1"/>
    <w:qFormat/>
    <w:uiPriority w:val="0"/>
    <w:rPr>
      <w:rFonts w:ascii="Verdana" w:hAnsi="Verdana" w:eastAsia="宋体"/>
      <w:b/>
      <w:bCs/>
      <w:lang w:val="en-US" w:eastAsia="en-US" w:bidi="ar-SA"/>
    </w:rPr>
  </w:style>
  <w:style w:type="character" w:customStyle="1" w:styleId="331">
    <w:name w:val="15"/>
    <w:qFormat/>
    <w:uiPriority w:val="0"/>
    <w:rPr>
      <w:rFonts w:hint="default" w:ascii="Calibri" w:hAnsi="Calibri" w:cs="Calibri"/>
      <w:sz w:val="20"/>
      <w:szCs w:val="20"/>
    </w:rPr>
  </w:style>
  <w:style w:type="character" w:customStyle="1" w:styleId="332">
    <w:name w:val="字元 字元18"/>
    <w:qFormat/>
    <w:locked/>
    <w:uiPriority w:val="0"/>
    <w:rPr>
      <w:rFonts w:ascii="Times New Roman" w:hAnsi="Times New Roman" w:eastAsia="Times New Roman" w:cs="Times New Roman"/>
      <w:b/>
      <w:lang w:val="en-GB"/>
    </w:rPr>
  </w:style>
  <w:style w:type="character" w:customStyle="1" w:styleId="333">
    <w:name w:val="themebody1"/>
    <w:qFormat/>
    <w:uiPriority w:val="0"/>
    <w:rPr>
      <w:color w:val="FFFFFF"/>
    </w:rPr>
  </w:style>
  <w:style w:type="character" w:customStyle="1" w:styleId="334">
    <w:name w:val="Char Char7"/>
    <w:qFormat/>
    <w:uiPriority w:val="0"/>
    <w:rPr>
      <w:kern w:val="2"/>
      <w:sz w:val="18"/>
      <w:szCs w:val="18"/>
    </w:rPr>
  </w:style>
  <w:style w:type="character" w:customStyle="1" w:styleId="335">
    <w:name w:val="No Spacing Char"/>
    <w:qFormat/>
    <w:locked/>
    <w:uiPriority w:val="0"/>
    <w:rPr>
      <w:rFonts w:eastAsia="Times New Roman" w:cs="Times New Roman"/>
      <w:sz w:val="22"/>
      <w:szCs w:val="22"/>
      <w:lang w:val="en-US" w:bidi="ar-SA"/>
    </w:rPr>
  </w:style>
  <w:style w:type="character" w:customStyle="1" w:styleId="336">
    <w:name w:val="WW8Num19z0"/>
    <w:qFormat/>
    <w:uiPriority w:val="0"/>
    <w:rPr>
      <w:rFonts w:ascii="Symbol" w:hAnsi="Symbol"/>
      <w:lang w:val="en-GB"/>
    </w:rPr>
  </w:style>
  <w:style w:type="character" w:customStyle="1" w:styleId="337">
    <w:name w:val="Teletype"/>
    <w:qFormat/>
    <w:uiPriority w:val="0"/>
    <w:rPr>
      <w:rFonts w:ascii="Courier New" w:hAnsi="Courier New"/>
      <w:lang w:val="en-GB"/>
    </w:rPr>
  </w:style>
  <w:style w:type="character" w:customStyle="1" w:styleId="338">
    <w:name w:val="My正文 Char"/>
    <w:link w:val="339"/>
    <w:qFormat/>
    <w:uiPriority w:val="0"/>
    <w:rPr>
      <w:rFonts w:ascii="Arial" w:hAnsi="Arial"/>
      <w:sz w:val="24"/>
    </w:rPr>
  </w:style>
  <w:style w:type="paragraph" w:customStyle="1" w:styleId="339">
    <w:name w:val="My正文"/>
    <w:basedOn w:val="1"/>
    <w:link w:val="338"/>
    <w:qFormat/>
    <w:uiPriority w:val="0"/>
    <w:pPr>
      <w:adjustRightInd w:val="0"/>
      <w:spacing w:before="120" w:line="360" w:lineRule="auto"/>
      <w:ind w:firstLine="567"/>
      <w:textAlignment w:val="baseline"/>
    </w:pPr>
    <w:rPr>
      <w:rFonts w:ascii="Arial" w:hAnsi="Arial"/>
      <w:kern w:val="0"/>
      <w:sz w:val="24"/>
      <w:szCs w:val="20"/>
    </w:rPr>
  </w:style>
  <w:style w:type="character" w:customStyle="1" w:styleId="340">
    <w:name w:val="图案编号 Char"/>
    <w:link w:val="341"/>
    <w:qFormat/>
    <w:uiPriority w:val="0"/>
    <w:rPr>
      <w:rFonts w:ascii="Arial" w:hAnsi="Arial"/>
      <w:kern w:val="2"/>
      <w:sz w:val="21"/>
      <w:szCs w:val="24"/>
    </w:rPr>
  </w:style>
  <w:style w:type="paragraph" w:customStyle="1" w:styleId="341">
    <w:name w:val="图案编号"/>
    <w:basedOn w:val="1"/>
    <w:link w:val="340"/>
    <w:qFormat/>
    <w:uiPriority w:val="0"/>
    <w:pPr>
      <w:tabs>
        <w:tab w:val="left" w:pos="1050"/>
      </w:tabs>
      <w:ind w:left="1050" w:hanging="420"/>
      <w:jc w:val="center"/>
      <w:textAlignment w:val="center"/>
    </w:pPr>
    <w:rPr>
      <w:rFonts w:ascii="Arial" w:hAnsi="Arial"/>
    </w:rPr>
  </w:style>
  <w:style w:type="character" w:customStyle="1" w:styleId="342">
    <w:name w:val="font81"/>
    <w:basedOn w:val="83"/>
    <w:qFormat/>
    <w:uiPriority w:val="0"/>
    <w:rPr>
      <w:rFonts w:hint="eastAsia" w:ascii="宋体" w:hAnsi="宋体" w:eastAsia="宋体" w:cs="宋体"/>
      <w:color w:val="FF0000"/>
      <w:sz w:val="18"/>
      <w:szCs w:val="18"/>
      <w:u w:val="none"/>
    </w:rPr>
  </w:style>
  <w:style w:type="character" w:customStyle="1" w:styleId="343">
    <w:name w:val="正文首行缩进两字 Char"/>
    <w:link w:val="344"/>
    <w:qFormat/>
    <w:uiPriority w:val="0"/>
    <w:rPr>
      <w:rFonts w:ascii="宋体" w:hAnsi="宋体" w:cs="Arial"/>
      <w:color w:val="000000"/>
      <w:kern w:val="2"/>
      <w:sz w:val="24"/>
      <w:szCs w:val="24"/>
      <w:lang w:val="en-US" w:eastAsia="zh-CN" w:bidi="ar-SA"/>
    </w:rPr>
  </w:style>
  <w:style w:type="paragraph" w:customStyle="1" w:styleId="344">
    <w:name w:val="正文首行缩进两字"/>
    <w:link w:val="343"/>
    <w:qFormat/>
    <w:uiPriority w:val="0"/>
    <w:pPr>
      <w:tabs>
        <w:tab w:val="left" w:pos="545"/>
      </w:tabs>
      <w:spacing w:afterLines="50" w:line="360" w:lineRule="auto"/>
    </w:pPr>
    <w:rPr>
      <w:rFonts w:ascii="宋体" w:hAnsi="宋体" w:eastAsia="宋体" w:cs="Arial"/>
      <w:color w:val="000000"/>
      <w:kern w:val="2"/>
      <w:sz w:val="24"/>
      <w:szCs w:val="24"/>
      <w:lang w:val="en-US" w:eastAsia="zh-CN" w:bidi="ar-SA"/>
    </w:rPr>
  </w:style>
  <w:style w:type="character" w:customStyle="1" w:styleId="345">
    <w:name w:val="哈哈正文 Char"/>
    <w:link w:val="346"/>
    <w:qFormat/>
    <w:uiPriority w:val="0"/>
    <w:rPr>
      <w:rFonts w:ascii="宋体" w:hAnsi="宋体" w:cs="宋体"/>
      <w:sz w:val="24"/>
    </w:rPr>
  </w:style>
  <w:style w:type="paragraph" w:customStyle="1" w:styleId="346">
    <w:name w:val="哈哈正文"/>
    <w:basedOn w:val="1"/>
    <w:link w:val="345"/>
    <w:qFormat/>
    <w:uiPriority w:val="0"/>
    <w:pPr>
      <w:spacing w:line="360" w:lineRule="auto"/>
      <w:ind w:firstLine="200" w:firstLineChars="200"/>
    </w:pPr>
    <w:rPr>
      <w:rFonts w:ascii="宋体" w:hAnsi="宋体"/>
      <w:kern w:val="0"/>
      <w:sz w:val="24"/>
      <w:szCs w:val="20"/>
    </w:rPr>
  </w:style>
  <w:style w:type="character" w:customStyle="1" w:styleId="347">
    <w:name w:val="项目标题 Char"/>
    <w:link w:val="348"/>
    <w:qFormat/>
    <w:uiPriority w:val="0"/>
    <w:rPr>
      <w:rFonts w:ascii="Arial" w:hAnsi="Arial"/>
      <w:b/>
      <w:bCs/>
      <w:sz w:val="28"/>
      <w:szCs w:val="28"/>
    </w:rPr>
  </w:style>
  <w:style w:type="paragraph" w:customStyle="1" w:styleId="348">
    <w:name w:val="项目标题"/>
    <w:basedOn w:val="1"/>
    <w:link w:val="347"/>
    <w:qFormat/>
    <w:uiPriority w:val="0"/>
    <w:pPr>
      <w:keepNext/>
      <w:keepLines/>
      <w:tabs>
        <w:tab w:val="left" w:pos="360"/>
      </w:tabs>
      <w:spacing w:before="280" w:after="290" w:line="377" w:lineRule="auto"/>
      <w:ind w:firstLine="420"/>
      <w:outlineLvl w:val="3"/>
    </w:pPr>
    <w:rPr>
      <w:rFonts w:ascii="Arial" w:hAnsi="Arial"/>
      <w:b/>
      <w:bCs/>
      <w:kern w:val="0"/>
      <w:sz w:val="28"/>
      <w:szCs w:val="28"/>
    </w:rPr>
  </w:style>
  <w:style w:type="character" w:customStyle="1" w:styleId="349">
    <w:name w:val="font111"/>
    <w:basedOn w:val="83"/>
    <w:qFormat/>
    <w:uiPriority w:val="0"/>
    <w:rPr>
      <w:rFonts w:ascii="Arial" w:hAnsi="Arial" w:cs="Arial"/>
      <w:color w:val="333333"/>
      <w:sz w:val="18"/>
      <w:szCs w:val="18"/>
      <w:u w:val="none"/>
    </w:rPr>
  </w:style>
  <w:style w:type="character" w:customStyle="1" w:styleId="350">
    <w:name w:val="WW8Num20z0"/>
    <w:qFormat/>
    <w:uiPriority w:val="0"/>
    <w:rPr>
      <w:rFonts w:ascii="Symbol" w:hAnsi="Symbol"/>
      <w:lang w:val="en-GB"/>
    </w:rPr>
  </w:style>
  <w:style w:type="character" w:customStyle="1" w:styleId="351">
    <w:name w:val="‧ N character emphasis new"/>
    <w:qFormat/>
    <w:uiPriority w:val="0"/>
    <w:rPr>
      <w:rFonts w:ascii="Times New Roman" w:hAnsi="Times New Roman" w:cs="Tahoma"/>
      <w:i/>
      <w:sz w:val="20"/>
      <w:lang w:val="en-GB"/>
    </w:rPr>
  </w:style>
  <w:style w:type="character" w:customStyle="1" w:styleId="352">
    <w:name w:val="bule1"/>
    <w:qFormat/>
    <w:uiPriority w:val="0"/>
    <w:rPr>
      <w:sz w:val="18"/>
      <w:szCs w:val="18"/>
    </w:rPr>
  </w:style>
  <w:style w:type="character" w:customStyle="1" w:styleId="353">
    <w:name w:val="Visited Internet Link"/>
    <w:qFormat/>
    <w:uiPriority w:val="0"/>
    <w:rPr>
      <w:color w:val="800000"/>
      <w:u w:val="single"/>
      <w:lang w:val="en-GB"/>
    </w:rPr>
  </w:style>
  <w:style w:type="character" w:customStyle="1" w:styleId="354">
    <w:name w:val="Vertical Numbering Symbols"/>
    <w:qFormat/>
    <w:uiPriority w:val="0"/>
    <w:rPr>
      <w:lang w:val="en-GB"/>
      <w:eastAsianLayout w:id="1" w:combine="1"/>
    </w:rPr>
  </w:style>
  <w:style w:type="character" w:customStyle="1" w:styleId="355">
    <w:name w:val="字元 字元7"/>
    <w:qFormat/>
    <w:locked/>
    <w:uiPriority w:val="0"/>
    <w:rPr>
      <w:rFonts w:ascii="Arial" w:hAnsi="Arial" w:eastAsia="Times New Roman" w:cs="Times New Roman"/>
      <w:lang w:val="en-GB"/>
    </w:rPr>
  </w:style>
  <w:style w:type="character" w:customStyle="1" w:styleId="356">
    <w:name w:val="WW8Num12z1"/>
    <w:qFormat/>
    <w:uiPriority w:val="0"/>
    <w:rPr>
      <w:rFonts w:ascii="Courier New" w:hAnsi="Courier New"/>
      <w:lang w:val="en-GB"/>
    </w:rPr>
  </w:style>
  <w:style w:type="character" w:customStyle="1" w:styleId="357">
    <w:name w:val="bds_nopic"/>
    <w:basedOn w:val="83"/>
    <w:qFormat/>
    <w:uiPriority w:val="0"/>
  </w:style>
  <w:style w:type="character" w:customStyle="1" w:styleId="358">
    <w:name w:val="para1"/>
    <w:qFormat/>
    <w:uiPriority w:val="0"/>
    <w:rPr>
      <w:rFonts w:hint="default" w:ascii="Arial" w:hAnsi="Arial" w:cs="Arial"/>
      <w:sz w:val="18"/>
      <w:szCs w:val="18"/>
    </w:rPr>
  </w:style>
  <w:style w:type="character" w:customStyle="1" w:styleId="359">
    <w:name w:val="tw4winMark"/>
    <w:qFormat/>
    <w:uiPriority w:val="0"/>
    <w:rPr>
      <w:rFonts w:ascii="Courier New" w:hAnsi="Courier New" w:cs="Courier New"/>
      <w:vanish/>
      <w:color w:val="800080"/>
      <w:sz w:val="24"/>
      <w:szCs w:val="24"/>
      <w:vertAlign w:val="subscript"/>
    </w:rPr>
  </w:style>
  <w:style w:type="character" w:customStyle="1" w:styleId="360">
    <w:name w:val="h Char1"/>
    <w:qFormat/>
    <w:uiPriority w:val="0"/>
    <w:rPr>
      <w:rFonts w:ascii="Calibri" w:hAnsi="Calibri" w:eastAsia="宋体" w:cs="Times New Roman"/>
      <w:sz w:val="18"/>
      <w:szCs w:val="18"/>
    </w:rPr>
  </w:style>
  <w:style w:type="character" w:customStyle="1" w:styleId="361">
    <w:name w:val="*Heading 5 Char"/>
    <w:link w:val="362"/>
    <w:qFormat/>
    <w:uiPriority w:val="0"/>
    <w:rPr>
      <w:rFonts w:ascii="Verdana" w:hAnsi="Verdana"/>
      <w:i/>
      <w:szCs w:val="24"/>
      <w:lang w:val="en-US" w:eastAsia="en-US" w:bidi="ar-SA"/>
    </w:rPr>
  </w:style>
  <w:style w:type="paragraph" w:customStyle="1" w:styleId="362">
    <w:name w:val="*Heading 5"/>
    <w:next w:val="164"/>
    <w:link w:val="361"/>
    <w:qFormat/>
    <w:uiPriority w:val="0"/>
    <w:pPr>
      <w:keepNext/>
      <w:keepLines/>
      <w:spacing w:line="360" w:lineRule="auto"/>
      <w:outlineLvl w:val="5"/>
    </w:pPr>
    <w:rPr>
      <w:rFonts w:ascii="Verdana" w:hAnsi="Verdana" w:eastAsia="宋体" w:cs="Times New Roman"/>
      <w:i/>
      <w:szCs w:val="24"/>
      <w:lang w:val="en-US" w:eastAsia="en-US" w:bidi="ar-SA"/>
    </w:rPr>
  </w:style>
  <w:style w:type="character" w:customStyle="1" w:styleId="363">
    <w:name w:val="zi_101"/>
    <w:qFormat/>
    <w:uiPriority w:val="0"/>
    <w:rPr>
      <w:rFonts w:hint="default" w:ascii="Verdana" w:hAnsi="Verdana"/>
      <w:color w:val="C90000"/>
      <w:sz w:val="18"/>
    </w:rPr>
  </w:style>
  <w:style w:type="character" w:customStyle="1" w:styleId="364">
    <w:name w:val="WW8Num14z2"/>
    <w:qFormat/>
    <w:uiPriority w:val="0"/>
    <w:rPr>
      <w:rFonts w:ascii="Wingdings" w:hAnsi="Wingdings"/>
      <w:lang w:val="en-GB"/>
    </w:rPr>
  </w:style>
  <w:style w:type="character" w:customStyle="1" w:styleId="365">
    <w:name w:val="标题2zj Char"/>
    <w:link w:val="366"/>
    <w:qFormat/>
    <w:uiPriority w:val="0"/>
    <w:rPr>
      <w:rFonts w:ascii="Arial" w:hAnsi="Arial"/>
      <w:b/>
      <w:sz w:val="36"/>
      <w:szCs w:val="32"/>
      <w:lang w:val="en-US" w:eastAsia="zh-CN"/>
    </w:rPr>
  </w:style>
  <w:style w:type="paragraph" w:customStyle="1" w:styleId="366">
    <w:name w:val="标题2zj"/>
    <w:basedOn w:val="3"/>
    <w:link w:val="365"/>
    <w:qFormat/>
    <w:uiPriority w:val="0"/>
    <w:pPr>
      <w:tabs>
        <w:tab w:val="left" w:pos="284"/>
      </w:tabs>
      <w:snapToGrid/>
      <w:spacing w:before="40" w:after="40" w:line="415" w:lineRule="auto"/>
      <w:ind w:left="420" w:right="100" w:rightChars="100" w:firstLine="0" w:firstLineChars="0"/>
    </w:pPr>
    <w:rPr>
      <w:bCs w:val="0"/>
      <w:kern w:val="0"/>
      <w:sz w:val="36"/>
    </w:rPr>
  </w:style>
  <w:style w:type="character" w:customStyle="1" w:styleId="367">
    <w:name w:val="表格题注 Char"/>
    <w:link w:val="368"/>
    <w:qFormat/>
    <w:uiPriority w:val="0"/>
    <w:rPr>
      <w:rFonts w:hAnsi="宋体"/>
      <w:spacing w:val="10"/>
      <w:szCs w:val="24"/>
    </w:rPr>
  </w:style>
  <w:style w:type="paragraph" w:customStyle="1" w:styleId="368">
    <w:name w:val="表格题注"/>
    <w:basedOn w:val="1"/>
    <w:link w:val="367"/>
    <w:qFormat/>
    <w:uiPriority w:val="0"/>
    <w:pPr>
      <w:tabs>
        <w:tab w:val="left" w:pos="0"/>
        <w:tab w:val="left" w:pos="390"/>
      </w:tabs>
      <w:autoSpaceDE w:val="0"/>
      <w:autoSpaceDN w:val="0"/>
      <w:adjustRightInd w:val="0"/>
      <w:snapToGrid w:val="0"/>
      <w:spacing w:line="320" w:lineRule="exact"/>
      <w:ind w:firstLine="425" w:firstLineChars="177"/>
      <w:jc w:val="left"/>
    </w:pPr>
    <w:rPr>
      <w:rFonts w:hAnsi="宋体"/>
      <w:spacing w:val="10"/>
      <w:kern w:val="0"/>
      <w:sz w:val="20"/>
    </w:rPr>
  </w:style>
  <w:style w:type="character" w:customStyle="1" w:styleId="369">
    <w:name w:val="polysemyexp"/>
    <w:qFormat/>
    <w:uiPriority w:val="0"/>
    <w:rPr>
      <w:color w:val="AAAAAA"/>
      <w:sz w:val="18"/>
      <w:szCs w:val="18"/>
    </w:rPr>
  </w:style>
  <w:style w:type="character" w:customStyle="1" w:styleId="370">
    <w:name w:val="font01"/>
    <w:basedOn w:val="83"/>
    <w:qFormat/>
    <w:uiPriority w:val="0"/>
    <w:rPr>
      <w:rFonts w:hint="eastAsia" w:ascii="宋体" w:hAnsi="宋体" w:eastAsia="宋体" w:cs="宋体"/>
      <w:color w:val="000000"/>
      <w:sz w:val="22"/>
      <w:szCs w:val="22"/>
      <w:u w:val="none"/>
    </w:rPr>
  </w:style>
  <w:style w:type="character" w:customStyle="1" w:styleId="371">
    <w:name w:val="正文非缩进 Char"/>
    <w:qFormat/>
    <w:uiPriority w:val="0"/>
    <w:rPr>
      <w:rFonts w:ascii="??" w:eastAsia="??"/>
      <w:snapToGrid w:val="0"/>
      <w:color w:val="000000"/>
      <w:kern w:val="28"/>
      <w:sz w:val="28"/>
      <w:lang w:val="en-US" w:eastAsia="zh-CN" w:bidi="ar-SA"/>
    </w:rPr>
  </w:style>
  <w:style w:type="character" w:customStyle="1" w:styleId="372">
    <w:name w:val="font51"/>
    <w:basedOn w:val="83"/>
    <w:qFormat/>
    <w:uiPriority w:val="0"/>
    <w:rPr>
      <w:rFonts w:hint="eastAsia" w:ascii="宋体" w:hAnsi="宋体" w:eastAsia="宋体" w:cs="宋体"/>
      <w:color w:val="FF0000"/>
      <w:sz w:val="20"/>
      <w:szCs w:val="20"/>
      <w:u w:val="none"/>
    </w:rPr>
  </w:style>
  <w:style w:type="character" w:customStyle="1" w:styleId="373">
    <w:name w:val="正文加粗 Char1"/>
    <w:link w:val="374"/>
    <w:qFormat/>
    <w:uiPriority w:val="0"/>
    <w:rPr>
      <w:rFonts w:ascii="Arial" w:hAnsi="Arial"/>
      <w:b/>
      <w:sz w:val="24"/>
    </w:rPr>
  </w:style>
  <w:style w:type="paragraph" w:customStyle="1" w:styleId="374">
    <w:name w:val="正文加粗"/>
    <w:basedOn w:val="1"/>
    <w:link w:val="373"/>
    <w:qFormat/>
    <w:uiPriority w:val="0"/>
    <w:pPr>
      <w:widowControl/>
      <w:spacing w:line="360" w:lineRule="auto"/>
      <w:ind w:firstLine="200" w:firstLineChars="200"/>
      <w:jc w:val="left"/>
    </w:pPr>
    <w:rPr>
      <w:rFonts w:ascii="Arial" w:hAnsi="Arial"/>
      <w:b/>
      <w:kern w:val="0"/>
      <w:sz w:val="24"/>
      <w:szCs w:val="20"/>
    </w:rPr>
  </w:style>
  <w:style w:type="character" w:customStyle="1" w:styleId="375">
    <w:name w:val="AP_Body Char Char1"/>
    <w:qFormat/>
    <w:locked/>
    <w:uiPriority w:val="0"/>
    <w:rPr>
      <w:rFonts w:ascii="Futura Bk" w:hAnsi="Futura Bk" w:eastAsia="MS Mincho" w:cs="Futura Bk"/>
      <w:color w:val="000000"/>
      <w:sz w:val="17"/>
      <w:szCs w:val="17"/>
      <w:lang w:val="en-US"/>
    </w:rPr>
  </w:style>
  <w:style w:type="character" w:customStyle="1" w:styleId="376">
    <w:name w:val="样式 题注 + (西文) Times New Roman (中文) 宋体 五号 Char"/>
    <w:link w:val="377"/>
    <w:qFormat/>
    <w:uiPriority w:val="0"/>
    <w:rPr>
      <w:rFonts w:cs="Arial"/>
      <w:b/>
      <w:sz w:val="18"/>
    </w:rPr>
  </w:style>
  <w:style w:type="paragraph" w:customStyle="1" w:styleId="377">
    <w:name w:val="样式 题注 + (西文) Times New Roman (中文) 宋体 五号"/>
    <w:basedOn w:val="22"/>
    <w:link w:val="376"/>
    <w:qFormat/>
    <w:uiPriority w:val="0"/>
    <w:pPr>
      <w:tabs>
        <w:tab w:val="left" w:pos="0"/>
        <w:tab w:val="left" w:pos="390"/>
      </w:tabs>
      <w:autoSpaceDE w:val="0"/>
      <w:autoSpaceDN w:val="0"/>
      <w:adjustRightInd w:val="0"/>
      <w:snapToGrid w:val="0"/>
      <w:spacing w:before="0" w:after="0"/>
      <w:ind w:firstLine="177" w:firstLineChars="177"/>
      <w:jc w:val="left"/>
    </w:pPr>
    <w:rPr>
      <w:rFonts w:ascii="Times New Roman" w:hAnsi="Times New Roman" w:eastAsia="宋体"/>
      <w:b/>
      <w:sz w:val="18"/>
    </w:rPr>
  </w:style>
  <w:style w:type="character" w:customStyle="1" w:styleId="378">
    <w:name w:val="标准正文格式 Char"/>
    <w:link w:val="379"/>
    <w:qFormat/>
    <w:uiPriority w:val="0"/>
    <w:rPr>
      <w:rFonts w:ascii="宋体" w:eastAsia="仿宋_GB2312"/>
      <w:color w:val="000000"/>
      <w:sz w:val="32"/>
    </w:rPr>
  </w:style>
  <w:style w:type="paragraph" w:customStyle="1" w:styleId="379">
    <w:name w:val="标准正文格式"/>
    <w:basedOn w:val="1"/>
    <w:link w:val="378"/>
    <w:qFormat/>
    <w:uiPriority w:val="0"/>
    <w:pPr>
      <w:widowControl/>
      <w:adjustRightInd w:val="0"/>
      <w:spacing w:before="60" w:after="120" w:line="360" w:lineRule="auto"/>
      <w:ind w:firstLine="640" w:firstLineChars="200"/>
      <w:textAlignment w:val="baseline"/>
    </w:pPr>
    <w:rPr>
      <w:rFonts w:ascii="宋体" w:eastAsia="仿宋_GB2312"/>
      <w:color w:val="000000"/>
      <w:kern w:val="0"/>
      <w:sz w:val="32"/>
      <w:szCs w:val="20"/>
    </w:rPr>
  </w:style>
  <w:style w:type="character" w:customStyle="1" w:styleId="380">
    <w:name w:val="style4"/>
    <w:basedOn w:val="83"/>
    <w:qFormat/>
    <w:uiPriority w:val="0"/>
  </w:style>
  <w:style w:type="character" w:customStyle="1" w:styleId="381">
    <w:name w:val="codeintext Char"/>
    <w:qFormat/>
    <w:uiPriority w:val="0"/>
    <w:rPr>
      <w:rFonts w:ascii="Courier New" w:hAnsi="Courier New"/>
      <w:sz w:val="18"/>
      <w:lang w:val="en-US" w:eastAsia="en-US" w:bidi="ar-SA"/>
    </w:rPr>
  </w:style>
  <w:style w:type="character" w:customStyle="1" w:styleId="382">
    <w:name w:val="style3"/>
    <w:basedOn w:val="83"/>
    <w:qFormat/>
    <w:uiPriority w:val="0"/>
  </w:style>
  <w:style w:type="character" w:customStyle="1" w:styleId="383">
    <w:name w:val="WW8Num18z1"/>
    <w:qFormat/>
    <w:uiPriority w:val="0"/>
    <w:rPr>
      <w:rFonts w:ascii="Courier New" w:hAnsi="Courier New"/>
      <w:lang w:val="en-GB"/>
    </w:rPr>
  </w:style>
  <w:style w:type="character" w:customStyle="1" w:styleId="384">
    <w:name w:val="样式 样式 样式 正文首行缩进 + 首行缩进:  1 字符 + 首行缩进:  2 字符 + 首行缩进:  2 字符 Char"/>
    <w:link w:val="385"/>
    <w:qFormat/>
    <w:uiPriority w:val="0"/>
    <w:rPr>
      <w:sz w:val="24"/>
    </w:rPr>
  </w:style>
  <w:style w:type="paragraph" w:customStyle="1" w:styleId="385">
    <w:name w:val="样式 样式 样式 正文首行缩进 + 首行缩进:  1 字符 + 首行缩进:  2 字符 + 首行缩进:  2 字符"/>
    <w:basedOn w:val="1"/>
    <w:link w:val="384"/>
    <w:qFormat/>
    <w:uiPriority w:val="0"/>
    <w:pPr>
      <w:tabs>
        <w:tab w:val="left" w:pos="390"/>
      </w:tabs>
      <w:spacing w:after="120" w:line="360" w:lineRule="auto"/>
      <w:ind w:firstLine="425" w:firstLineChars="177"/>
      <w:jc w:val="left"/>
    </w:pPr>
    <w:rPr>
      <w:kern w:val="0"/>
      <w:sz w:val="24"/>
      <w:szCs w:val="20"/>
    </w:rPr>
  </w:style>
  <w:style w:type="character" w:customStyle="1" w:styleId="386">
    <w:name w:val="称呼 Char2"/>
    <w:qFormat/>
    <w:uiPriority w:val="0"/>
    <w:rPr>
      <w:kern w:val="2"/>
      <w:sz w:val="21"/>
      <w:szCs w:val="24"/>
    </w:rPr>
  </w:style>
  <w:style w:type="character" w:customStyle="1" w:styleId="387">
    <w:name w:val="*Heading 3 Char"/>
    <w:link w:val="388"/>
    <w:qFormat/>
    <w:uiPriority w:val="0"/>
    <w:rPr>
      <w:rFonts w:ascii="Verdana" w:hAnsi="Verdana"/>
      <w:b/>
      <w:sz w:val="24"/>
      <w:szCs w:val="24"/>
      <w:lang w:val="en-US" w:eastAsia="en-US" w:bidi="ar-SA"/>
    </w:rPr>
  </w:style>
  <w:style w:type="paragraph" w:customStyle="1" w:styleId="388">
    <w:name w:val="*Heading 3"/>
    <w:next w:val="164"/>
    <w:link w:val="387"/>
    <w:qFormat/>
    <w:uiPriority w:val="0"/>
    <w:pPr>
      <w:keepNext/>
      <w:keepLines/>
      <w:spacing w:before="120" w:after="120" w:line="360" w:lineRule="auto"/>
      <w:ind w:left="240" w:leftChars="100" w:right="100" w:rightChars="100"/>
      <w:outlineLvl w:val="3"/>
    </w:pPr>
    <w:rPr>
      <w:rFonts w:ascii="Verdana" w:hAnsi="Verdana" w:eastAsia="宋体" w:cs="Times New Roman"/>
      <w:b/>
      <w:sz w:val="24"/>
      <w:szCs w:val="24"/>
      <w:lang w:val="en-US" w:eastAsia="en-US" w:bidi="ar-SA"/>
    </w:rPr>
  </w:style>
  <w:style w:type="character" w:customStyle="1" w:styleId="389">
    <w:name w:val="表格编号 Char"/>
    <w:link w:val="390"/>
    <w:qFormat/>
    <w:uiPriority w:val="0"/>
    <w:rPr>
      <w:rFonts w:ascii="Arial" w:hAnsi="Arial"/>
      <w:szCs w:val="24"/>
    </w:rPr>
  </w:style>
  <w:style w:type="paragraph" w:customStyle="1" w:styleId="390">
    <w:name w:val="表格编号"/>
    <w:basedOn w:val="341"/>
    <w:next w:val="1"/>
    <w:link w:val="389"/>
    <w:qFormat/>
    <w:uiPriority w:val="0"/>
    <w:pPr>
      <w:tabs>
        <w:tab w:val="left" w:pos="0"/>
      </w:tabs>
      <w:ind w:left="0" w:firstLine="0"/>
    </w:pPr>
    <w:rPr>
      <w:kern w:val="0"/>
      <w:sz w:val="20"/>
    </w:rPr>
  </w:style>
  <w:style w:type="character" w:customStyle="1" w:styleId="391">
    <w:name w:val="_Style 390"/>
    <w:qFormat/>
    <w:uiPriority w:val="21"/>
    <w:rPr>
      <w:b/>
      <w:bCs/>
      <w:i/>
      <w:iCs/>
      <w:color w:val="4F81BD"/>
    </w:rPr>
  </w:style>
  <w:style w:type="character" w:customStyle="1" w:styleId="392">
    <w:name w:val="WW8Num11z1"/>
    <w:qFormat/>
    <w:uiPriority w:val="0"/>
    <w:rPr>
      <w:rFonts w:ascii="Courier New" w:hAnsi="Courier New"/>
      <w:lang w:val="en-GB"/>
    </w:rPr>
  </w:style>
  <w:style w:type="character" w:customStyle="1" w:styleId="393">
    <w:name w:val="WW-Default Paragraph Font"/>
    <w:qFormat/>
    <w:uiPriority w:val="0"/>
    <w:rPr>
      <w:lang w:val="en-GB"/>
    </w:rPr>
  </w:style>
  <w:style w:type="character" w:customStyle="1" w:styleId="394">
    <w:name w:val="字元 字元8"/>
    <w:qFormat/>
    <w:locked/>
    <w:uiPriority w:val="0"/>
    <w:rPr>
      <w:rFonts w:ascii="Times New Roman" w:hAnsi="Times New Roman" w:eastAsia="Times New Roman" w:cs="Times New Roman"/>
      <w:lang w:val="en-GB"/>
    </w:rPr>
  </w:style>
  <w:style w:type="character" w:customStyle="1" w:styleId="395">
    <w:name w:val="font121"/>
    <w:basedOn w:val="83"/>
    <w:qFormat/>
    <w:uiPriority w:val="0"/>
    <w:rPr>
      <w:rFonts w:hint="eastAsia" w:ascii="宋体" w:hAnsi="宋体" w:eastAsia="宋体" w:cs="宋体"/>
      <w:color w:val="000000"/>
      <w:sz w:val="20"/>
      <w:szCs w:val="20"/>
      <w:u w:val="none"/>
    </w:rPr>
  </w:style>
  <w:style w:type="character" w:customStyle="1" w:styleId="396">
    <w:name w:val="列表框2 Char"/>
    <w:qFormat/>
    <w:uiPriority w:val="0"/>
    <w:rPr>
      <w:rFonts w:ascii="楷体_GB2312" w:hAnsi="宋体" w:cs="宋体"/>
      <w:color w:val="000000"/>
      <w:spacing w:val="10"/>
      <w:sz w:val="24"/>
      <w:szCs w:val="24"/>
    </w:rPr>
  </w:style>
  <w:style w:type="character" w:customStyle="1" w:styleId="397">
    <w:name w:val="标题 Char1"/>
    <w:qFormat/>
    <w:uiPriority w:val="0"/>
    <w:rPr>
      <w:rFonts w:ascii="Cambria" w:hAnsi="Cambria" w:cs="Times New Roman"/>
      <w:b/>
      <w:bCs/>
      <w:kern w:val="2"/>
      <w:sz w:val="32"/>
      <w:szCs w:val="32"/>
    </w:rPr>
  </w:style>
  <w:style w:type="character" w:customStyle="1" w:styleId="398">
    <w:name w:val="ZK_列表项目符号 Char"/>
    <w:link w:val="399"/>
    <w:qFormat/>
    <w:uiPriority w:val="0"/>
    <w:rPr>
      <w:kern w:val="2"/>
      <w:sz w:val="24"/>
    </w:rPr>
  </w:style>
  <w:style w:type="paragraph" w:customStyle="1" w:styleId="399">
    <w:name w:val="ZK_列表项目符号"/>
    <w:basedOn w:val="1"/>
    <w:next w:val="1"/>
    <w:link w:val="398"/>
    <w:qFormat/>
    <w:uiPriority w:val="0"/>
    <w:pPr>
      <w:tabs>
        <w:tab w:val="left" w:pos="390"/>
        <w:tab w:val="left" w:pos="907"/>
      </w:tabs>
      <w:spacing w:line="300" w:lineRule="auto"/>
      <w:ind w:left="2040" w:firstLine="177" w:firstLineChars="177"/>
    </w:pPr>
    <w:rPr>
      <w:sz w:val="24"/>
      <w:szCs w:val="20"/>
    </w:rPr>
  </w:style>
  <w:style w:type="character" w:customStyle="1" w:styleId="400">
    <w:name w:val="公文正文 Char"/>
    <w:link w:val="401"/>
    <w:qFormat/>
    <w:uiPriority w:val="0"/>
    <w:rPr>
      <w:rFonts w:ascii="??_GB2312" w:hAnsi="??_GB2312" w:eastAsia="??_GB2312"/>
      <w:kern w:val="2"/>
      <w:sz w:val="24"/>
      <w:szCs w:val="24"/>
    </w:rPr>
  </w:style>
  <w:style w:type="paragraph" w:customStyle="1" w:styleId="401">
    <w:name w:val="公文正文"/>
    <w:basedOn w:val="1"/>
    <w:link w:val="400"/>
    <w:qFormat/>
    <w:uiPriority w:val="0"/>
    <w:pPr>
      <w:spacing w:before="156" w:line="360" w:lineRule="auto"/>
      <w:ind w:firstLine="200" w:firstLineChars="200"/>
    </w:pPr>
    <w:rPr>
      <w:rFonts w:ascii="??_GB2312" w:hAnsi="??_GB2312" w:eastAsia="??_GB2312"/>
      <w:sz w:val="24"/>
    </w:rPr>
  </w:style>
  <w:style w:type="character" w:customStyle="1" w:styleId="402">
    <w:name w:val="正文文本缩进 Char"/>
    <w:qFormat/>
    <w:uiPriority w:val="0"/>
    <w:rPr>
      <w:rFonts w:ascii="Calibri" w:hAnsi="Calibri" w:eastAsia="宋体" w:cs="Times New Roman"/>
    </w:rPr>
  </w:style>
  <w:style w:type="character" w:customStyle="1" w:styleId="403">
    <w:name w:val="字元 字元9"/>
    <w:qFormat/>
    <w:locked/>
    <w:uiPriority w:val="0"/>
    <w:rPr>
      <w:rFonts w:ascii="Arial" w:hAnsi="Arial" w:eastAsia="Times New Roman" w:cs="Times New Roman"/>
      <w:color w:val="000000"/>
      <w:sz w:val="24"/>
      <w:szCs w:val="24"/>
    </w:rPr>
  </w:style>
  <w:style w:type="character" w:customStyle="1" w:styleId="404">
    <w:name w:val="WW8Num10z0"/>
    <w:qFormat/>
    <w:uiPriority w:val="0"/>
    <w:rPr>
      <w:rFonts w:ascii="Symbol" w:hAnsi="Symbol"/>
      <w:lang w:val="en-GB"/>
    </w:rPr>
  </w:style>
  <w:style w:type="character" w:customStyle="1" w:styleId="405">
    <w:name w:val="bds_more3"/>
    <w:qFormat/>
    <w:uiPriority w:val="0"/>
    <w:rPr>
      <w:rFonts w:hint="eastAsia" w:ascii="宋体" w:hAnsi="宋体" w:eastAsia="宋体" w:cs="宋体"/>
    </w:rPr>
  </w:style>
  <w:style w:type="character" w:customStyle="1" w:styleId="406">
    <w:name w:val="unnamed51"/>
    <w:qFormat/>
    <w:uiPriority w:val="0"/>
    <w:rPr>
      <w:sz w:val="22"/>
      <w:szCs w:val="22"/>
    </w:rPr>
  </w:style>
  <w:style w:type="character" w:customStyle="1" w:styleId="407">
    <w:name w:val="bookmark-item uuid-1588129097073 code-23007 addword single-line-text-input-box-cls readonly"/>
    <w:basedOn w:val="83"/>
    <w:qFormat/>
    <w:uiPriority w:val="0"/>
  </w:style>
  <w:style w:type="character" w:customStyle="1" w:styleId="408">
    <w:name w:val="op_dq01_title"/>
    <w:basedOn w:val="83"/>
    <w:qFormat/>
    <w:uiPriority w:val="0"/>
  </w:style>
  <w:style w:type="character" w:customStyle="1" w:styleId="409">
    <w:name w:val="样式1 Char Char Char"/>
    <w:qFormat/>
    <w:uiPriority w:val="0"/>
    <w:rPr>
      <w:rFonts w:ascii="Arial" w:hAnsi="Arial" w:eastAsia="宋体"/>
      <w:kern w:val="2"/>
      <w:sz w:val="21"/>
      <w:szCs w:val="24"/>
      <w:lang w:val="en-US" w:eastAsia="zh-CN" w:bidi="ar-SA"/>
    </w:rPr>
  </w:style>
  <w:style w:type="character" w:customStyle="1" w:styleId="410">
    <w:name w:val="text_edit1"/>
    <w:qFormat/>
    <w:uiPriority w:val="0"/>
    <w:rPr>
      <w:color w:val="3366CC"/>
      <w:sz w:val="18"/>
      <w:szCs w:val="18"/>
    </w:rPr>
  </w:style>
  <w:style w:type="character" w:customStyle="1" w:styleId="411">
    <w:name w:val="plus"/>
    <w:qFormat/>
    <w:uiPriority w:val="0"/>
    <w:rPr>
      <w:b/>
      <w:vanish/>
      <w:color w:val="1F8DEF"/>
      <w:sz w:val="24"/>
      <w:szCs w:val="24"/>
    </w:rPr>
  </w:style>
  <w:style w:type="character" w:customStyle="1" w:styleId="412">
    <w:name w:val="字元 字元17"/>
    <w:qFormat/>
    <w:locked/>
    <w:uiPriority w:val="0"/>
    <w:rPr>
      <w:rFonts w:ascii="Times New Roman" w:hAnsi="Times New Roman" w:eastAsia="Times New Roman" w:cs="Times New Roman"/>
      <w:b/>
      <w:sz w:val="24"/>
      <w:lang w:val="en-GB"/>
    </w:rPr>
  </w:style>
  <w:style w:type="character" w:customStyle="1" w:styleId="413">
    <w:name w:val="标题三 Char Char"/>
    <w:link w:val="414"/>
    <w:qFormat/>
    <w:uiPriority w:val="0"/>
    <w:rPr>
      <w:rFonts w:ascii="宋体"/>
      <w:b/>
      <w:bCs/>
      <w:sz w:val="28"/>
    </w:rPr>
  </w:style>
  <w:style w:type="paragraph" w:customStyle="1" w:styleId="414">
    <w:name w:val="标题三"/>
    <w:basedOn w:val="4"/>
    <w:link w:val="413"/>
    <w:qFormat/>
    <w:uiPriority w:val="0"/>
    <w:pPr>
      <w:keepNext/>
      <w:keepLines/>
      <w:widowControl w:val="0"/>
      <w:tabs>
        <w:tab w:val="left" w:pos="0"/>
        <w:tab w:val="left" w:pos="390"/>
        <w:tab w:val="left" w:pos="737"/>
      </w:tabs>
      <w:adjustRightInd w:val="0"/>
      <w:spacing w:line="360" w:lineRule="atLeast"/>
      <w:ind w:left="737" w:hanging="737" w:firstLineChars="199"/>
      <w:jc w:val="left"/>
      <w:textAlignment w:val="baseline"/>
    </w:pPr>
    <w:rPr>
      <w:rFonts w:ascii="宋体" w:hAnsi="Times New Roman"/>
      <w:bCs/>
      <w:kern w:val="0"/>
      <w:sz w:val="28"/>
    </w:rPr>
  </w:style>
  <w:style w:type="character" w:customStyle="1" w:styleId="415">
    <w:name w:val="fonts11"/>
    <w:qFormat/>
    <w:uiPriority w:val="0"/>
    <w:rPr>
      <w:sz w:val="18"/>
      <w:szCs w:val="18"/>
    </w:rPr>
  </w:style>
  <w:style w:type="character" w:customStyle="1" w:styleId="416">
    <w:name w:val="WW8Num14z0"/>
    <w:qFormat/>
    <w:uiPriority w:val="0"/>
    <w:rPr>
      <w:rFonts w:ascii="Symbol" w:hAnsi="Symbol"/>
      <w:lang w:val="en-GB"/>
    </w:rPr>
  </w:style>
  <w:style w:type="character" w:customStyle="1" w:styleId="417">
    <w:name w:val="Bullet Symbols"/>
    <w:qFormat/>
    <w:uiPriority w:val="0"/>
    <w:rPr>
      <w:rFonts w:ascii="Times New Roman" w:hAnsi="Times New Roman"/>
      <w:sz w:val="18"/>
      <w:lang w:val="en-GB"/>
    </w:rPr>
  </w:style>
  <w:style w:type="character" w:customStyle="1" w:styleId="418">
    <w:name w:val="Char Char3"/>
    <w:qFormat/>
    <w:uiPriority w:val="0"/>
    <w:rPr>
      <w:rFonts w:ascii="Arial" w:hAnsi="Arial" w:eastAsia="宋体"/>
      <w:b/>
      <w:bCs/>
      <w:kern w:val="2"/>
      <w:sz w:val="21"/>
      <w:szCs w:val="32"/>
      <w:lang w:val="en-US" w:eastAsia="zh-CN" w:bidi="ar-SA"/>
    </w:rPr>
  </w:style>
  <w:style w:type="character" w:customStyle="1" w:styleId="419">
    <w:name w:val="smallbold1"/>
    <w:qFormat/>
    <w:uiPriority w:val="0"/>
    <w:rPr>
      <w:b/>
      <w:bCs/>
      <w:sz w:val="22"/>
      <w:szCs w:val="22"/>
    </w:rPr>
  </w:style>
  <w:style w:type="character" w:customStyle="1" w:styleId="420">
    <w:name w:val="txt"/>
    <w:basedOn w:val="83"/>
    <w:qFormat/>
    <w:uiPriority w:val="0"/>
  </w:style>
  <w:style w:type="character" w:customStyle="1" w:styleId="421">
    <w:name w:val="正常文本 Char Char"/>
    <w:link w:val="422"/>
    <w:qFormat/>
    <w:uiPriority w:val="0"/>
    <w:rPr>
      <w:rFonts w:ascii="Arial" w:hAnsi="Arial" w:cs="宋体"/>
      <w:spacing w:val="10"/>
      <w:sz w:val="24"/>
    </w:rPr>
  </w:style>
  <w:style w:type="paragraph" w:customStyle="1" w:styleId="422">
    <w:name w:val="正常文本"/>
    <w:basedOn w:val="1"/>
    <w:link w:val="421"/>
    <w:qFormat/>
    <w:uiPriority w:val="0"/>
    <w:pPr>
      <w:tabs>
        <w:tab w:val="left" w:pos="0"/>
        <w:tab w:val="left" w:pos="390"/>
      </w:tabs>
      <w:autoSpaceDE w:val="0"/>
      <w:autoSpaceDN w:val="0"/>
      <w:adjustRightInd w:val="0"/>
      <w:snapToGrid w:val="0"/>
      <w:spacing w:afterLines="50" w:line="320" w:lineRule="exact"/>
      <w:ind w:left="720" w:leftChars="300" w:firstLine="460" w:firstLineChars="177"/>
      <w:jc w:val="left"/>
    </w:pPr>
    <w:rPr>
      <w:rFonts w:ascii="Arial" w:hAnsi="Arial"/>
      <w:spacing w:val="10"/>
      <w:kern w:val="0"/>
      <w:sz w:val="24"/>
      <w:szCs w:val="20"/>
    </w:rPr>
  </w:style>
  <w:style w:type="character" w:customStyle="1" w:styleId="423">
    <w:name w:val="style8"/>
    <w:basedOn w:val="83"/>
    <w:qFormat/>
    <w:uiPriority w:val="0"/>
  </w:style>
  <w:style w:type="character" w:customStyle="1" w:styleId="424">
    <w:name w:val="css1"/>
    <w:basedOn w:val="83"/>
    <w:qFormat/>
    <w:uiPriority w:val="0"/>
  </w:style>
  <w:style w:type="character" w:customStyle="1" w:styleId="425">
    <w:name w:val="font41"/>
    <w:basedOn w:val="83"/>
    <w:qFormat/>
    <w:uiPriority w:val="0"/>
    <w:rPr>
      <w:rFonts w:hint="eastAsia" w:ascii="宋体" w:hAnsi="宋体" w:eastAsia="宋体" w:cs="宋体"/>
      <w:b/>
      <w:color w:val="FF0000"/>
      <w:sz w:val="20"/>
      <w:szCs w:val="20"/>
      <w:u w:val="none"/>
    </w:rPr>
  </w:style>
  <w:style w:type="character" w:customStyle="1" w:styleId="426">
    <w:name w:val="_Style 425"/>
    <w:qFormat/>
    <w:uiPriority w:val="33"/>
    <w:rPr>
      <w:b/>
      <w:bCs/>
      <w:smallCaps/>
      <w:spacing w:val="5"/>
    </w:rPr>
  </w:style>
  <w:style w:type="character" w:customStyle="1" w:styleId="427">
    <w:name w:val="ZK_正文缩进 Char"/>
    <w:link w:val="428"/>
    <w:qFormat/>
    <w:uiPriority w:val="0"/>
    <w:rPr>
      <w:sz w:val="24"/>
    </w:rPr>
  </w:style>
  <w:style w:type="paragraph" w:customStyle="1" w:styleId="428">
    <w:name w:val="ZK_正文缩进"/>
    <w:basedOn w:val="1"/>
    <w:link w:val="427"/>
    <w:qFormat/>
    <w:uiPriority w:val="0"/>
    <w:pPr>
      <w:tabs>
        <w:tab w:val="left" w:pos="390"/>
      </w:tabs>
      <w:spacing w:line="300" w:lineRule="auto"/>
      <w:ind w:firstLine="200" w:firstLineChars="177"/>
    </w:pPr>
    <w:rPr>
      <w:kern w:val="0"/>
      <w:sz w:val="24"/>
      <w:szCs w:val="20"/>
    </w:rPr>
  </w:style>
  <w:style w:type="character" w:customStyle="1" w:styleId="429">
    <w:name w:val="style7"/>
    <w:basedOn w:val="83"/>
    <w:qFormat/>
    <w:uiPriority w:val="0"/>
  </w:style>
  <w:style w:type="character" w:customStyle="1" w:styleId="430">
    <w:name w:val="WW8Num6z0"/>
    <w:qFormat/>
    <w:uiPriority w:val="0"/>
    <w:rPr>
      <w:rFonts w:ascii="Symbol" w:hAnsi="Symbol"/>
      <w:lang w:val="en-GB"/>
    </w:rPr>
  </w:style>
  <w:style w:type="character" w:customStyle="1" w:styleId="431">
    <w:name w:val="页眉 Char1"/>
    <w:qFormat/>
    <w:uiPriority w:val="99"/>
    <w:rPr>
      <w:rFonts w:ascii="Times New Roman" w:hAnsi="Times New Roman" w:eastAsia="宋体" w:cs="Times New Roman"/>
      <w:sz w:val="18"/>
      <w:szCs w:val="18"/>
    </w:rPr>
  </w:style>
  <w:style w:type="character" w:customStyle="1" w:styleId="432">
    <w:name w:val="DO_NOT_TRANSLATE"/>
    <w:qFormat/>
    <w:uiPriority w:val="0"/>
    <w:rPr>
      <w:rFonts w:ascii="Courier New" w:hAnsi="Courier New" w:cs="Courier New"/>
      <w:color w:val="800000"/>
      <w:lang w:val="en-US" w:eastAsia="zh-CN"/>
    </w:rPr>
  </w:style>
  <w:style w:type="character" w:customStyle="1" w:styleId="433">
    <w:name w:val="Item List in Table Char Char"/>
    <w:link w:val="434"/>
    <w:qFormat/>
    <w:uiPriority w:val="0"/>
    <w:rPr>
      <w:rFonts w:ascii="Arial" w:hAnsi="Arial"/>
      <w:sz w:val="18"/>
      <w:szCs w:val="18"/>
      <w:lang w:val="en-US" w:eastAsia="zh-CN" w:bidi="ar-SA"/>
    </w:rPr>
  </w:style>
  <w:style w:type="paragraph" w:customStyle="1" w:styleId="434">
    <w:name w:val="Item List in Table"/>
    <w:link w:val="433"/>
    <w:qFormat/>
    <w:uiPriority w:val="0"/>
    <w:pPr>
      <w:tabs>
        <w:tab w:val="left" w:pos="840"/>
      </w:tabs>
      <w:spacing w:before="40" w:after="40"/>
      <w:ind w:left="360" w:hanging="360"/>
      <w:jc w:val="both"/>
    </w:pPr>
    <w:rPr>
      <w:rFonts w:ascii="Arial" w:hAnsi="Arial" w:eastAsia="宋体" w:cs="Times New Roman"/>
      <w:sz w:val="18"/>
      <w:szCs w:val="18"/>
      <w:lang w:val="en-US" w:eastAsia="zh-CN" w:bidi="ar-SA"/>
    </w:rPr>
  </w:style>
  <w:style w:type="character" w:customStyle="1" w:styleId="435">
    <w:name w:val="正文1 Char"/>
    <w:link w:val="436"/>
    <w:qFormat/>
    <w:uiPriority w:val="0"/>
    <w:rPr>
      <w:rFonts w:ascii="Book Antiqua" w:hAnsi="Book Antiqua"/>
      <w:sz w:val="24"/>
      <w:szCs w:val="24"/>
    </w:rPr>
  </w:style>
  <w:style w:type="paragraph" w:customStyle="1" w:styleId="436">
    <w:name w:val="正文1"/>
    <w:basedOn w:val="1"/>
    <w:link w:val="435"/>
    <w:qFormat/>
    <w:uiPriority w:val="0"/>
    <w:pPr>
      <w:widowControl/>
      <w:spacing w:before="120" w:after="120" w:line="360" w:lineRule="auto"/>
      <w:ind w:firstLine="500"/>
    </w:pPr>
    <w:rPr>
      <w:rFonts w:ascii="Book Antiqua" w:hAnsi="Book Antiqua"/>
      <w:kern w:val="0"/>
      <w:sz w:val="24"/>
    </w:rPr>
  </w:style>
  <w:style w:type="character" w:customStyle="1" w:styleId="437">
    <w:name w:val="签名 Char2"/>
    <w:qFormat/>
    <w:uiPriority w:val="0"/>
    <w:rPr>
      <w:kern w:val="2"/>
      <w:sz w:val="21"/>
      <w:szCs w:val="24"/>
    </w:rPr>
  </w:style>
  <w:style w:type="character" w:customStyle="1" w:styleId="438">
    <w:name w:val="WW8Num13z2"/>
    <w:qFormat/>
    <w:uiPriority w:val="0"/>
    <w:rPr>
      <w:rFonts w:ascii="Wingdings" w:hAnsi="Wingdings"/>
      <w:lang w:val="en-GB"/>
    </w:rPr>
  </w:style>
  <w:style w:type="character" w:customStyle="1" w:styleId="439">
    <w:name w:val="headline-content2"/>
    <w:basedOn w:val="83"/>
    <w:qFormat/>
    <w:uiPriority w:val="0"/>
  </w:style>
  <w:style w:type="character" w:customStyle="1" w:styleId="440">
    <w:name w:val="标题4 Char"/>
    <w:link w:val="441"/>
    <w:qFormat/>
    <w:uiPriority w:val="0"/>
    <w:rPr>
      <w:rFonts w:ascii="Arial" w:hAnsi="Arial"/>
      <w:b/>
      <w:bCs/>
      <w:sz w:val="24"/>
      <w:szCs w:val="28"/>
    </w:rPr>
  </w:style>
  <w:style w:type="paragraph" w:customStyle="1" w:styleId="441">
    <w:name w:val="标题4"/>
    <w:basedOn w:val="5"/>
    <w:link w:val="440"/>
    <w:qFormat/>
    <w:uiPriority w:val="0"/>
    <w:pPr>
      <w:keepNext/>
      <w:keepLines/>
      <w:widowControl w:val="0"/>
      <w:tabs>
        <w:tab w:val="left" w:pos="851"/>
        <w:tab w:val="left" w:pos="993"/>
      </w:tabs>
      <w:spacing w:before="160" w:after="170" w:line="360" w:lineRule="auto"/>
      <w:ind w:left="851" w:right="100" w:rightChars="100" w:hanging="851"/>
    </w:pPr>
    <w:rPr>
      <w:b/>
      <w:bCs/>
      <w:sz w:val="24"/>
      <w:szCs w:val="28"/>
    </w:rPr>
  </w:style>
  <w:style w:type="character" w:customStyle="1" w:styleId="442">
    <w:name w:val="WW8Num15z0"/>
    <w:qFormat/>
    <w:uiPriority w:val="0"/>
    <w:rPr>
      <w:rFonts w:ascii="Symbol" w:hAnsi="Symbol"/>
      <w:lang w:val="en-GB"/>
    </w:rPr>
  </w:style>
  <w:style w:type="character" w:customStyle="1" w:styleId="443">
    <w:name w:val="WW8Num8z0"/>
    <w:qFormat/>
    <w:uiPriority w:val="0"/>
    <w:rPr>
      <w:rFonts w:ascii="Symbol" w:hAnsi="Symbol"/>
      <w:lang w:val="en-GB"/>
    </w:rPr>
  </w:style>
  <w:style w:type="character" w:customStyle="1" w:styleId="444">
    <w:name w:val="HP Sender Char"/>
    <w:link w:val="445"/>
    <w:qFormat/>
    <w:uiPriority w:val="0"/>
    <w:rPr>
      <w:rFonts w:ascii="Arial" w:hAnsi="Arial" w:eastAsia="Times"/>
      <w:b/>
      <w:sz w:val="16"/>
      <w:szCs w:val="16"/>
      <w:lang w:val="en-US" w:eastAsia="en-US" w:bidi="ar-SA"/>
    </w:rPr>
  </w:style>
  <w:style w:type="paragraph" w:customStyle="1" w:styleId="445">
    <w:name w:val="HP Sender"/>
    <w:next w:val="1"/>
    <w:link w:val="444"/>
    <w:qFormat/>
    <w:uiPriority w:val="0"/>
    <w:pPr>
      <w:spacing w:before="100" w:beforeAutospacing="1" w:after="100" w:afterAutospacing="1"/>
    </w:pPr>
    <w:rPr>
      <w:rFonts w:ascii="Arial" w:hAnsi="Arial" w:eastAsia="Times" w:cs="Times New Roman"/>
      <w:b/>
      <w:sz w:val="16"/>
      <w:szCs w:val="16"/>
      <w:lang w:val="en-US" w:eastAsia="en-US" w:bidi="ar-SA"/>
    </w:rPr>
  </w:style>
  <w:style w:type="character" w:customStyle="1" w:styleId="446">
    <w:name w:val="WW8Num5z0"/>
    <w:qFormat/>
    <w:uiPriority w:val="0"/>
    <w:rPr>
      <w:rFonts w:ascii="Symbol" w:hAnsi="Symbol"/>
      <w:lang w:val="en-GB"/>
    </w:rPr>
  </w:style>
  <w:style w:type="character" w:customStyle="1" w:styleId="447">
    <w:name w:val="图 Char"/>
    <w:link w:val="448"/>
    <w:qFormat/>
    <w:uiPriority w:val="0"/>
    <w:rPr>
      <w:szCs w:val="21"/>
    </w:rPr>
  </w:style>
  <w:style w:type="paragraph" w:customStyle="1" w:styleId="448">
    <w:name w:val="图"/>
    <w:basedOn w:val="1"/>
    <w:next w:val="1"/>
    <w:link w:val="447"/>
    <w:qFormat/>
    <w:uiPriority w:val="0"/>
    <w:pPr>
      <w:spacing w:line="360" w:lineRule="auto"/>
      <w:ind w:firstLine="420"/>
      <w:jc w:val="center"/>
    </w:pPr>
    <w:rPr>
      <w:kern w:val="0"/>
      <w:sz w:val="20"/>
      <w:szCs w:val="21"/>
    </w:rPr>
  </w:style>
  <w:style w:type="character" w:customStyle="1" w:styleId="449">
    <w:name w:val="标准正文 Char"/>
    <w:link w:val="450"/>
    <w:qFormat/>
    <w:uiPriority w:val="0"/>
    <w:rPr>
      <w:sz w:val="24"/>
      <w:szCs w:val="24"/>
    </w:rPr>
  </w:style>
  <w:style w:type="paragraph" w:customStyle="1" w:styleId="450">
    <w:name w:val="标准正文"/>
    <w:basedOn w:val="1"/>
    <w:link w:val="449"/>
    <w:qFormat/>
    <w:uiPriority w:val="0"/>
    <w:pPr>
      <w:spacing w:line="360" w:lineRule="auto"/>
      <w:ind w:firstLine="200" w:firstLineChars="200"/>
    </w:pPr>
    <w:rPr>
      <w:kern w:val="0"/>
      <w:sz w:val="24"/>
    </w:rPr>
  </w:style>
  <w:style w:type="character" w:customStyle="1" w:styleId="451">
    <w:name w:val="font101"/>
    <w:basedOn w:val="83"/>
    <w:qFormat/>
    <w:uiPriority w:val="0"/>
    <w:rPr>
      <w:rFonts w:ascii="Arial" w:hAnsi="Arial" w:cs="Arial"/>
      <w:color w:val="333333"/>
      <w:sz w:val="18"/>
      <w:szCs w:val="18"/>
      <w:u w:val="none"/>
    </w:rPr>
  </w:style>
  <w:style w:type="character" w:customStyle="1" w:styleId="452">
    <w:name w:val="Table Text Char"/>
    <w:qFormat/>
    <w:uiPriority w:val="0"/>
    <w:rPr>
      <w:rFonts w:ascii="Arial" w:hAnsi="Arial"/>
      <w:sz w:val="18"/>
      <w:lang w:val="en-US" w:eastAsia="en-US" w:bidi="ar-SA"/>
    </w:rPr>
  </w:style>
  <w:style w:type="character" w:customStyle="1" w:styleId="453">
    <w:name w:val="不用8 Char Char"/>
    <w:qFormat/>
    <w:uiPriority w:val="0"/>
    <w:rPr>
      <w:rFonts w:ascii="Microsoft Sans Serif" w:hAnsi="Microsoft Sans Serif" w:eastAsia="宋体" w:cs="Microsoft Sans Serif"/>
      <w:i/>
      <w:iCs/>
      <w:kern w:val="0"/>
      <w:sz w:val="24"/>
      <w:szCs w:val="24"/>
    </w:rPr>
  </w:style>
  <w:style w:type="character" w:customStyle="1" w:styleId="454">
    <w:name w:val="标题 7 Char"/>
    <w:qFormat/>
    <w:uiPriority w:val="0"/>
    <w:rPr>
      <w:b/>
      <w:bCs/>
      <w:kern w:val="2"/>
      <w:sz w:val="24"/>
      <w:szCs w:val="24"/>
    </w:rPr>
  </w:style>
  <w:style w:type="character" w:customStyle="1" w:styleId="455">
    <w:name w:val="访问过的超链接1"/>
    <w:qFormat/>
    <w:uiPriority w:val="99"/>
    <w:rPr>
      <w:color w:val="800080"/>
      <w:u w:val="single"/>
    </w:rPr>
  </w:style>
  <w:style w:type="character" w:customStyle="1" w:styleId="456">
    <w:name w:val="标题四 Char Char"/>
    <w:qFormat/>
    <w:uiPriority w:val="0"/>
    <w:rPr>
      <w:rFonts w:eastAsia="宋体"/>
      <w:kern w:val="2"/>
      <w:sz w:val="24"/>
      <w:lang w:val="en-US" w:eastAsia="zh-CN" w:bidi="ar-SA"/>
    </w:rPr>
  </w:style>
  <w:style w:type="character" w:customStyle="1" w:styleId="457">
    <w:name w:val="WW8Num13z0"/>
    <w:qFormat/>
    <w:uiPriority w:val="0"/>
    <w:rPr>
      <w:rFonts w:ascii="Symbol" w:hAnsi="Symbol"/>
      <w:lang w:val="en-GB"/>
    </w:rPr>
  </w:style>
  <w:style w:type="character" w:customStyle="1" w:styleId="458">
    <w:name w:val="bold1"/>
    <w:qFormat/>
    <w:uiPriority w:val="0"/>
    <w:rPr>
      <w:b/>
      <w:bCs/>
    </w:rPr>
  </w:style>
  <w:style w:type="character" w:customStyle="1" w:styleId="459">
    <w:name w:val="样式1 Char"/>
    <w:qFormat/>
    <w:uiPriority w:val="0"/>
    <w:rPr>
      <w:rFonts w:ascii="Arial" w:hAnsi="Arial" w:eastAsia="宋体"/>
      <w:kern w:val="2"/>
      <w:sz w:val="21"/>
      <w:szCs w:val="24"/>
      <w:lang w:val="en-US" w:eastAsia="zh-CN" w:bidi="ar-SA"/>
    </w:rPr>
  </w:style>
  <w:style w:type="character" w:customStyle="1" w:styleId="460">
    <w:name w:val="大汉方案正文 Char1"/>
    <w:link w:val="461"/>
    <w:qFormat/>
    <w:uiPriority w:val="0"/>
    <w:rPr>
      <w:rFonts w:ascii="Arial" w:hAnsi="Arial"/>
      <w:kern w:val="2"/>
      <w:sz w:val="24"/>
      <w:szCs w:val="24"/>
    </w:rPr>
  </w:style>
  <w:style w:type="paragraph" w:customStyle="1" w:styleId="461">
    <w:name w:val="大汉方案正文"/>
    <w:basedOn w:val="1"/>
    <w:link w:val="460"/>
    <w:qFormat/>
    <w:uiPriority w:val="0"/>
    <w:pPr>
      <w:spacing w:line="360" w:lineRule="auto"/>
      <w:ind w:firstLine="200" w:firstLineChars="200"/>
    </w:pPr>
    <w:rPr>
      <w:rFonts w:ascii="Arial" w:hAnsi="Arial"/>
      <w:sz w:val="24"/>
    </w:rPr>
  </w:style>
  <w:style w:type="character" w:customStyle="1" w:styleId="462">
    <w:name w:val="正文（首行缩进2字符） Char"/>
    <w:link w:val="463"/>
    <w:qFormat/>
    <w:uiPriority w:val="0"/>
    <w:rPr>
      <w:sz w:val="24"/>
      <w:szCs w:val="24"/>
    </w:rPr>
  </w:style>
  <w:style w:type="paragraph" w:customStyle="1" w:styleId="463">
    <w:name w:val="正文（首行缩进2字符）"/>
    <w:basedOn w:val="1"/>
    <w:link w:val="462"/>
    <w:qFormat/>
    <w:uiPriority w:val="0"/>
    <w:pPr>
      <w:spacing w:line="360" w:lineRule="auto"/>
      <w:ind w:firstLine="200" w:firstLineChars="200"/>
    </w:pPr>
    <w:rPr>
      <w:kern w:val="0"/>
      <w:sz w:val="24"/>
    </w:rPr>
  </w:style>
  <w:style w:type="character" w:customStyle="1" w:styleId="464">
    <w:name w:val="应答标题 Char"/>
    <w:qFormat/>
    <w:uiPriority w:val="0"/>
    <w:rPr>
      <w:rFonts w:ascii="黑体" w:hAnsi="Arial" w:eastAsia="黑体" w:cs="宋体"/>
      <w:b/>
      <w:spacing w:val="10"/>
      <w:sz w:val="24"/>
      <w:szCs w:val="24"/>
      <w:u w:val="single"/>
      <w:lang w:val="en-US" w:eastAsia="zh-CN" w:bidi="ar-SA"/>
    </w:rPr>
  </w:style>
  <w:style w:type="character" w:customStyle="1" w:styleId="465">
    <w:name w:val="NormalTable Char"/>
    <w:link w:val="466"/>
    <w:qFormat/>
    <w:uiPriority w:val="0"/>
    <w:rPr>
      <w:rFonts w:ascii="Arial" w:hAnsi="Arial" w:eastAsia="MS Mincho"/>
      <w:lang w:val="en-AU" w:eastAsia="en-US"/>
    </w:rPr>
  </w:style>
  <w:style w:type="paragraph" w:customStyle="1" w:styleId="466">
    <w:name w:val="NormalTable"/>
    <w:basedOn w:val="1"/>
    <w:link w:val="465"/>
    <w:qFormat/>
    <w:uiPriority w:val="0"/>
    <w:pPr>
      <w:widowControl/>
      <w:jc w:val="left"/>
    </w:pPr>
    <w:rPr>
      <w:rFonts w:ascii="Arial" w:hAnsi="Arial" w:eastAsia="MS Mincho"/>
      <w:kern w:val="0"/>
      <w:sz w:val="20"/>
      <w:szCs w:val="20"/>
      <w:lang w:val="en-AU" w:eastAsia="en-US"/>
    </w:rPr>
  </w:style>
  <w:style w:type="character" w:customStyle="1" w:styleId="467">
    <w:name w:val="sort1"/>
    <w:qFormat/>
    <w:uiPriority w:val="0"/>
  </w:style>
  <w:style w:type="character" w:customStyle="1" w:styleId="468">
    <w:name w:val="font21"/>
    <w:basedOn w:val="83"/>
    <w:qFormat/>
    <w:uiPriority w:val="0"/>
    <w:rPr>
      <w:rFonts w:hint="default" w:ascii="font-weight : 400" w:hAnsi="font-weight : 400" w:eastAsia="font-weight : 400" w:cs="font-weight : 400"/>
      <w:color w:val="000000"/>
      <w:sz w:val="22"/>
      <w:szCs w:val="22"/>
      <w:u w:val="none"/>
    </w:rPr>
  </w:style>
  <w:style w:type="character" w:customStyle="1" w:styleId="469">
    <w:name w:val="listitem1"/>
    <w:qFormat/>
    <w:uiPriority w:val="0"/>
    <w:rPr>
      <w:sz w:val="22"/>
      <w:szCs w:val="22"/>
    </w:rPr>
  </w:style>
  <w:style w:type="character" w:customStyle="1" w:styleId="470">
    <w:name w:val="hps"/>
    <w:basedOn w:val="83"/>
    <w:qFormat/>
    <w:uiPriority w:val="0"/>
  </w:style>
  <w:style w:type="character" w:customStyle="1" w:styleId="471">
    <w:name w:val="字元 字元11"/>
    <w:qFormat/>
    <w:locked/>
    <w:uiPriority w:val="0"/>
    <w:rPr>
      <w:rFonts w:ascii="Cambria" w:hAnsi="Cambria" w:eastAsia="Times New Roman" w:cs="Times New Roman"/>
      <w:color w:val="17365D"/>
      <w:spacing w:val="5"/>
      <w:kern w:val="28"/>
      <w:sz w:val="52"/>
      <w:szCs w:val="52"/>
    </w:rPr>
  </w:style>
  <w:style w:type="character" w:customStyle="1" w:styleId="472">
    <w:name w:val="bds_nopic2"/>
    <w:basedOn w:val="83"/>
    <w:qFormat/>
    <w:uiPriority w:val="0"/>
  </w:style>
  <w:style w:type="character" w:customStyle="1" w:styleId="473">
    <w:name w:val="字元 字元2"/>
    <w:qFormat/>
    <w:locked/>
    <w:uiPriority w:val="0"/>
    <w:rPr>
      <w:rFonts w:ascii="Arial" w:hAnsi="Arial" w:eastAsia="Times New Roman" w:cs="Times New Roman"/>
      <w:lang w:val="en-GB"/>
    </w:rPr>
  </w:style>
  <w:style w:type="character" w:customStyle="1" w:styleId="474">
    <w:name w:val="bds_more1"/>
    <w:qFormat/>
    <w:uiPriority w:val="0"/>
  </w:style>
  <w:style w:type="character" w:customStyle="1" w:styleId="475">
    <w:name w:val="列表框2 Char Char"/>
    <w:link w:val="476"/>
    <w:qFormat/>
    <w:uiPriority w:val="0"/>
    <w:rPr>
      <w:spacing w:val="10"/>
      <w:sz w:val="24"/>
      <w:szCs w:val="24"/>
    </w:rPr>
  </w:style>
  <w:style w:type="paragraph" w:customStyle="1" w:styleId="476">
    <w:name w:val="列表框2"/>
    <w:basedOn w:val="152"/>
    <w:link w:val="475"/>
    <w:qFormat/>
    <w:uiPriority w:val="0"/>
    <w:pPr>
      <w:tabs>
        <w:tab w:val="left" w:pos="1890"/>
      </w:tabs>
      <w:ind w:left="900" w:hanging="420"/>
    </w:pPr>
  </w:style>
  <w:style w:type="character" w:customStyle="1" w:styleId="477">
    <w:name w:val="sidecatalog-dot"/>
    <w:basedOn w:val="83"/>
    <w:qFormat/>
    <w:uiPriority w:val="0"/>
  </w:style>
  <w:style w:type="character" w:customStyle="1" w:styleId="478">
    <w:name w:val="WW8Num12z2"/>
    <w:qFormat/>
    <w:uiPriority w:val="0"/>
    <w:rPr>
      <w:rFonts w:ascii="Wingdings" w:hAnsi="Wingdings"/>
      <w:lang w:val="en-GB"/>
    </w:rPr>
  </w:style>
  <w:style w:type="character" w:customStyle="1" w:styleId="479">
    <w:name w:val="WW8Num7z0"/>
    <w:qFormat/>
    <w:uiPriority w:val="0"/>
    <w:rPr>
      <w:rFonts w:ascii="Symbol" w:hAnsi="Symbol"/>
      <w:lang w:val="en-GB"/>
    </w:rPr>
  </w:style>
  <w:style w:type="character" w:customStyle="1" w:styleId="480">
    <w:name w:val="表头样式 Char"/>
    <w:link w:val="481"/>
    <w:qFormat/>
    <w:uiPriority w:val="0"/>
    <w:rPr>
      <w:rFonts w:hAnsi="宋体" w:cs="宋体"/>
      <w:color w:val="000000"/>
      <w:sz w:val="24"/>
    </w:rPr>
  </w:style>
  <w:style w:type="paragraph" w:customStyle="1" w:styleId="481">
    <w:name w:val="表头样式"/>
    <w:basedOn w:val="1"/>
    <w:next w:val="1"/>
    <w:link w:val="480"/>
    <w:qFormat/>
    <w:uiPriority w:val="0"/>
    <w:pPr>
      <w:tabs>
        <w:tab w:val="left" w:pos="0"/>
        <w:tab w:val="left" w:pos="390"/>
      </w:tabs>
      <w:autoSpaceDE w:val="0"/>
      <w:autoSpaceDN w:val="0"/>
      <w:adjustRightInd w:val="0"/>
      <w:snapToGrid w:val="0"/>
      <w:ind w:firstLine="425" w:firstLineChars="177"/>
      <w:jc w:val="left"/>
    </w:pPr>
    <w:rPr>
      <w:rFonts w:hAnsi="宋体"/>
      <w:color w:val="000000"/>
      <w:kern w:val="0"/>
      <w:sz w:val="24"/>
      <w:szCs w:val="20"/>
    </w:rPr>
  </w:style>
  <w:style w:type="character" w:customStyle="1" w:styleId="482">
    <w:name w:val="‧ N character plain text new"/>
    <w:qFormat/>
    <w:uiPriority w:val="0"/>
    <w:rPr>
      <w:rFonts w:ascii="Times New Roman" w:hAnsi="Times New Roman" w:cs="Tahoma"/>
      <w:sz w:val="20"/>
      <w:lang w:val="en-GB"/>
    </w:rPr>
  </w:style>
  <w:style w:type="character" w:customStyle="1" w:styleId="483">
    <w:name w:val="WW8Num21z0"/>
    <w:qFormat/>
    <w:uiPriority w:val="0"/>
    <w:rPr>
      <w:rFonts w:ascii="Symbol" w:hAnsi="Symbol"/>
      <w:lang w:val="en-GB"/>
    </w:rPr>
  </w:style>
  <w:style w:type="character" w:customStyle="1" w:styleId="484">
    <w:name w:val="标题 Char"/>
    <w:qFormat/>
    <w:uiPriority w:val="0"/>
    <w:rPr>
      <w:rFonts w:ascii="Arial" w:hAnsi="Arial" w:cs="Arial"/>
      <w:b/>
      <w:bCs/>
      <w:kern w:val="1"/>
      <w:sz w:val="32"/>
      <w:szCs w:val="32"/>
      <w:lang w:eastAsia="ar-SA"/>
    </w:rPr>
  </w:style>
  <w:style w:type="character" w:customStyle="1" w:styleId="485">
    <w:name w:val="注释标题 Char2"/>
    <w:qFormat/>
    <w:uiPriority w:val="0"/>
    <w:rPr>
      <w:kern w:val="2"/>
      <w:sz w:val="21"/>
      <w:szCs w:val="24"/>
    </w:rPr>
  </w:style>
  <w:style w:type="character" w:customStyle="1" w:styleId="486">
    <w:name w:val="‧ N command line new"/>
    <w:qFormat/>
    <w:uiPriority w:val="0"/>
    <w:rPr>
      <w:rFonts w:ascii="Times New Roman" w:hAnsi="Times New Roman" w:cs="Tahoma"/>
      <w:sz w:val="20"/>
      <w:lang w:val="en-GB"/>
    </w:rPr>
  </w:style>
  <w:style w:type="character" w:customStyle="1" w:styleId="487">
    <w:name w:val="大汉方案正文 Char Char Char"/>
    <w:link w:val="488"/>
    <w:qFormat/>
    <w:uiPriority w:val="0"/>
    <w:rPr>
      <w:rFonts w:ascii="Arial" w:hAnsi="Arial"/>
      <w:kern w:val="2"/>
      <w:sz w:val="24"/>
      <w:szCs w:val="24"/>
    </w:rPr>
  </w:style>
  <w:style w:type="paragraph" w:customStyle="1" w:styleId="488">
    <w:name w:val="大汉方案正文 Char"/>
    <w:basedOn w:val="1"/>
    <w:link w:val="487"/>
    <w:qFormat/>
    <w:uiPriority w:val="0"/>
    <w:pPr>
      <w:spacing w:line="360" w:lineRule="auto"/>
      <w:ind w:firstLine="200" w:firstLineChars="200"/>
    </w:pPr>
    <w:rPr>
      <w:rFonts w:ascii="Arial" w:hAnsi="Arial"/>
      <w:sz w:val="24"/>
    </w:rPr>
  </w:style>
  <w:style w:type="character" w:customStyle="1" w:styleId="489">
    <w:name w:val="fontstyle01"/>
    <w:qFormat/>
    <w:uiPriority w:val="0"/>
    <w:rPr>
      <w:rFonts w:hint="eastAsia" w:ascii="宋体" w:hAnsi="宋体" w:eastAsia="宋体"/>
      <w:color w:val="000000"/>
      <w:sz w:val="22"/>
      <w:szCs w:val="22"/>
    </w:rPr>
  </w:style>
  <w:style w:type="character" w:customStyle="1" w:styleId="490">
    <w:name w:val="desc"/>
    <w:qFormat/>
    <w:uiPriority w:val="0"/>
    <w:rPr>
      <w:color w:val="000000"/>
      <w:sz w:val="18"/>
      <w:szCs w:val="18"/>
    </w:rPr>
  </w:style>
  <w:style w:type="character" w:customStyle="1" w:styleId="491">
    <w:name w:val="字元 字元13"/>
    <w:qFormat/>
    <w:locked/>
    <w:uiPriority w:val="0"/>
    <w:rPr>
      <w:rFonts w:cs="Times New Roman"/>
    </w:rPr>
  </w:style>
  <w:style w:type="character" w:customStyle="1" w:styleId="492">
    <w:name w:val="WW8Num21z2"/>
    <w:qFormat/>
    <w:uiPriority w:val="0"/>
    <w:rPr>
      <w:rFonts w:ascii="Wingdings" w:hAnsi="Wingdings"/>
      <w:lang w:val="en-GB"/>
    </w:rPr>
  </w:style>
  <w:style w:type="character" w:customStyle="1" w:styleId="493">
    <w:name w:val="WW8Num18z0"/>
    <w:qFormat/>
    <w:uiPriority w:val="0"/>
    <w:rPr>
      <w:rFonts w:ascii="Symbol" w:hAnsi="Symbol"/>
      <w:lang w:val="en-GB"/>
    </w:rPr>
  </w:style>
  <w:style w:type="character" w:customStyle="1" w:styleId="494">
    <w:name w:val="WW8Num11z0"/>
    <w:qFormat/>
    <w:uiPriority w:val="0"/>
    <w:rPr>
      <w:rFonts w:ascii="Symbol" w:hAnsi="Symbol"/>
      <w:lang w:val="en-GB"/>
    </w:rPr>
  </w:style>
  <w:style w:type="paragraph" w:customStyle="1" w:styleId="495">
    <w:name w:val="Normal + (Complex) Arial"/>
    <w:basedOn w:val="3"/>
    <w:qFormat/>
    <w:uiPriority w:val="0"/>
    <w:pPr>
      <w:keepLines w:val="0"/>
      <w:tabs>
        <w:tab w:val="left" w:pos="284"/>
      </w:tabs>
      <w:autoSpaceDN w:val="0"/>
      <w:adjustRightInd w:val="0"/>
      <w:snapToGrid/>
      <w:spacing w:before="240" w:after="120" w:line="240" w:lineRule="auto"/>
      <w:ind w:firstLine="0" w:firstLineChars="0"/>
      <w:jc w:val="left"/>
    </w:pPr>
    <w:rPr>
      <w:rFonts w:eastAsia="PMingLiU" w:cs="Arial"/>
      <w:color w:val="000000"/>
      <w:kern w:val="0"/>
      <w:sz w:val="28"/>
      <w:szCs w:val="28"/>
      <w:lang w:val="en-GB" w:eastAsia="zh-TW"/>
    </w:rPr>
  </w:style>
  <w:style w:type="paragraph" w:customStyle="1" w:styleId="496">
    <w:name w:val="xl13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49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98">
    <w:name w:val="xl34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99">
    <w:name w:val="‧ N head 4"/>
    <w:basedOn w:val="500"/>
    <w:next w:val="501"/>
    <w:qFormat/>
    <w:uiPriority w:val="0"/>
  </w:style>
  <w:style w:type="paragraph" w:customStyle="1" w:styleId="500">
    <w:name w:val="‧ N base"/>
    <w:qFormat/>
    <w:uiPriority w:val="0"/>
    <w:pPr>
      <w:widowControl w:val="0"/>
      <w:autoSpaceDN w:val="0"/>
      <w:adjustRightInd w:val="0"/>
    </w:pPr>
    <w:rPr>
      <w:rFonts w:ascii="Arial" w:hAnsi="Arial" w:eastAsia="PMingLiU" w:cs="Tahoma"/>
      <w:snapToGrid w:val="0"/>
      <w:szCs w:val="24"/>
      <w:lang w:val="en-GB" w:eastAsia="zh-TW" w:bidi="ar-SA"/>
    </w:rPr>
  </w:style>
  <w:style w:type="paragraph" w:customStyle="1" w:styleId="501">
    <w:name w:val="‧ N body indented"/>
    <w:basedOn w:val="500"/>
    <w:qFormat/>
    <w:uiPriority w:val="0"/>
  </w:style>
  <w:style w:type="paragraph" w:customStyle="1" w:styleId="502">
    <w:name w:val="xl3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3">
    <w:name w:val="正文缩进1"/>
    <w:basedOn w:val="1"/>
    <w:qFormat/>
    <w:uiPriority w:val="0"/>
    <w:pPr>
      <w:spacing w:line="360" w:lineRule="auto"/>
      <w:ind w:firstLine="454"/>
      <w:jc w:val="left"/>
    </w:pPr>
    <w:rPr>
      <w:sz w:val="24"/>
    </w:rPr>
  </w:style>
  <w:style w:type="paragraph" w:customStyle="1" w:styleId="504">
    <w:name w:val="xl36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05">
    <w:name w:val="xl18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06">
    <w:name w:val="xl218"/>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07">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508">
    <w:name w:val="‧ N table-10 head center"/>
    <w:basedOn w:val="500"/>
    <w:next w:val="509"/>
    <w:qFormat/>
    <w:uiPriority w:val="0"/>
  </w:style>
  <w:style w:type="paragraph" w:customStyle="1" w:styleId="509">
    <w:name w:val="‧ N table-10 body"/>
    <w:basedOn w:val="1"/>
    <w:qFormat/>
    <w:uiPriority w:val="0"/>
    <w:pPr>
      <w:autoSpaceDN w:val="0"/>
      <w:adjustRightInd w:val="0"/>
      <w:spacing w:before="113" w:after="113" w:line="264" w:lineRule="auto"/>
      <w:jc w:val="left"/>
    </w:pPr>
    <w:rPr>
      <w:rFonts w:ascii="Arial" w:hAnsi="Arial" w:eastAsia="PMingLiU" w:cs="Tahoma"/>
      <w:kern w:val="0"/>
      <w:sz w:val="20"/>
      <w:lang w:val="en-GB" w:eastAsia="zh-TW"/>
    </w:rPr>
  </w:style>
  <w:style w:type="paragraph" w:customStyle="1" w:styleId="510">
    <w:name w:val="a0"/>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511">
    <w:name w:val="正文3"/>
    <w:basedOn w:val="1"/>
    <w:qFormat/>
    <w:uiPriority w:val="0"/>
    <w:rPr>
      <w:rFonts w:ascii="Tahoma" w:hAnsi="Tahoma"/>
    </w:rPr>
  </w:style>
  <w:style w:type="paragraph" w:customStyle="1" w:styleId="512">
    <w:name w:val="样式 表格文本 + (西文) Arial (中文) 楷体_GB2312 段后: 23.4 磅"/>
    <w:basedOn w:val="1"/>
    <w:qFormat/>
    <w:uiPriority w:val="0"/>
    <w:pPr>
      <w:tabs>
        <w:tab w:val="left" w:pos="0"/>
        <w:tab w:val="left" w:pos="390"/>
      </w:tabs>
      <w:autoSpaceDE w:val="0"/>
      <w:autoSpaceDN w:val="0"/>
      <w:adjustRightInd w:val="0"/>
      <w:snapToGrid w:val="0"/>
      <w:spacing w:line="300" w:lineRule="exact"/>
      <w:ind w:firstLine="425" w:firstLineChars="177"/>
      <w:jc w:val="left"/>
    </w:pPr>
    <w:rPr>
      <w:rFonts w:ascii="Arial" w:hAnsi="Arial" w:cs="宋体"/>
      <w:sz w:val="24"/>
      <w:szCs w:val="20"/>
    </w:rPr>
  </w:style>
  <w:style w:type="paragraph" w:customStyle="1" w:styleId="513">
    <w:name w:val="SOW正文"/>
    <w:basedOn w:val="1"/>
    <w:qFormat/>
    <w:uiPriority w:val="0"/>
    <w:pPr>
      <w:snapToGrid w:val="0"/>
      <w:spacing w:before="120" w:line="400" w:lineRule="exact"/>
      <w:ind w:firstLine="425"/>
    </w:pPr>
    <w:rPr>
      <w:rFonts w:ascii="Arial" w:hAnsi="Arial"/>
      <w:sz w:val="24"/>
      <w:szCs w:val="20"/>
    </w:rPr>
  </w:style>
  <w:style w:type="paragraph" w:customStyle="1" w:styleId="514">
    <w:name w:val="‧ N Page Footer"/>
    <w:basedOn w:val="51"/>
    <w:qFormat/>
    <w:uiPriority w:val="0"/>
    <w:pPr>
      <w:pBdr>
        <w:top w:val="single" w:color="000000" w:sz="2" w:space="1"/>
      </w:pBdr>
      <w:tabs>
        <w:tab w:val="right" w:pos="9971"/>
        <w:tab w:val="clear" w:pos="4153"/>
        <w:tab w:val="clear" w:pos="8306"/>
      </w:tabs>
      <w:autoSpaceDN w:val="0"/>
      <w:adjustRightInd w:val="0"/>
      <w:snapToGrid/>
    </w:pPr>
    <w:rPr>
      <w:rFonts w:ascii="Arial" w:hAnsi="Arial" w:eastAsia="PMingLiU"/>
      <w:kern w:val="0"/>
      <w:sz w:val="20"/>
      <w:szCs w:val="20"/>
      <w:lang w:val="en-GB" w:eastAsia="zh-TW"/>
    </w:rPr>
  </w:style>
  <w:style w:type="paragraph" w:customStyle="1" w:styleId="515">
    <w:name w:val="xl3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16">
    <w:name w:val="~Body Text"/>
    <w:basedOn w:val="164"/>
    <w:qFormat/>
    <w:uiPriority w:val="0"/>
    <w:pPr>
      <w:spacing w:after="220" w:line="220" w:lineRule="atLeast"/>
    </w:pPr>
    <w:rPr>
      <w:color w:val="00637A"/>
    </w:rPr>
  </w:style>
  <w:style w:type="paragraph" w:customStyle="1" w:styleId="517">
    <w:name w:val="编号正文"/>
    <w:basedOn w:val="1"/>
    <w:qFormat/>
    <w:uiPriority w:val="0"/>
    <w:pPr>
      <w:tabs>
        <w:tab w:val="left" w:pos="590"/>
      </w:tabs>
      <w:spacing w:line="360" w:lineRule="auto"/>
      <w:ind w:left="454"/>
    </w:pPr>
    <w:rPr>
      <w:rFonts w:ascii="宋体" w:hAnsi="宋体"/>
    </w:rPr>
  </w:style>
  <w:style w:type="paragraph" w:customStyle="1" w:styleId="518">
    <w:name w:val="_HP Sidebar text"/>
    <w:basedOn w:val="102"/>
    <w:next w:val="102"/>
    <w:qFormat/>
    <w:uiPriority w:val="0"/>
    <w:pPr>
      <w:spacing w:after="360"/>
    </w:pPr>
    <w:rPr>
      <w:rFonts w:ascii="Futura-Heavy" w:hAnsi="Futura-Heavy" w:eastAsia="宋体" w:cs="Times New Roman"/>
      <w:color w:val="auto"/>
    </w:rPr>
  </w:style>
  <w:style w:type="paragraph" w:customStyle="1" w:styleId="519">
    <w:name w:val="~Alt Number"/>
    <w:basedOn w:val="520"/>
    <w:qFormat/>
    <w:uiPriority w:val="0"/>
    <w:pPr>
      <w:tabs>
        <w:tab w:val="left" w:pos="360"/>
        <w:tab w:val="left" w:pos="1440"/>
      </w:tabs>
      <w:ind w:left="1440" w:hanging="1440"/>
    </w:pPr>
  </w:style>
  <w:style w:type="paragraph" w:customStyle="1" w:styleId="520">
    <w:name w:val="~Number"/>
    <w:basedOn w:val="516"/>
    <w:qFormat/>
    <w:uiPriority w:val="0"/>
    <w:pPr>
      <w:tabs>
        <w:tab w:val="left" w:pos="360"/>
      </w:tabs>
      <w:spacing w:after="0"/>
      <w:ind w:left="360" w:hanging="360"/>
    </w:pPr>
  </w:style>
  <w:style w:type="paragraph" w:customStyle="1" w:styleId="521">
    <w:name w:val="*Bullet #1 Subtext Double"/>
    <w:basedOn w:val="522"/>
    <w:qFormat/>
    <w:uiPriority w:val="0"/>
    <w:pPr>
      <w:tabs>
        <w:tab w:val="left" w:pos="425"/>
        <w:tab w:val="left" w:pos="900"/>
      </w:tabs>
      <w:spacing w:after="220"/>
    </w:pPr>
  </w:style>
  <w:style w:type="paragraph" w:customStyle="1" w:styleId="522">
    <w:name w:val="*Bullet #1 Subtext Single"/>
    <w:basedOn w:val="275"/>
    <w:qFormat/>
    <w:uiPriority w:val="0"/>
    <w:pPr>
      <w:spacing w:after="0"/>
      <w:ind w:firstLine="0"/>
    </w:pPr>
  </w:style>
  <w:style w:type="paragraph" w:customStyle="1" w:styleId="523">
    <w:name w:val="xl1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24">
    <w:name w:val="xl25"/>
    <w:basedOn w:val="1"/>
    <w:qFormat/>
    <w:uiPriority w:val="0"/>
    <w:pPr>
      <w:widowControl/>
      <w:spacing w:before="100" w:beforeAutospacing="1" w:after="100" w:afterAutospacing="1" w:line="360" w:lineRule="auto"/>
      <w:ind w:firstLine="420"/>
      <w:jc w:val="center"/>
      <w:textAlignment w:val="center"/>
    </w:pPr>
    <w:rPr>
      <w:rFonts w:hint="eastAsia" w:ascii="楷体_GB2312" w:hAnsi="宋体" w:eastAsia="楷体_GB2312"/>
      <w:kern w:val="0"/>
      <w:sz w:val="24"/>
    </w:rPr>
  </w:style>
  <w:style w:type="paragraph" w:customStyle="1" w:styleId="525">
    <w:name w:val="xl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26">
    <w:name w:val="技术标题2"/>
    <w:basedOn w:val="527"/>
    <w:qFormat/>
    <w:uiPriority w:val="0"/>
    <w:pPr>
      <w:tabs>
        <w:tab w:val="left" w:pos="0"/>
        <w:tab w:val="left" w:pos="390"/>
        <w:tab w:val="left" w:pos="432"/>
        <w:tab w:val="left" w:pos="567"/>
        <w:tab w:val="left" w:pos="993"/>
        <w:tab w:val="left" w:pos="1440"/>
      </w:tabs>
      <w:spacing w:beforeLines="150" w:line="240" w:lineRule="auto"/>
      <w:ind w:left="567" w:hanging="567"/>
    </w:pPr>
    <w:rPr>
      <w:sz w:val="28"/>
    </w:rPr>
  </w:style>
  <w:style w:type="paragraph" w:customStyle="1" w:styleId="527">
    <w:name w:val="技术标题1"/>
    <w:basedOn w:val="5"/>
    <w:qFormat/>
    <w:uiPriority w:val="0"/>
    <w:pPr>
      <w:keepLines/>
      <w:widowControl w:val="0"/>
      <w:tabs>
        <w:tab w:val="left" w:pos="0"/>
        <w:tab w:val="left" w:pos="390"/>
        <w:tab w:val="left" w:pos="432"/>
        <w:tab w:val="left" w:pos="993"/>
      </w:tabs>
      <w:autoSpaceDE w:val="0"/>
      <w:autoSpaceDN w:val="0"/>
      <w:spacing w:beforeLines="100" w:afterLines="50" w:line="360" w:lineRule="auto"/>
      <w:ind w:firstLine="177" w:firstLineChars="177"/>
    </w:pPr>
    <w:rPr>
      <w:bCs/>
      <w:kern w:val="2"/>
      <w:sz w:val="36"/>
      <w:szCs w:val="28"/>
    </w:rPr>
  </w:style>
  <w:style w:type="paragraph" w:customStyle="1" w:styleId="528">
    <w:name w:val="xl62"/>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529">
    <w:name w:val="xl45"/>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530">
    <w:name w:val="_Style 529"/>
    <w:basedOn w:val="2"/>
    <w:next w:val="1"/>
    <w:qFormat/>
    <w:uiPriority w:val="39"/>
    <w:pPr>
      <w:keepLines/>
      <w:widowControl/>
      <w:tabs>
        <w:tab w:val="left" w:pos="4253"/>
      </w:tabs>
      <w:spacing w:before="480" w:line="276" w:lineRule="auto"/>
      <w:jc w:val="left"/>
      <w:outlineLvl w:val="9"/>
    </w:pPr>
    <w:rPr>
      <w:rFonts w:ascii="Cambria" w:hAnsi="Cambria" w:eastAsia="宋体"/>
      <w:bCs/>
      <w:color w:val="365F91"/>
      <w:kern w:val="0"/>
      <w:sz w:val="28"/>
      <w:szCs w:val="28"/>
    </w:rPr>
  </w:style>
  <w:style w:type="paragraph" w:customStyle="1" w:styleId="531">
    <w:name w:val="_HP Body text_last 10 pt"/>
    <w:basedOn w:val="102"/>
    <w:next w:val="102"/>
    <w:qFormat/>
    <w:uiPriority w:val="0"/>
    <w:pPr>
      <w:spacing w:after="240"/>
    </w:pPr>
    <w:rPr>
      <w:rFonts w:ascii="Futura-Book" w:hAnsi="Futura-Book" w:eastAsia="宋体" w:cs="Times New Roman"/>
      <w:color w:val="auto"/>
    </w:rPr>
  </w:style>
  <w:style w:type="paragraph" w:customStyle="1" w:styleId="532">
    <w:name w:val="yxy标题3"/>
    <w:basedOn w:val="1"/>
    <w:next w:val="1"/>
    <w:qFormat/>
    <w:uiPriority w:val="0"/>
    <w:pPr>
      <w:keepNext/>
      <w:spacing w:line="360" w:lineRule="auto"/>
      <w:ind w:firstLine="200" w:firstLineChars="200"/>
      <w:outlineLvl w:val="2"/>
    </w:pPr>
    <w:rPr>
      <w:b/>
      <w:sz w:val="28"/>
      <w:szCs w:val="20"/>
    </w:rPr>
  </w:style>
  <w:style w:type="paragraph" w:customStyle="1" w:styleId="533">
    <w:name w:val="xl384"/>
    <w:basedOn w:val="1"/>
    <w:qFormat/>
    <w:uiPriority w:val="0"/>
    <w:pPr>
      <w:widowControl/>
      <w:pBdr>
        <w:top w:val="single" w:color="auto" w:sz="4" w:space="0"/>
        <w:left w:val="single" w:color="auto" w:sz="4" w:space="0"/>
        <w:bottom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534">
    <w:name w:val="xl1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5">
    <w:name w:val="_Style 4"/>
    <w:basedOn w:val="1"/>
    <w:qFormat/>
    <w:uiPriority w:val="34"/>
    <w:pPr>
      <w:ind w:firstLine="420" w:firstLineChars="200"/>
    </w:pPr>
    <w:rPr>
      <w:szCs w:val="22"/>
    </w:rPr>
  </w:style>
  <w:style w:type="paragraph" w:customStyle="1" w:styleId="536">
    <w:name w:val="*Heading 2"/>
    <w:next w:val="1"/>
    <w:qFormat/>
    <w:uiPriority w:val="0"/>
    <w:pPr>
      <w:keepNext/>
      <w:keepLines/>
      <w:spacing w:before="120" w:after="120" w:line="360" w:lineRule="auto"/>
      <w:ind w:left="240" w:leftChars="100" w:right="100" w:rightChars="100"/>
      <w:outlineLvl w:val="2"/>
    </w:pPr>
    <w:rPr>
      <w:rFonts w:ascii="Verdana" w:hAnsi="Verdana" w:eastAsia="宋体" w:cs="Times New Roman"/>
      <w:b/>
      <w:sz w:val="32"/>
      <w:szCs w:val="32"/>
      <w:lang w:val="en-US" w:eastAsia="en-US" w:bidi="ar-SA"/>
    </w:rPr>
  </w:style>
  <w:style w:type="paragraph" w:customStyle="1" w:styleId="537">
    <w:name w:val="xl14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538">
    <w:name w:val="xl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9">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40">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41">
    <w:name w:val="xl199"/>
    <w:basedOn w:val="1"/>
    <w:qFormat/>
    <w:uiPriority w:val="0"/>
    <w:pPr>
      <w:widowControl/>
      <w:pBdr>
        <w:top w:val="single" w:color="auto" w:sz="4" w:space="0"/>
        <w:left w:val="single" w:color="auto" w:sz="8"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542">
    <w:name w:val="*Bullet Subnumber"/>
    <w:basedOn w:val="543"/>
    <w:qFormat/>
    <w:uiPriority w:val="0"/>
    <w:pPr>
      <w:tabs>
        <w:tab w:val="left" w:pos="720"/>
        <w:tab w:val="left" w:pos="900"/>
      </w:tabs>
    </w:pPr>
    <w:rPr>
      <w:color w:val="auto"/>
    </w:rPr>
  </w:style>
  <w:style w:type="paragraph" w:customStyle="1" w:styleId="543">
    <w:name w:val="~Bullet Subnumber"/>
    <w:basedOn w:val="544"/>
    <w:qFormat/>
    <w:uiPriority w:val="0"/>
    <w:pPr>
      <w:tabs>
        <w:tab w:val="left" w:pos="720"/>
        <w:tab w:val="left" w:pos="900"/>
      </w:tabs>
      <w:ind w:left="720" w:hanging="360"/>
    </w:pPr>
  </w:style>
  <w:style w:type="paragraph" w:customStyle="1" w:styleId="544">
    <w:name w:val="~Bullet #1 Subtext"/>
    <w:basedOn w:val="545"/>
    <w:qFormat/>
    <w:uiPriority w:val="0"/>
    <w:pPr>
      <w:tabs>
        <w:tab w:val="left" w:pos="900"/>
      </w:tabs>
      <w:ind w:left="360" w:firstLine="0"/>
    </w:pPr>
  </w:style>
  <w:style w:type="paragraph" w:customStyle="1" w:styleId="545">
    <w:name w:val="~Bullet #1 Single"/>
    <w:basedOn w:val="516"/>
    <w:qFormat/>
    <w:uiPriority w:val="0"/>
    <w:pPr>
      <w:tabs>
        <w:tab w:val="left" w:pos="900"/>
      </w:tabs>
      <w:spacing w:after="0"/>
      <w:ind w:left="900" w:hanging="420"/>
    </w:pPr>
  </w:style>
  <w:style w:type="paragraph" w:customStyle="1" w:styleId="546">
    <w:name w:val="List 1 Start"/>
    <w:basedOn w:val="61"/>
    <w:qFormat/>
    <w:uiPriority w:val="0"/>
    <w:pPr>
      <w:widowControl/>
      <w:spacing w:before="240"/>
      <w:ind w:left="0" w:firstLine="0" w:firstLineChars="0"/>
      <w:jc w:val="left"/>
    </w:pPr>
    <w:rPr>
      <w:rFonts w:eastAsia="PMingLiU"/>
      <w:kern w:val="0"/>
      <w:sz w:val="20"/>
      <w:szCs w:val="20"/>
      <w:lang w:eastAsia="zh-TW"/>
    </w:rPr>
  </w:style>
  <w:style w:type="paragraph" w:customStyle="1" w:styleId="547">
    <w:name w:val="Table index 1"/>
    <w:basedOn w:val="46"/>
    <w:qFormat/>
    <w:uiPriority w:val="0"/>
    <w:pPr>
      <w:tabs>
        <w:tab w:val="right" w:leader="dot" w:pos="9746"/>
      </w:tabs>
    </w:pPr>
  </w:style>
  <w:style w:type="paragraph" w:customStyle="1" w:styleId="548">
    <w:name w:val="xl237"/>
    <w:basedOn w:val="1"/>
    <w:qFormat/>
    <w:uiPriority w:val="0"/>
    <w:pPr>
      <w:pBdr>
        <w:top w:val="single" w:color="auto" w:sz="4" w:space="0"/>
        <w:left w:val="single" w:color="auto" w:sz="4" w:space="0"/>
        <w:bottom w:val="single" w:color="auto" w:sz="4" w:space="0"/>
        <w:right w:val="single" w:color="auto" w:sz="4" w:space="0"/>
      </w:pBdr>
      <w:shd w:val="clear" w:color="auto" w:fill="FFFF0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49">
    <w:name w:val="正文 New New"/>
    <w:qFormat/>
    <w:uiPriority w:val="0"/>
    <w:pPr>
      <w:spacing w:after="200" w:line="276" w:lineRule="auto"/>
    </w:pPr>
    <w:rPr>
      <w:rFonts w:ascii="Calibri" w:hAnsi="Calibri" w:eastAsia="宋体" w:cs="黑体"/>
      <w:sz w:val="22"/>
      <w:szCs w:val="22"/>
      <w:lang w:val="en-US" w:eastAsia="en-US" w:bidi="ar-SA"/>
    </w:rPr>
  </w:style>
  <w:style w:type="paragraph" w:customStyle="1" w:styleId="550">
    <w:name w:val="*Bullet #3 Double"/>
    <w:basedOn w:val="551"/>
    <w:qFormat/>
    <w:uiPriority w:val="0"/>
    <w:pPr>
      <w:tabs>
        <w:tab w:val="left" w:pos="284"/>
        <w:tab w:val="left" w:pos="360"/>
        <w:tab w:val="left" w:pos="481"/>
        <w:tab w:val="left" w:pos="600"/>
        <w:tab w:val="left" w:pos="780"/>
        <w:tab w:val="left" w:pos="840"/>
        <w:tab w:val="left" w:pos="900"/>
        <w:tab w:val="left" w:pos="1080"/>
        <w:tab w:val="left" w:pos="1200"/>
        <w:tab w:val="left" w:pos="1620"/>
      </w:tabs>
      <w:spacing w:after="220"/>
    </w:pPr>
  </w:style>
  <w:style w:type="paragraph" w:customStyle="1" w:styleId="551">
    <w:name w:val="*Bullet #3 Single"/>
    <w:basedOn w:val="552"/>
    <w:qFormat/>
    <w:uiPriority w:val="0"/>
    <w:pPr>
      <w:tabs>
        <w:tab w:val="left" w:pos="284"/>
        <w:tab w:val="left" w:pos="360"/>
        <w:tab w:val="left" w:pos="780"/>
        <w:tab w:val="left" w:pos="840"/>
        <w:tab w:val="left" w:pos="900"/>
        <w:tab w:val="left" w:pos="1080"/>
        <w:tab w:val="left" w:pos="1200"/>
      </w:tabs>
      <w:ind w:left="1080" w:hanging="360"/>
    </w:pPr>
  </w:style>
  <w:style w:type="paragraph" w:customStyle="1" w:styleId="552">
    <w:name w:val="*Bullet #2 Single"/>
    <w:basedOn w:val="192"/>
    <w:qFormat/>
    <w:uiPriority w:val="0"/>
    <w:pPr>
      <w:tabs>
        <w:tab w:val="left" w:pos="360"/>
        <w:tab w:val="left" w:pos="840"/>
        <w:tab w:val="left" w:pos="900"/>
      </w:tabs>
      <w:ind w:left="840" w:hanging="420"/>
    </w:pPr>
  </w:style>
  <w:style w:type="paragraph" w:customStyle="1" w:styleId="553">
    <w:name w:val="封面第一行"/>
    <w:basedOn w:val="1"/>
    <w:qFormat/>
    <w:uiPriority w:val="0"/>
    <w:pPr>
      <w:spacing w:line="360" w:lineRule="auto"/>
      <w:jc w:val="center"/>
    </w:pPr>
    <w:rPr>
      <w:rFonts w:ascii="黑体" w:hAnsi="宋体" w:eastAsia="黑体" w:cs="宋体"/>
      <w:sz w:val="56"/>
      <w:szCs w:val="20"/>
    </w:rPr>
  </w:style>
  <w:style w:type="paragraph" w:customStyle="1" w:styleId="554">
    <w:name w:val="bullets"/>
    <w:basedOn w:val="17"/>
    <w:qFormat/>
    <w:uiPriority w:val="0"/>
    <w:pPr>
      <w:widowControl/>
      <w:tabs>
        <w:tab w:val="left" w:pos="-1584"/>
      </w:tabs>
      <w:adjustRightInd/>
      <w:spacing w:after="120" w:line="360" w:lineRule="auto"/>
      <w:ind w:left="425" w:hanging="425"/>
      <w:textAlignment w:val="auto"/>
    </w:pPr>
    <w:rPr>
      <w:rFonts w:ascii="Arial" w:hAnsi="Arial" w:eastAsia="宋体"/>
      <w:sz w:val="20"/>
      <w:lang w:eastAsia="en-US"/>
    </w:rPr>
  </w:style>
  <w:style w:type="paragraph" w:customStyle="1" w:styleId="555">
    <w:name w:val="xl20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56">
    <w:name w:val="_Style 61"/>
    <w:basedOn w:val="1"/>
    <w:qFormat/>
    <w:uiPriority w:val="0"/>
    <w:rPr>
      <w:rFonts w:ascii="仿宋_GB2312" w:eastAsia="仿宋_GB2312"/>
      <w:b/>
      <w:sz w:val="32"/>
      <w:szCs w:val="32"/>
    </w:rPr>
  </w:style>
  <w:style w:type="paragraph" w:customStyle="1" w:styleId="557">
    <w:name w:val="a14"/>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558">
    <w:name w:val="xl347"/>
    <w:basedOn w:val="1"/>
    <w:qFormat/>
    <w:uiPriority w:val="0"/>
    <w:pPr>
      <w:widowControl/>
      <w:shd w:val="clear" w:color="000000" w:fill="FFFFFF"/>
      <w:spacing w:before="100" w:beforeAutospacing="1" w:after="100" w:afterAutospacing="1"/>
      <w:jc w:val="left"/>
    </w:pPr>
    <w:rPr>
      <w:rFonts w:ascii="仿宋_GB2312" w:hAnsi="宋体" w:eastAsia="仿宋_GB2312" w:cs="宋体"/>
      <w:kern w:val="0"/>
      <w:sz w:val="24"/>
    </w:rPr>
  </w:style>
  <w:style w:type="paragraph" w:customStyle="1" w:styleId="559">
    <w:name w:val="‧ N body indented 2"/>
    <w:basedOn w:val="500"/>
    <w:qFormat/>
    <w:uiPriority w:val="0"/>
  </w:style>
  <w:style w:type="paragraph" w:customStyle="1" w:styleId="560">
    <w:name w:val="文档正文"/>
    <w:basedOn w:val="1"/>
    <w:qFormat/>
    <w:uiPriority w:val="0"/>
    <w:pPr>
      <w:widowControl/>
      <w:adjustRightInd w:val="0"/>
      <w:spacing w:line="360" w:lineRule="auto"/>
      <w:ind w:firstLine="567"/>
      <w:jc w:val="left"/>
    </w:pPr>
    <w:rPr>
      <w:rFonts w:ascii="Arial" w:hAnsi="Arial"/>
      <w:kern w:val="0"/>
      <w:sz w:val="24"/>
      <w:szCs w:val="20"/>
    </w:rPr>
  </w:style>
  <w:style w:type="paragraph" w:customStyle="1" w:styleId="561">
    <w:name w:val="*SOW 2"/>
    <w:basedOn w:val="562"/>
    <w:next w:val="164"/>
    <w:qFormat/>
    <w:uiPriority w:val="0"/>
    <w:pPr>
      <w:tabs>
        <w:tab w:val="left" w:pos="1440"/>
      </w:tabs>
      <w:outlineLvl w:val="2"/>
    </w:pPr>
  </w:style>
  <w:style w:type="paragraph" w:customStyle="1" w:styleId="562">
    <w:name w:val="*SOW 1"/>
    <w:next w:val="164"/>
    <w:qFormat/>
    <w:uiPriority w:val="0"/>
    <w:pPr>
      <w:keepNext/>
      <w:keepLines/>
      <w:tabs>
        <w:tab w:val="left" w:pos="1440"/>
      </w:tabs>
      <w:spacing w:after="200" w:line="220" w:lineRule="atLeast"/>
      <w:ind w:left="1440" w:hanging="1440"/>
      <w:outlineLvl w:val="1"/>
    </w:pPr>
    <w:rPr>
      <w:rFonts w:ascii="Arial" w:hAnsi="Arial" w:eastAsia="宋体" w:cs="Times New Roman"/>
      <w:color w:val="000000"/>
      <w:szCs w:val="24"/>
      <w:lang w:val="en-US" w:eastAsia="en-US" w:bidi="ar-SA"/>
    </w:rPr>
  </w:style>
  <w:style w:type="paragraph" w:customStyle="1" w:styleId="563">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64">
    <w:name w:val="xl191"/>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565">
    <w:name w:val="技术报告正文"/>
    <w:basedOn w:val="1"/>
    <w:qFormat/>
    <w:uiPriority w:val="0"/>
    <w:pPr>
      <w:tabs>
        <w:tab w:val="left" w:pos="0"/>
        <w:tab w:val="left" w:pos="390"/>
      </w:tabs>
      <w:autoSpaceDE w:val="0"/>
      <w:autoSpaceDN w:val="0"/>
      <w:adjustRightInd w:val="0"/>
      <w:snapToGrid w:val="0"/>
      <w:spacing w:beforeLines="50" w:line="440" w:lineRule="exact"/>
      <w:ind w:firstLine="538" w:firstLineChars="192"/>
      <w:jc w:val="left"/>
    </w:pPr>
    <w:rPr>
      <w:rFonts w:cs="Arial"/>
      <w:bCs/>
      <w:sz w:val="28"/>
    </w:rPr>
  </w:style>
  <w:style w:type="paragraph" w:customStyle="1" w:styleId="566">
    <w:name w:val="*Manual # Heading 5"/>
    <w:next w:val="164"/>
    <w:qFormat/>
    <w:uiPriority w:val="0"/>
    <w:pPr>
      <w:keepNext/>
      <w:keepLines/>
      <w:tabs>
        <w:tab w:val="left" w:pos="1440"/>
      </w:tabs>
      <w:spacing w:before="240" w:after="120"/>
      <w:ind w:left="1440" w:hanging="1440"/>
      <w:outlineLvl w:val="5"/>
    </w:pPr>
    <w:rPr>
      <w:rFonts w:ascii="Arial" w:hAnsi="Arial" w:eastAsia="宋体" w:cs="Times New Roman"/>
      <w:i/>
      <w:sz w:val="24"/>
      <w:szCs w:val="24"/>
      <w:lang w:val="en-US" w:eastAsia="en-US" w:bidi="ar-SA"/>
    </w:rPr>
  </w:style>
  <w:style w:type="paragraph" w:customStyle="1" w:styleId="567">
    <w:name w:val="正文一"/>
    <w:basedOn w:val="1"/>
    <w:qFormat/>
    <w:uiPriority w:val="0"/>
    <w:pPr>
      <w:spacing w:line="360" w:lineRule="auto"/>
      <w:ind w:firstLine="480" w:firstLineChars="200"/>
    </w:pPr>
    <w:rPr>
      <w:rFonts w:ascii="仿宋_GB2312" w:hAnsi="宋体" w:eastAsia="仿宋_GB2312" w:cs="宋体"/>
      <w:sz w:val="24"/>
      <w:szCs w:val="20"/>
    </w:rPr>
  </w:style>
  <w:style w:type="paragraph" w:customStyle="1" w:styleId="568">
    <w:name w:val="~Number Double"/>
    <w:basedOn w:val="520"/>
    <w:qFormat/>
    <w:uiPriority w:val="0"/>
    <w:pPr>
      <w:spacing w:after="220"/>
    </w:pPr>
  </w:style>
  <w:style w:type="paragraph" w:customStyle="1" w:styleId="569">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570">
    <w:name w:val="#"/>
    <w:basedOn w:val="1"/>
    <w:qFormat/>
    <w:uiPriority w:val="0"/>
    <w:pPr>
      <w:tabs>
        <w:tab w:val="left" w:pos="1022"/>
      </w:tabs>
      <w:spacing w:line="360" w:lineRule="auto"/>
      <w:ind w:firstLine="420"/>
    </w:pPr>
    <w:rPr>
      <w:rFonts w:ascii="宋体" w:hAnsi="宋体"/>
      <w:sz w:val="24"/>
    </w:rPr>
  </w:style>
  <w:style w:type="paragraph" w:customStyle="1" w:styleId="571">
    <w:name w:val="xl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572">
    <w:name w:val="~Manual # Heading 4"/>
    <w:next w:val="516"/>
    <w:qFormat/>
    <w:uiPriority w:val="0"/>
    <w:pPr>
      <w:keepNext/>
      <w:keepLines/>
      <w:tabs>
        <w:tab w:val="left" w:pos="1440"/>
      </w:tabs>
      <w:spacing w:before="240" w:after="120"/>
      <w:ind w:left="1440" w:hanging="1440"/>
      <w:outlineLvl w:val="4"/>
    </w:pPr>
    <w:rPr>
      <w:rFonts w:ascii="Arial" w:hAnsi="Arial" w:eastAsia="宋体" w:cs="Times New Roman"/>
      <w:color w:val="00637A"/>
      <w:sz w:val="24"/>
      <w:szCs w:val="24"/>
      <w:lang w:val="en-US" w:eastAsia="en-US" w:bidi="ar-SA"/>
    </w:rPr>
  </w:style>
  <w:style w:type="paragraph" w:customStyle="1" w:styleId="573">
    <w:name w:val="xl212"/>
    <w:basedOn w:val="1"/>
    <w:qFormat/>
    <w:uiPriority w:val="0"/>
    <w:pPr>
      <w:pBdr>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74">
    <w:name w:val="xl6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575">
    <w:name w:val="样式 表头样式 + 段后: 23.4 磅"/>
    <w:basedOn w:val="481"/>
    <w:qFormat/>
    <w:uiPriority w:val="0"/>
  </w:style>
  <w:style w:type="paragraph" w:customStyle="1" w:styleId="576">
    <w:name w:val="xl233"/>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77">
    <w:name w:val="xl20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578">
    <w:name w:val="默认段落字体 Para Char Char Char Char Char Char"/>
    <w:basedOn w:val="1"/>
    <w:qFormat/>
    <w:uiPriority w:val="0"/>
    <w:pPr>
      <w:tabs>
        <w:tab w:val="left" w:pos="481"/>
      </w:tabs>
      <w:spacing w:line="360" w:lineRule="auto"/>
    </w:pPr>
    <w:rPr>
      <w:rFonts w:ascii="Tahoma" w:hAnsi="Tahoma"/>
      <w:sz w:val="24"/>
      <w:szCs w:val="20"/>
    </w:rPr>
  </w:style>
  <w:style w:type="paragraph" w:customStyle="1" w:styleId="579">
    <w:name w:val="正文文本1"/>
    <w:qFormat/>
    <w:uiPriority w:val="0"/>
    <w:pPr>
      <w:spacing w:line="360" w:lineRule="atLeast"/>
      <w:ind w:firstLine="446"/>
    </w:pPr>
    <w:rPr>
      <w:rFonts w:ascii="楷体" w:hAnsi="Times New Roman" w:eastAsia="楷体" w:cs="Times New Roman"/>
      <w:snapToGrid w:val="0"/>
      <w:color w:val="000000"/>
      <w:sz w:val="21"/>
      <w:lang w:val="en-US" w:eastAsia="zh-CN" w:bidi="ar-SA"/>
    </w:rPr>
  </w:style>
  <w:style w:type="paragraph" w:customStyle="1" w:styleId="580">
    <w:name w:val="Table"/>
    <w:basedOn w:val="22"/>
    <w:qFormat/>
    <w:uiPriority w:val="0"/>
    <w:pPr>
      <w:autoSpaceDN w:val="0"/>
      <w:adjustRightInd w:val="0"/>
      <w:spacing w:before="360" w:after="115" w:line="240" w:lineRule="auto"/>
      <w:ind w:firstLine="0"/>
      <w:jc w:val="left"/>
    </w:pPr>
    <w:rPr>
      <w:rFonts w:eastAsia="PMingLiU" w:cs="Tahoma"/>
      <w:b/>
      <w:iCs/>
      <w:lang w:val="en-GB" w:eastAsia="zh-TW"/>
    </w:rPr>
  </w:style>
  <w:style w:type="paragraph" w:customStyle="1" w:styleId="58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582">
    <w:name w:val="*Quotation Attribute"/>
    <w:basedOn w:val="164"/>
    <w:next w:val="164"/>
    <w:qFormat/>
    <w:uiPriority w:val="0"/>
    <w:pPr>
      <w:tabs>
        <w:tab w:val="left" w:pos="360"/>
      </w:tabs>
      <w:ind w:left="840" w:right="720" w:hanging="420"/>
    </w:pPr>
    <w:rPr>
      <w:sz w:val="20"/>
    </w:rPr>
  </w:style>
  <w:style w:type="paragraph" w:customStyle="1" w:styleId="583">
    <w:name w:val="xl1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84">
    <w:name w:val="附录标识"/>
    <w:basedOn w:val="1"/>
    <w:qFormat/>
    <w:uiPriority w:val="0"/>
    <w:pPr>
      <w:widowControl/>
      <w:shd w:val="clear" w:color="FFFFFF" w:fill="FFFFFF"/>
      <w:tabs>
        <w:tab w:val="left" w:pos="6405"/>
      </w:tabs>
      <w:spacing w:before="156" w:after="156" w:line="360" w:lineRule="auto"/>
      <w:ind w:firstLine="420"/>
      <w:jc w:val="left"/>
      <w:outlineLvl w:val="0"/>
    </w:pPr>
    <w:rPr>
      <w:rFonts w:ascii="黑体" w:hAnsi="宋体" w:eastAsia="黑体"/>
      <w:kern w:val="0"/>
      <w:szCs w:val="21"/>
    </w:rPr>
  </w:style>
  <w:style w:type="paragraph" w:customStyle="1" w:styleId="585">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6">
    <w:name w:val="容量"/>
    <w:basedOn w:val="1"/>
    <w:qFormat/>
    <w:uiPriority w:val="0"/>
    <w:pPr>
      <w:tabs>
        <w:tab w:val="left" w:pos="0"/>
        <w:tab w:val="left" w:pos="390"/>
      </w:tabs>
      <w:autoSpaceDE w:val="0"/>
      <w:autoSpaceDN w:val="0"/>
      <w:adjustRightInd w:val="0"/>
      <w:snapToGrid w:val="0"/>
      <w:spacing w:line="312" w:lineRule="atLeast"/>
      <w:ind w:firstLine="425" w:firstLineChars="177"/>
      <w:jc w:val="left"/>
      <w:textAlignment w:val="baseline"/>
    </w:pPr>
    <w:rPr>
      <w:kern w:val="0"/>
      <w:sz w:val="24"/>
      <w:szCs w:val="20"/>
    </w:rPr>
  </w:style>
  <w:style w:type="paragraph" w:customStyle="1" w:styleId="587">
    <w:name w:val="Heading2"/>
    <w:basedOn w:val="3"/>
    <w:next w:val="1"/>
    <w:qFormat/>
    <w:uiPriority w:val="0"/>
    <w:pPr>
      <w:tabs>
        <w:tab w:val="left" w:pos="-6984"/>
        <w:tab w:val="left" w:pos="284"/>
        <w:tab w:val="left" w:pos="360"/>
        <w:tab w:val="left" w:pos="1999"/>
        <w:tab w:val="left" w:pos="2411"/>
      </w:tabs>
      <w:snapToGrid/>
      <w:spacing w:before="260" w:after="260" w:line="415" w:lineRule="auto"/>
      <w:ind w:left="-6984" w:right="100" w:rightChars="100" w:firstLine="0" w:firstLineChars="0"/>
      <w:jc w:val="left"/>
    </w:pPr>
    <w:rPr>
      <w:rFonts w:cs="Arial"/>
      <w:bCs w:val="0"/>
      <w:sz w:val="36"/>
    </w:rPr>
  </w:style>
  <w:style w:type="paragraph" w:customStyle="1" w:styleId="588">
    <w:name w:val="Numbering 5 Start"/>
    <w:basedOn w:val="61"/>
    <w:qFormat/>
    <w:uiPriority w:val="0"/>
    <w:pPr>
      <w:widowControl/>
      <w:spacing w:before="240"/>
      <w:ind w:left="1417" w:firstLine="0" w:firstLineChars="0"/>
      <w:jc w:val="left"/>
    </w:pPr>
    <w:rPr>
      <w:rFonts w:eastAsia="PMingLiU"/>
      <w:kern w:val="0"/>
      <w:sz w:val="20"/>
      <w:szCs w:val="20"/>
      <w:lang w:eastAsia="zh-TW"/>
    </w:rPr>
  </w:style>
  <w:style w:type="paragraph" w:customStyle="1" w:styleId="589">
    <w:name w:val="xl29"/>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590">
    <w:name w:val="彩色列表 - 强调文字颜色 11"/>
    <w:basedOn w:val="1"/>
    <w:qFormat/>
    <w:uiPriority w:val="0"/>
    <w:pPr>
      <w:widowControl/>
      <w:ind w:firstLine="200" w:firstLineChars="200"/>
      <w:jc w:val="left"/>
    </w:pPr>
    <w:rPr>
      <w:rFonts w:ascii="??" w:hAnsi="??" w:eastAsia="??" w:cs="??"/>
      <w:kern w:val="0"/>
      <w:sz w:val="24"/>
    </w:rPr>
  </w:style>
  <w:style w:type="paragraph" w:customStyle="1" w:styleId="591">
    <w:name w:val="xl229"/>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592">
    <w:name w:val="‧ N table-8 body indent 2"/>
    <w:basedOn w:val="593"/>
    <w:qFormat/>
    <w:uiPriority w:val="0"/>
    <w:pPr>
      <w:spacing w:before="85" w:after="45"/>
      <w:ind w:left="1083"/>
    </w:pPr>
    <w:rPr>
      <w:sz w:val="16"/>
    </w:rPr>
  </w:style>
  <w:style w:type="paragraph" w:customStyle="1" w:styleId="593">
    <w:name w:val="‧ N table-8 body"/>
    <w:basedOn w:val="500"/>
    <w:qFormat/>
    <w:uiPriority w:val="0"/>
  </w:style>
  <w:style w:type="paragraph" w:customStyle="1" w:styleId="594">
    <w:name w:val="xl19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95">
    <w:name w:val="文件编号"/>
    <w:basedOn w:val="596"/>
    <w:qFormat/>
    <w:uiPriority w:val="0"/>
    <w:pPr>
      <w:tabs>
        <w:tab w:val="left" w:pos="0"/>
        <w:tab w:val="left" w:pos="390"/>
      </w:tabs>
    </w:pPr>
    <w:rPr>
      <w:rFonts w:hAnsi="Batang"/>
      <w:u w:val="none"/>
    </w:rPr>
  </w:style>
  <w:style w:type="paragraph" w:customStyle="1" w:styleId="596">
    <w:name w:val="说明文字"/>
    <w:basedOn w:val="1"/>
    <w:qFormat/>
    <w:uiPriority w:val="0"/>
    <w:pPr>
      <w:tabs>
        <w:tab w:val="left" w:pos="0"/>
        <w:tab w:val="left" w:pos="390"/>
      </w:tabs>
      <w:autoSpaceDE w:val="0"/>
      <w:autoSpaceDN w:val="0"/>
      <w:adjustRightInd w:val="0"/>
      <w:snapToGrid w:val="0"/>
      <w:ind w:firstLine="425" w:firstLineChars="177"/>
      <w:jc w:val="left"/>
    </w:pPr>
    <w:rPr>
      <w:rFonts w:ascii="Arial" w:hAnsi="Arial"/>
      <w:sz w:val="24"/>
      <w:u w:val="single"/>
    </w:rPr>
  </w:style>
  <w:style w:type="paragraph" w:customStyle="1" w:styleId="597">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598">
    <w:name w:val="paragraph1"/>
    <w:basedOn w:val="1"/>
    <w:qFormat/>
    <w:uiPriority w:val="0"/>
    <w:pPr>
      <w:spacing w:afterLines="30" w:line="360" w:lineRule="auto"/>
      <w:ind w:firstLine="480" w:firstLineChars="200"/>
    </w:pPr>
    <w:rPr>
      <w:rFonts w:ascii="宋体" w:hAnsi="宋体"/>
      <w:sz w:val="24"/>
    </w:rPr>
  </w:style>
  <w:style w:type="paragraph" w:customStyle="1" w:styleId="599">
    <w:name w:val="免责声明"/>
    <w:basedOn w:val="1"/>
    <w:qFormat/>
    <w:uiPriority w:val="0"/>
    <w:pPr>
      <w:widowControl/>
      <w:tabs>
        <w:tab w:val="left" w:pos="1139"/>
      </w:tabs>
      <w:spacing w:line="360" w:lineRule="auto"/>
      <w:ind w:left="720" w:firstLine="420"/>
      <w:jc w:val="left"/>
    </w:pPr>
    <w:rPr>
      <w:rFonts w:ascii="宋体" w:hAnsi="宋体" w:eastAsia="仿宋_GB2312"/>
      <w:kern w:val="0"/>
      <w:sz w:val="18"/>
      <w:szCs w:val="18"/>
    </w:rPr>
  </w:style>
  <w:style w:type="paragraph" w:customStyle="1" w:styleId="600">
    <w:name w:val="xl3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1">
    <w:name w:val="xl37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02">
    <w:name w:val="xl357"/>
    <w:basedOn w:val="1"/>
    <w:qFormat/>
    <w:uiPriority w:val="0"/>
    <w:pPr>
      <w:widowControl/>
      <w:shd w:val="clear" w:color="000000" w:fill="D8D8D8"/>
      <w:spacing w:before="100" w:beforeAutospacing="1" w:after="100" w:afterAutospacing="1"/>
      <w:jc w:val="left"/>
    </w:pPr>
    <w:rPr>
      <w:rFonts w:ascii="宋体" w:hAnsi="宋体" w:cs="宋体"/>
      <w:kern w:val="0"/>
      <w:sz w:val="24"/>
    </w:rPr>
  </w:style>
  <w:style w:type="paragraph" w:customStyle="1" w:styleId="603">
    <w:name w:val="xl358"/>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pPr>
    <w:rPr>
      <w:rFonts w:ascii="宋体" w:hAnsi="宋体" w:cs="宋体"/>
      <w:kern w:val="0"/>
      <w:sz w:val="24"/>
    </w:rPr>
  </w:style>
  <w:style w:type="paragraph" w:customStyle="1" w:styleId="604">
    <w:name w:val="xl131"/>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05">
    <w:name w:val="xl133"/>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606">
    <w:name w:val="样式 正文文本 + 段前: 0.5 行 首行缩进:  2 字符"/>
    <w:basedOn w:val="17"/>
    <w:qFormat/>
    <w:uiPriority w:val="0"/>
    <w:pPr>
      <w:overflowPunct w:val="0"/>
      <w:adjustRightInd/>
      <w:spacing w:beforeLines="50" w:after="120" w:line="360" w:lineRule="auto"/>
      <w:ind w:firstLine="200" w:firstLineChars="200"/>
      <w:jc w:val="both"/>
      <w:textAlignment w:val="auto"/>
    </w:pPr>
    <w:rPr>
      <w:rFonts w:ascii="Times New Roman" w:eastAsia="宋体" w:cs="宋体"/>
      <w:sz w:val="24"/>
    </w:rPr>
  </w:style>
  <w:style w:type="paragraph" w:customStyle="1" w:styleId="607">
    <w:name w:val="项目符号1"/>
    <w:basedOn w:val="1"/>
    <w:qFormat/>
    <w:uiPriority w:val="0"/>
    <w:pPr>
      <w:keepNext/>
      <w:keepLines/>
      <w:tabs>
        <w:tab w:val="left" w:pos="420"/>
      </w:tabs>
      <w:spacing w:before="280" w:after="290" w:line="377" w:lineRule="auto"/>
      <w:ind w:left="720" w:hanging="360"/>
      <w:outlineLvl w:val="3"/>
    </w:pPr>
    <w:rPr>
      <w:rFonts w:ascii="Arial" w:hAnsi="Arial"/>
      <w:b/>
      <w:bCs/>
      <w:sz w:val="28"/>
      <w:szCs w:val="28"/>
    </w:rPr>
  </w:style>
  <w:style w:type="paragraph" w:customStyle="1" w:styleId="608">
    <w:name w:val="标准正文11"/>
    <w:basedOn w:val="1"/>
    <w:qFormat/>
    <w:uiPriority w:val="0"/>
    <w:pPr>
      <w:spacing w:line="360" w:lineRule="auto"/>
      <w:ind w:firstLine="480" w:firstLineChars="200"/>
    </w:pPr>
    <w:rPr>
      <w:rFonts w:ascii="宋体" w:hAnsi="宋体"/>
      <w:sz w:val="24"/>
    </w:rPr>
  </w:style>
  <w:style w:type="paragraph" w:customStyle="1" w:styleId="609">
    <w:name w:val="xl8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610">
    <w:name w:val="样式 题注 + 首行缩进:  2 字符"/>
    <w:basedOn w:val="22"/>
    <w:qFormat/>
    <w:uiPriority w:val="0"/>
    <w:pPr>
      <w:tabs>
        <w:tab w:val="left" w:pos="0"/>
        <w:tab w:val="left" w:pos="390"/>
      </w:tabs>
      <w:autoSpaceDE w:val="0"/>
      <w:autoSpaceDN w:val="0"/>
      <w:adjustRightInd w:val="0"/>
      <w:snapToGrid w:val="0"/>
      <w:spacing w:before="0" w:after="0"/>
      <w:ind w:firstLine="400" w:firstLineChars="177"/>
      <w:jc w:val="left"/>
    </w:pPr>
    <w:rPr>
      <w:rFonts w:eastAsia="宋体" w:cs="宋体"/>
      <w:b/>
      <w:sz w:val="18"/>
    </w:rPr>
  </w:style>
  <w:style w:type="paragraph" w:customStyle="1" w:styleId="611">
    <w:name w:val="表格文字"/>
    <w:basedOn w:val="1"/>
    <w:qFormat/>
    <w:uiPriority w:val="0"/>
    <w:pPr>
      <w:tabs>
        <w:tab w:val="left" w:pos="0"/>
        <w:tab w:val="left" w:pos="390"/>
      </w:tabs>
      <w:autoSpaceDE w:val="0"/>
      <w:autoSpaceDN w:val="0"/>
      <w:adjustRightInd w:val="0"/>
      <w:snapToGrid w:val="0"/>
      <w:ind w:firstLine="425" w:firstLineChars="177"/>
      <w:jc w:val="left"/>
    </w:pPr>
    <w:rPr>
      <w:sz w:val="24"/>
      <w:szCs w:val="20"/>
    </w:rPr>
  </w:style>
  <w:style w:type="paragraph" w:customStyle="1" w:styleId="612">
    <w:name w:val="文本框"/>
    <w:basedOn w:val="1"/>
    <w:qFormat/>
    <w:uiPriority w:val="0"/>
    <w:pPr>
      <w:spacing w:afterLines="50" w:line="360" w:lineRule="auto"/>
      <w:ind w:firstLine="420"/>
    </w:pPr>
    <w:rPr>
      <w:rFonts w:ascii="宋体" w:hAnsi="宋体"/>
      <w:sz w:val="18"/>
    </w:rPr>
  </w:style>
  <w:style w:type="paragraph" w:customStyle="1" w:styleId="613">
    <w:name w:val="bullet正文2"/>
    <w:basedOn w:val="1"/>
    <w:qFormat/>
    <w:uiPriority w:val="0"/>
    <w:pPr>
      <w:widowControl/>
      <w:tabs>
        <w:tab w:val="left" w:pos="420"/>
      </w:tabs>
      <w:spacing w:line="360" w:lineRule="auto"/>
      <w:ind w:left="1320" w:hanging="840"/>
      <w:jc w:val="left"/>
    </w:pPr>
    <w:rPr>
      <w:rFonts w:ascii="宋体" w:hAnsi="宋体"/>
      <w:kern w:val="0"/>
      <w:sz w:val="20"/>
      <w:szCs w:val="20"/>
    </w:rPr>
  </w:style>
  <w:style w:type="paragraph" w:customStyle="1" w:styleId="614">
    <w:name w:val="xl9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615">
    <w:name w:val="xl239"/>
    <w:basedOn w:val="1"/>
    <w:qFormat/>
    <w:uiPriority w:val="0"/>
    <w:pPr>
      <w:pBdr>
        <w:left w:val="single" w:color="auto" w:sz="4" w:space="0"/>
        <w:bottom w:val="single" w:color="auto" w:sz="8"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16">
    <w:name w:val="样式6"/>
    <w:basedOn w:val="5"/>
    <w:qFormat/>
    <w:uiPriority w:val="0"/>
    <w:pPr>
      <w:keepNext/>
      <w:keepLines/>
      <w:widowControl w:val="0"/>
      <w:tabs>
        <w:tab w:val="left" w:pos="851"/>
        <w:tab w:val="left" w:pos="993"/>
      </w:tabs>
      <w:spacing w:line="360" w:lineRule="auto"/>
      <w:ind w:left="851" w:right="100" w:rightChars="100" w:hanging="851"/>
    </w:pPr>
    <w:rPr>
      <w:b/>
      <w:bCs/>
      <w:kern w:val="2"/>
      <w:sz w:val="30"/>
      <w:szCs w:val="28"/>
    </w:rPr>
  </w:style>
  <w:style w:type="paragraph" w:customStyle="1" w:styleId="617">
    <w:name w:val="*Table/Graphics Caption"/>
    <w:basedOn w:val="164"/>
    <w:next w:val="164"/>
    <w:qFormat/>
    <w:uiPriority w:val="0"/>
    <w:pPr>
      <w:spacing w:after="120"/>
    </w:pPr>
    <w:rPr>
      <w:sz w:val="18"/>
      <w:szCs w:val="18"/>
    </w:rPr>
  </w:style>
  <w:style w:type="paragraph" w:customStyle="1" w:styleId="618">
    <w:name w:val="GP公文标题1"/>
    <w:basedOn w:val="619"/>
    <w:next w:val="619"/>
    <w:qFormat/>
    <w:uiPriority w:val="0"/>
    <w:pPr>
      <w:jc w:val="both"/>
    </w:pPr>
    <w:rPr>
      <w:rFonts w:ascii="宋体"/>
    </w:rPr>
  </w:style>
  <w:style w:type="paragraph" w:customStyle="1" w:styleId="619">
    <w:name w:val="GP正文(首行缩进)"/>
    <w:basedOn w:val="1"/>
    <w:qFormat/>
    <w:uiPriority w:val="0"/>
    <w:pPr>
      <w:spacing w:line="400" w:lineRule="exact"/>
      <w:ind w:firstLine="480" w:firstLineChars="200"/>
      <w:jc w:val="left"/>
    </w:pPr>
    <w:rPr>
      <w:sz w:val="24"/>
    </w:rPr>
  </w:style>
  <w:style w:type="paragraph" w:customStyle="1" w:styleId="620">
    <w:name w:val="xl5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FF0000"/>
      <w:kern w:val="0"/>
      <w:sz w:val="24"/>
    </w:rPr>
  </w:style>
  <w:style w:type="paragraph" w:customStyle="1" w:styleId="621">
    <w:name w:val="User Index 9"/>
    <w:basedOn w:val="46"/>
    <w:qFormat/>
    <w:uiPriority w:val="0"/>
    <w:pPr>
      <w:tabs>
        <w:tab w:val="right" w:leader="dot" w:pos="9746"/>
      </w:tabs>
      <w:ind w:left="2264"/>
    </w:pPr>
  </w:style>
  <w:style w:type="paragraph" w:customStyle="1" w:styleId="622">
    <w:name w:val="5级"/>
    <w:basedOn w:val="6"/>
    <w:next w:val="1"/>
    <w:qFormat/>
    <w:uiPriority w:val="0"/>
    <w:pPr>
      <w:tabs>
        <w:tab w:val="left" w:pos="840"/>
        <w:tab w:val="left" w:pos="2520"/>
      </w:tabs>
      <w:spacing w:beforeLines="50"/>
      <w:ind w:left="840"/>
    </w:pPr>
    <w:rPr>
      <w:rFonts w:ascii="Calibri" w:hAnsi="Calibri" w:eastAsia="黑体"/>
    </w:rPr>
  </w:style>
  <w:style w:type="paragraph" w:customStyle="1" w:styleId="623">
    <w:name w:val="‧ N cover title"/>
    <w:basedOn w:val="500"/>
    <w:qFormat/>
    <w:uiPriority w:val="0"/>
  </w:style>
  <w:style w:type="paragraph" w:customStyle="1" w:styleId="624">
    <w:name w:val="*Confidentiality Notice"/>
    <w:basedOn w:val="164"/>
    <w:qFormat/>
    <w:uiPriority w:val="0"/>
    <w:pPr>
      <w:spacing w:after="200" w:line="220" w:lineRule="atLeast"/>
    </w:pPr>
    <w:rPr>
      <w:sz w:val="18"/>
    </w:rPr>
  </w:style>
  <w:style w:type="paragraph" w:customStyle="1" w:styleId="625">
    <w:name w:val="*Info Text"/>
    <w:qFormat/>
    <w:uiPriority w:val="0"/>
    <w:rPr>
      <w:rFonts w:ascii="Arial" w:hAnsi="Arial" w:eastAsia="宋体" w:cs="Times New Roman"/>
      <w:sz w:val="18"/>
      <w:lang w:val="en-US" w:eastAsia="en-US" w:bidi="ar-SA"/>
    </w:rPr>
  </w:style>
  <w:style w:type="paragraph" w:customStyle="1" w:styleId="626">
    <w:name w:val="正文－恩普"/>
    <w:basedOn w:val="21"/>
    <w:qFormat/>
    <w:uiPriority w:val="0"/>
    <w:pPr>
      <w:widowControl/>
      <w:spacing w:afterLines="50" w:line="360" w:lineRule="auto"/>
      <w:ind w:firstLine="480"/>
      <w:jc w:val="left"/>
    </w:pPr>
    <w:rPr>
      <w:kern w:val="0"/>
      <w:sz w:val="24"/>
      <w:szCs w:val="20"/>
    </w:rPr>
  </w:style>
  <w:style w:type="paragraph" w:customStyle="1" w:styleId="627">
    <w:name w:val="ymtext"/>
    <w:basedOn w:val="1"/>
    <w:qFormat/>
    <w:uiPriority w:val="0"/>
    <w:pPr>
      <w:widowControl/>
      <w:spacing w:line="400" w:lineRule="atLeast"/>
      <w:ind w:firstLine="446"/>
      <w:jc w:val="left"/>
    </w:pPr>
    <w:rPr>
      <w:rFonts w:ascii="宋体" w:hAnsi="宋体"/>
      <w:kern w:val="0"/>
      <w:sz w:val="22"/>
      <w:szCs w:val="20"/>
    </w:rPr>
  </w:style>
  <w:style w:type="paragraph" w:customStyle="1" w:styleId="628">
    <w:name w:val="SANGFOR_3_标题3"/>
    <w:basedOn w:val="4"/>
    <w:next w:val="225"/>
    <w:qFormat/>
    <w:uiPriority w:val="0"/>
    <w:pPr>
      <w:keepNext/>
      <w:keepLines/>
      <w:widowControl w:val="0"/>
      <w:tabs>
        <w:tab w:val="left" w:pos="0"/>
        <w:tab w:val="left" w:pos="210"/>
        <w:tab w:val="left" w:pos="567"/>
      </w:tabs>
      <w:autoSpaceDE/>
      <w:autoSpaceDN/>
      <w:snapToGrid/>
      <w:spacing w:beforeLines="50" w:afterLines="50" w:line="240" w:lineRule="auto"/>
      <w:ind w:left="709" w:firstLine="0" w:firstLineChars="0"/>
    </w:pPr>
    <w:rPr>
      <w:rFonts w:ascii="宋体" w:hAnsi="宋体"/>
      <w:bCs/>
      <w:sz w:val="28"/>
      <w:szCs w:val="28"/>
    </w:rPr>
  </w:style>
  <w:style w:type="paragraph" w:customStyle="1" w:styleId="629">
    <w:name w:val="总1"/>
    <w:basedOn w:val="1"/>
    <w:qFormat/>
    <w:uiPriority w:val="0"/>
    <w:pPr>
      <w:tabs>
        <w:tab w:val="left" w:pos="0"/>
        <w:tab w:val="left" w:pos="390"/>
      </w:tabs>
      <w:autoSpaceDE w:val="0"/>
      <w:autoSpaceDN w:val="0"/>
      <w:adjustRightInd w:val="0"/>
      <w:snapToGrid w:val="0"/>
      <w:spacing w:line="360" w:lineRule="auto"/>
      <w:ind w:firstLine="425" w:firstLineChars="177"/>
      <w:jc w:val="left"/>
    </w:pPr>
    <w:rPr>
      <w:rFonts w:ascii="宋体"/>
      <w:b/>
      <w:bCs/>
      <w:kern w:val="0"/>
      <w:sz w:val="24"/>
      <w:szCs w:val="20"/>
    </w:rPr>
  </w:style>
  <w:style w:type="paragraph" w:customStyle="1" w:styleId="630">
    <w:name w:val="Paragraph"/>
    <w:basedOn w:val="1"/>
    <w:qFormat/>
    <w:uiPriority w:val="0"/>
    <w:pPr>
      <w:tabs>
        <w:tab w:val="left" w:pos="0"/>
        <w:tab w:val="left" w:pos="390"/>
      </w:tabs>
      <w:autoSpaceDE w:val="0"/>
      <w:autoSpaceDN w:val="0"/>
      <w:adjustRightInd w:val="0"/>
      <w:snapToGrid w:val="0"/>
      <w:spacing w:after="120" w:line="360" w:lineRule="auto"/>
      <w:ind w:firstLine="425" w:firstLineChars="177"/>
      <w:jc w:val="left"/>
    </w:pPr>
    <w:rPr>
      <w:rFonts w:ascii="宋体" w:hAnsi="宋体"/>
      <w:kern w:val="0"/>
      <w:sz w:val="20"/>
      <w:szCs w:val="20"/>
      <w:lang w:val="en-GB" w:eastAsia="en-US"/>
    </w:rPr>
  </w:style>
  <w:style w:type="paragraph" w:customStyle="1" w:styleId="631">
    <w:name w:val="Char Char Char Char Char Char Char Char Char Char Char Char Char Char Char Char Char Char Char Char Char Char Char Char Char"/>
    <w:basedOn w:val="1"/>
    <w:qFormat/>
    <w:uiPriority w:val="0"/>
    <w:rPr>
      <w:rFonts w:ascii="Tahoma" w:hAnsi="Tahoma" w:eastAsia="??" w:cs="Tahoma"/>
      <w:sz w:val="24"/>
      <w:szCs w:val="28"/>
    </w:rPr>
  </w:style>
  <w:style w:type="paragraph" w:customStyle="1" w:styleId="632">
    <w:name w:val="章标题HZ"/>
    <w:basedOn w:val="2"/>
    <w:qFormat/>
    <w:uiPriority w:val="0"/>
    <w:pPr>
      <w:keepNext w:val="0"/>
      <w:widowControl/>
      <w:tabs>
        <w:tab w:val="left" w:pos="390"/>
        <w:tab w:val="left" w:pos="840"/>
        <w:tab w:val="left" w:pos="4253"/>
      </w:tabs>
      <w:spacing w:beforeLines="50" w:afterLines="50" w:line="240" w:lineRule="auto"/>
      <w:ind w:firstLine="177" w:firstLineChars="177"/>
      <w:outlineLvl w:val="1"/>
    </w:pPr>
    <w:rPr>
      <w:rFonts w:ascii="Arial Unicode MS" w:hAnsi="Arial Unicode MS" w:eastAsia="黑体" w:cs="宋体"/>
      <w:color w:val="auto"/>
      <w:kern w:val="0"/>
      <w:sz w:val="36"/>
      <w:szCs w:val="36"/>
    </w:rPr>
  </w:style>
  <w:style w:type="paragraph" w:customStyle="1" w:styleId="633">
    <w:name w:val="SANGFOR_8_表格文字"/>
    <w:basedOn w:val="1"/>
    <w:qFormat/>
    <w:uiPriority w:val="0"/>
    <w:pPr>
      <w:tabs>
        <w:tab w:val="left" w:pos="390"/>
      </w:tabs>
      <w:snapToGrid w:val="0"/>
      <w:ind w:firstLine="425" w:firstLineChars="177"/>
      <w:jc w:val="left"/>
    </w:pPr>
    <w:rPr>
      <w:szCs w:val="21"/>
    </w:rPr>
  </w:style>
  <w:style w:type="paragraph" w:customStyle="1" w:styleId="634">
    <w:name w:val="xl210"/>
    <w:basedOn w:val="1"/>
    <w:qFormat/>
    <w:uiPriority w:val="0"/>
    <w:pPr>
      <w:pBdr>
        <w:top w:val="single" w:color="auto" w:sz="4" w:space="0"/>
        <w:left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35">
    <w:name w:val="列表项目符号2"/>
    <w:basedOn w:val="1"/>
    <w:qFormat/>
    <w:uiPriority w:val="0"/>
    <w:pPr>
      <w:tabs>
        <w:tab w:val="left" w:pos="1837"/>
      </w:tabs>
      <w:adjustRightInd w:val="0"/>
      <w:spacing w:line="360" w:lineRule="auto"/>
      <w:ind w:left="1837" w:hanging="420"/>
      <w:textAlignment w:val="baseline"/>
    </w:pPr>
    <w:rPr>
      <w:rFonts w:ascii="宋体" w:hAnsi="宋体"/>
      <w:kern w:val="0"/>
      <w:szCs w:val="21"/>
    </w:rPr>
  </w:style>
  <w:style w:type="paragraph" w:customStyle="1" w:styleId="636">
    <w:name w:val="附图标题"/>
    <w:basedOn w:val="22"/>
    <w:next w:val="21"/>
    <w:qFormat/>
    <w:uiPriority w:val="0"/>
    <w:pPr>
      <w:tabs>
        <w:tab w:val="left" w:pos="720"/>
      </w:tabs>
      <w:spacing w:before="0" w:afterLines="100" w:line="240" w:lineRule="auto"/>
      <w:ind w:left="420" w:hanging="420"/>
      <w:jc w:val="center"/>
    </w:pPr>
    <w:rPr>
      <w:rFonts w:ascii="宋体" w:hAnsi="宋体" w:eastAsia="宋体"/>
      <w:sz w:val="24"/>
      <w:szCs w:val="24"/>
    </w:rPr>
  </w:style>
  <w:style w:type="paragraph" w:customStyle="1" w:styleId="637">
    <w:name w:val="3级"/>
    <w:basedOn w:val="4"/>
    <w:qFormat/>
    <w:uiPriority w:val="0"/>
    <w:pPr>
      <w:keepNext/>
      <w:keepLines/>
      <w:widowControl w:val="0"/>
      <w:tabs>
        <w:tab w:val="left" w:pos="0"/>
        <w:tab w:val="left" w:pos="210"/>
      </w:tabs>
      <w:autoSpaceDE/>
      <w:autoSpaceDN/>
      <w:snapToGrid/>
      <w:spacing w:beforeLines="50" w:line="415" w:lineRule="auto"/>
      <w:ind w:firstLine="0" w:firstLineChars="0"/>
    </w:pPr>
    <w:rPr>
      <w:rFonts w:ascii="宋体" w:hAnsi="宋体"/>
      <w:bCs/>
      <w:sz w:val="24"/>
      <w:szCs w:val="24"/>
    </w:rPr>
  </w:style>
  <w:style w:type="paragraph" w:customStyle="1" w:styleId="638">
    <w:name w:val="xl1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639">
    <w:name w:val="xl21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40">
    <w:name w:val="xl22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641">
    <w:name w:val="•Body Text"/>
    <w:basedOn w:val="1"/>
    <w:qFormat/>
    <w:uiPriority w:val="0"/>
    <w:pPr>
      <w:suppressAutoHyphens/>
      <w:spacing w:after="120" w:line="320" w:lineRule="exact"/>
    </w:pPr>
    <w:rPr>
      <w:rFonts w:ascii="Arial" w:hAnsi="Arial"/>
      <w:kern w:val="1"/>
      <w:sz w:val="18"/>
      <w:lang w:eastAsia="ar-SA"/>
    </w:rPr>
  </w:style>
  <w:style w:type="paragraph" w:customStyle="1" w:styleId="642">
    <w:name w:val="列出段落11"/>
    <w:basedOn w:val="1"/>
    <w:qFormat/>
    <w:uiPriority w:val="34"/>
    <w:pPr>
      <w:ind w:firstLine="420" w:firstLineChars="200"/>
    </w:pPr>
    <w:rPr>
      <w:szCs w:val="22"/>
    </w:rPr>
  </w:style>
  <w:style w:type="paragraph" w:customStyle="1" w:styleId="643">
    <w:name w:val="Drawing"/>
    <w:basedOn w:val="22"/>
    <w:qFormat/>
    <w:uiPriority w:val="0"/>
    <w:pPr>
      <w:autoSpaceDN w:val="0"/>
      <w:adjustRightInd w:val="0"/>
      <w:spacing w:before="115" w:after="360" w:line="240" w:lineRule="auto"/>
      <w:ind w:firstLine="0"/>
      <w:jc w:val="center"/>
    </w:pPr>
    <w:rPr>
      <w:rFonts w:eastAsia="PMingLiU" w:cs="Tahoma"/>
      <w:b/>
      <w:iCs/>
      <w:lang w:val="en-GB" w:eastAsia="zh-TW"/>
    </w:rPr>
  </w:style>
  <w:style w:type="paragraph" w:customStyle="1" w:styleId="644">
    <w:name w:val="‧ N caption-table"/>
    <w:basedOn w:val="500"/>
    <w:next w:val="645"/>
    <w:qFormat/>
    <w:uiPriority w:val="0"/>
  </w:style>
  <w:style w:type="paragraph" w:customStyle="1" w:styleId="645">
    <w:name w:val="‧ N body"/>
    <w:basedOn w:val="1"/>
    <w:qFormat/>
    <w:uiPriority w:val="0"/>
    <w:pPr>
      <w:autoSpaceDN w:val="0"/>
      <w:adjustRightInd w:val="0"/>
      <w:spacing w:before="215" w:after="113" w:line="264" w:lineRule="auto"/>
      <w:ind w:left="567"/>
      <w:jc w:val="left"/>
    </w:pPr>
    <w:rPr>
      <w:rFonts w:ascii="Arial" w:hAnsi="Arial" w:eastAsia="PMingLiU" w:cs="Tahoma"/>
      <w:kern w:val="0"/>
      <w:sz w:val="20"/>
      <w:lang w:val="en-GB" w:eastAsia="zh-TW"/>
    </w:rPr>
  </w:style>
  <w:style w:type="paragraph" w:customStyle="1" w:styleId="646">
    <w:name w:val="~Heading 5"/>
    <w:next w:val="516"/>
    <w:qFormat/>
    <w:uiPriority w:val="0"/>
    <w:pPr>
      <w:keepNext/>
      <w:keepLines/>
      <w:spacing w:before="240" w:after="120"/>
      <w:outlineLvl w:val="5"/>
    </w:pPr>
    <w:rPr>
      <w:rFonts w:ascii="Arial" w:hAnsi="Arial" w:eastAsia="宋体" w:cs="Times New Roman"/>
      <w:i/>
      <w:color w:val="00637A"/>
      <w:sz w:val="24"/>
      <w:szCs w:val="24"/>
      <w:lang w:val="en-US" w:eastAsia="en-US" w:bidi="ar-SA"/>
    </w:rPr>
  </w:style>
  <w:style w:type="paragraph" w:customStyle="1" w:styleId="647">
    <w:name w:val="blithe5"/>
    <w:basedOn w:val="648"/>
    <w:next w:val="1"/>
    <w:qFormat/>
    <w:uiPriority w:val="0"/>
    <w:pPr>
      <w:tabs>
        <w:tab w:val="left" w:pos="360"/>
        <w:tab w:val="left" w:pos="1260"/>
        <w:tab w:val="left" w:pos="1785"/>
        <w:tab w:val="left" w:pos="2160"/>
        <w:tab w:val="left" w:pos="2520"/>
      </w:tabs>
      <w:ind w:left="2520"/>
      <w:outlineLvl w:val="4"/>
    </w:pPr>
    <w:rPr>
      <w:sz w:val="24"/>
    </w:rPr>
  </w:style>
  <w:style w:type="paragraph" w:customStyle="1" w:styleId="648">
    <w:name w:val="blithe4"/>
    <w:basedOn w:val="327"/>
    <w:next w:val="1"/>
    <w:qFormat/>
    <w:uiPriority w:val="0"/>
    <w:pPr>
      <w:tabs>
        <w:tab w:val="left" w:pos="2160"/>
      </w:tabs>
      <w:ind w:left="2100" w:hanging="420"/>
      <w:outlineLvl w:val="3"/>
    </w:pPr>
    <w:rPr>
      <w:b w:val="0"/>
      <w:kern w:val="20"/>
    </w:rPr>
  </w:style>
  <w:style w:type="paragraph" w:customStyle="1" w:styleId="649">
    <w:name w:val="xl22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50">
    <w:name w:val="‧ N table-8 body indent"/>
    <w:basedOn w:val="593"/>
    <w:qFormat/>
    <w:uiPriority w:val="0"/>
    <w:pPr>
      <w:spacing w:before="85" w:after="45"/>
      <w:ind w:left="720"/>
    </w:pPr>
    <w:rPr>
      <w:sz w:val="16"/>
    </w:rPr>
  </w:style>
  <w:style w:type="paragraph" w:customStyle="1" w:styleId="651">
    <w:name w:val="*Full Page"/>
    <w:basedOn w:val="1"/>
    <w:qFormat/>
    <w:uiPriority w:val="0"/>
    <w:pPr>
      <w:widowControl/>
      <w:spacing w:after="280" w:line="220" w:lineRule="atLeast"/>
      <w:ind w:firstLine="420"/>
      <w:jc w:val="left"/>
    </w:pPr>
    <w:rPr>
      <w:rFonts w:ascii="Arial" w:hAnsi="Arial"/>
      <w:kern w:val="0"/>
      <w:sz w:val="20"/>
      <w:szCs w:val="20"/>
    </w:rPr>
  </w:style>
  <w:style w:type="paragraph" w:customStyle="1" w:styleId="652">
    <w:name w:val="xl98"/>
    <w:basedOn w:val="1"/>
    <w:qFormat/>
    <w:uiPriority w:val="0"/>
    <w:pPr>
      <w:pBdr>
        <w:top w:val="single" w:color="auto" w:sz="4" w:space="0"/>
        <w:left w:val="single" w:color="auto" w:sz="8"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653">
    <w:name w:val="xl121"/>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54">
    <w:name w:val="xl114"/>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655">
    <w:name w:val="SANGFOR_4_标题4"/>
    <w:basedOn w:val="5"/>
    <w:next w:val="225"/>
    <w:qFormat/>
    <w:uiPriority w:val="0"/>
    <w:pPr>
      <w:keepNext/>
      <w:keepLines/>
      <w:widowControl w:val="0"/>
      <w:tabs>
        <w:tab w:val="left" w:pos="567"/>
        <w:tab w:val="left" w:pos="993"/>
      </w:tabs>
      <w:spacing w:beforeLines="50" w:afterLines="50"/>
      <w:ind w:left="851" w:right="100" w:rightChars="100" w:hanging="851"/>
    </w:pPr>
    <w:rPr>
      <w:rFonts w:ascii="Times New Roman" w:hAnsi="Times New Roman"/>
      <w:b/>
      <w:bCs/>
      <w:kern w:val="2"/>
    </w:rPr>
  </w:style>
  <w:style w:type="paragraph" w:customStyle="1" w:styleId="656">
    <w:name w:val="xl3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57">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8">
    <w:name w:val="中铁-标题三"/>
    <w:basedOn w:val="659"/>
    <w:qFormat/>
    <w:uiPriority w:val="0"/>
    <w:pPr>
      <w:outlineLvl w:val="2"/>
    </w:pPr>
    <w:rPr>
      <w:sz w:val="32"/>
    </w:rPr>
  </w:style>
  <w:style w:type="paragraph" w:customStyle="1" w:styleId="659">
    <w:name w:val="中铁-标题二"/>
    <w:basedOn w:val="1"/>
    <w:qFormat/>
    <w:uiPriority w:val="0"/>
    <w:pPr>
      <w:spacing w:beforeLines="50" w:afterLines="50"/>
      <w:ind w:left="7229" w:right="100" w:rightChars="100" w:hanging="425"/>
      <w:jc w:val="left"/>
      <w:outlineLvl w:val="1"/>
    </w:pPr>
    <w:rPr>
      <w:rFonts w:ascii="Calibri" w:hAnsi="Calibri" w:eastAsia="华文中宋"/>
      <w:b/>
      <w:sz w:val="36"/>
      <w:szCs w:val="21"/>
    </w:rPr>
  </w:style>
  <w:style w:type="paragraph" w:customStyle="1" w:styleId="660">
    <w:name w:val="Char2"/>
    <w:basedOn w:val="1"/>
    <w:qFormat/>
    <w:uiPriority w:val="0"/>
    <w:rPr>
      <w:rFonts w:ascii="仿宋_GB2312" w:eastAsia="仿宋_GB2312"/>
      <w:b/>
      <w:sz w:val="32"/>
      <w:szCs w:val="32"/>
    </w:rPr>
  </w:style>
  <w:style w:type="paragraph" w:customStyle="1" w:styleId="661">
    <w:name w:val="xl385"/>
    <w:basedOn w:val="1"/>
    <w:qFormat/>
    <w:uiPriority w:val="0"/>
    <w:pPr>
      <w:widowControl/>
      <w:pBdr>
        <w:top w:val="single" w:color="auto" w:sz="4" w:space="0"/>
        <w:bottom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662">
    <w:name w:val="xl190"/>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663">
    <w:name w:val="自用 + 首行缩进"/>
    <w:basedOn w:val="1"/>
    <w:qFormat/>
    <w:uiPriority w:val="0"/>
    <w:pPr>
      <w:spacing w:before="120" w:after="120" w:line="360" w:lineRule="auto"/>
      <w:ind w:firstLine="200" w:firstLineChars="200"/>
    </w:pPr>
    <w:rPr>
      <w:rFonts w:ascii="宋体" w:hAnsi="宋体" w:cs="宋体"/>
      <w:szCs w:val="20"/>
    </w:rPr>
  </w:style>
  <w:style w:type="paragraph" w:customStyle="1" w:styleId="664">
    <w:name w:val="Char3 Char Char Char"/>
    <w:basedOn w:val="1"/>
    <w:qFormat/>
    <w:uiPriority w:val="0"/>
    <w:pPr>
      <w:widowControl/>
      <w:spacing w:after="160" w:line="240" w:lineRule="exact"/>
      <w:ind w:firstLine="420"/>
      <w:jc w:val="left"/>
    </w:pPr>
    <w:rPr>
      <w:rFonts w:ascii="Verdana" w:hAnsi="Verdana"/>
      <w:kern w:val="0"/>
      <w:sz w:val="20"/>
      <w:szCs w:val="20"/>
      <w:lang w:eastAsia="en-US"/>
    </w:rPr>
  </w:style>
  <w:style w:type="paragraph" w:customStyle="1" w:styleId="665">
    <w:name w:val="文章标题"/>
    <w:next w:val="1"/>
    <w:qFormat/>
    <w:uiPriority w:val="0"/>
    <w:pPr>
      <w:spacing w:beforeLines="200" w:afterLines="100"/>
      <w:jc w:val="center"/>
    </w:pPr>
    <w:rPr>
      <w:rFonts w:ascii="Arial" w:hAnsi="Arial" w:eastAsia="黑体" w:cs="宋体"/>
      <w:bCs/>
      <w:kern w:val="2"/>
      <w:sz w:val="52"/>
      <w:lang w:val="en-US" w:eastAsia="zh-CN" w:bidi="ar-SA"/>
    </w:rPr>
  </w:style>
  <w:style w:type="paragraph" w:customStyle="1" w:styleId="666">
    <w:name w:val="User Index 4"/>
    <w:basedOn w:val="46"/>
    <w:qFormat/>
    <w:uiPriority w:val="0"/>
    <w:pPr>
      <w:tabs>
        <w:tab w:val="right" w:leader="dot" w:pos="9746"/>
      </w:tabs>
      <w:ind w:left="849"/>
    </w:pPr>
  </w:style>
  <w:style w:type="paragraph" w:customStyle="1" w:styleId="667">
    <w:name w:val="~Heading 1"/>
    <w:next w:val="516"/>
    <w:qFormat/>
    <w:uiPriority w:val="0"/>
    <w:pPr>
      <w:keepNext/>
      <w:keepLines/>
      <w:tabs>
        <w:tab w:val="left" w:pos="840"/>
      </w:tabs>
      <w:spacing w:before="240" w:after="120" w:line="220" w:lineRule="atLeast"/>
      <w:outlineLvl w:val="1"/>
    </w:pPr>
    <w:rPr>
      <w:rFonts w:ascii="Arial" w:hAnsi="Arial" w:eastAsia="宋体" w:cs="Times New Roman"/>
      <w:b/>
      <w:color w:val="00637A"/>
      <w:sz w:val="32"/>
      <w:szCs w:val="32"/>
      <w:lang w:val="en-US" w:eastAsia="en-US" w:bidi="ar-SA"/>
    </w:rPr>
  </w:style>
  <w:style w:type="paragraph" w:customStyle="1" w:styleId="668">
    <w:name w:val="xl102"/>
    <w:basedOn w:val="1"/>
    <w:qFormat/>
    <w:uiPriority w:val="0"/>
    <w:pPr>
      <w:pBdr>
        <w:top w:val="single" w:color="auto" w:sz="4" w:space="0"/>
        <w:left w:val="single" w:color="auto" w:sz="4" w:space="0"/>
        <w:bottom w:val="single" w:color="auto" w:sz="4" w:space="0"/>
        <w:right w:val="single" w:color="auto" w:sz="8"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669">
    <w:name w:val="IN Feature"/>
    <w:basedOn w:val="1"/>
    <w:qFormat/>
    <w:uiPriority w:val="0"/>
    <w:pPr>
      <w:widowControl/>
      <w:tabs>
        <w:tab w:val="left" w:pos="960"/>
        <w:tab w:val="left" w:pos="3780"/>
      </w:tabs>
      <w:snapToGrid w:val="0"/>
      <w:spacing w:before="80" w:after="80" w:line="300" w:lineRule="auto"/>
    </w:pPr>
    <w:rPr>
      <w:rFonts w:ascii="Arial" w:hAnsi="Arial" w:cs="Arial"/>
      <w:kern w:val="0"/>
      <w:szCs w:val="21"/>
    </w:rPr>
  </w:style>
  <w:style w:type="paragraph" w:customStyle="1" w:styleId="670">
    <w:name w:val="Pa0"/>
    <w:basedOn w:val="102"/>
    <w:next w:val="102"/>
    <w:qFormat/>
    <w:uiPriority w:val="0"/>
    <w:pPr>
      <w:spacing w:line="241" w:lineRule="atLeast"/>
    </w:pPr>
    <w:rPr>
      <w:rFonts w:cs="Times New Roman"/>
      <w:color w:val="auto"/>
    </w:rPr>
  </w:style>
  <w:style w:type="paragraph" w:customStyle="1" w:styleId="671">
    <w:name w:val="Body"/>
    <w:basedOn w:val="1"/>
    <w:qFormat/>
    <w:uiPriority w:val="0"/>
    <w:pPr>
      <w:widowControl/>
      <w:tabs>
        <w:tab w:val="center" w:pos="4467"/>
        <w:tab w:val="right" w:pos="8793"/>
      </w:tabs>
      <w:spacing w:before="80" w:after="80" w:line="360" w:lineRule="auto"/>
      <w:ind w:left="142" w:leftChars="71" w:right="-52" w:firstLine="315" w:firstLineChars="150"/>
    </w:pPr>
    <w:rPr>
      <w:rFonts w:ascii="宋体" w:hAnsi="宋体"/>
      <w:color w:val="FF0000"/>
      <w:szCs w:val="21"/>
    </w:rPr>
  </w:style>
  <w:style w:type="paragraph" w:customStyle="1" w:styleId="672">
    <w:name w:val="默认段落字体 Para Char Char Char Char Char Char Char Char Char1 Char Char Char Char"/>
    <w:basedOn w:val="1"/>
    <w:qFormat/>
    <w:uiPriority w:val="0"/>
    <w:pPr>
      <w:spacing w:line="360" w:lineRule="auto"/>
      <w:ind w:firstLine="420"/>
    </w:pPr>
    <w:rPr>
      <w:rFonts w:ascii="Tahoma" w:hAnsi="Tahoma"/>
      <w:sz w:val="24"/>
      <w:szCs w:val="20"/>
    </w:rPr>
  </w:style>
  <w:style w:type="paragraph" w:customStyle="1" w:styleId="673">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74">
    <w:name w:val="列出段落4"/>
    <w:basedOn w:val="1"/>
    <w:qFormat/>
    <w:uiPriority w:val="99"/>
    <w:pPr>
      <w:ind w:firstLine="420" w:firstLineChars="200"/>
    </w:pPr>
    <w:rPr>
      <w:szCs w:val="22"/>
    </w:rPr>
  </w:style>
  <w:style w:type="paragraph" w:customStyle="1" w:styleId="675">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76">
    <w:name w:val="*Heading 1"/>
    <w:basedOn w:val="164"/>
    <w:next w:val="164"/>
    <w:qFormat/>
    <w:uiPriority w:val="0"/>
    <w:pPr>
      <w:keepNext/>
      <w:keepLines/>
      <w:spacing w:before="240" w:after="120"/>
      <w:outlineLvl w:val="1"/>
    </w:pPr>
    <w:rPr>
      <w:rFonts w:ascii="Verdana" w:hAnsi="Verdana"/>
      <w:b/>
      <w:sz w:val="36"/>
      <w:szCs w:val="32"/>
    </w:rPr>
  </w:style>
  <w:style w:type="paragraph" w:customStyle="1" w:styleId="677">
    <w:name w:val="xl9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678">
    <w:name w:val="样式 标题 + 两端对齐"/>
    <w:basedOn w:val="76"/>
    <w:qFormat/>
    <w:uiPriority w:val="0"/>
    <w:pPr>
      <w:tabs>
        <w:tab w:val="center" w:pos="-6"/>
        <w:tab w:val="left" w:pos="390"/>
      </w:tabs>
      <w:autoSpaceDE w:val="0"/>
      <w:autoSpaceDN w:val="0"/>
      <w:adjustRightInd w:val="0"/>
      <w:snapToGrid w:val="0"/>
      <w:spacing w:before="240" w:after="60"/>
      <w:ind w:firstLine="569" w:firstLineChars="177"/>
      <w:outlineLvl w:val="0"/>
    </w:pPr>
    <w:rPr>
      <w:rFonts w:cs="宋体"/>
      <w:kern w:val="0"/>
      <w:sz w:val="84"/>
      <w:szCs w:val="20"/>
    </w:rPr>
  </w:style>
  <w:style w:type="paragraph" w:customStyle="1" w:styleId="679">
    <w:name w:val="‧ N bullet 2"/>
    <w:basedOn w:val="500"/>
    <w:qFormat/>
    <w:uiPriority w:val="0"/>
  </w:style>
  <w:style w:type="paragraph" w:customStyle="1" w:styleId="680">
    <w:name w:val="font1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681">
    <w:name w:val="parahead1"/>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682">
    <w:name w:val="一级标题"/>
    <w:basedOn w:val="1"/>
    <w:qFormat/>
    <w:uiPriority w:val="0"/>
    <w:pPr>
      <w:tabs>
        <w:tab w:val="left" w:pos="1320"/>
      </w:tabs>
      <w:spacing w:before="100" w:beforeAutospacing="1" w:after="100" w:afterAutospacing="1" w:line="360" w:lineRule="auto"/>
      <w:outlineLvl w:val="0"/>
    </w:pPr>
    <w:rPr>
      <w:rFonts w:ascii="宋体" w:hAnsi="宋体"/>
      <w:b/>
      <w:sz w:val="32"/>
      <w:szCs w:val="32"/>
    </w:rPr>
  </w:style>
  <w:style w:type="paragraph" w:customStyle="1" w:styleId="683">
    <w:name w:val="标准标题4"/>
    <w:basedOn w:val="1"/>
    <w:qFormat/>
    <w:uiPriority w:val="0"/>
    <w:pPr>
      <w:spacing w:before="100" w:beforeAutospacing="1" w:after="100" w:afterAutospacing="1" w:line="360" w:lineRule="auto"/>
      <w:ind w:firstLine="420"/>
      <w:outlineLvl w:val="3"/>
    </w:pPr>
    <w:rPr>
      <w:rFonts w:ascii="宋体" w:hAnsi="宋体"/>
      <w:b/>
      <w:sz w:val="28"/>
      <w:szCs w:val="28"/>
    </w:rPr>
  </w:style>
  <w:style w:type="paragraph" w:customStyle="1" w:styleId="684">
    <w:name w:val="*Notice Heading"/>
    <w:basedOn w:val="676"/>
    <w:next w:val="624"/>
    <w:qFormat/>
    <w:uiPriority w:val="0"/>
    <w:pPr>
      <w:spacing w:after="240" w:line="240" w:lineRule="auto"/>
      <w:outlineLvl w:val="0"/>
    </w:pPr>
    <w:rPr>
      <w:b w:val="0"/>
      <w:color w:val="00637A"/>
      <w:szCs w:val="36"/>
    </w:rPr>
  </w:style>
  <w:style w:type="paragraph" w:customStyle="1" w:styleId="685">
    <w:name w:val="NW正文"/>
    <w:basedOn w:val="686"/>
    <w:next w:val="181"/>
    <w:qFormat/>
    <w:uiPriority w:val="0"/>
    <w:pPr>
      <w:spacing w:before="120"/>
      <w:ind w:left="420" w:firstLine="425"/>
    </w:pPr>
    <w:rPr>
      <w:rFonts w:ascii="Arial" w:hAnsi="Arial"/>
      <w:kern w:val="0"/>
    </w:rPr>
  </w:style>
  <w:style w:type="paragraph" w:customStyle="1" w:styleId="686">
    <w:name w:val="Char Char Char Char Char Char"/>
    <w:basedOn w:val="1"/>
    <w:qFormat/>
    <w:uiPriority w:val="0"/>
    <w:pPr>
      <w:spacing w:line="360" w:lineRule="auto"/>
      <w:ind w:firstLine="420"/>
    </w:pPr>
    <w:rPr>
      <w:rFonts w:ascii="Tahoma" w:hAnsi="Tahoma"/>
      <w:sz w:val="24"/>
      <w:szCs w:val="20"/>
    </w:rPr>
  </w:style>
  <w:style w:type="paragraph" w:customStyle="1" w:styleId="687">
    <w:name w:val="*Table Text 2 Bullet #1"/>
    <w:basedOn w:val="688"/>
    <w:qFormat/>
    <w:uiPriority w:val="0"/>
    <w:pPr>
      <w:tabs>
        <w:tab w:val="left" w:pos="144"/>
        <w:tab w:val="left" w:pos="3240"/>
      </w:tabs>
      <w:ind w:left="144" w:hanging="144"/>
    </w:pPr>
  </w:style>
  <w:style w:type="paragraph" w:customStyle="1" w:styleId="688">
    <w:name w:val="*Table Text 2"/>
    <w:basedOn w:val="689"/>
    <w:qFormat/>
    <w:uiPriority w:val="0"/>
    <w:pPr>
      <w:spacing w:line="220" w:lineRule="atLeast"/>
    </w:pPr>
    <w:rPr>
      <w:color w:val="000000"/>
      <w:sz w:val="20"/>
      <w:szCs w:val="20"/>
    </w:rPr>
  </w:style>
  <w:style w:type="paragraph" w:customStyle="1" w:styleId="689">
    <w:name w:val="*Table Text"/>
    <w:qFormat/>
    <w:uiPriority w:val="0"/>
    <w:pPr>
      <w:spacing w:line="240" w:lineRule="atLeast"/>
    </w:pPr>
    <w:rPr>
      <w:rFonts w:ascii="Arial" w:hAnsi="Arial" w:eastAsia="宋体" w:cs="Times New Roman"/>
      <w:sz w:val="18"/>
      <w:szCs w:val="24"/>
      <w:lang w:val="en-US" w:eastAsia="en-US" w:bidi="ar-SA"/>
    </w:rPr>
  </w:style>
  <w:style w:type="paragraph" w:customStyle="1" w:styleId="690">
    <w:name w:val="标题二"/>
    <w:basedOn w:val="3"/>
    <w:next w:val="1"/>
    <w:qFormat/>
    <w:uiPriority w:val="0"/>
    <w:pPr>
      <w:snapToGrid/>
      <w:spacing w:before="120" w:line="415" w:lineRule="auto"/>
      <w:ind w:firstLine="0" w:firstLineChars="0"/>
    </w:pPr>
    <w:rPr>
      <w:rFonts w:ascii="黑体" w:hAnsi="华文细黑" w:eastAsia="黑体"/>
      <w:sz w:val="24"/>
    </w:rPr>
  </w:style>
  <w:style w:type="paragraph" w:customStyle="1" w:styleId="691">
    <w:name w:val="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692">
    <w:name w:val="List Bullet1"/>
    <w:basedOn w:val="1"/>
    <w:qFormat/>
    <w:uiPriority w:val="0"/>
    <w:pPr>
      <w:widowControl/>
      <w:tabs>
        <w:tab w:val="left" w:pos="720"/>
      </w:tabs>
      <w:spacing w:before="240" w:after="120" w:line="288" w:lineRule="auto"/>
      <w:ind w:left="981" w:right="57" w:hanging="357"/>
      <w:jc w:val="left"/>
    </w:pPr>
    <w:rPr>
      <w:rFonts w:ascii="宋体" w:hAnsi="宋体"/>
      <w:kern w:val="0"/>
    </w:rPr>
  </w:style>
  <w:style w:type="paragraph" w:customStyle="1" w:styleId="693">
    <w:name w:val="‧ N cover prepared name"/>
    <w:basedOn w:val="500"/>
    <w:qFormat/>
    <w:uiPriority w:val="0"/>
  </w:style>
  <w:style w:type="paragraph" w:customStyle="1" w:styleId="694">
    <w:name w:val="列表3"/>
    <w:basedOn w:val="1"/>
    <w:qFormat/>
    <w:uiPriority w:val="0"/>
    <w:pPr>
      <w:tabs>
        <w:tab w:val="left" w:pos="0"/>
        <w:tab w:val="left" w:pos="390"/>
        <w:tab w:val="left" w:pos="1758"/>
      </w:tabs>
      <w:autoSpaceDE w:val="0"/>
      <w:autoSpaceDN w:val="0"/>
      <w:adjustRightInd w:val="0"/>
      <w:snapToGrid w:val="0"/>
      <w:spacing w:before="120" w:after="120"/>
      <w:ind w:firstLine="177" w:firstLineChars="177"/>
      <w:jc w:val="left"/>
    </w:pPr>
    <w:rPr>
      <w:rFonts w:ascii="宋体" w:hAnsi="宋体"/>
      <w:kern w:val="0"/>
      <w:sz w:val="24"/>
      <w:lang w:eastAsia="en-US"/>
    </w:rPr>
  </w:style>
  <w:style w:type="paragraph" w:customStyle="1" w:styleId="695">
    <w:name w:val="blessing"/>
    <w:basedOn w:val="17"/>
    <w:qFormat/>
    <w:uiPriority w:val="0"/>
    <w:pPr>
      <w:widowControl/>
      <w:adjustRightInd/>
      <w:spacing w:before="240" w:after="240" w:line="360" w:lineRule="auto"/>
      <w:ind w:firstLine="454"/>
      <w:jc w:val="both"/>
      <w:textAlignment w:val="auto"/>
    </w:pPr>
    <w:rPr>
      <w:rFonts w:ascii="Times New Roman" w:eastAsia="宋体"/>
      <w:color w:val="000080"/>
      <w:sz w:val="24"/>
      <w:szCs w:val="24"/>
    </w:rPr>
  </w:style>
  <w:style w:type="paragraph" w:customStyle="1" w:styleId="696">
    <w:name w:val="xl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697">
    <w:name w:val="content -1"/>
    <w:basedOn w:val="1"/>
    <w:qFormat/>
    <w:uiPriority w:val="0"/>
    <w:pPr>
      <w:spacing w:beforeLines="50" w:line="400" w:lineRule="exact"/>
      <w:ind w:firstLine="420"/>
      <w:jc w:val="left"/>
    </w:pPr>
    <w:rPr>
      <w:rFonts w:ascii="宋体" w:hAnsi="宋体" w:eastAsia="PMingLiU"/>
      <w:spacing w:val="20"/>
      <w:sz w:val="22"/>
      <w:lang w:eastAsia="zh-TW"/>
    </w:rPr>
  </w:style>
  <w:style w:type="paragraph" w:customStyle="1" w:styleId="698">
    <w:name w:val="‧ N head 5"/>
    <w:basedOn w:val="500"/>
    <w:next w:val="501"/>
    <w:qFormat/>
    <w:uiPriority w:val="0"/>
  </w:style>
  <w:style w:type="paragraph" w:customStyle="1" w:styleId="699">
    <w:name w:val="临时副标题"/>
    <w:basedOn w:val="1"/>
    <w:next w:val="1"/>
    <w:qFormat/>
    <w:uiPriority w:val="0"/>
    <w:pPr>
      <w:tabs>
        <w:tab w:val="left" w:pos="0"/>
        <w:tab w:val="left" w:pos="390"/>
      </w:tabs>
      <w:autoSpaceDE w:val="0"/>
      <w:autoSpaceDN w:val="0"/>
      <w:adjustRightInd w:val="0"/>
      <w:snapToGrid w:val="0"/>
      <w:spacing w:before="240" w:afterLines="50" w:line="320" w:lineRule="exact"/>
      <w:ind w:left="1207" w:leftChars="503" w:firstLine="425" w:firstLineChars="177"/>
      <w:jc w:val="left"/>
    </w:pPr>
    <w:rPr>
      <w:rFonts w:ascii="幼圆" w:hAnsi="宋体" w:cs="宋体"/>
      <w:b/>
      <w:spacing w:val="10"/>
      <w:kern w:val="0"/>
      <w:sz w:val="24"/>
    </w:rPr>
  </w:style>
  <w:style w:type="paragraph" w:customStyle="1" w:styleId="700">
    <w:name w:val="xl32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01">
    <w:name w:val="Object index heading"/>
    <w:basedOn w:val="16"/>
    <w:qFormat/>
    <w:uiPriority w:val="0"/>
  </w:style>
  <w:style w:type="paragraph" w:customStyle="1" w:styleId="702">
    <w:name w:val="xl11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703">
    <w:name w:val="列出段落2"/>
    <w:basedOn w:val="1"/>
    <w:qFormat/>
    <w:uiPriority w:val="34"/>
    <w:pPr>
      <w:spacing w:line="360" w:lineRule="auto"/>
      <w:ind w:left="720" w:firstLine="420"/>
      <w:contextualSpacing/>
    </w:pPr>
    <w:rPr>
      <w:kern w:val="0"/>
      <w:sz w:val="20"/>
    </w:rPr>
  </w:style>
  <w:style w:type="paragraph" w:customStyle="1" w:styleId="704">
    <w:name w:val="font6"/>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705">
    <w:name w:val="标准正文1"/>
    <w:basedOn w:val="1"/>
    <w:qFormat/>
    <w:uiPriority w:val="0"/>
    <w:pPr>
      <w:spacing w:line="360" w:lineRule="auto"/>
      <w:ind w:firstLine="480" w:firstLineChars="200"/>
    </w:pPr>
    <w:rPr>
      <w:rFonts w:ascii="宋体" w:hAnsi="宋体"/>
      <w:sz w:val="24"/>
    </w:rPr>
  </w:style>
  <w:style w:type="paragraph" w:customStyle="1" w:styleId="706">
    <w:name w:val="arial122"/>
    <w:basedOn w:val="1"/>
    <w:qFormat/>
    <w:uiPriority w:val="0"/>
    <w:pPr>
      <w:widowControl/>
      <w:spacing w:line="300" w:lineRule="atLeast"/>
      <w:ind w:firstLine="420"/>
      <w:jc w:val="left"/>
    </w:pPr>
    <w:rPr>
      <w:rFonts w:ascii="宋体" w:hAnsi="宋体" w:cs="宋体"/>
      <w:kern w:val="0"/>
      <w:sz w:val="18"/>
      <w:szCs w:val="18"/>
    </w:rPr>
  </w:style>
  <w:style w:type="paragraph" w:customStyle="1" w:styleId="707">
    <w:name w:val="xl1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708">
    <w:name w:val="内文正文"/>
    <w:basedOn w:val="40"/>
    <w:qFormat/>
    <w:uiPriority w:val="0"/>
    <w:pPr>
      <w:adjustRightInd w:val="0"/>
      <w:snapToGrid w:val="0"/>
      <w:spacing w:line="400" w:lineRule="exact"/>
      <w:ind w:firstLine="200" w:firstLineChars="200"/>
    </w:pPr>
    <w:rPr>
      <w:rFonts w:ascii="Arial" w:hAnsi="Arial" w:cs="Courier New"/>
      <w:color w:val="000000"/>
      <w:szCs w:val="21"/>
    </w:rPr>
  </w:style>
  <w:style w:type="paragraph" w:customStyle="1" w:styleId="709">
    <w:name w:val="para13"/>
    <w:basedOn w:val="1"/>
    <w:qFormat/>
    <w:uiPriority w:val="0"/>
    <w:pPr>
      <w:widowControl/>
      <w:spacing w:before="20" w:after="40" w:line="360" w:lineRule="auto"/>
      <w:ind w:firstLine="420"/>
      <w:jc w:val="left"/>
    </w:pPr>
    <w:rPr>
      <w:rFonts w:ascii="宋体" w:hAnsi="宋体" w:cs="宋体"/>
      <w:color w:val="000000"/>
      <w:kern w:val="0"/>
      <w:sz w:val="23"/>
      <w:szCs w:val="23"/>
    </w:rPr>
  </w:style>
  <w:style w:type="paragraph" w:customStyle="1" w:styleId="710">
    <w:name w:val="HeadingSub"/>
    <w:qFormat/>
    <w:uiPriority w:val="0"/>
    <w:pPr>
      <w:tabs>
        <w:tab w:val="left" w:pos="993"/>
        <w:tab w:val="left" w:pos="1440"/>
      </w:tabs>
      <w:ind w:left="993" w:right="48" w:hanging="567"/>
    </w:pPr>
    <w:rPr>
      <w:rFonts w:ascii="MetaBook-Roman" w:hAnsi="MetaBook-Roman" w:eastAsia="宋体" w:cs="Arial"/>
      <w:b/>
      <w:sz w:val="24"/>
      <w:u w:val="single"/>
      <w:lang w:val="en-US" w:eastAsia="en-US" w:bidi="ar-SA"/>
    </w:rPr>
  </w:style>
  <w:style w:type="paragraph" w:customStyle="1" w:styleId="711">
    <w:name w:val="标题11"/>
    <w:basedOn w:val="3"/>
    <w:qFormat/>
    <w:uiPriority w:val="0"/>
    <w:pPr>
      <w:tabs>
        <w:tab w:val="left" w:pos="284"/>
      </w:tabs>
      <w:snapToGrid/>
      <w:spacing w:before="100" w:beforeAutospacing="1" w:after="100" w:afterAutospacing="1" w:line="360" w:lineRule="auto"/>
      <w:ind w:right="100" w:rightChars="100" w:firstLine="0" w:firstLineChars="0"/>
      <w:jc w:val="center"/>
    </w:pPr>
    <w:rPr>
      <w:rFonts w:ascii="宋体" w:hAnsi="宋体"/>
      <w:bCs w:val="0"/>
      <w:kern w:val="44"/>
      <w:sz w:val="30"/>
      <w:szCs w:val="30"/>
    </w:rPr>
  </w:style>
  <w:style w:type="paragraph" w:customStyle="1" w:styleId="712">
    <w:name w:val="xl8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713">
    <w:name w:val="Item List"/>
    <w:qFormat/>
    <w:uiPriority w:val="0"/>
    <w:pPr>
      <w:tabs>
        <w:tab w:val="left" w:pos="3780"/>
      </w:tabs>
      <w:spacing w:line="300" w:lineRule="auto"/>
      <w:ind w:left="3780" w:hanging="420"/>
      <w:jc w:val="both"/>
    </w:pPr>
    <w:rPr>
      <w:rFonts w:ascii="Arial" w:hAnsi="Arial" w:eastAsia="宋体" w:cs="Arial"/>
      <w:sz w:val="21"/>
      <w:szCs w:val="21"/>
      <w:lang w:val="en-US" w:eastAsia="zh-CN" w:bidi="ar-SA"/>
    </w:rPr>
  </w:style>
  <w:style w:type="paragraph" w:customStyle="1" w:styleId="714">
    <w:name w:val="‧ N head 3"/>
    <w:basedOn w:val="500"/>
    <w:next w:val="645"/>
    <w:qFormat/>
    <w:uiPriority w:val="0"/>
  </w:style>
  <w:style w:type="paragraph" w:customStyle="1" w:styleId="715">
    <w:name w:val="部分1"/>
    <w:basedOn w:val="1"/>
    <w:qFormat/>
    <w:uiPriority w:val="0"/>
    <w:pPr>
      <w:keepNext/>
      <w:pageBreakBefore/>
      <w:tabs>
        <w:tab w:val="left" w:pos="720"/>
      </w:tabs>
      <w:spacing w:line="360" w:lineRule="auto"/>
      <w:jc w:val="center"/>
      <w:outlineLvl w:val="0"/>
    </w:pPr>
    <w:rPr>
      <w:rFonts w:eastAsia="??"/>
      <w:b/>
      <w:kern w:val="44"/>
      <w:sz w:val="36"/>
      <w:szCs w:val="28"/>
    </w:rPr>
  </w:style>
  <w:style w:type="paragraph" w:customStyle="1" w:styleId="716">
    <w:name w:val="安安首行缩进"/>
    <w:basedOn w:val="1"/>
    <w:qFormat/>
    <w:uiPriority w:val="0"/>
    <w:pPr>
      <w:spacing w:beforeLines="50" w:afterLines="50" w:line="360" w:lineRule="auto"/>
      <w:ind w:firstLine="200" w:firstLineChars="200"/>
    </w:pPr>
    <w:rPr>
      <w:rFonts w:ascii="宋体" w:hAnsi="宋体"/>
      <w:sz w:val="24"/>
    </w:rPr>
  </w:style>
  <w:style w:type="paragraph" w:customStyle="1" w:styleId="717">
    <w:name w:val="样式12"/>
    <w:basedOn w:val="297"/>
    <w:qFormat/>
    <w:uiPriority w:val="0"/>
    <w:pPr>
      <w:keepNext/>
      <w:keepLines/>
      <w:tabs>
        <w:tab w:val="left" w:pos="567"/>
      </w:tabs>
      <w:spacing w:before="260" w:after="260"/>
      <w:ind w:left="567" w:hanging="567"/>
      <w:outlineLvl w:val="1"/>
    </w:pPr>
    <w:rPr>
      <w:b/>
      <w:bCs/>
      <w:kern w:val="0"/>
      <w:sz w:val="32"/>
      <w:szCs w:val="32"/>
    </w:rPr>
  </w:style>
  <w:style w:type="paragraph" w:customStyle="1" w:styleId="718">
    <w:name w:val="‧ N bullet"/>
    <w:basedOn w:val="500"/>
    <w:qFormat/>
    <w:uiPriority w:val="0"/>
  </w:style>
  <w:style w:type="paragraph" w:customStyle="1" w:styleId="719">
    <w:name w:val="样式8"/>
    <w:basedOn w:val="297"/>
    <w:qFormat/>
    <w:uiPriority w:val="0"/>
    <w:pPr>
      <w:keepNext/>
      <w:keepLines/>
      <w:tabs>
        <w:tab w:val="left" w:pos="567"/>
      </w:tabs>
      <w:spacing w:before="260" w:after="260"/>
      <w:ind w:left="567" w:hanging="567"/>
      <w:outlineLvl w:val="1"/>
    </w:pPr>
    <w:rPr>
      <w:b/>
      <w:bCs/>
      <w:sz w:val="32"/>
      <w:szCs w:val="32"/>
    </w:rPr>
  </w:style>
  <w:style w:type="paragraph" w:customStyle="1" w:styleId="720">
    <w:name w:val="列表1"/>
    <w:basedOn w:val="1"/>
    <w:qFormat/>
    <w:uiPriority w:val="0"/>
    <w:pPr>
      <w:tabs>
        <w:tab w:val="left" w:pos="0"/>
        <w:tab w:val="left" w:pos="390"/>
        <w:tab w:val="left" w:pos="1758"/>
      </w:tabs>
      <w:autoSpaceDE w:val="0"/>
      <w:autoSpaceDN w:val="0"/>
      <w:adjustRightInd w:val="0"/>
      <w:snapToGrid w:val="0"/>
      <w:spacing w:before="120" w:after="120"/>
      <w:ind w:firstLine="177" w:firstLineChars="177"/>
      <w:jc w:val="left"/>
    </w:pPr>
    <w:rPr>
      <w:rFonts w:ascii="宋体" w:hAnsi="宋体"/>
      <w:kern w:val="0"/>
      <w:sz w:val="24"/>
      <w:lang w:eastAsia="en-US"/>
    </w:rPr>
  </w:style>
  <w:style w:type="paragraph" w:customStyle="1" w:styleId="721">
    <w:name w:val="~Table/Graphics Caption"/>
    <w:basedOn w:val="617"/>
    <w:next w:val="516"/>
    <w:qFormat/>
    <w:uiPriority w:val="0"/>
    <w:rPr>
      <w:color w:val="00637A"/>
    </w:rPr>
  </w:style>
  <w:style w:type="paragraph" w:customStyle="1" w:styleId="722">
    <w:name w:val="font1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16"/>
      <w:szCs w:val="16"/>
    </w:rPr>
  </w:style>
  <w:style w:type="paragraph" w:customStyle="1" w:styleId="723">
    <w:name w:val="样式 只在字下加下划线 首行缩进:  2 字符"/>
    <w:basedOn w:val="1"/>
    <w:qFormat/>
    <w:uiPriority w:val="0"/>
    <w:pPr>
      <w:tabs>
        <w:tab w:val="left" w:pos="0"/>
        <w:tab w:val="left" w:pos="390"/>
      </w:tabs>
      <w:autoSpaceDE w:val="0"/>
      <w:autoSpaceDN w:val="0"/>
      <w:adjustRightInd w:val="0"/>
      <w:snapToGrid w:val="0"/>
      <w:spacing w:before="120" w:line="420" w:lineRule="atLeast"/>
      <w:ind w:left="600" w:leftChars="600" w:firstLine="200" w:firstLineChars="177"/>
      <w:jc w:val="left"/>
    </w:pPr>
    <w:rPr>
      <w:rFonts w:hAnsi="宋体" w:cs="宋体"/>
      <w:sz w:val="24"/>
      <w:szCs w:val="20"/>
      <w:u w:val="words"/>
    </w:rPr>
  </w:style>
  <w:style w:type="paragraph" w:customStyle="1" w:styleId="724">
    <w:name w:val="List Indent"/>
    <w:basedOn w:val="17"/>
    <w:qFormat/>
    <w:uiPriority w:val="0"/>
    <w:pPr>
      <w:autoSpaceDN w:val="0"/>
      <w:spacing w:before="363" w:after="119" w:line="240" w:lineRule="auto"/>
      <w:ind w:left="1800"/>
      <w:textAlignment w:val="auto"/>
    </w:pPr>
    <w:rPr>
      <w:rFonts w:ascii="Times New Roman" w:eastAsia="PMingLiU"/>
      <w:sz w:val="20"/>
      <w:lang w:val="en-GB" w:eastAsia="zh-TW"/>
    </w:rPr>
  </w:style>
  <w:style w:type="paragraph" w:customStyle="1" w:styleId="72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 w:cs="Times New Roman"/>
      <w:sz w:val="24"/>
      <w:szCs w:val="28"/>
      <w:lang w:val="en-US" w:eastAsia="zh-CN" w:bidi="ar-SA"/>
    </w:rPr>
  </w:style>
  <w:style w:type="paragraph" w:customStyle="1" w:styleId="726">
    <w:name w:val="正文 New New New New New New New New New New New New New New New New New New New New New New New New New"/>
    <w:qFormat/>
    <w:uiPriority w:val="0"/>
    <w:pPr>
      <w:spacing w:after="200" w:line="276" w:lineRule="auto"/>
    </w:pPr>
    <w:rPr>
      <w:rFonts w:ascii="Calibri" w:hAnsi="Calibri" w:eastAsia="宋体" w:cs="黑体"/>
      <w:sz w:val="22"/>
      <w:szCs w:val="22"/>
      <w:lang w:val="en-US" w:eastAsia="en-US" w:bidi="ar-SA"/>
    </w:rPr>
  </w:style>
  <w:style w:type="paragraph" w:customStyle="1" w:styleId="727">
    <w:name w:val="表格标题1"/>
    <w:basedOn w:val="1"/>
    <w:qFormat/>
    <w:uiPriority w:val="0"/>
    <w:pPr>
      <w:spacing w:line="400" w:lineRule="exact"/>
      <w:ind w:firstLine="200" w:firstLineChars="200"/>
      <w:jc w:val="center"/>
    </w:pPr>
    <w:rPr>
      <w:rFonts w:ascii="Arial" w:hAnsi="Arial" w:cs="宋体"/>
      <w:b/>
      <w:bCs/>
      <w:szCs w:val="21"/>
    </w:rPr>
  </w:style>
  <w:style w:type="paragraph" w:customStyle="1" w:styleId="728">
    <w:name w:val="应答标题a"/>
    <w:basedOn w:val="153"/>
    <w:qFormat/>
    <w:uiPriority w:val="0"/>
    <w:pPr>
      <w:tabs>
        <w:tab w:val="left" w:pos="540"/>
      </w:tabs>
      <w:ind w:firstLine="522"/>
    </w:pPr>
    <w:rPr>
      <w:rFonts w:ascii="黑体" w:hAnsi="黑体" w:eastAsia="黑体"/>
      <w:b/>
      <w:bCs/>
      <w:color w:val="auto"/>
      <w:kern w:val="2"/>
      <w:u w:val="single"/>
    </w:rPr>
  </w:style>
  <w:style w:type="paragraph" w:customStyle="1" w:styleId="729">
    <w:name w:val="xl33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30">
    <w:name w:val="Contents 10"/>
    <w:basedOn w:val="46"/>
    <w:qFormat/>
    <w:uiPriority w:val="0"/>
    <w:pPr>
      <w:tabs>
        <w:tab w:val="right" w:leader="dot" w:pos="9746"/>
      </w:tabs>
      <w:ind w:left="2547"/>
    </w:pPr>
  </w:style>
  <w:style w:type="paragraph" w:customStyle="1" w:styleId="731">
    <w:name w:val="xl225"/>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732">
    <w:name w:val="xl3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33">
    <w:name w:val="xl126"/>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34">
    <w:name w:val="xl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35">
    <w:name w:val="*Table of Contents"/>
    <w:basedOn w:val="624"/>
    <w:next w:val="164"/>
    <w:qFormat/>
    <w:uiPriority w:val="0"/>
    <w:pPr>
      <w:spacing w:before="240" w:after="240" w:line="240" w:lineRule="auto"/>
    </w:pPr>
    <w:rPr>
      <w:color w:val="00637A"/>
      <w:sz w:val="36"/>
      <w:szCs w:val="36"/>
    </w:rPr>
  </w:style>
  <w:style w:type="paragraph" w:customStyle="1" w:styleId="736">
    <w:name w:val="*Logo Cover"/>
    <w:basedOn w:val="689"/>
    <w:qFormat/>
    <w:uiPriority w:val="0"/>
    <w:pPr>
      <w:ind w:right="360"/>
      <w:jc w:val="right"/>
    </w:pPr>
  </w:style>
  <w:style w:type="paragraph" w:customStyle="1" w:styleId="737">
    <w:name w:val="_HP Table Body 8 pt"/>
    <w:basedOn w:val="102"/>
    <w:next w:val="102"/>
    <w:qFormat/>
    <w:uiPriority w:val="0"/>
    <w:pPr>
      <w:spacing w:before="80" w:after="80"/>
    </w:pPr>
    <w:rPr>
      <w:rFonts w:ascii="Futura-Heavy" w:hAnsi="Futura-Heavy" w:eastAsia="宋体" w:cs="Times New Roman"/>
      <w:color w:val="auto"/>
    </w:rPr>
  </w:style>
  <w:style w:type="paragraph" w:customStyle="1" w:styleId="738">
    <w:name w:val="HP Entity Detail"/>
    <w:qFormat/>
    <w:uiPriority w:val="0"/>
    <w:pPr>
      <w:ind w:left="-1080" w:right="-720"/>
    </w:pPr>
    <w:rPr>
      <w:rFonts w:ascii="Arial" w:hAnsi="Arial" w:eastAsia="宋体" w:cs="Times New Roman"/>
      <w:b/>
      <w:sz w:val="14"/>
      <w:szCs w:val="14"/>
      <w:lang w:val="en-US" w:eastAsia="en-US" w:bidi="ar-SA"/>
    </w:rPr>
  </w:style>
  <w:style w:type="paragraph" w:customStyle="1" w:styleId="739">
    <w:name w:val="xl13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740">
    <w:name w:val="font14"/>
    <w:basedOn w:val="1"/>
    <w:qFormat/>
    <w:uiPriority w:val="0"/>
    <w:pPr>
      <w:widowControl/>
      <w:spacing w:before="100" w:beforeAutospacing="1" w:after="100" w:afterAutospacing="1"/>
      <w:jc w:val="left"/>
    </w:pPr>
    <w:rPr>
      <w:rFonts w:ascii="仿宋_GB2312" w:hAnsi="仿宋_GB2312" w:eastAsia="仿宋_GB2312"/>
      <w:color w:val="000000"/>
      <w:kern w:val="0"/>
      <w:sz w:val="18"/>
      <w:szCs w:val="18"/>
    </w:rPr>
  </w:style>
  <w:style w:type="paragraph" w:customStyle="1" w:styleId="741">
    <w:name w:val="xl21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42">
    <w:name w:val="font10"/>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743">
    <w:name w:val="User Index 1"/>
    <w:basedOn w:val="46"/>
    <w:qFormat/>
    <w:uiPriority w:val="0"/>
    <w:pPr>
      <w:tabs>
        <w:tab w:val="right" w:leader="dot" w:pos="10466"/>
      </w:tabs>
      <w:ind w:left="720" w:right="1009"/>
    </w:pPr>
    <w:rPr>
      <w:rFonts w:ascii="Times New Roman" w:hAnsi="Times New Roman"/>
      <w:b/>
    </w:rPr>
  </w:style>
  <w:style w:type="paragraph" w:customStyle="1" w:styleId="744">
    <w:name w:val="xl47"/>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45">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746">
    <w:name w:val="‧ N table-10 head left"/>
    <w:basedOn w:val="500"/>
    <w:next w:val="509"/>
    <w:qFormat/>
    <w:uiPriority w:val="0"/>
  </w:style>
  <w:style w:type="paragraph" w:customStyle="1" w:styleId="747">
    <w:name w:val="说明"/>
    <w:basedOn w:val="2"/>
    <w:qFormat/>
    <w:uiPriority w:val="0"/>
    <w:pPr>
      <w:keepLines/>
      <w:tabs>
        <w:tab w:val="left" w:pos="390"/>
        <w:tab w:val="left" w:pos="4253"/>
      </w:tabs>
      <w:autoSpaceDE w:val="0"/>
      <w:autoSpaceDN w:val="0"/>
      <w:adjustRightInd w:val="0"/>
      <w:snapToGrid w:val="0"/>
      <w:spacing w:beforeLines="50" w:afterLines="50"/>
      <w:ind w:firstLine="569" w:firstLineChars="177"/>
    </w:pPr>
    <w:rPr>
      <w:rFonts w:eastAsia="宋体"/>
      <w:b w:val="0"/>
      <w:color w:val="auto"/>
      <w:kern w:val="44"/>
      <w:sz w:val="21"/>
    </w:rPr>
  </w:style>
  <w:style w:type="paragraph" w:customStyle="1" w:styleId="748">
    <w:name w:val="xl380"/>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49">
    <w:name w:val="样式 题注"/>
    <w:basedOn w:val="22"/>
    <w:qFormat/>
    <w:uiPriority w:val="0"/>
    <w:pPr>
      <w:tabs>
        <w:tab w:val="left" w:pos="0"/>
        <w:tab w:val="left" w:pos="390"/>
      </w:tabs>
      <w:autoSpaceDE w:val="0"/>
      <w:autoSpaceDN w:val="0"/>
      <w:adjustRightInd w:val="0"/>
      <w:snapToGrid w:val="0"/>
      <w:spacing w:before="0" w:after="0"/>
      <w:ind w:firstLine="400" w:firstLineChars="177"/>
      <w:jc w:val="left"/>
    </w:pPr>
    <w:rPr>
      <w:rFonts w:eastAsia="宋体" w:cs="宋体"/>
      <w:b/>
      <w:sz w:val="18"/>
    </w:rPr>
  </w:style>
  <w:style w:type="paragraph" w:customStyle="1" w:styleId="750">
    <w:name w:val="泰雷兹"/>
    <w:basedOn w:val="5"/>
    <w:qFormat/>
    <w:uiPriority w:val="0"/>
    <w:pPr>
      <w:keepNext/>
      <w:keepLines/>
      <w:widowControl w:val="0"/>
      <w:tabs>
        <w:tab w:val="left" w:pos="0"/>
        <w:tab w:val="left" w:pos="390"/>
        <w:tab w:val="left" w:pos="993"/>
      </w:tabs>
      <w:autoSpaceDE w:val="0"/>
      <w:autoSpaceDN w:val="0"/>
      <w:spacing w:before="280" w:after="290" w:line="376" w:lineRule="atLeast"/>
      <w:ind w:left="150" w:leftChars="150" w:firstLine="425" w:firstLineChars="177"/>
    </w:pPr>
    <w:rPr>
      <w:rFonts w:ascii="Times New Roman" w:hAnsi="Times New Roman" w:eastAsia="幼圆"/>
      <w:b/>
      <w:bCs/>
      <w:szCs w:val="28"/>
    </w:rPr>
  </w:style>
  <w:style w:type="paragraph" w:customStyle="1" w:styleId="751">
    <w:name w:val="Preformatted Text"/>
    <w:basedOn w:val="1"/>
    <w:qFormat/>
    <w:uiPriority w:val="0"/>
    <w:pPr>
      <w:autoSpaceDN w:val="0"/>
      <w:adjustRightInd w:val="0"/>
      <w:jc w:val="left"/>
    </w:pPr>
    <w:rPr>
      <w:rFonts w:ascii="Courier New" w:hAnsi="Courier New" w:eastAsia="PMingLiU" w:cs="Courier New"/>
      <w:kern w:val="0"/>
      <w:sz w:val="20"/>
      <w:szCs w:val="20"/>
      <w:lang w:val="en-GB" w:eastAsia="zh-TW"/>
    </w:rPr>
  </w:style>
  <w:style w:type="paragraph" w:customStyle="1" w:styleId="752">
    <w:name w:val="1111"/>
    <w:basedOn w:val="2"/>
    <w:qFormat/>
    <w:uiPriority w:val="0"/>
    <w:pPr>
      <w:keepLines/>
      <w:tabs>
        <w:tab w:val="left" w:pos="720"/>
        <w:tab w:val="left" w:pos="4253"/>
      </w:tabs>
      <w:spacing w:before="340" w:after="330" w:line="578" w:lineRule="auto"/>
      <w:ind w:left="360" w:hanging="360"/>
    </w:pPr>
    <w:rPr>
      <w:rFonts w:ascii="Calibri" w:hAnsi="Calibri" w:eastAsia="宋体"/>
      <w:bCs/>
      <w:color w:val="auto"/>
      <w:kern w:val="44"/>
      <w:sz w:val="44"/>
      <w:szCs w:val="44"/>
    </w:rPr>
  </w:style>
  <w:style w:type="paragraph" w:customStyle="1" w:styleId="753">
    <w:name w:val="中铁-标题四"/>
    <w:basedOn w:val="658"/>
    <w:qFormat/>
    <w:uiPriority w:val="0"/>
    <w:pPr>
      <w:outlineLvl w:val="3"/>
    </w:pPr>
    <w:rPr>
      <w:sz w:val="30"/>
    </w:rPr>
  </w:style>
  <w:style w:type="paragraph" w:customStyle="1" w:styleId="754">
    <w:name w:val="xl12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55">
    <w:name w:val="p17"/>
    <w:basedOn w:val="1"/>
    <w:qFormat/>
    <w:uiPriority w:val="0"/>
    <w:pPr>
      <w:widowControl/>
      <w:spacing w:line="360" w:lineRule="auto"/>
      <w:ind w:firstLine="420"/>
      <w:jc w:val="left"/>
    </w:pPr>
    <w:rPr>
      <w:kern w:val="0"/>
      <w:sz w:val="24"/>
    </w:rPr>
  </w:style>
  <w:style w:type="paragraph" w:customStyle="1" w:styleId="756">
    <w:name w:val="TOC 标题2"/>
    <w:basedOn w:val="2"/>
    <w:next w:val="1"/>
    <w:unhideWhenUsed/>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757">
    <w:name w:val="330505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Unicode MS" w:hAnsi="Arial Unicode MS" w:eastAsia="Arial Unicode MS" w:cs="Arial Unicode MS"/>
      <w:kern w:val="0"/>
      <w:sz w:val="24"/>
    </w:rPr>
  </w:style>
  <w:style w:type="paragraph" w:customStyle="1" w:styleId="758">
    <w:name w:val="样式 标题二 + 居中"/>
    <w:basedOn w:val="690"/>
    <w:qFormat/>
    <w:uiPriority w:val="0"/>
    <w:pPr>
      <w:jc w:val="center"/>
    </w:pPr>
    <w:rPr>
      <w:rFonts w:cs="宋体"/>
      <w:b w:val="0"/>
      <w:szCs w:val="20"/>
    </w:rPr>
  </w:style>
  <w:style w:type="paragraph" w:customStyle="1" w:styleId="759">
    <w:name w:val="xl3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760">
    <w:name w:val="正文11"/>
    <w:basedOn w:val="1"/>
    <w:qFormat/>
    <w:uiPriority w:val="0"/>
    <w:pPr>
      <w:autoSpaceDE w:val="0"/>
      <w:autoSpaceDN w:val="0"/>
      <w:adjustRightInd w:val="0"/>
      <w:snapToGrid w:val="0"/>
      <w:spacing w:line="264" w:lineRule="atLeast"/>
      <w:ind w:left="1060"/>
      <w:jc w:val="left"/>
    </w:pPr>
    <w:rPr>
      <w:rFonts w:ascii="宋体"/>
      <w:kern w:val="0"/>
      <w:sz w:val="18"/>
      <w:szCs w:val="20"/>
    </w:rPr>
  </w:style>
  <w:style w:type="paragraph" w:customStyle="1" w:styleId="761">
    <w:name w:val="样式17"/>
    <w:basedOn w:val="1"/>
    <w:qFormat/>
    <w:uiPriority w:val="0"/>
    <w:pPr>
      <w:widowControl/>
      <w:tabs>
        <w:tab w:val="left" w:pos="840"/>
        <w:tab w:val="left" w:pos="1843"/>
      </w:tabs>
      <w:snapToGrid w:val="0"/>
      <w:spacing w:beforeLines="50" w:afterLines="50" w:line="300" w:lineRule="auto"/>
      <w:ind w:left="840" w:hanging="420"/>
      <w:jc w:val="center"/>
    </w:pPr>
    <w:rPr>
      <w:rFonts w:ascii="宋体" w:hAnsi="宋体"/>
      <w:bCs/>
      <w:kern w:val="0"/>
      <w:szCs w:val="21"/>
    </w:rPr>
  </w:style>
  <w:style w:type="paragraph" w:customStyle="1" w:styleId="762">
    <w:name w:val="xl69"/>
    <w:basedOn w:val="1"/>
    <w:qFormat/>
    <w:uiPriority w:val="0"/>
    <w:pPr>
      <w:pBdr>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763">
    <w:name w:val="font1"/>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宋体" w:hAnsi="宋体" w:cs="宋体"/>
      <w:kern w:val="0"/>
      <w:sz w:val="24"/>
    </w:rPr>
  </w:style>
  <w:style w:type="paragraph" w:customStyle="1" w:styleId="764">
    <w:name w:val="xl205"/>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65">
    <w:name w:val="正文 New New New New New New New New New New New New New"/>
    <w:qFormat/>
    <w:uiPriority w:val="0"/>
    <w:pPr>
      <w:spacing w:after="200" w:line="276" w:lineRule="auto"/>
    </w:pPr>
    <w:rPr>
      <w:rFonts w:ascii="Calibri" w:hAnsi="Calibri" w:eastAsia="宋体" w:cs="黑体"/>
      <w:sz w:val="22"/>
      <w:szCs w:val="22"/>
      <w:lang w:val="en-US" w:eastAsia="en-US" w:bidi="ar-SA"/>
    </w:rPr>
  </w:style>
  <w:style w:type="paragraph" w:customStyle="1" w:styleId="766">
    <w:name w:val="xl9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767">
    <w:name w:val="新增"/>
    <w:basedOn w:val="5"/>
    <w:qFormat/>
    <w:uiPriority w:val="0"/>
    <w:pPr>
      <w:keepNext/>
      <w:keepLines/>
      <w:widowControl w:val="0"/>
      <w:tabs>
        <w:tab w:val="left" w:pos="420"/>
        <w:tab w:val="left" w:pos="993"/>
      </w:tabs>
      <w:ind w:left="420" w:right="100" w:rightChars="100" w:hanging="420"/>
    </w:pPr>
    <w:rPr>
      <w:rFonts w:cs="宋体"/>
      <w:color w:val="993366"/>
      <w:sz w:val="18"/>
      <w:szCs w:val="18"/>
    </w:rPr>
  </w:style>
  <w:style w:type="paragraph" w:customStyle="1" w:styleId="768">
    <w:name w:val="*Bullet #2 Subtext Single"/>
    <w:basedOn w:val="769"/>
    <w:qFormat/>
    <w:uiPriority w:val="0"/>
    <w:pPr>
      <w:tabs>
        <w:tab w:val="left" w:pos="360"/>
        <w:tab w:val="left" w:pos="425"/>
        <w:tab w:val="left" w:pos="840"/>
        <w:tab w:val="left" w:pos="900"/>
        <w:tab w:val="left" w:pos="1080"/>
        <w:tab w:val="left" w:pos="1440"/>
      </w:tabs>
      <w:spacing w:after="0"/>
      <w:ind w:left="720" w:firstLine="0"/>
    </w:pPr>
  </w:style>
  <w:style w:type="paragraph" w:customStyle="1" w:styleId="769">
    <w:name w:val="*Bullet #2 Double"/>
    <w:basedOn w:val="552"/>
    <w:qFormat/>
    <w:uiPriority w:val="0"/>
    <w:pPr>
      <w:tabs>
        <w:tab w:val="left" w:pos="425"/>
        <w:tab w:val="left" w:pos="1440"/>
      </w:tabs>
      <w:spacing w:after="220"/>
      <w:ind w:left="1440"/>
    </w:pPr>
  </w:style>
  <w:style w:type="paragraph" w:customStyle="1" w:styleId="770">
    <w:name w:val="Table Bullet"/>
    <w:basedOn w:val="1"/>
    <w:qFormat/>
    <w:uiPriority w:val="0"/>
    <w:pPr>
      <w:widowControl/>
      <w:spacing w:beforeLines="50" w:line="360" w:lineRule="auto"/>
      <w:ind w:firstLine="420"/>
      <w:jc w:val="left"/>
    </w:pPr>
    <w:rPr>
      <w:rFonts w:ascii="宋体" w:hAnsi="宋体"/>
      <w:color w:val="000000"/>
      <w:kern w:val="0"/>
      <w:sz w:val="23"/>
      <w:szCs w:val="20"/>
    </w:rPr>
  </w:style>
  <w:style w:type="paragraph" w:customStyle="1" w:styleId="771">
    <w:name w:val="SANGFOR_2_标题2"/>
    <w:basedOn w:val="3"/>
    <w:next w:val="225"/>
    <w:qFormat/>
    <w:uiPriority w:val="0"/>
    <w:pPr>
      <w:tabs>
        <w:tab w:val="left" w:pos="284"/>
        <w:tab w:val="left" w:pos="567"/>
        <w:tab w:val="left" w:pos="2411"/>
      </w:tabs>
      <w:snapToGrid/>
      <w:spacing w:beforeLines="50" w:afterLines="50" w:line="360" w:lineRule="auto"/>
      <w:ind w:left="567" w:right="100" w:rightChars="100" w:firstLine="0" w:firstLineChars="0"/>
    </w:pPr>
    <w:rPr>
      <w:rFonts w:ascii="Times New Roman" w:hAnsi="Times New Roman"/>
      <w:sz w:val="28"/>
      <w:szCs w:val="28"/>
    </w:rPr>
  </w:style>
  <w:style w:type="paragraph" w:customStyle="1" w:styleId="772">
    <w:name w:val="User Index 7"/>
    <w:basedOn w:val="46"/>
    <w:qFormat/>
    <w:uiPriority w:val="0"/>
    <w:pPr>
      <w:tabs>
        <w:tab w:val="right" w:leader="dot" w:pos="9746"/>
      </w:tabs>
      <w:ind w:left="1698"/>
    </w:pPr>
  </w:style>
  <w:style w:type="paragraph" w:customStyle="1" w:styleId="773">
    <w:name w:val="*Section Title"/>
    <w:next w:val="164"/>
    <w:qFormat/>
    <w:uiPriority w:val="0"/>
    <w:pPr>
      <w:pageBreakBefore/>
      <w:spacing w:before="240" w:after="240"/>
      <w:outlineLvl w:val="0"/>
    </w:pPr>
    <w:rPr>
      <w:rFonts w:ascii="Arial" w:hAnsi="Arial" w:eastAsia="宋体" w:cs="Times New Roman"/>
      <w:color w:val="00637A"/>
      <w:sz w:val="36"/>
      <w:szCs w:val="36"/>
      <w:lang w:val="en-US" w:eastAsia="en-US" w:bidi="ar-SA"/>
    </w:rPr>
  </w:style>
  <w:style w:type="paragraph" w:customStyle="1" w:styleId="774">
    <w:name w:val="xl3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75">
    <w:name w:val="xl5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76">
    <w:name w:val="xl8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777">
    <w:name w:val="*Table Text 3"/>
    <w:basedOn w:val="689"/>
    <w:qFormat/>
    <w:uiPriority w:val="0"/>
    <w:rPr>
      <w:sz w:val="14"/>
      <w:szCs w:val="14"/>
    </w:rPr>
  </w:style>
  <w:style w:type="paragraph" w:customStyle="1" w:styleId="778">
    <w:name w:val="落款样式"/>
    <w:basedOn w:val="1"/>
    <w:qFormat/>
    <w:uiPriority w:val="0"/>
    <w:pPr>
      <w:tabs>
        <w:tab w:val="left" w:pos="0"/>
        <w:tab w:val="left" w:pos="390"/>
        <w:tab w:val="left" w:pos="540"/>
      </w:tabs>
      <w:autoSpaceDE w:val="0"/>
      <w:autoSpaceDN w:val="0"/>
      <w:adjustRightInd w:val="0"/>
      <w:snapToGrid w:val="0"/>
      <w:ind w:left="2465" w:leftChars="1027" w:firstLine="1140" w:firstLineChars="475"/>
      <w:jc w:val="left"/>
    </w:pPr>
    <w:rPr>
      <w:rFonts w:hAnsi="宋体" w:cs="宋体"/>
      <w:kern w:val="0"/>
      <w:sz w:val="24"/>
      <w:szCs w:val="20"/>
    </w:rPr>
  </w:style>
  <w:style w:type="paragraph" w:customStyle="1" w:styleId="779">
    <w:name w:val="xl238"/>
    <w:basedOn w:val="1"/>
    <w:qFormat/>
    <w:uiPriority w:val="0"/>
    <w:pPr>
      <w:pBdr>
        <w:top w:val="single" w:color="auto" w:sz="4" w:space="0"/>
        <w:left w:val="single" w:color="auto" w:sz="4" w:space="0"/>
        <w:bottom w:val="single" w:color="auto" w:sz="4" w:space="0"/>
        <w:right w:val="single" w:color="auto" w:sz="4" w:space="0"/>
      </w:pBdr>
      <w:shd w:val="clear" w:color="auto" w:fill="FFFF0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80">
    <w:name w:val="DAS列表一"/>
    <w:basedOn w:val="781"/>
    <w:qFormat/>
    <w:uiPriority w:val="0"/>
    <w:pPr>
      <w:tabs>
        <w:tab w:val="left" w:pos="840"/>
        <w:tab w:val="left" w:pos="1200"/>
      </w:tabs>
      <w:spacing w:line="360" w:lineRule="auto"/>
      <w:ind w:left="-58" w:leftChars="-58" w:firstLine="0" w:firstLineChars="0"/>
    </w:pPr>
    <w:rPr>
      <w:b w:val="0"/>
      <w:bCs w:val="0"/>
    </w:rPr>
  </w:style>
  <w:style w:type="paragraph" w:customStyle="1" w:styleId="781">
    <w:name w:val="DAS正文"/>
    <w:basedOn w:val="1"/>
    <w:qFormat/>
    <w:uiPriority w:val="0"/>
    <w:pPr>
      <w:tabs>
        <w:tab w:val="left" w:pos="1200"/>
      </w:tabs>
      <w:spacing w:line="360" w:lineRule="exact"/>
      <w:ind w:left="-17" w:leftChars="-8" w:right="181" w:firstLine="632" w:firstLineChars="300"/>
    </w:pPr>
    <w:rPr>
      <w:rFonts w:ascii="Verdana" w:hAnsi="Verdana"/>
      <w:b/>
      <w:bCs/>
      <w:szCs w:val="21"/>
    </w:rPr>
  </w:style>
  <w:style w:type="paragraph" w:customStyle="1" w:styleId="782">
    <w:name w:val="‧ N Page Header"/>
    <w:basedOn w:val="53"/>
    <w:qFormat/>
    <w:uiPriority w:val="0"/>
    <w:pPr>
      <w:pBdr>
        <w:bottom w:val="single" w:color="000000" w:sz="2" w:space="1"/>
      </w:pBdr>
      <w:tabs>
        <w:tab w:val="right" w:pos="9071"/>
        <w:tab w:val="right" w:pos="9595"/>
        <w:tab w:val="clear" w:pos="4153"/>
        <w:tab w:val="clear" w:pos="8306"/>
      </w:tabs>
      <w:autoSpaceDN w:val="0"/>
      <w:adjustRightInd w:val="0"/>
      <w:snapToGrid/>
      <w:jc w:val="right"/>
    </w:pPr>
    <w:rPr>
      <w:rFonts w:ascii="Arial" w:hAnsi="Arial" w:eastAsia="PMingLiU"/>
      <w:kern w:val="0"/>
      <w:sz w:val="20"/>
      <w:szCs w:val="20"/>
      <w:lang w:val="en-GB" w:eastAsia="zh-TW"/>
    </w:rPr>
  </w:style>
  <w:style w:type="paragraph" w:customStyle="1" w:styleId="783">
    <w:name w:val="HP_BasicText"/>
    <w:qFormat/>
    <w:uiPriority w:val="0"/>
    <w:pPr>
      <w:tabs>
        <w:tab w:val="left" w:pos="1440"/>
      </w:tabs>
      <w:ind w:left="2880"/>
    </w:pPr>
    <w:rPr>
      <w:rFonts w:ascii="Arial" w:hAnsi="Arial" w:eastAsia="宋体" w:cs="Times New Roman"/>
      <w:sz w:val="18"/>
      <w:szCs w:val="18"/>
      <w:lang w:val="en-US" w:eastAsia="en-US" w:bidi="ar-SA"/>
    </w:rPr>
  </w:style>
  <w:style w:type="paragraph" w:customStyle="1" w:styleId="784">
    <w:name w:val="Char Char Char Char Char Char Char Char"/>
    <w:basedOn w:val="1"/>
    <w:qFormat/>
    <w:uiPriority w:val="0"/>
    <w:pPr>
      <w:spacing w:line="360" w:lineRule="auto"/>
    </w:pPr>
    <w:rPr>
      <w:rFonts w:ascii="宋体" w:hAnsi="宋体"/>
    </w:rPr>
  </w:style>
  <w:style w:type="paragraph" w:customStyle="1" w:styleId="785">
    <w:name w:val="xl217"/>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786">
    <w:name w:val="xl10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87">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788">
    <w:name w:val="xl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789">
    <w:name w:val="Default Paragraph Font Para Char"/>
    <w:basedOn w:val="1"/>
    <w:qFormat/>
    <w:uiPriority w:val="0"/>
    <w:pPr>
      <w:widowControl/>
      <w:spacing w:after="160" w:line="240" w:lineRule="exact"/>
      <w:ind w:firstLine="420"/>
      <w:jc w:val="left"/>
      <w:outlineLvl w:val="2"/>
    </w:pPr>
    <w:rPr>
      <w:rFonts w:ascii="Verdana" w:hAnsi="Verdana"/>
      <w:kern w:val="0"/>
      <w:sz w:val="24"/>
      <w:szCs w:val="20"/>
      <w:lang w:eastAsia="en-US"/>
    </w:rPr>
  </w:style>
  <w:style w:type="paragraph" w:customStyle="1" w:styleId="790">
    <w:name w:val="~Bullet #1 Double"/>
    <w:basedOn w:val="545"/>
    <w:qFormat/>
    <w:uiPriority w:val="0"/>
    <w:pPr>
      <w:tabs>
        <w:tab w:val="left" w:pos="1080"/>
        <w:tab w:val="left" w:pos="1140"/>
        <w:tab w:val="clear" w:pos="900"/>
      </w:tabs>
      <w:spacing w:after="220"/>
      <w:ind w:left="360" w:hanging="360"/>
    </w:pPr>
  </w:style>
  <w:style w:type="paragraph" w:customStyle="1" w:styleId="791">
    <w:name w:val="‧ N cover document type"/>
    <w:basedOn w:val="1"/>
    <w:qFormat/>
    <w:uiPriority w:val="0"/>
    <w:pPr>
      <w:autoSpaceDN w:val="0"/>
      <w:adjustRightInd w:val="0"/>
      <w:spacing w:before="113"/>
      <w:jc w:val="right"/>
    </w:pPr>
    <w:rPr>
      <w:rFonts w:ascii="Arial" w:hAnsi="Arial" w:eastAsia="PMingLiU" w:cs="Tahoma"/>
      <w:kern w:val="0"/>
      <w:sz w:val="36"/>
      <w:lang w:val="en-GB" w:eastAsia="zh-TW"/>
    </w:rPr>
  </w:style>
  <w:style w:type="paragraph" w:customStyle="1" w:styleId="792">
    <w:name w:val="中铁-标题一"/>
    <w:basedOn w:val="1"/>
    <w:qFormat/>
    <w:uiPriority w:val="0"/>
    <w:pPr>
      <w:spacing w:beforeLines="50" w:afterLines="50"/>
      <w:jc w:val="left"/>
      <w:outlineLvl w:val="0"/>
    </w:pPr>
    <w:rPr>
      <w:rFonts w:ascii="Calibri" w:hAnsi="Calibri" w:eastAsia="华文中宋"/>
      <w:b/>
      <w:sz w:val="44"/>
      <w:szCs w:val="21"/>
    </w:rPr>
  </w:style>
  <w:style w:type="paragraph" w:customStyle="1" w:styleId="793">
    <w:name w:val="xl5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794">
    <w:name w:val="blithe1"/>
    <w:basedOn w:val="17"/>
    <w:next w:val="79"/>
    <w:qFormat/>
    <w:uiPriority w:val="0"/>
    <w:pPr>
      <w:pageBreakBefore/>
      <w:widowControl/>
      <w:tabs>
        <w:tab w:val="left" w:pos="481"/>
      </w:tabs>
      <w:adjustRightInd/>
      <w:spacing w:before="240" w:after="240" w:line="360" w:lineRule="auto"/>
      <w:ind w:left="708" w:hanging="283"/>
      <w:jc w:val="both"/>
      <w:textAlignment w:val="auto"/>
      <w:outlineLvl w:val="0"/>
    </w:pPr>
    <w:rPr>
      <w:rFonts w:ascii="Times New Roman" w:eastAsia="宋体"/>
      <w:b/>
      <w:sz w:val="40"/>
      <w:szCs w:val="24"/>
      <w:lang w:eastAsia="en-US"/>
    </w:rPr>
  </w:style>
  <w:style w:type="paragraph" w:customStyle="1" w:styleId="795">
    <w:name w:val="xl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796">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97">
    <w:name w:val="indent flush"/>
    <w:basedOn w:val="1"/>
    <w:next w:val="1"/>
    <w:qFormat/>
    <w:uiPriority w:val="0"/>
    <w:pPr>
      <w:tabs>
        <w:tab w:val="left" w:pos="0"/>
        <w:tab w:val="left" w:pos="390"/>
        <w:tab w:val="left" w:pos="1440"/>
      </w:tabs>
      <w:autoSpaceDE w:val="0"/>
      <w:autoSpaceDN w:val="0"/>
      <w:adjustRightInd w:val="0"/>
      <w:snapToGrid w:val="0"/>
      <w:spacing w:after="108"/>
      <w:ind w:firstLine="425" w:firstLineChars="177"/>
      <w:jc w:val="left"/>
    </w:pPr>
    <w:rPr>
      <w:kern w:val="0"/>
      <w:sz w:val="24"/>
      <w:szCs w:val="20"/>
      <w:lang w:val="en-GB"/>
    </w:rPr>
  </w:style>
  <w:style w:type="paragraph" w:customStyle="1" w:styleId="798">
    <w:name w:val="xl112"/>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799">
    <w:name w:val="xl37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00">
    <w:name w:val="Pa2"/>
    <w:basedOn w:val="102"/>
    <w:next w:val="102"/>
    <w:qFormat/>
    <w:uiPriority w:val="0"/>
    <w:pPr>
      <w:spacing w:line="241" w:lineRule="atLeast"/>
    </w:pPr>
    <w:rPr>
      <w:rFonts w:cs="Times New Roman"/>
      <w:color w:val="auto"/>
    </w:rPr>
  </w:style>
  <w:style w:type="paragraph" w:customStyle="1" w:styleId="801">
    <w:name w:val="‧ N table-10 body center"/>
    <w:basedOn w:val="500"/>
    <w:qFormat/>
    <w:uiPriority w:val="0"/>
  </w:style>
  <w:style w:type="paragraph" w:customStyle="1" w:styleId="802">
    <w:name w:val="Object index 1"/>
    <w:basedOn w:val="46"/>
    <w:qFormat/>
    <w:uiPriority w:val="0"/>
    <w:pPr>
      <w:tabs>
        <w:tab w:val="right" w:leader="dot" w:pos="9746"/>
      </w:tabs>
    </w:pPr>
  </w:style>
  <w:style w:type="paragraph" w:customStyle="1" w:styleId="803">
    <w:name w:val="xl3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04">
    <w:name w:val="*Bullet #2 Subtext Double"/>
    <w:basedOn w:val="768"/>
    <w:qFormat/>
    <w:uiPriority w:val="0"/>
    <w:pPr>
      <w:spacing w:after="220"/>
    </w:pPr>
  </w:style>
  <w:style w:type="paragraph" w:customStyle="1" w:styleId="805">
    <w:name w:val="~Manual # Heading 5"/>
    <w:next w:val="516"/>
    <w:qFormat/>
    <w:uiPriority w:val="0"/>
    <w:pPr>
      <w:keepNext/>
      <w:keepLines/>
      <w:tabs>
        <w:tab w:val="left" w:pos="1440"/>
      </w:tabs>
      <w:spacing w:before="240" w:after="120"/>
      <w:ind w:left="1440" w:hanging="1440"/>
      <w:outlineLvl w:val="5"/>
    </w:pPr>
    <w:rPr>
      <w:rFonts w:ascii="Arial" w:hAnsi="Arial" w:eastAsia="宋体" w:cs="Times New Roman"/>
      <w:i/>
      <w:color w:val="00637A"/>
      <w:sz w:val="24"/>
      <w:szCs w:val="24"/>
      <w:lang w:val="en-US" w:eastAsia="en-US" w:bidi="ar-SA"/>
    </w:rPr>
  </w:style>
  <w:style w:type="paragraph" w:customStyle="1" w:styleId="80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807">
    <w:name w:val="xl12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808">
    <w:name w:val="font15"/>
    <w:basedOn w:val="1"/>
    <w:qFormat/>
    <w:uiPriority w:val="0"/>
    <w:pPr>
      <w:widowControl/>
      <w:spacing w:before="100" w:beforeAutospacing="1" w:after="100" w:afterAutospacing="1"/>
      <w:jc w:val="left"/>
    </w:pPr>
    <w:rPr>
      <w:rFonts w:ascii="宋体" w:hAnsi="宋体"/>
      <w:color w:val="000000"/>
      <w:kern w:val="0"/>
      <w:szCs w:val="21"/>
    </w:rPr>
  </w:style>
  <w:style w:type="paragraph" w:customStyle="1" w:styleId="809">
    <w:name w:val="样式 正文缩进 + 首行缩进:  2 字符"/>
    <w:basedOn w:val="21"/>
    <w:qFormat/>
    <w:uiPriority w:val="0"/>
    <w:pPr>
      <w:spacing w:line="360" w:lineRule="auto"/>
      <w:ind w:firstLine="200"/>
    </w:pPr>
    <w:rPr>
      <w:rFonts w:cs="宋体"/>
      <w:kern w:val="0"/>
      <w:sz w:val="24"/>
      <w:szCs w:val="20"/>
    </w:rPr>
  </w:style>
  <w:style w:type="paragraph" w:customStyle="1" w:styleId="810">
    <w:name w:val="样式 正文（首行缩进2字符） + 首行缩进:  2 字符1"/>
    <w:basedOn w:val="463"/>
    <w:qFormat/>
    <w:uiPriority w:val="0"/>
    <w:pPr>
      <w:spacing w:beforeLines="50" w:afterLines="50" w:line="420" w:lineRule="exact"/>
    </w:pPr>
    <w:rPr>
      <w:rFonts w:cs="宋体"/>
      <w:szCs w:val="20"/>
    </w:rPr>
  </w:style>
  <w:style w:type="paragraph" w:customStyle="1" w:styleId="811">
    <w:name w:val="样式胡"/>
    <w:basedOn w:val="1"/>
    <w:qFormat/>
    <w:uiPriority w:val="0"/>
    <w:pPr>
      <w:widowControl/>
      <w:tabs>
        <w:tab w:val="left" w:pos="1080"/>
      </w:tabs>
      <w:ind w:left="1080" w:hanging="1080"/>
      <w:jc w:val="left"/>
    </w:pPr>
    <w:rPr>
      <w:rFonts w:ascii="黑体" w:hAnsi="Arial" w:eastAsia="黑体"/>
      <w:kern w:val="0"/>
      <w:sz w:val="24"/>
      <w:lang w:eastAsia="en-US" w:bidi="en-US"/>
    </w:rPr>
  </w:style>
  <w:style w:type="paragraph" w:customStyle="1" w:styleId="812">
    <w:name w:val="List 1 End"/>
    <w:basedOn w:val="61"/>
    <w:qFormat/>
    <w:uiPriority w:val="0"/>
    <w:pPr>
      <w:widowControl/>
      <w:spacing w:after="240"/>
      <w:ind w:left="0" w:firstLine="0" w:firstLineChars="0"/>
      <w:jc w:val="left"/>
    </w:pPr>
    <w:rPr>
      <w:rFonts w:eastAsia="PMingLiU"/>
      <w:kern w:val="0"/>
      <w:sz w:val="20"/>
      <w:szCs w:val="20"/>
      <w:lang w:eastAsia="zh-TW"/>
    </w:rPr>
  </w:style>
  <w:style w:type="paragraph" w:customStyle="1" w:styleId="813">
    <w:name w:val="xl4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14">
    <w:name w:val="Char Char"/>
    <w:basedOn w:val="1"/>
    <w:qFormat/>
    <w:uiPriority w:val="0"/>
    <w:pPr>
      <w:widowControl/>
      <w:spacing w:after="160" w:line="240" w:lineRule="exact"/>
      <w:ind w:firstLine="420"/>
      <w:jc w:val="left"/>
    </w:pPr>
    <w:rPr>
      <w:rFonts w:ascii="Verdana" w:hAnsi="Verdana"/>
      <w:kern w:val="0"/>
      <w:sz w:val="20"/>
      <w:szCs w:val="20"/>
      <w:lang w:eastAsia="en-US"/>
    </w:rPr>
  </w:style>
  <w:style w:type="paragraph" w:customStyle="1" w:styleId="815">
    <w:name w:val="目录标题"/>
    <w:basedOn w:val="1"/>
    <w:qFormat/>
    <w:uiPriority w:val="0"/>
    <w:pPr>
      <w:tabs>
        <w:tab w:val="left" w:pos="0"/>
        <w:tab w:val="left" w:pos="390"/>
        <w:tab w:val="left" w:pos="540"/>
      </w:tabs>
      <w:autoSpaceDE w:val="0"/>
      <w:autoSpaceDN w:val="0"/>
      <w:adjustRightInd w:val="0"/>
      <w:snapToGrid w:val="0"/>
      <w:spacing w:afterLines="100"/>
      <w:ind w:firstLine="425" w:firstLineChars="177"/>
      <w:jc w:val="left"/>
    </w:pPr>
    <w:rPr>
      <w:rFonts w:ascii="黑体" w:hAnsi="宋体" w:eastAsia="黑体"/>
      <w:b/>
      <w:kern w:val="0"/>
      <w:sz w:val="32"/>
      <w:szCs w:val="48"/>
    </w:rPr>
  </w:style>
  <w:style w:type="paragraph" w:customStyle="1" w:styleId="816">
    <w:name w:val="Default1"/>
    <w:basedOn w:val="1"/>
    <w:next w:val="1"/>
    <w:qFormat/>
    <w:uiPriority w:val="0"/>
    <w:pPr>
      <w:autoSpaceDE w:val="0"/>
      <w:autoSpaceDN w:val="0"/>
      <w:adjustRightInd w:val="0"/>
      <w:spacing w:line="360" w:lineRule="auto"/>
      <w:ind w:firstLine="420"/>
      <w:jc w:val="left"/>
    </w:pPr>
    <w:rPr>
      <w:rFonts w:ascii="IOAPJP+TimesNewRoman" w:hAnsi="宋体" w:eastAsia="IOAPJP+TimesNewRoman"/>
      <w:kern w:val="0"/>
      <w:sz w:val="24"/>
    </w:rPr>
  </w:style>
  <w:style w:type="paragraph" w:customStyle="1" w:styleId="817">
    <w:name w:val="User Index 8"/>
    <w:basedOn w:val="46"/>
    <w:qFormat/>
    <w:uiPriority w:val="0"/>
    <w:pPr>
      <w:tabs>
        <w:tab w:val="right" w:leader="dot" w:pos="9746"/>
      </w:tabs>
      <w:ind w:left="1981"/>
    </w:pPr>
  </w:style>
  <w:style w:type="paragraph" w:customStyle="1" w:styleId="818">
    <w:name w:val="*Table Heading 1"/>
    <w:basedOn w:val="689"/>
    <w:qFormat/>
    <w:uiPriority w:val="0"/>
    <w:pPr>
      <w:shd w:val="clear" w:color="auto" w:fill="007D9A"/>
      <w:jc w:val="center"/>
    </w:pPr>
    <w:rPr>
      <w:b/>
      <w:color w:val="FFFFFF"/>
      <w:sz w:val="20"/>
      <w:szCs w:val="20"/>
    </w:rPr>
  </w:style>
  <w:style w:type="paragraph" w:customStyle="1" w:styleId="819">
    <w:name w:val="User Index 2"/>
    <w:basedOn w:val="46"/>
    <w:qFormat/>
    <w:uiPriority w:val="0"/>
    <w:pPr>
      <w:tabs>
        <w:tab w:val="right" w:leader="dot" w:pos="9746"/>
      </w:tabs>
      <w:ind w:left="283"/>
    </w:pPr>
  </w:style>
  <w:style w:type="paragraph" w:customStyle="1" w:styleId="820">
    <w:name w:val="文件标题"/>
    <w:basedOn w:val="1"/>
    <w:qFormat/>
    <w:uiPriority w:val="0"/>
    <w:pPr>
      <w:tabs>
        <w:tab w:val="left" w:pos="0"/>
        <w:tab w:val="left" w:pos="390"/>
        <w:tab w:val="left" w:pos="540"/>
      </w:tabs>
      <w:autoSpaceDE w:val="0"/>
      <w:autoSpaceDN w:val="0"/>
      <w:adjustRightInd w:val="0"/>
      <w:snapToGrid w:val="0"/>
      <w:spacing w:line="360" w:lineRule="auto"/>
      <w:ind w:firstLine="425" w:firstLineChars="177"/>
      <w:jc w:val="left"/>
    </w:pPr>
    <w:rPr>
      <w:rFonts w:ascii="华文彩云" w:hAnsi="Swis721 BlkOul BT" w:eastAsia="华文彩云"/>
      <w:kern w:val="0"/>
      <w:sz w:val="72"/>
      <w:szCs w:val="72"/>
    </w:rPr>
  </w:style>
  <w:style w:type="paragraph" w:customStyle="1" w:styleId="821">
    <w:name w:val="‧ N computer syntax"/>
    <w:basedOn w:val="500"/>
    <w:next w:val="645"/>
    <w:qFormat/>
    <w:uiPriority w:val="0"/>
  </w:style>
  <w:style w:type="paragraph" w:customStyle="1" w:styleId="822">
    <w:name w:val="xl9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仿宋_GB2312" w:hAnsi="宋体" w:eastAsia="仿宋_GB2312" w:cs="宋体"/>
      <w:kern w:val="0"/>
      <w:sz w:val="24"/>
    </w:rPr>
  </w:style>
  <w:style w:type="paragraph" w:customStyle="1" w:styleId="823">
    <w:name w:val="xl12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24">
    <w:name w:val="xl14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25">
    <w:name w:val="网格型1"/>
    <w:qFormat/>
    <w:uiPriority w:val="0"/>
    <w:rPr>
      <w:rFonts w:ascii="Cambria" w:hAnsi="Cambria" w:eastAsia="ヒラギノ角ゴ Pro W3" w:cs="Times New Roman"/>
      <w:color w:val="000000"/>
      <w:sz w:val="24"/>
      <w:szCs w:val="24"/>
      <w:lang w:val="en-US" w:eastAsia="zh-CN" w:bidi="ar-SA"/>
    </w:rPr>
  </w:style>
  <w:style w:type="paragraph" w:customStyle="1" w:styleId="826">
    <w:name w:val="Char Char Char Char Char Char Char Char Char Char Char1 Char"/>
    <w:basedOn w:val="1"/>
    <w:qFormat/>
    <w:uiPriority w:val="0"/>
    <w:pPr>
      <w:widowControl/>
      <w:spacing w:after="160" w:line="240" w:lineRule="exact"/>
      <w:ind w:firstLine="420"/>
      <w:jc w:val="left"/>
    </w:pPr>
    <w:rPr>
      <w:rFonts w:ascii="Verdana" w:hAnsi="Verdana" w:eastAsia="MS Mincho" w:cs="Verdana"/>
      <w:kern w:val="0"/>
      <w:sz w:val="20"/>
      <w:szCs w:val="20"/>
      <w:lang w:eastAsia="en-US" w:bidi="kn-IN"/>
    </w:rPr>
  </w:style>
  <w:style w:type="paragraph" w:customStyle="1" w:styleId="827">
    <w:name w:val="xl59"/>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28">
    <w:name w:val="Bulleted Text 2"/>
    <w:basedOn w:val="1"/>
    <w:qFormat/>
    <w:uiPriority w:val="0"/>
    <w:pPr>
      <w:widowControl/>
      <w:tabs>
        <w:tab w:val="left" w:pos="1627"/>
        <w:tab w:val="left" w:pos="2160"/>
      </w:tabs>
      <w:spacing w:before="60" w:line="360" w:lineRule="auto"/>
      <w:ind w:left="840" w:hanging="420"/>
      <w:jc w:val="left"/>
    </w:pPr>
    <w:rPr>
      <w:rFonts w:ascii="Arial" w:hAnsi="Arial"/>
      <w:kern w:val="0"/>
      <w:sz w:val="22"/>
      <w:szCs w:val="20"/>
      <w:lang w:val="en-GB" w:eastAsia="en-US"/>
    </w:rPr>
  </w:style>
  <w:style w:type="paragraph" w:customStyle="1" w:styleId="829">
    <w:name w:val="Top Line"/>
    <w:basedOn w:val="1"/>
    <w:qFormat/>
    <w:uiPriority w:val="0"/>
    <w:pPr>
      <w:widowControl/>
      <w:pBdr>
        <w:bottom w:val="single" w:color="auto" w:sz="18" w:space="1"/>
      </w:pBdr>
      <w:spacing w:line="360" w:lineRule="auto"/>
      <w:ind w:firstLine="420"/>
      <w:jc w:val="left"/>
    </w:pPr>
    <w:rPr>
      <w:rFonts w:ascii="宋体" w:hAnsi="宋体"/>
      <w:kern w:val="0"/>
      <w:sz w:val="24"/>
      <w:lang w:eastAsia="en-US"/>
    </w:rPr>
  </w:style>
  <w:style w:type="paragraph" w:customStyle="1" w:styleId="830">
    <w:name w:val="xl3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31">
    <w:name w:val="SANGFOR_5_标题5"/>
    <w:basedOn w:val="6"/>
    <w:next w:val="225"/>
    <w:qFormat/>
    <w:uiPriority w:val="0"/>
    <w:pPr>
      <w:tabs>
        <w:tab w:val="left" w:pos="567"/>
      </w:tabs>
      <w:spacing w:beforeLines="50" w:afterLines="50" w:line="360" w:lineRule="auto"/>
      <w:ind w:left="425" w:hanging="425"/>
    </w:pPr>
    <w:rPr>
      <w:sz w:val="21"/>
      <w:szCs w:val="21"/>
    </w:rPr>
  </w:style>
  <w:style w:type="paragraph" w:customStyle="1" w:styleId="832">
    <w:name w:val="_Style 40"/>
    <w:basedOn w:val="1"/>
    <w:qFormat/>
    <w:uiPriority w:val="0"/>
    <w:rPr>
      <w:rFonts w:eastAsia="??"/>
      <w:szCs w:val="28"/>
    </w:rPr>
  </w:style>
  <w:style w:type="paragraph" w:customStyle="1" w:styleId="833">
    <w:name w:val="User Index Heading"/>
    <w:basedOn w:val="16"/>
    <w:qFormat/>
    <w:uiPriority w:val="0"/>
  </w:style>
  <w:style w:type="paragraph" w:customStyle="1" w:styleId="834">
    <w:name w:val="中等深浅网格 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5">
    <w:name w:val="正文内"/>
    <w:basedOn w:val="1"/>
    <w:qFormat/>
    <w:uiPriority w:val="0"/>
    <w:pPr>
      <w:spacing w:line="400" w:lineRule="exact"/>
      <w:ind w:firstLine="200" w:firstLineChars="200"/>
    </w:pPr>
    <w:rPr>
      <w:rFonts w:ascii="??" w:hAnsi="??" w:eastAsia="??" w:cs="宋体"/>
      <w:szCs w:val="28"/>
    </w:rPr>
  </w:style>
  <w:style w:type="paragraph" w:customStyle="1" w:styleId="836">
    <w:name w:val="*Cover Text 1"/>
    <w:basedOn w:val="688"/>
    <w:qFormat/>
    <w:uiPriority w:val="0"/>
    <w:pPr>
      <w:spacing w:line="280" w:lineRule="atLeast"/>
    </w:pPr>
    <w:rPr>
      <w:color w:val="00637A"/>
      <w:sz w:val="44"/>
      <w:szCs w:val="44"/>
    </w:rPr>
  </w:style>
  <w:style w:type="paragraph" w:customStyle="1" w:styleId="837">
    <w:name w:val="‧ N cover prepared for"/>
    <w:basedOn w:val="500"/>
    <w:qFormat/>
    <w:uiPriority w:val="0"/>
  </w:style>
  <w:style w:type="paragraph" w:customStyle="1" w:styleId="838">
    <w:name w:val="‧ N head 2"/>
    <w:basedOn w:val="500"/>
    <w:next w:val="645"/>
    <w:qFormat/>
    <w:uiPriority w:val="0"/>
  </w:style>
  <w:style w:type="paragraph" w:customStyle="1" w:styleId="839">
    <w:name w:val="样式－正文文字标记2"/>
    <w:basedOn w:val="1"/>
    <w:qFormat/>
    <w:uiPriority w:val="0"/>
    <w:pPr>
      <w:widowControl/>
      <w:tabs>
        <w:tab w:val="left" w:pos="390"/>
        <w:tab w:val="left" w:pos="720"/>
      </w:tabs>
      <w:spacing w:beforeLines="50" w:line="360" w:lineRule="exact"/>
      <w:ind w:left="420" w:firstLine="177" w:firstLineChars="177"/>
      <w:jc w:val="left"/>
    </w:pPr>
    <w:rPr>
      <w:rFonts w:ascii="Arial" w:hAnsi="Arial"/>
      <w:szCs w:val="20"/>
    </w:rPr>
  </w:style>
  <w:style w:type="paragraph" w:customStyle="1" w:styleId="840">
    <w:name w:val="Header right"/>
    <w:basedOn w:val="1"/>
    <w:qFormat/>
    <w:uiPriority w:val="0"/>
    <w:pPr>
      <w:tabs>
        <w:tab w:val="center" w:pos="4873"/>
        <w:tab w:val="right" w:pos="9746"/>
      </w:tabs>
      <w:autoSpaceDN w:val="0"/>
      <w:adjustRightInd w:val="0"/>
      <w:jc w:val="left"/>
    </w:pPr>
    <w:rPr>
      <w:rFonts w:ascii="Arial" w:hAnsi="Arial" w:eastAsia="PMingLiU"/>
      <w:kern w:val="0"/>
      <w:sz w:val="20"/>
      <w:szCs w:val="20"/>
      <w:lang w:val="en-GB" w:eastAsia="zh-TW"/>
    </w:rPr>
  </w:style>
  <w:style w:type="paragraph" w:customStyle="1" w:styleId="841">
    <w:name w:val="p15"/>
    <w:basedOn w:val="1"/>
    <w:qFormat/>
    <w:uiPriority w:val="0"/>
    <w:pPr>
      <w:widowControl/>
      <w:spacing w:line="360" w:lineRule="auto"/>
      <w:ind w:firstLine="420"/>
      <w:jc w:val="left"/>
    </w:pPr>
    <w:rPr>
      <w:kern w:val="0"/>
      <w:sz w:val="24"/>
    </w:rPr>
  </w:style>
  <w:style w:type="paragraph" w:customStyle="1" w:styleId="842">
    <w:name w:val="figure"/>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843">
    <w:name w:val="User Index 6"/>
    <w:basedOn w:val="46"/>
    <w:qFormat/>
    <w:uiPriority w:val="0"/>
    <w:pPr>
      <w:tabs>
        <w:tab w:val="right" w:leader="dot" w:pos="9746"/>
      </w:tabs>
      <w:ind w:left="1415"/>
    </w:pPr>
  </w:style>
  <w:style w:type="paragraph" w:customStyle="1" w:styleId="844">
    <w:name w:val="HP Recipient Data"/>
    <w:qFormat/>
    <w:uiPriority w:val="0"/>
    <w:pPr>
      <w:tabs>
        <w:tab w:val="left" w:pos="2880"/>
      </w:tabs>
      <w:spacing w:after="20"/>
      <w:ind w:left="72"/>
    </w:pPr>
    <w:rPr>
      <w:rFonts w:ascii="Arial" w:hAnsi="Arial" w:eastAsia="Times" w:cs="Arial"/>
      <w:sz w:val="18"/>
      <w:szCs w:val="18"/>
      <w:lang w:val="en-US" w:eastAsia="en-US" w:bidi="ar-SA"/>
    </w:rPr>
  </w:style>
  <w:style w:type="paragraph" w:customStyle="1" w:styleId="845">
    <w:name w:val="xl3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46">
    <w:name w:val="xl182"/>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847">
    <w:name w:val="‧ N table-8 body center"/>
    <w:basedOn w:val="593"/>
    <w:qFormat/>
    <w:uiPriority w:val="0"/>
    <w:pPr>
      <w:spacing w:before="85" w:after="45"/>
      <w:jc w:val="center"/>
    </w:pPr>
    <w:rPr>
      <w:sz w:val="16"/>
    </w:rPr>
  </w:style>
  <w:style w:type="paragraph" w:customStyle="1" w:styleId="848">
    <w:name w:val="‧ N caption-figure"/>
    <w:basedOn w:val="500"/>
    <w:next w:val="645"/>
    <w:qFormat/>
    <w:uiPriority w:val="0"/>
  </w:style>
  <w:style w:type="paragraph" w:customStyle="1" w:styleId="849">
    <w:name w:val="xl44"/>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850">
    <w:name w:val="~Manual # Heading 1"/>
    <w:next w:val="516"/>
    <w:qFormat/>
    <w:uiPriority w:val="0"/>
    <w:pPr>
      <w:keepNext/>
      <w:keepLines/>
      <w:tabs>
        <w:tab w:val="left" w:pos="1440"/>
      </w:tabs>
      <w:spacing w:before="240" w:after="120"/>
      <w:ind w:left="1440" w:hanging="1440"/>
      <w:outlineLvl w:val="1"/>
    </w:pPr>
    <w:rPr>
      <w:rFonts w:ascii="Arial" w:hAnsi="Arial" w:eastAsia="宋体" w:cs="Times New Roman"/>
      <w:b/>
      <w:color w:val="00637A"/>
      <w:sz w:val="32"/>
      <w:szCs w:val="32"/>
      <w:lang w:val="en-US" w:eastAsia="en-US" w:bidi="ar-SA"/>
    </w:rPr>
  </w:style>
  <w:style w:type="paragraph" w:customStyle="1" w:styleId="851">
    <w:name w:val="中铁-标题五"/>
    <w:basedOn w:val="753"/>
    <w:qFormat/>
    <w:uiPriority w:val="0"/>
    <w:pPr>
      <w:outlineLvl w:val="4"/>
    </w:pPr>
    <w:rPr>
      <w:sz w:val="28"/>
    </w:rPr>
  </w:style>
  <w:style w:type="paragraph" w:customStyle="1" w:styleId="852">
    <w:name w:val="xl142"/>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853">
    <w:name w:val="章节项目"/>
    <w:basedOn w:val="436"/>
    <w:qFormat/>
    <w:uiPriority w:val="0"/>
    <w:pPr>
      <w:tabs>
        <w:tab w:val="left" w:pos="360"/>
        <w:tab w:val="left" w:pos="1260"/>
      </w:tabs>
      <w:spacing w:before="0" w:after="0"/>
      <w:ind w:left="1260"/>
      <w:jc w:val="left"/>
    </w:pPr>
    <w:rPr>
      <w:rFonts w:ascii="Times New Roman" w:hAnsi="Times New Roman" w:cs="宋体"/>
      <w:sz w:val="21"/>
      <w:szCs w:val="21"/>
    </w:rPr>
  </w:style>
  <w:style w:type="paragraph" w:customStyle="1" w:styleId="85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855">
    <w:name w:val="xl17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856">
    <w:name w:val="*Proprietary Notice"/>
    <w:qFormat/>
    <w:uiPriority w:val="0"/>
    <w:pPr>
      <w:spacing w:line="200" w:lineRule="exact"/>
    </w:pPr>
    <w:rPr>
      <w:rFonts w:ascii="Arial" w:hAnsi="Arial" w:eastAsia="宋体" w:cs="Times New Roman"/>
      <w:color w:val="00637A"/>
      <w:sz w:val="16"/>
      <w:szCs w:val="16"/>
      <w:lang w:val="en-US" w:eastAsia="en-US" w:bidi="ar-SA"/>
    </w:rPr>
  </w:style>
  <w:style w:type="paragraph" w:customStyle="1" w:styleId="857">
    <w:name w:val="技术方案正文样式"/>
    <w:basedOn w:val="1"/>
    <w:qFormat/>
    <w:uiPriority w:val="0"/>
    <w:pPr>
      <w:autoSpaceDE w:val="0"/>
      <w:autoSpaceDN w:val="0"/>
      <w:adjustRightInd w:val="0"/>
      <w:spacing w:line="400" w:lineRule="exact"/>
      <w:ind w:firstLine="480" w:firstLineChars="200"/>
    </w:pPr>
    <w:rPr>
      <w:rFonts w:ascii="宋体" w:hAnsi="宋体" w:cs="宋体"/>
      <w:sz w:val="24"/>
      <w:szCs w:val="21"/>
    </w:rPr>
  </w:style>
  <w:style w:type="paragraph" w:customStyle="1" w:styleId="858">
    <w:name w:val="样式 样式 正文（首行缩进2字符） + 首行缩进:  2 字符1 + (西文) Tahoma (中文) 新宋体 首行缩进: ..."/>
    <w:basedOn w:val="810"/>
    <w:qFormat/>
    <w:uiPriority w:val="0"/>
    <w:pPr>
      <w:spacing w:before="156" w:after="156"/>
      <w:ind w:firstLine="496"/>
    </w:pPr>
    <w:rPr>
      <w:rFonts w:eastAsia="新宋体"/>
      <w:spacing w:val="4"/>
      <w:szCs w:val="24"/>
    </w:rPr>
  </w:style>
  <w:style w:type="paragraph" w:customStyle="1" w:styleId="859">
    <w:name w:val="~List Number"/>
    <w:basedOn w:val="860"/>
    <w:qFormat/>
    <w:uiPriority w:val="0"/>
    <w:pPr>
      <w:tabs>
        <w:tab w:val="left" w:pos="360"/>
        <w:tab w:val="left" w:pos="936"/>
        <w:tab w:val="left" w:pos="1620"/>
      </w:tabs>
      <w:ind w:left="360" w:hanging="360"/>
    </w:pPr>
    <w:rPr>
      <w:color w:val="00637A"/>
    </w:rPr>
  </w:style>
  <w:style w:type="paragraph" w:customStyle="1" w:styleId="860">
    <w:name w:val="*List Numbers (Auto)"/>
    <w:basedOn w:val="164"/>
    <w:qFormat/>
    <w:uiPriority w:val="0"/>
    <w:pPr>
      <w:tabs>
        <w:tab w:val="left" w:pos="1620"/>
      </w:tabs>
      <w:ind w:left="1620" w:hanging="420"/>
    </w:pPr>
    <w:rPr>
      <w:sz w:val="20"/>
    </w:rPr>
  </w:style>
  <w:style w:type="paragraph" w:customStyle="1" w:styleId="861">
    <w:name w:val="Char Char Char Char Char Char1 Char"/>
    <w:basedOn w:val="1"/>
    <w:qFormat/>
    <w:uiPriority w:val="0"/>
    <w:pPr>
      <w:widowControl/>
      <w:spacing w:after="160" w:line="240" w:lineRule="exact"/>
      <w:ind w:firstLine="420"/>
      <w:jc w:val="left"/>
    </w:pPr>
    <w:rPr>
      <w:rFonts w:ascii="宋体" w:hAnsi="宋体"/>
      <w:szCs w:val="20"/>
    </w:rPr>
  </w:style>
  <w:style w:type="paragraph" w:customStyle="1" w:styleId="862">
    <w:name w:val="xl37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863">
    <w:name w:val="para12"/>
    <w:basedOn w:val="1"/>
    <w:qFormat/>
    <w:uiPriority w:val="0"/>
    <w:pPr>
      <w:widowControl/>
      <w:spacing w:before="15" w:line="360" w:lineRule="auto"/>
      <w:ind w:firstLine="420"/>
      <w:jc w:val="left"/>
    </w:pPr>
    <w:rPr>
      <w:rFonts w:ascii="宋体" w:hAnsi="宋体" w:cs="宋体"/>
      <w:b/>
      <w:bCs/>
      <w:color w:val="000000"/>
      <w:kern w:val="0"/>
      <w:sz w:val="23"/>
      <w:szCs w:val="23"/>
    </w:rPr>
  </w:style>
  <w:style w:type="paragraph" w:customStyle="1" w:styleId="864">
    <w:name w:val="样式 目录 2 + 左侧:  1 字符"/>
    <w:basedOn w:val="69"/>
    <w:qFormat/>
    <w:uiPriority w:val="0"/>
    <w:pPr>
      <w:tabs>
        <w:tab w:val="left" w:pos="0"/>
        <w:tab w:val="left" w:pos="390"/>
        <w:tab w:val="left" w:pos="1260"/>
        <w:tab w:val="right" w:leader="dot" w:pos="8364"/>
        <w:tab w:val="right" w:leader="middleDot" w:pos="8640"/>
        <w:tab w:val="left" w:leader="dot" w:pos="8761"/>
        <w:tab w:val="clear" w:pos="9403"/>
      </w:tabs>
      <w:autoSpaceDE w:val="0"/>
      <w:autoSpaceDN w:val="0"/>
      <w:adjustRightInd w:val="0"/>
      <w:spacing w:line="240" w:lineRule="auto"/>
      <w:ind w:left="240" w:leftChars="100" w:firstLine="425" w:firstLineChars="177"/>
      <w:jc w:val="left"/>
    </w:pPr>
    <w:rPr>
      <w:rFonts w:cs="宋体"/>
      <w:b/>
      <w:smallCaps w:val="0"/>
      <w:kern w:val="0"/>
      <w:szCs w:val="20"/>
    </w:rPr>
  </w:style>
  <w:style w:type="paragraph" w:customStyle="1" w:styleId="86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866">
    <w:name w:val="xl40"/>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867">
    <w:name w:val="xl21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styleId="868">
    <w:name w:val="List Paragraph"/>
    <w:basedOn w:val="1"/>
    <w:qFormat/>
    <w:uiPriority w:val="34"/>
    <w:pPr>
      <w:ind w:firstLine="420" w:firstLineChars="200"/>
    </w:pPr>
  </w:style>
  <w:style w:type="paragraph" w:customStyle="1" w:styleId="869">
    <w:name w:val="~Heading 4"/>
    <w:next w:val="516"/>
    <w:qFormat/>
    <w:uiPriority w:val="0"/>
    <w:pPr>
      <w:keepNext/>
      <w:keepLines/>
      <w:spacing w:before="240" w:after="120"/>
      <w:outlineLvl w:val="4"/>
    </w:pPr>
    <w:rPr>
      <w:rFonts w:ascii="Arial" w:hAnsi="Arial" w:eastAsia="宋体" w:cs="Times New Roman"/>
      <w:color w:val="00637A"/>
      <w:sz w:val="24"/>
      <w:szCs w:val="24"/>
      <w:lang w:val="en-US" w:eastAsia="en-US" w:bidi="ar-SA"/>
    </w:rPr>
  </w:style>
  <w:style w:type="paragraph" w:customStyle="1" w:styleId="870">
    <w:name w:val="xl141"/>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71">
    <w:name w:val="~Manual # Heading 2"/>
    <w:next w:val="516"/>
    <w:qFormat/>
    <w:uiPriority w:val="0"/>
    <w:pPr>
      <w:keepNext/>
      <w:keepLines/>
      <w:tabs>
        <w:tab w:val="left" w:pos="1440"/>
      </w:tabs>
      <w:spacing w:before="240" w:after="120"/>
      <w:ind w:left="1440" w:hanging="1440"/>
      <w:outlineLvl w:val="2"/>
    </w:pPr>
    <w:rPr>
      <w:rFonts w:ascii="Arial" w:hAnsi="Arial" w:eastAsia="宋体" w:cs="Times New Roman"/>
      <w:color w:val="00637A"/>
      <w:sz w:val="32"/>
      <w:szCs w:val="32"/>
      <w:lang w:val="en-US" w:eastAsia="en-US" w:bidi="ar-SA"/>
    </w:rPr>
  </w:style>
  <w:style w:type="paragraph" w:customStyle="1" w:styleId="872">
    <w:name w:val="样式7"/>
    <w:basedOn w:val="142"/>
    <w:qFormat/>
    <w:uiPriority w:val="0"/>
    <w:pPr>
      <w:keepNext/>
      <w:keepLines/>
      <w:pageBreakBefore/>
      <w:tabs>
        <w:tab w:val="left" w:pos="425"/>
      </w:tabs>
      <w:spacing w:before="340" w:after="330" w:line="360" w:lineRule="auto"/>
      <w:ind w:left="425" w:hanging="425" w:firstLineChars="0"/>
      <w:outlineLvl w:val="0"/>
    </w:pPr>
    <w:rPr>
      <w:rFonts w:ascii="Times New Roman" w:hAnsi="宋体"/>
      <w:b/>
      <w:bCs/>
      <w:kern w:val="44"/>
      <w:sz w:val="36"/>
      <w:szCs w:val="36"/>
    </w:rPr>
  </w:style>
  <w:style w:type="paragraph" w:customStyle="1" w:styleId="873">
    <w:name w:val="Normal Doc"/>
    <w:basedOn w:val="1"/>
    <w:qFormat/>
    <w:uiPriority w:val="0"/>
    <w:pPr>
      <w:tabs>
        <w:tab w:val="left" w:pos="0"/>
        <w:tab w:val="left" w:pos="390"/>
      </w:tabs>
      <w:autoSpaceDE w:val="0"/>
      <w:autoSpaceDN w:val="0"/>
      <w:adjustRightInd w:val="0"/>
      <w:snapToGrid w:val="0"/>
      <w:spacing w:before="120" w:after="120" w:line="360" w:lineRule="atLeast"/>
      <w:ind w:left="706" w:firstLine="425" w:firstLineChars="177"/>
      <w:jc w:val="left"/>
    </w:pPr>
    <w:rPr>
      <w:rFonts w:ascii="Arial" w:hAnsi="Arial"/>
      <w:kern w:val="0"/>
      <w:sz w:val="24"/>
      <w:szCs w:val="20"/>
      <w:lang w:val="en-AU" w:eastAsia="en-US"/>
    </w:rPr>
  </w:style>
  <w:style w:type="paragraph" w:customStyle="1" w:styleId="874">
    <w:name w:val="~Bullet #2 Single"/>
    <w:basedOn w:val="552"/>
    <w:qFormat/>
    <w:uiPriority w:val="0"/>
    <w:pPr>
      <w:tabs>
        <w:tab w:val="left" w:pos="1800"/>
      </w:tabs>
      <w:ind w:left="0" w:firstLine="0"/>
    </w:pPr>
    <w:rPr>
      <w:color w:val="00637A"/>
    </w:rPr>
  </w:style>
  <w:style w:type="paragraph" w:customStyle="1" w:styleId="875">
    <w:name w:val="1"/>
    <w:basedOn w:val="1"/>
    <w:next w:val="65"/>
    <w:qFormat/>
    <w:uiPriority w:val="0"/>
    <w:pPr>
      <w:widowControl/>
      <w:snapToGrid w:val="0"/>
      <w:spacing w:line="440" w:lineRule="atLeast"/>
      <w:ind w:firstLine="480"/>
    </w:pPr>
    <w:rPr>
      <w:kern w:val="0"/>
      <w:sz w:val="24"/>
      <w:szCs w:val="20"/>
    </w:rPr>
  </w:style>
  <w:style w:type="paragraph" w:customStyle="1" w:styleId="876">
    <w:name w:val="xl61"/>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877">
    <w:name w:val="样式 章标题HZ + 段前: 0.5 行 段后: 0.5 行"/>
    <w:basedOn w:val="632"/>
    <w:qFormat/>
    <w:uiPriority w:val="0"/>
    <w:pPr>
      <w:pageBreakBefore/>
      <w:tabs>
        <w:tab w:val="left" w:pos="0"/>
      </w:tabs>
      <w:spacing w:beforeLines="0" w:afterLines="0" w:line="480" w:lineRule="auto"/>
      <w:ind w:firstLine="1256"/>
      <w:outlineLvl w:val="0"/>
    </w:pPr>
    <w:rPr>
      <w:bCs/>
    </w:rPr>
  </w:style>
  <w:style w:type="paragraph" w:customStyle="1" w:styleId="878">
    <w:name w:val="xl35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79">
    <w:name w:val="xl21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880">
    <w:name w:val="*Numbers"/>
    <w:basedOn w:val="860"/>
    <w:qFormat/>
    <w:uiPriority w:val="0"/>
    <w:pPr>
      <w:tabs>
        <w:tab w:val="left" w:pos="360"/>
      </w:tabs>
      <w:ind w:left="360" w:hanging="360"/>
    </w:pPr>
  </w:style>
  <w:style w:type="paragraph" w:customStyle="1" w:styleId="881">
    <w:name w:val="xl211"/>
    <w:basedOn w:val="1"/>
    <w:qFormat/>
    <w:uiPriority w:val="0"/>
    <w:pPr>
      <w:pBdr>
        <w:left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882">
    <w:name w:val="xl201"/>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883">
    <w:name w:val="*Body Text Bold"/>
    <w:basedOn w:val="164"/>
    <w:next w:val="164"/>
    <w:qFormat/>
    <w:uiPriority w:val="0"/>
    <w:pPr>
      <w:tabs>
        <w:tab w:val="left" w:pos="360"/>
      </w:tabs>
    </w:pPr>
    <w:rPr>
      <w:b/>
      <w:sz w:val="20"/>
    </w:rPr>
  </w:style>
  <w:style w:type="paragraph" w:customStyle="1" w:styleId="884">
    <w:name w:val="纯文本1"/>
    <w:basedOn w:val="1"/>
    <w:qFormat/>
    <w:uiPriority w:val="0"/>
    <w:pPr>
      <w:widowControl/>
      <w:jc w:val="left"/>
    </w:pPr>
    <w:rPr>
      <w:rFonts w:hint="eastAsia" w:ascii="宋体" w:hAnsi="Courier New"/>
      <w:szCs w:val="20"/>
    </w:rPr>
  </w:style>
  <w:style w:type="paragraph" w:customStyle="1" w:styleId="885">
    <w:name w:val="Table Contents"/>
    <w:basedOn w:val="1"/>
    <w:qFormat/>
    <w:uiPriority w:val="0"/>
    <w:pPr>
      <w:suppressLineNumbers/>
      <w:suppressAutoHyphens/>
      <w:spacing w:line="360" w:lineRule="auto"/>
      <w:ind w:firstLine="420"/>
      <w:jc w:val="left"/>
    </w:pPr>
    <w:rPr>
      <w:rFonts w:ascii="文鼎PL细上海宋Uni" w:hAnsi="文鼎PL细上海宋Uni" w:eastAsia="文鼎PL细上海宋Uni"/>
      <w:kern w:val="1"/>
      <w:sz w:val="24"/>
      <w:szCs w:val="20"/>
    </w:rPr>
  </w:style>
  <w:style w:type="paragraph" w:customStyle="1" w:styleId="886">
    <w:name w:val="xl13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887">
    <w:name w:val="font13"/>
    <w:basedOn w:val="1"/>
    <w:qFormat/>
    <w:uiPriority w:val="0"/>
    <w:pPr>
      <w:widowControl/>
      <w:spacing w:before="100" w:beforeAutospacing="1" w:after="100" w:afterAutospacing="1"/>
      <w:jc w:val="left"/>
    </w:pPr>
    <w:rPr>
      <w:rFonts w:ascii="新宋体" w:hAnsi="新宋体" w:eastAsia="新宋体"/>
      <w:color w:val="000000"/>
      <w:kern w:val="0"/>
      <w:sz w:val="18"/>
      <w:szCs w:val="18"/>
    </w:rPr>
  </w:style>
  <w:style w:type="paragraph" w:customStyle="1" w:styleId="888">
    <w:name w:val="*Quotation"/>
    <w:basedOn w:val="164"/>
    <w:next w:val="582"/>
    <w:qFormat/>
    <w:uiPriority w:val="0"/>
    <w:pPr>
      <w:tabs>
        <w:tab w:val="left" w:pos="284"/>
      </w:tabs>
      <w:spacing w:after="200" w:line="220" w:lineRule="atLeast"/>
      <w:ind w:left="720" w:right="720"/>
    </w:pPr>
    <w:rPr>
      <w:i/>
      <w:sz w:val="20"/>
    </w:rPr>
  </w:style>
  <w:style w:type="paragraph" w:customStyle="1" w:styleId="889">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90">
    <w:name w:val="表格内容"/>
    <w:basedOn w:val="1"/>
    <w:qFormat/>
    <w:uiPriority w:val="0"/>
    <w:pPr>
      <w:suppressLineNumbers/>
      <w:tabs>
        <w:tab w:val="left" w:pos="0"/>
        <w:tab w:val="left" w:pos="390"/>
      </w:tabs>
      <w:suppressAutoHyphens/>
      <w:autoSpaceDE w:val="0"/>
      <w:autoSpaceDN w:val="0"/>
      <w:adjustRightInd w:val="0"/>
      <w:snapToGrid w:val="0"/>
      <w:ind w:firstLine="425" w:firstLineChars="177"/>
      <w:jc w:val="left"/>
    </w:pPr>
    <w:rPr>
      <w:rFonts w:hAnsi="宋体"/>
      <w:kern w:val="0"/>
      <w:sz w:val="24"/>
    </w:rPr>
  </w:style>
  <w:style w:type="paragraph" w:customStyle="1" w:styleId="891">
    <w:name w:val="‧ N table-10 body right"/>
    <w:basedOn w:val="500"/>
    <w:qFormat/>
    <w:uiPriority w:val="0"/>
  </w:style>
  <w:style w:type="paragraph" w:customStyle="1" w:styleId="892">
    <w:name w:val="xl109"/>
    <w:basedOn w:val="1"/>
    <w:qFormat/>
    <w:uiPriority w:val="0"/>
    <w:pPr>
      <w:pBdr>
        <w:top w:val="single" w:color="auto" w:sz="8"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93">
    <w:name w:val="xl111"/>
    <w:basedOn w:val="1"/>
    <w:qFormat/>
    <w:uiPriority w:val="0"/>
    <w:pPr>
      <w:pBdr>
        <w:top w:val="single" w:color="auto" w:sz="8"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94">
    <w:name w:val="xl23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895">
    <w:name w:val="顺序编号1"/>
    <w:basedOn w:val="1"/>
    <w:qFormat/>
    <w:uiPriority w:val="0"/>
    <w:pPr>
      <w:spacing w:afterLines="50" w:line="360" w:lineRule="auto"/>
      <w:ind w:firstLine="420"/>
    </w:pPr>
    <w:rPr>
      <w:rFonts w:ascii="宋体" w:hAnsi="宋体"/>
    </w:rPr>
  </w:style>
  <w:style w:type="paragraph" w:customStyle="1" w:styleId="896">
    <w:name w:val="Char Char7 Char Char Char Char"/>
    <w:basedOn w:val="1"/>
    <w:qFormat/>
    <w:uiPriority w:val="0"/>
    <w:rPr>
      <w:rFonts w:ascii="仿宋_GB2312" w:hAnsi="Calibri" w:eastAsia="仿宋_GB2312" w:cs="Calibri"/>
      <w:b/>
      <w:sz w:val="32"/>
      <w:szCs w:val="32"/>
    </w:rPr>
  </w:style>
  <w:style w:type="paragraph" w:customStyle="1" w:styleId="897">
    <w:name w:val="样式 目录 2 + 左侧:  1 字符 右侧:  0.47 字符"/>
    <w:basedOn w:val="69"/>
    <w:qFormat/>
    <w:uiPriority w:val="0"/>
    <w:pPr>
      <w:tabs>
        <w:tab w:val="left" w:pos="0"/>
        <w:tab w:val="left" w:pos="390"/>
        <w:tab w:val="left" w:pos="1260"/>
        <w:tab w:val="right" w:leader="dot" w:pos="8364"/>
        <w:tab w:val="right" w:leader="middleDot" w:pos="8640"/>
        <w:tab w:val="left" w:leader="dot" w:pos="8761"/>
        <w:tab w:val="clear" w:pos="9403"/>
      </w:tabs>
      <w:autoSpaceDE w:val="0"/>
      <w:autoSpaceDN w:val="0"/>
      <w:adjustRightInd w:val="0"/>
      <w:ind w:left="100" w:leftChars="100" w:firstLine="425" w:firstLineChars="177"/>
      <w:jc w:val="left"/>
    </w:pPr>
    <w:rPr>
      <w:rFonts w:ascii="Times New Roman" w:hAnsi="宋体" w:cs="宋体"/>
      <w:b/>
      <w:bCs/>
      <w:color w:val="000000"/>
      <w:kern w:val="0"/>
      <w:sz w:val="24"/>
      <w:szCs w:val="20"/>
    </w:rPr>
  </w:style>
  <w:style w:type="paragraph" w:customStyle="1" w:styleId="898">
    <w:name w:val="xl13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899">
    <w:name w:val="xl13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00">
    <w:name w:val="xl8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01">
    <w:name w:val="xl204"/>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902">
    <w:name w:val="列出段落3"/>
    <w:basedOn w:val="1"/>
    <w:qFormat/>
    <w:uiPriority w:val="34"/>
    <w:pPr>
      <w:ind w:firstLine="200" w:firstLineChars="200"/>
    </w:pPr>
    <w:rPr>
      <w:rFonts w:ascii="Calibri" w:hAnsi="Calibri"/>
      <w:szCs w:val="22"/>
    </w:rPr>
  </w:style>
  <w:style w:type="paragraph" w:customStyle="1" w:styleId="903">
    <w:name w:val="xl13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04">
    <w:name w:val="xl3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05">
    <w:name w:val="word"/>
    <w:basedOn w:val="1"/>
    <w:qFormat/>
    <w:uiPriority w:val="0"/>
    <w:pPr>
      <w:widowControl/>
      <w:spacing w:before="100" w:beforeAutospacing="1" w:after="100" w:afterAutospacing="1" w:line="300" w:lineRule="atLeast"/>
      <w:jc w:val="left"/>
    </w:pPr>
    <w:rPr>
      <w:rFonts w:ascii="Arial Unicode MS" w:hAnsi="Arial Unicode MS" w:cs="宋体"/>
      <w:color w:val="333333"/>
      <w:kern w:val="0"/>
      <w:sz w:val="18"/>
      <w:szCs w:val="18"/>
    </w:rPr>
  </w:style>
  <w:style w:type="paragraph" w:customStyle="1" w:styleId="906">
    <w:name w:val="xl144"/>
    <w:basedOn w:val="1"/>
    <w:qFormat/>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07">
    <w:name w:val="样式 样式 标题 3 + (符号) 宋体 四号 加粗 黑色 段前: 0 磅 段后: 0 磅 行距: 固定值 22 磅 + 段前:..."/>
    <w:basedOn w:val="1"/>
    <w:qFormat/>
    <w:uiPriority w:val="0"/>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908">
    <w:name w:val="Char Char5"/>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09">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910">
    <w:name w:val="Char Char7 Char Char Char Char Char Char"/>
    <w:basedOn w:val="1"/>
    <w:qFormat/>
    <w:uiPriority w:val="0"/>
    <w:rPr>
      <w:rFonts w:ascii="仿宋_GB2312" w:hAnsi="Calibri" w:eastAsia="仿宋_GB2312" w:cs="Calibri"/>
      <w:b/>
      <w:sz w:val="32"/>
      <w:szCs w:val="32"/>
    </w:rPr>
  </w:style>
  <w:style w:type="paragraph" w:customStyle="1" w:styleId="911">
    <w:name w:val="规范正文"/>
    <w:basedOn w:val="1"/>
    <w:qFormat/>
    <w:uiPriority w:val="0"/>
    <w:pPr>
      <w:snapToGrid w:val="0"/>
      <w:spacing w:line="360" w:lineRule="auto"/>
      <w:ind w:firstLine="200" w:firstLineChars="200"/>
      <w:textAlignment w:val="baseline"/>
    </w:pPr>
    <w:rPr>
      <w:rFonts w:ascii="宋体" w:hAnsi="宋体"/>
      <w:kern w:val="0"/>
      <w:sz w:val="24"/>
      <w:szCs w:val="20"/>
    </w:rPr>
  </w:style>
  <w:style w:type="paragraph" w:customStyle="1" w:styleId="912">
    <w:name w:val="xl127"/>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913">
    <w:name w:val="xl373"/>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914">
    <w:name w:val="Frame contents"/>
    <w:basedOn w:val="17"/>
    <w:qFormat/>
    <w:uiPriority w:val="0"/>
    <w:pPr>
      <w:autoSpaceDN w:val="0"/>
      <w:spacing w:before="363" w:after="119" w:line="240" w:lineRule="auto"/>
      <w:ind w:left="1080" w:right="1008"/>
      <w:textAlignment w:val="auto"/>
    </w:pPr>
    <w:rPr>
      <w:rFonts w:ascii="Times New Roman" w:eastAsia="PMingLiU"/>
      <w:sz w:val="20"/>
      <w:lang w:val="en-GB" w:eastAsia="zh-TW"/>
    </w:rPr>
  </w:style>
  <w:style w:type="paragraph" w:customStyle="1" w:styleId="915">
    <w:name w:val="~Manual # Heading 3"/>
    <w:next w:val="516"/>
    <w:qFormat/>
    <w:uiPriority w:val="0"/>
    <w:pPr>
      <w:keepNext/>
      <w:keepLines/>
      <w:tabs>
        <w:tab w:val="left" w:pos="1440"/>
      </w:tabs>
      <w:spacing w:before="240" w:after="120"/>
      <w:ind w:left="1440" w:hanging="1440"/>
      <w:outlineLvl w:val="3"/>
    </w:pPr>
    <w:rPr>
      <w:rFonts w:ascii="Arial" w:hAnsi="Arial" w:eastAsia="宋体" w:cs="Times New Roman"/>
      <w:b/>
      <w:color w:val="00637A"/>
      <w:sz w:val="24"/>
      <w:szCs w:val="24"/>
      <w:lang w:val="en-US" w:eastAsia="en-US" w:bidi="ar-SA"/>
    </w:rPr>
  </w:style>
  <w:style w:type="paragraph" w:customStyle="1" w:styleId="916">
    <w:name w:val="xl8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917">
    <w:name w:val="xl3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18">
    <w:name w:val="_HP Sidebar Head"/>
    <w:basedOn w:val="102"/>
    <w:next w:val="102"/>
    <w:qFormat/>
    <w:uiPriority w:val="0"/>
    <w:pPr>
      <w:spacing w:before="240"/>
    </w:pPr>
    <w:rPr>
      <w:rFonts w:ascii="Futura-Heavy" w:hAnsi="Futura-Heavy" w:eastAsia="宋体" w:cs="Times New Roman"/>
      <w:color w:val="auto"/>
    </w:rPr>
  </w:style>
  <w:style w:type="paragraph" w:customStyle="1" w:styleId="919">
    <w:name w:val="xl3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20">
    <w:name w:val="样式 居中"/>
    <w:basedOn w:val="1"/>
    <w:qFormat/>
    <w:uiPriority w:val="0"/>
    <w:pPr>
      <w:tabs>
        <w:tab w:val="left" w:pos="0"/>
        <w:tab w:val="left" w:pos="390"/>
        <w:tab w:val="left" w:pos="540"/>
      </w:tabs>
      <w:autoSpaceDE w:val="0"/>
      <w:autoSpaceDN w:val="0"/>
      <w:adjustRightInd w:val="0"/>
      <w:snapToGrid w:val="0"/>
      <w:ind w:firstLine="425" w:firstLineChars="177"/>
      <w:jc w:val="left"/>
    </w:pPr>
    <w:rPr>
      <w:rFonts w:hAnsi="宋体" w:cs="宋体"/>
      <w:kern w:val="0"/>
      <w:sz w:val="24"/>
      <w:szCs w:val="20"/>
    </w:rPr>
  </w:style>
  <w:style w:type="paragraph" w:customStyle="1" w:styleId="921">
    <w:name w:val="*Table Heading 2"/>
    <w:basedOn w:val="818"/>
    <w:qFormat/>
    <w:uiPriority w:val="0"/>
    <w:pPr>
      <w:shd w:val="clear" w:color="auto" w:fill="A8A8A8"/>
    </w:pPr>
    <w:rPr>
      <w:sz w:val="18"/>
      <w:szCs w:val="18"/>
    </w:rPr>
  </w:style>
  <w:style w:type="paragraph" w:customStyle="1" w:styleId="922">
    <w:name w:val="列项——（一级）"/>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923">
    <w:name w:val="*Manual # Heading 4"/>
    <w:next w:val="164"/>
    <w:qFormat/>
    <w:uiPriority w:val="0"/>
    <w:pPr>
      <w:keepNext/>
      <w:keepLines/>
      <w:tabs>
        <w:tab w:val="left" w:pos="1440"/>
      </w:tabs>
      <w:spacing w:before="240" w:after="120"/>
      <w:ind w:left="1440" w:hanging="1440"/>
      <w:outlineLvl w:val="4"/>
    </w:pPr>
    <w:rPr>
      <w:rFonts w:ascii="Arial" w:hAnsi="Arial" w:eastAsia="宋体" w:cs="Times New Roman"/>
      <w:sz w:val="24"/>
      <w:szCs w:val="24"/>
      <w:lang w:val="en-US" w:eastAsia="en-US" w:bidi="ar-SA"/>
    </w:rPr>
  </w:style>
  <w:style w:type="paragraph" w:customStyle="1" w:styleId="924">
    <w:name w:val="4444"/>
    <w:basedOn w:val="5"/>
    <w:qFormat/>
    <w:uiPriority w:val="0"/>
    <w:pPr>
      <w:keepNext/>
      <w:keepLines/>
      <w:widowControl w:val="0"/>
      <w:tabs>
        <w:tab w:val="left" w:pos="993"/>
        <w:tab w:val="left" w:pos="2880"/>
      </w:tabs>
      <w:spacing w:before="160" w:after="170" w:line="376" w:lineRule="auto"/>
      <w:ind w:left="720" w:right="100" w:rightChars="100" w:hanging="720"/>
    </w:pPr>
    <w:rPr>
      <w:rFonts w:ascii="Cambria" w:hAnsi="Cambria"/>
      <w:b/>
      <w:bCs/>
      <w:kern w:val="2"/>
      <w:szCs w:val="28"/>
    </w:rPr>
  </w:style>
  <w:style w:type="paragraph" w:customStyle="1" w:styleId="925">
    <w:name w:val="xl8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26">
    <w:name w:val="样式11"/>
    <w:basedOn w:val="281"/>
    <w:qFormat/>
    <w:uiPriority w:val="0"/>
    <w:rPr>
      <w:rFonts w:ascii="Times New Roman"/>
    </w:rPr>
  </w:style>
  <w:style w:type="paragraph" w:customStyle="1" w:styleId="927">
    <w:name w:val="样式 正文文本缩进 + 左  0 字符"/>
    <w:basedOn w:val="32"/>
    <w:qFormat/>
    <w:uiPriority w:val="0"/>
    <w:pPr>
      <w:widowControl w:val="0"/>
      <w:autoSpaceDE/>
      <w:autoSpaceDN/>
      <w:snapToGrid/>
      <w:spacing w:before="0" w:line="360" w:lineRule="auto"/>
      <w:ind w:firstLine="250" w:firstLineChars="250"/>
      <w:textAlignment w:val="auto"/>
    </w:pPr>
    <w:rPr>
      <w:rFonts w:ascii="Times New Roman" w:cs="宋体"/>
    </w:rPr>
  </w:style>
  <w:style w:type="paragraph" w:customStyle="1" w:styleId="928">
    <w:name w:val="xl222"/>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29">
    <w:name w:val="样式 标题 2子系统子系统1子系统2子系统3子系统4子系统11子系统21子系统31子系统5子系统12子系统..."/>
    <w:basedOn w:val="3"/>
    <w:qFormat/>
    <w:uiPriority w:val="0"/>
    <w:pPr>
      <w:keepLines w:val="0"/>
      <w:widowControl/>
      <w:tabs>
        <w:tab w:val="left" w:pos="284"/>
        <w:tab w:val="left" w:pos="567"/>
        <w:tab w:val="left" w:pos="1080"/>
        <w:tab w:val="left" w:pos="2411"/>
      </w:tabs>
      <w:snapToGrid/>
      <w:spacing w:before="480" w:after="120" w:line="360" w:lineRule="auto"/>
      <w:ind w:left="576" w:right="100" w:rightChars="100" w:hanging="576" w:firstLineChars="0"/>
      <w:jc w:val="left"/>
    </w:pPr>
    <w:rPr>
      <w:rFonts w:ascii="宋体" w:hAnsi="宋体" w:cs="宋体"/>
      <w:color w:val="FF0000"/>
      <w:kern w:val="0"/>
      <w:sz w:val="28"/>
      <w:szCs w:val="20"/>
    </w:rPr>
  </w:style>
  <w:style w:type="paragraph" w:customStyle="1" w:styleId="930">
    <w:name w:val="~Bullet #2 Subtext"/>
    <w:basedOn w:val="874"/>
    <w:qFormat/>
    <w:uiPriority w:val="0"/>
    <w:pPr>
      <w:tabs>
        <w:tab w:val="left" w:pos="425"/>
        <w:tab w:val="clear" w:pos="360"/>
      </w:tabs>
      <w:ind w:left="720"/>
    </w:pPr>
  </w:style>
  <w:style w:type="paragraph" w:customStyle="1" w:styleId="931">
    <w:name w:val="xl3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32">
    <w:name w:val="条文1"/>
    <w:basedOn w:val="1"/>
    <w:qFormat/>
    <w:uiPriority w:val="0"/>
    <w:pPr>
      <w:tabs>
        <w:tab w:val="left" w:pos="720"/>
      </w:tabs>
      <w:spacing w:line="360" w:lineRule="auto"/>
    </w:pPr>
    <w:rPr>
      <w:rFonts w:ascii="MS UI Gothic" w:hAnsi="MS UI Gothic"/>
      <w:kern w:val="44"/>
      <w:sz w:val="24"/>
      <w:szCs w:val="20"/>
    </w:rPr>
  </w:style>
  <w:style w:type="paragraph" w:customStyle="1" w:styleId="933">
    <w:name w:val="‧ N cover small text box"/>
    <w:basedOn w:val="500"/>
    <w:qFormat/>
    <w:uiPriority w:val="0"/>
  </w:style>
  <w:style w:type="paragraph" w:customStyle="1" w:styleId="934">
    <w:name w:val="xl150"/>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935">
    <w:name w:val="xl101"/>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36">
    <w:name w:val="技术标题4"/>
    <w:basedOn w:val="1"/>
    <w:qFormat/>
    <w:uiPriority w:val="0"/>
    <w:pPr>
      <w:tabs>
        <w:tab w:val="left" w:pos="0"/>
        <w:tab w:val="left" w:pos="390"/>
        <w:tab w:val="left" w:pos="851"/>
        <w:tab w:val="left" w:pos="2880"/>
      </w:tabs>
      <w:autoSpaceDE w:val="0"/>
      <w:autoSpaceDN w:val="0"/>
      <w:adjustRightInd w:val="0"/>
      <w:snapToGrid w:val="0"/>
      <w:spacing w:beforeLines="50" w:afterLines="50"/>
      <w:ind w:left="851" w:hanging="851" w:firstLineChars="177"/>
      <w:jc w:val="left"/>
      <w:outlineLvl w:val="4"/>
    </w:pPr>
    <w:rPr>
      <w:bCs/>
      <w:color w:val="000000"/>
      <w:sz w:val="24"/>
    </w:rPr>
  </w:style>
  <w:style w:type="paragraph" w:customStyle="1" w:styleId="937">
    <w:name w:val="*Numbers Bold"/>
    <w:basedOn w:val="880"/>
    <w:qFormat/>
    <w:uiPriority w:val="0"/>
    <w:rPr>
      <w:b/>
    </w:rPr>
  </w:style>
  <w:style w:type="paragraph" w:customStyle="1" w:styleId="938">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939">
    <w:name w:val="xl4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40">
    <w:name w:val="样式 首行缩进:  2 字符5"/>
    <w:basedOn w:val="1"/>
    <w:qFormat/>
    <w:uiPriority w:val="0"/>
    <w:pPr>
      <w:spacing w:before="120" w:line="360" w:lineRule="auto"/>
      <w:ind w:firstLine="480" w:firstLineChars="200"/>
    </w:pPr>
    <w:rPr>
      <w:rFonts w:ascii="宋体" w:hAnsi="宋体" w:cs="宋体"/>
      <w:sz w:val="24"/>
      <w:szCs w:val="20"/>
    </w:rPr>
  </w:style>
  <w:style w:type="paragraph" w:customStyle="1" w:styleId="941">
    <w:name w:val="样式9"/>
    <w:basedOn w:val="942"/>
    <w:qFormat/>
    <w:uiPriority w:val="0"/>
    <w:pPr>
      <w:keepNext/>
      <w:keepLines/>
      <w:tabs>
        <w:tab w:val="left" w:pos="851"/>
      </w:tabs>
      <w:spacing w:before="260" w:after="260"/>
      <w:ind w:left="851" w:hanging="709"/>
      <w:outlineLvl w:val="2"/>
    </w:pPr>
    <w:rPr>
      <w:b/>
      <w:bCs/>
      <w:sz w:val="30"/>
      <w:szCs w:val="30"/>
    </w:rPr>
  </w:style>
  <w:style w:type="paragraph" w:customStyle="1" w:styleId="942">
    <w:name w:val="样式3"/>
    <w:basedOn w:val="1"/>
    <w:next w:val="7"/>
    <w:qFormat/>
    <w:uiPriority w:val="0"/>
    <w:pPr>
      <w:spacing w:line="360" w:lineRule="auto"/>
      <w:ind w:firstLine="420"/>
    </w:pPr>
    <w:rPr>
      <w:rFonts w:ascii="宋体" w:hAnsi="宋体"/>
    </w:rPr>
  </w:style>
  <w:style w:type="paragraph" w:customStyle="1" w:styleId="943">
    <w:name w:val="xl115"/>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944">
    <w:name w:val="xl5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45">
    <w:name w:val="Char Char Char Char Char Char Char Char Char Char Char Char Char Char Char Char"/>
    <w:basedOn w:val="1"/>
    <w:qFormat/>
    <w:uiPriority w:val="0"/>
    <w:pPr>
      <w:spacing w:line="360" w:lineRule="auto"/>
      <w:ind w:firstLine="420"/>
    </w:pPr>
    <w:rPr>
      <w:rFonts w:ascii="Tahoma" w:hAnsi="Tahoma"/>
      <w:sz w:val="24"/>
      <w:szCs w:val="20"/>
    </w:rPr>
  </w:style>
  <w:style w:type="paragraph" w:customStyle="1" w:styleId="946">
    <w:name w:val="xl4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47">
    <w:name w:val="User Index 5"/>
    <w:basedOn w:val="46"/>
    <w:qFormat/>
    <w:uiPriority w:val="0"/>
    <w:pPr>
      <w:tabs>
        <w:tab w:val="right" w:leader="dot" w:pos="9746"/>
      </w:tabs>
      <w:ind w:left="1132"/>
    </w:pPr>
  </w:style>
  <w:style w:type="paragraph" w:customStyle="1" w:styleId="948">
    <w:name w:val="*Numbers Double"/>
    <w:basedOn w:val="880"/>
    <w:qFormat/>
    <w:uiPriority w:val="0"/>
    <w:pPr>
      <w:spacing w:after="220"/>
    </w:pPr>
  </w:style>
  <w:style w:type="paragraph" w:customStyle="1" w:styleId="949">
    <w:name w:val="2级"/>
    <w:basedOn w:val="3"/>
    <w:qFormat/>
    <w:uiPriority w:val="0"/>
    <w:pPr>
      <w:tabs>
        <w:tab w:val="left" w:pos="284"/>
        <w:tab w:val="left" w:pos="1440"/>
        <w:tab w:val="left" w:pos="2411"/>
      </w:tabs>
      <w:snapToGrid/>
      <w:spacing w:beforeLines="50" w:after="260" w:line="360" w:lineRule="auto"/>
      <w:ind w:left="1440" w:right="100" w:rightChars="100" w:firstLine="0" w:firstLineChars="0"/>
      <w:jc w:val="left"/>
    </w:pPr>
    <w:rPr>
      <w:rFonts w:ascii="Cambria" w:hAnsi="Cambria"/>
      <w:sz w:val="36"/>
    </w:rPr>
  </w:style>
  <w:style w:type="paragraph" w:customStyle="1" w:styleId="950">
    <w:name w:val="样式 标题 2标题 2 Char Char Char Char Char Char Char Char Char Char C...1"/>
    <w:basedOn w:val="3"/>
    <w:qFormat/>
    <w:uiPriority w:val="0"/>
    <w:pPr>
      <w:keepLines w:val="0"/>
      <w:tabs>
        <w:tab w:val="left" w:pos="0"/>
        <w:tab w:val="left" w:pos="284"/>
        <w:tab w:val="left" w:pos="390"/>
        <w:tab w:val="left" w:pos="6521"/>
      </w:tabs>
      <w:autoSpaceDE w:val="0"/>
      <w:autoSpaceDN w:val="0"/>
      <w:adjustRightInd w:val="0"/>
      <w:spacing w:before="360" w:after="360"/>
      <w:ind w:right="170" w:hanging="3" w:hangingChars="3"/>
      <w:jc w:val="center"/>
    </w:pPr>
    <w:rPr>
      <w:rFonts w:ascii="Times New Roman" w:hAnsi="Times New Roman"/>
      <w:b w:val="0"/>
      <w:caps/>
      <w:color w:val="000000"/>
      <w:sz w:val="28"/>
      <w:szCs w:val="20"/>
      <w:lang w:val="en-GB"/>
    </w:rPr>
  </w:style>
  <w:style w:type="paragraph" w:customStyle="1" w:styleId="951">
    <w:name w:val="xl207"/>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52">
    <w:name w:val="xl3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53">
    <w:name w:val="xl10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954">
    <w:name w:val="正文段"/>
    <w:basedOn w:val="1"/>
    <w:qFormat/>
    <w:uiPriority w:val="0"/>
    <w:pPr>
      <w:spacing w:after="240" w:line="240" w:lineRule="atLeast"/>
      <w:ind w:firstLine="454"/>
    </w:pPr>
    <w:rPr>
      <w:rFonts w:ascii="楷体" w:hAnsi="宋体"/>
      <w:sz w:val="24"/>
      <w:szCs w:val="20"/>
    </w:rPr>
  </w:style>
  <w:style w:type="paragraph" w:customStyle="1" w:styleId="955">
    <w:name w:val="xl71"/>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56">
    <w:name w:val="xl33"/>
    <w:basedOn w:val="1"/>
    <w:qFormat/>
    <w:uiPriority w:val="0"/>
    <w:pPr>
      <w:pBdr>
        <w:top w:val="single" w:color="auto" w:sz="4" w:space="0"/>
        <w:left w:val="single" w:color="auto" w:sz="4" w:space="0"/>
        <w:bottom w:val="single" w:color="auto" w:sz="8"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57">
    <w:name w:val="font17"/>
    <w:basedOn w:val="1"/>
    <w:qFormat/>
    <w:uiPriority w:val="0"/>
    <w:pPr>
      <w:widowControl/>
      <w:spacing w:before="100" w:beforeAutospacing="1" w:after="100" w:afterAutospacing="1"/>
      <w:jc w:val="left"/>
    </w:pPr>
    <w:rPr>
      <w:rFonts w:ascii="Arial" w:hAnsi="Arial" w:cs="Arial"/>
      <w:color w:val="FF0000"/>
      <w:kern w:val="0"/>
      <w:sz w:val="18"/>
      <w:szCs w:val="18"/>
    </w:rPr>
  </w:style>
  <w:style w:type="paragraph" w:customStyle="1" w:styleId="958">
    <w:name w:val="xl100"/>
    <w:basedOn w:val="1"/>
    <w:qFormat/>
    <w:uiPriority w:val="0"/>
    <w:pPr>
      <w:pBdr>
        <w:top w:val="single" w:color="auto" w:sz="4" w:space="0"/>
        <w:left w:val="single" w:color="auto" w:sz="8"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59">
    <w:name w:val="表格内容左对齐"/>
    <w:basedOn w:val="1"/>
    <w:qFormat/>
    <w:uiPriority w:val="0"/>
    <w:pPr>
      <w:widowControl/>
      <w:spacing w:line="360" w:lineRule="auto"/>
      <w:ind w:firstLine="420"/>
    </w:pPr>
    <w:rPr>
      <w:rFonts w:ascii="宋体" w:hAnsi="宋体" w:cs="宋体"/>
      <w:bCs/>
      <w:color w:val="FF0000"/>
      <w:kern w:val="44"/>
      <w:szCs w:val="21"/>
    </w:rPr>
  </w:style>
  <w:style w:type="paragraph" w:customStyle="1" w:styleId="960">
    <w:name w:val="List 2 Cont."/>
    <w:basedOn w:val="61"/>
    <w:qFormat/>
    <w:uiPriority w:val="0"/>
    <w:pPr>
      <w:widowControl/>
      <w:ind w:left="567" w:firstLine="0" w:firstLineChars="0"/>
      <w:jc w:val="left"/>
    </w:pPr>
    <w:rPr>
      <w:rFonts w:eastAsia="PMingLiU"/>
      <w:kern w:val="0"/>
      <w:sz w:val="20"/>
      <w:szCs w:val="20"/>
      <w:lang w:eastAsia="zh-TW"/>
    </w:rPr>
  </w:style>
  <w:style w:type="paragraph" w:styleId="96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2">
    <w:name w:val="xl227"/>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宋体" w:hAnsi="宋体" w:cs="宋体"/>
      <w:kern w:val="0"/>
      <w:sz w:val="20"/>
      <w:szCs w:val="20"/>
    </w:rPr>
  </w:style>
  <w:style w:type="paragraph" w:customStyle="1" w:styleId="963">
    <w:name w:val="Char Char Char Char1"/>
    <w:basedOn w:val="1"/>
    <w:qFormat/>
    <w:uiPriority w:val="0"/>
    <w:pPr>
      <w:widowControl/>
      <w:spacing w:after="160" w:line="240" w:lineRule="exact"/>
      <w:ind w:firstLine="420"/>
      <w:jc w:val="left"/>
    </w:pPr>
    <w:rPr>
      <w:rFonts w:ascii="Arial" w:hAnsi="Arial" w:eastAsia="Times New Roman" w:cs="Verdana"/>
      <w:b/>
      <w:kern w:val="0"/>
      <w:sz w:val="24"/>
      <w:szCs w:val="20"/>
      <w:lang w:eastAsia="en-US"/>
    </w:rPr>
  </w:style>
  <w:style w:type="paragraph" w:customStyle="1" w:styleId="964">
    <w:name w:val="xl9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000000"/>
      <w:kern w:val="0"/>
      <w:sz w:val="24"/>
    </w:rPr>
  </w:style>
  <w:style w:type="paragraph" w:customStyle="1" w:styleId="965">
    <w:name w:val="Char Char1"/>
    <w:basedOn w:val="1"/>
    <w:qFormat/>
    <w:uiPriority w:val="0"/>
    <w:pPr>
      <w:spacing w:line="360" w:lineRule="auto"/>
      <w:ind w:firstLine="420"/>
    </w:pPr>
    <w:rPr>
      <w:rFonts w:ascii="Arial" w:hAnsi="Arial" w:cs="Arial"/>
    </w:rPr>
  </w:style>
  <w:style w:type="paragraph" w:customStyle="1" w:styleId="966">
    <w:name w:val="xl124"/>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967">
    <w:name w:val="标题四"/>
    <w:basedOn w:val="5"/>
    <w:next w:val="1"/>
    <w:qFormat/>
    <w:uiPriority w:val="0"/>
    <w:pPr>
      <w:keepNext/>
      <w:keepLines/>
      <w:widowControl w:val="0"/>
      <w:tabs>
        <w:tab w:val="left" w:pos="993"/>
      </w:tabs>
      <w:spacing w:before="160" w:after="170" w:line="376" w:lineRule="auto"/>
      <w:ind w:right="100" w:rightChars="100"/>
    </w:pPr>
    <w:rPr>
      <w:bCs/>
      <w:szCs w:val="28"/>
    </w:rPr>
  </w:style>
  <w:style w:type="paragraph" w:customStyle="1" w:styleId="968">
    <w:name w:val="*SOW 4"/>
    <w:basedOn w:val="562"/>
    <w:next w:val="164"/>
    <w:qFormat/>
    <w:uiPriority w:val="0"/>
    <w:pPr>
      <w:outlineLvl w:val="4"/>
    </w:pPr>
  </w:style>
  <w:style w:type="paragraph" w:customStyle="1" w:styleId="969">
    <w:name w:val="newtext"/>
    <w:basedOn w:val="1"/>
    <w:qFormat/>
    <w:uiPriority w:val="0"/>
    <w:pPr>
      <w:widowControl/>
      <w:spacing w:before="100" w:beforeAutospacing="1" w:after="100" w:afterAutospacing="1" w:line="300" w:lineRule="atLeast"/>
      <w:ind w:firstLine="420"/>
      <w:jc w:val="left"/>
    </w:pPr>
    <w:rPr>
      <w:rFonts w:ascii="宋体" w:hAnsi="宋体"/>
      <w:kern w:val="0"/>
      <w:szCs w:val="21"/>
    </w:rPr>
  </w:style>
  <w:style w:type="paragraph" w:customStyle="1" w:styleId="970">
    <w:name w:val="xl23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971">
    <w:name w:val="xl13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972">
    <w:name w:val="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973">
    <w:name w:val="xl332"/>
    <w:basedOn w:val="1"/>
    <w:qFormat/>
    <w:uiPriority w:val="0"/>
    <w:pPr>
      <w:widowControl/>
      <w:spacing w:before="100" w:beforeAutospacing="1" w:after="100" w:afterAutospacing="1"/>
      <w:jc w:val="left"/>
    </w:pPr>
    <w:rPr>
      <w:rFonts w:ascii="仿宋_GB2312" w:hAnsi="宋体" w:eastAsia="仿宋_GB2312" w:cs="宋体"/>
      <w:kern w:val="0"/>
      <w:sz w:val="24"/>
    </w:rPr>
  </w:style>
  <w:style w:type="paragraph" w:customStyle="1" w:styleId="974">
    <w:name w:val="Default Text"/>
    <w:basedOn w:val="1"/>
    <w:qFormat/>
    <w:uiPriority w:val="0"/>
    <w:pPr>
      <w:widowControl/>
      <w:overflowPunct w:val="0"/>
      <w:autoSpaceDE w:val="0"/>
      <w:autoSpaceDN w:val="0"/>
      <w:adjustRightInd w:val="0"/>
      <w:spacing w:line="360" w:lineRule="auto"/>
      <w:ind w:firstLine="420"/>
      <w:jc w:val="left"/>
      <w:textAlignment w:val="baseline"/>
    </w:pPr>
    <w:rPr>
      <w:rFonts w:ascii="宋体" w:hAnsi="宋体"/>
      <w:kern w:val="0"/>
      <w:sz w:val="24"/>
      <w:szCs w:val="20"/>
    </w:rPr>
  </w:style>
  <w:style w:type="paragraph" w:customStyle="1" w:styleId="975">
    <w:name w:val="~Table Text"/>
    <w:basedOn w:val="689"/>
    <w:qFormat/>
    <w:uiPriority w:val="0"/>
    <w:rPr>
      <w:color w:val="00637A"/>
      <w:szCs w:val="18"/>
    </w:rPr>
  </w:style>
  <w:style w:type="paragraph" w:customStyle="1" w:styleId="976">
    <w:name w:val="Normal Cenered"/>
    <w:basedOn w:val="1"/>
    <w:qFormat/>
    <w:uiPriority w:val="0"/>
    <w:pPr>
      <w:widowControl/>
      <w:tabs>
        <w:tab w:val="left" w:pos="6660"/>
      </w:tabs>
      <w:spacing w:before="120" w:after="120" w:line="288" w:lineRule="auto"/>
      <w:ind w:firstLine="420"/>
      <w:jc w:val="center"/>
    </w:pPr>
    <w:rPr>
      <w:rFonts w:ascii="宋体" w:hAnsi="宋体"/>
      <w:kern w:val="0"/>
    </w:rPr>
  </w:style>
  <w:style w:type="paragraph" w:customStyle="1" w:styleId="977">
    <w:name w:val="*Response"/>
    <w:basedOn w:val="164"/>
    <w:next w:val="164"/>
    <w:qFormat/>
    <w:uiPriority w:val="0"/>
    <w:pPr>
      <w:ind w:left="1440" w:hanging="1440"/>
    </w:pPr>
    <w:rPr>
      <w:sz w:val="20"/>
    </w:rPr>
  </w:style>
  <w:style w:type="paragraph" w:customStyle="1" w:styleId="978">
    <w:name w:val="正文(首行缩进)"/>
    <w:basedOn w:val="1"/>
    <w:qFormat/>
    <w:uiPriority w:val="0"/>
    <w:pPr>
      <w:tabs>
        <w:tab w:val="left" w:pos="0"/>
        <w:tab w:val="left" w:pos="390"/>
      </w:tabs>
      <w:autoSpaceDE w:val="0"/>
      <w:autoSpaceDN w:val="0"/>
      <w:adjustRightInd w:val="0"/>
      <w:snapToGrid w:val="0"/>
      <w:spacing w:line="420" w:lineRule="atLeast"/>
      <w:ind w:firstLine="200" w:firstLineChars="177"/>
      <w:jc w:val="left"/>
    </w:pPr>
    <w:rPr>
      <w:rFonts w:eastAsia="仿宋_GB2312"/>
      <w:kern w:val="0"/>
      <w:sz w:val="24"/>
    </w:rPr>
  </w:style>
  <w:style w:type="paragraph" w:customStyle="1" w:styleId="979">
    <w:name w:val="•Subtitle"/>
    <w:basedOn w:val="1"/>
    <w:qFormat/>
    <w:uiPriority w:val="0"/>
    <w:pPr>
      <w:suppressAutoHyphens/>
    </w:pPr>
    <w:rPr>
      <w:rFonts w:ascii="Arial" w:hAnsi="Arial"/>
      <w:kern w:val="1"/>
      <w:lang w:eastAsia="ar-SA"/>
    </w:rPr>
  </w:style>
  <w:style w:type="paragraph" w:customStyle="1" w:styleId="980">
    <w:name w:val="xl20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981">
    <w:name w:val="xl369"/>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982">
    <w:name w:val="技标2"/>
    <w:basedOn w:val="4"/>
    <w:qFormat/>
    <w:uiPriority w:val="0"/>
    <w:pPr>
      <w:widowControl w:val="0"/>
      <w:tabs>
        <w:tab w:val="left" w:pos="0"/>
      </w:tabs>
      <w:autoSpaceDE/>
      <w:autoSpaceDN/>
      <w:adjustRightInd w:val="0"/>
      <w:spacing w:before="600" w:after="240" w:line="420" w:lineRule="atLeast"/>
      <w:ind w:firstLine="0" w:firstLineChars="0"/>
      <w:jc w:val="center"/>
      <w:textAlignment w:val="baseline"/>
    </w:pPr>
    <w:rPr>
      <w:rFonts w:ascii="Times New Roman" w:hAnsi="Times New Roman"/>
      <w:kern w:val="0"/>
      <w:sz w:val="28"/>
    </w:rPr>
  </w:style>
  <w:style w:type="paragraph" w:customStyle="1" w:styleId="983">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984">
    <w:name w:val="xl46"/>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85">
    <w:name w:val="xl1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986">
    <w:name w:val="IN Step"/>
    <w:basedOn w:val="1"/>
    <w:qFormat/>
    <w:uiPriority w:val="0"/>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987">
    <w:name w:val="font1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988">
    <w:name w:val="*Manual # Heading 1"/>
    <w:next w:val="164"/>
    <w:qFormat/>
    <w:uiPriority w:val="0"/>
    <w:pPr>
      <w:keepNext/>
      <w:keepLines/>
      <w:tabs>
        <w:tab w:val="left" w:pos="1440"/>
      </w:tabs>
      <w:spacing w:before="240" w:after="120"/>
      <w:ind w:left="1440" w:hanging="1440"/>
      <w:outlineLvl w:val="1"/>
    </w:pPr>
    <w:rPr>
      <w:rFonts w:ascii="Arial" w:hAnsi="Arial" w:eastAsia="宋体" w:cs="Times New Roman"/>
      <w:b/>
      <w:sz w:val="32"/>
      <w:szCs w:val="32"/>
      <w:lang w:val="en-US" w:eastAsia="en-US" w:bidi="ar-SA"/>
    </w:rPr>
  </w:style>
  <w:style w:type="paragraph" w:customStyle="1" w:styleId="989">
    <w:name w:val="HP Recipient Data CustomerName"/>
    <w:basedOn w:val="844"/>
    <w:qFormat/>
    <w:uiPriority w:val="0"/>
  </w:style>
  <w:style w:type="paragraph" w:customStyle="1" w:styleId="990">
    <w:name w:val="Heading 10"/>
    <w:basedOn w:val="16"/>
    <w:next w:val="17"/>
    <w:qFormat/>
    <w:uiPriority w:val="0"/>
  </w:style>
  <w:style w:type="paragraph" w:customStyle="1" w:styleId="991">
    <w:name w:val="Char"/>
    <w:basedOn w:val="1"/>
    <w:qFormat/>
    <w:uiPriority w:val="0"/>
    <w:rPr>
      <w:rFonts w:ascii="仿宋_GB2312" w:eastAsia="仿宋_GB2312"/>
      <w:b/>
      <w:sz w:val="32"/>
      <w:szCs w:val="32"/>
    </w:rPr>
  </w:style>
  <w:style w:type="paragraph" w:customStyle="1" w:styleId="992">
    <w:name w:val="Bibliography 1"/>
    <w:basedOn w:val="46"/>
    <w:qFormat/>
    <w:uiPriority w:val="0"/>
    <w:pPr>
      <w:tabs>
        <w:tab w:val="right" w:leader="dot" w:pos="9746"/>
      </w:tabs>
      <w:spacing w:after="245"/>
    </w:pPr>
  </w:style>
  <w:style w:type="paragraph" w:customStyle="1" w:styleId="99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21"/>
      <w:szCs w:val="21"/>
      <w:u w:color="000000"/>
      <w:lang w:val="en-US" w:eastAsia="zh-CN" w:bidi="ar-SA"/>
    </w:rPr>
  </w:style>
  <w:style w:type="paragraph" w:customStyle="1" w:styleId="994">
    <w:name w:val="xl34"/>
    <w:basedOn w:val="1"/>
    <w:qFormat/>
    <w:uiPriority w:val="0"/>
    <w:pPr>
      <w:pBdr>
        <w:top w:val="single" w:color="auto" w:sz="4" w:space="0"/>
        <w:left w:val="single" w:color="auto" w:sz="4" w:space="0"/>
        <w:bottom w:val="single" w:color="auto" w:sz="8"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95">
    <w:name w:val="xl1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996">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997">
    <w:name w:val="xl37"/>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998">
    <w:name w:val="样式 目录标题 + 首行缩进:  1.2 厘米"/>
    <w:basedOn w:val="815"/>
    <w:qFormat/>
    <w:uiPriority w:val="0"/>
    <w:pPr>
      <w:tabs>
        <w:tab w:val="clear" w:pos="540"/>
      </w:tabs>
      <w:spacing w:afterLines="0"/>
    </w:pPr>
    <w:rPr>
      <w:rFonts w:cs="宋体"/>
      <w:bCs/>
      <w:szCs w:val="20"/>
    </w:rPr>
  </w:style>
  <w:style w:type="paragraph" w:customStyle="1" w:styleId="999">
    <w:name w:val="样式10"/>
    <w:basedOn w:val="616"/>
    <w:qFormat/>
    <w:uiPriority w:val="0"/>
    <w:rPr>
      <w:rFonts w:ascii="Times New Roman" w:hAnsi="宋体"/>
    </w:rPr>
  </w:style>
  <w:style w:type="paragraph" w:customStyle="1" w:styleId="1000">
    <w:name w:val="‧ N head 1"/>
    <w:basedOn w:val="500"/>
    <w:next w:val="645"/>
    <w:qFormat/>
    <w:uiPriority w:val="0"/>
  </w:style>
  <w:style w:type="paragraph" w:customStyle="1" w:styleId="1001">
    <w:name w:val="xl5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02">
    <w:name w:val="*Body Single"/>
    <w:qFormat/>
    <w:uiPriority w:val="0"/>
    <w:pPr>
      <w:spacing w:line="220" w:lineRule="atLeast"/>
    </w:pPr>
    <w:rPr>
      <w:rFonts w:ascii="Arial" w:hAnsi="Arial" w:eastAsia="宋体" w:cs="Times New Roman"/>
      <w:snapToGrid w:val="0"/>
      <w:lang w:val="en-US" w:eastAsia="zh-CN" w:bidi="ar-SA"/>
    </w:rPr>
  </w:style>
  <w:style w:type="paragraph" w:customStyle="1" w:styleId="1003">
    <w:name w:val="xl36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04">
    <w:name w:val="样式 标题 4 + 宋体 五号"/>
    <w:basedOn w:val="5"/>
    <w:qFormat/>
    <w:uiPriority w:val="0"/>
    <w:pPr>
      <w:keepNext/>
      <w:keepLines/>
      <w:widowControl w:val="0"/>
      <w:tabs>
        <w:tab w:val="left" w:pos="993"/>
        <w:tab w:val="left" w:pos="1200"/>
      </w:tabs>
      <w:spacing w:before="120" w:line="377" w:lineRule="auto"/>
      <w:ind w:left="620" w:right="100" w:rightChars="100" w:hanging="420"/>
    </w:pPr>
    <w:rPr>
      <w:b/>
      <w:bCs/>
      <w:kern w:val="2"/>
      <w:szCs w:val="28"/>
    </w:rPr>
  </w:style>
  <w:style w:type="paragraph" w:customStyle="1" w:styleId="1005">
    <w:name w:val="Table Description"/>
    <w:next w:val="1"/>
    <w:qFormat/>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1006">
    <w:name w:val="Marginalia"/>
    <w:basedOn w:val="17"/>
    <w:qFormat/>
    <w:uiPriority w:val="0"/>
    <w:pPr>
      <w:autoSpaceDN w:val="0"/>
      <w:spacing w:before="363" w:after="119" w:line="240" w:lineRule="auto"/>
      <w:ind w:left="2268"/>
      <w:textAlignment w:val="auto"/>
    </w:pPr>
    <w:rPr>
      <w:rFonts w:ascii="Times New Roman" w:eastAsia="PMingLiU"/>
      <w:sz w:val="20"/>
      <w:lang w:val="en-GB" w:eastAsia="zh-TW"/>
    </w:rPr>
  </w:style>
  <w:style w:type="paragraph" w:customStyle="1" w:styleId="1007">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008">
    <w:name w:val="附录 Heading 2"/>
    <w:basedOn w:val="3"/>
    <w:qFormat/>
    <w:uiPriority w:val="0"/>
    <w:pPr>
      <w:keepLines w:val="0"/>
      <w:widowControl/>
      <w:tabs>
        <w:tab w:val="left" w:pos="0"/>
        <w:tab w:val="left" w:pos="284"/>
        <w:tab w:val="left" w:pos="420"/>
      </w:tabs>
      <w:snapToGrid/>
      <w:spacing w:before="480" w:after="120" w:line="360" w:lineRule="auto"/>
      <w:ind w:left="360" w:right="100" w:rightChars="100" w:firstLine="0" w:firstLineChars="0"/>
      <w:jc w:val="left"/>
    </w:pPr>
    <w:rPr>
      <w:rFonts w:ascii="宋体" w:hAnsi="宋体" w:cs="Microsoft Sans Serif"/>
      <w:color w:val="FF0000"/>
      <w:kern w:val="0"/>
      <w:sz w:val="28"/>
      <w:szCs w:val="21"/>
    </w:rPr>
  </w:style>
  <w:style w:type="paragraph" w:customStyle="1" w:styleId="1009">
    <w:name w:val="Char Char1 Char"/>
    <w:basedOn w:val="1"/>
    <w:qFormat/>
    <w:uiPriority w:val="0"/>
    <w:pPr>
      <w:widowControl/>
      <w:spacing w:after="160" w:line="240" w:lineRule="exact"/>
      <w:jc w:val="left"/>
    </w:pPr>
  </w:style>
  <w:style w:type="paragraph" w:customStyle="1" w:styleId="1010">
    <w:name w:val="a2"/>
    <w:basedOn w:val="1"/>
    <w:qFormat/>
    <w:uiPriority w:val="0"/>
    <w:pPr>
      <w:widowControl/>
      <w:spacing w:after="150"/>
      <w:jc w:val="left"/>
    </w:pPr>
    <w:rPr>
      <w:rFonts w:ascii="宋体" w:hAnsi="宋体" w:cs="宋体"/>
      <w:kern w:val="0"/>
      <w:sz w:val="24"/>
    </w:rPr>
  </w:style>
  <w:style w:type="paragraph" w:customStyle="1" w:styleId="1011">
    <w:name w:val="xl208"/>
    <w:basedOn w:val="1"/>
    <w:qFormat/>
    <w:uiPriority w:val="0"/>
    <w:pPr>
      <w:pBdr>
        <w:top w:val="single" w:color="auto" w:sz="4" w:space="0"/>
        <w:left w:val="single" w:color="auto" w:sz="4" w:space="0"/>
        <w:bottom w:val="single" w:color="auto" w:sz="4" w:space="0"/>
        <w:right w:val="single" w:color="auto" w:sz="8"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012">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013">
    <w:name w:val="Hanging indent"/>
    <w:basedOn w:val="17"/>
    <w:qFormat/>
    <w:uiPriority w:val="0"/>
    <w:pPr>
      <w:tabs>
        <w:tab w:val="left" w:pos="567"/>
      </w:tabs>
      <w:autoSpaceDN w:val="0"/>
      <w:spacing w:before="363" w:after="119" w:line="240" w:lineRule="auto"/>
      <w:ind w:left="567" w:hanging="283"/>
      <w:textAlignment w:val="auto"/>
    </w:pPr>
    <w:rPr>
      <w:rFonts w:ascii="Times New Roman" w:eastAsia="PMingLiU"/>
      <w:sz w:val="20"/>
      <w:lang w:val="en-GB" w:eastAsia="zh-TW"/>
    </w:rPr>
  </w:style>
  <w:style w:type="paragraph" w:customStyle="1" w:styleId="1014">
    <w:name w:val="正文 小四 段后: 0.5 行"/>
    <w:basedOn w:val="1"/>
    <w:qFormat/>
    <w:uiPriority w:val="0"/>
    <w:pPr>
      <w:spacing w:afterLines="50" w:line="300" w:lineRule="auto"/>
      <w:ind w:firstLine="200" w:firstLineChars="200"/>
    </w:pPr>
    <w:rPr>
      <w:rFonts w:ascii="宋体" w:hAnsi="宋体" w:cs="宋体"/>
      <w:sz w:val="24"/>
      <w:szCs w:val="20"/>
    </w:rPr>
  </w:style>
  <w:style w:type="paragraph" w:customStyle="1" w:styleId="1015">
    <w:name w:val="xl5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1016">
    <w:name w:val="style1"/>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017">
    <w:name w:val="标题5"/>
    <w:basedOn w:val="6"/>
    <w:qFormat/>
    <w:uiPriority w:val="0"/>
    <w:pPr>
      <w:tabs>
        <w:tab w:val="left" w:pos="1361"/>
      </w:tabs>
      <w:ind w:left="992" w:hanging="992"/>
    </w:pPr>
  </w:style>
  <w:style w:type="paragraph" w:customStyle="1" w:styleId="1018">
    <w:name w:val="tabletex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019">
    <w:name w:val="Char Char1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20">
    <w:name w:val="bullet标题"/>
    <w:basedOn w:val="1"/>
    <w:qFormat/>
    <w:uiPriority w:val="0"/>
    <w:pPr>
      <w:widowControl/>
      <w:tabs>
        <w:tab w:val="left" w:pos="1440"/>
      </w:tabs>
      <w:spacing w:line="360" w:lineRule="auto"/>
      <w:ind w:left="1440" w:hanging="420"/>
      <w:jc w:val="left"/>
    </w:pPr>
    <w:rPr>
      <w:rFonts w:ascii="宋体" w:hAnsi="宋体"/>
      <w:kern w:val="0"/>
      <w:sz w:val="24"/>
      <w:lang w:eastAsia="en-US"/>
    </w:rPr>
  </w:style>
  <w:style w:type="paragraph" w:customStyle="1" w:styleId="1021">
    <w:name w:val="2222"/>
    <w:basedOn w:val="3"/>
    <w:qFormat/>
    <w:uiPriority w:val="0"/>
    <w:pPr>
      <w:tabs>
        <w:tab w:val="left" w:pos="284"/>
        <w:tab w:val="left" w:pos="1440"/>
        <w:tab w:val="left" w:pos="2411"/>
      </w:tabs>
      <w:snapToGrid/>
      <w:spacing w:before="260" w:after="260" w:line="360" w:lineRule="auto"/>
      <w:ind w:left="360" w:right="100" w:rightChars="100" w:firstLine="0" w:firstLineChars="0"/>
    </w:pPr>
    <w:rPr>
      <w:rFonts w:ascii="Cambria" w:hAnsi="Cambria"/>
      <w:sz w:val="36"/>
    </w:rPr>
  </w:style>
  <w:style w:type="paragraph" w:customStyle="1" w:styleId="1022">
    <w:name w:val="~Body Single"/>
    <w:basedOn w:val="516"/>
    <w:qFormat/>
    <w:uiPriority w:val="0"/>
    <w:pPr>
      <w:spacing w:after="0"/>
    </w:pPr>
  </w:style>
  <w:style w:type="paragraph" w:customStyle="1" w:styleId="1023">
    <w:name w:val="‧ N head TOC"/>
    <w:basedOn w:val="500"/>
    <w:next w:val="645"/>
    <w:qFormat/>
    <w:uiPriority w:val="0"/>
  </w:style>
  <w:style w:type="paragraph" w:customStyle="1" w:styleId="1024">
    <w:name w:val="基本正文"/>
    <w:qFormat/>
    <w:uiPriority w:val="0"/>
    <w:pPr>
      <w:widowControl w:val="0"/>
      <w:spacing w:before="60" w:after="60" w:line="360" w:lineRule="exact"/>
      <w:ind w:firstLine="420" w:firstLineChars="200"/>
      <w:jc w:val="both"/>
    </w:pPr>
    <w:rPr>
      <w:rFonts w:ascii="Times New Roman" w:hAnsi="Times New Roman" w:eastAsia="宋体" w:cs="Times New Roman"/>
      <w:kern w:val="2"/>
      <w:sz w:val="21"/>
      <w:lang w:val="en-US" w:eastAsia="zh-CN" w:bidi="ar-SA"/>
    </w:rPr>
  </w:style>
  <w:style w:type="paragraph" w:customStyle="1" w:styleId="1025">
    <w:name w:val="xl79"/>
    <w:basedOn w:val="1"/>
    <w:qFormat/>
    <w:uiPriority w:val="0"/>
    <w:pPr>
      <w:pBdr>
        <w:top w:val="single" w:color="auto" w:sz="4" w:space="0"/>
        <w:left w:val="single" w:color="auto" w:sz="4" w:space="0"/>
        <w:bottom w:val="single" w:color="auto" w:sz="4" w:space="0"/>
        <w:right w:val="single" w:color="auto" w:sz="4" w:space="0"/>
      </w:pBdr>
      <w:shd w:val="clear" w:color="auto" w:fill="FFCC99"/>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026">
    <w:name w:val="xl359"/>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left"/>
    </w:pPr>
    <w:rPr>
      <w:rFonts w:ascii="宋体" w:hAnsi="宋体" w:cs="宋体"/>
      <w:kern w:val="0"/>
      <w:sz w:val="24"/>
    </w:rPr>
  </w:style>
  <w:style w:type="paragraph" w:customStyle="1" w:styleId="1027">
    <w:name w:val="xl125"/>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028">
    <w:name w:val="*Alt Numbers Double"/>
    <w:basedOn w:val="948"/>
    <w:qFormat/>
    <w:uiPriority w:val="0"/>
    <w:pPr>
      <w:tabs>
        <w:tab w:val="left" w:pos="1440"/>
        <w:tab w:val="clear" w:pos="360"/>
      </w:tabs>
      <w:ind w:left="1440" w:hanging="1440"/>
    </w:pPr>
  </w:style>
  <w:style w:type="paragraph" w:customStyle="1" w:styleId="1029">
    <w:name w:val="xl11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30">
    <w:name w:val="xl223"/>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031">
    <w:name w:val="文件名称"/>
    <w:basedOn w:val="1"/>
    <w:qFormat/>
    <w:uiPriority w:val="0"/>
    <w:pPr>
      <w:tabs>
        <w:tab w:val="left" w:pos="0"/>
        <w:tab w:val="left" w:pos="390"/>
      </w:tabs>
      <w:autoSpaceDE w:val="0"/>
      <w:autoSpaceDN w:val="0"/>
      <w:adjustRightInd w:val="0"/>
      <w:snapToGrid w:val="0"/>
      <w:spacing w:line="360" w:lineRule="auto"/>
      <w:ind w:firstLine="425" w:firstLineChars="177"/>
      <w:jc w:val="left"/>
    </w:pPr>
    <w:rPr>
      <w:rFonts w:hAnsi="宋体" w:eastAsia="黑体" w:cs="宋体"/>
      <w:color w:val="000000"/>
      <w:kern w:val="0"/>
      <w:sz w:val="84"/>
      <w:szCs w:val="84"/>
    </w:rPr>
  </w:style>
  <w:style w:type="paragraph" w:customStyle="1" w:styleId="1032">
    <w:name w:val="*Alt Numbers"/>
    <w:basedOn w:val="880"/>
    <w:qFormat/>
    <w:uiPriority w:val="0"/>
    <w:pPr>
      <w:tabs>
        <w:tab w:val="left" w:pos="1440"/>
        <w:tab w:val="clear" w:pos="360"/>
      </w:tabs>
      <w:ind w:left="1440" w:hanging="1440"/>
    </w:pPr>
  </w:style>
  <w:style w:type="paragraph" w:customStyle="1" w:styleId="1033">
    <w:name w:val="无间隔1"/>
    <w:qFormat/>
    <w:uiPriority w:val="0"/>
    <w:rPr>
      <w:rFonts w:ascii="Times New Roman" w:hAnsi="Times New Roman" w:eastAsia="PMingLiU" w:cs="Times New Roman"/>
      <w:snapToGrid w:val="0"/>
      <w:sz w:val="22"/>
      <w:szCs w:val="22"/>
      <w:lang w:val="en-US" w:eastAsia="zh-TW" w:bidi="ar-SA"/>
    </w:rPr>
  </w:style>
  <w:style w:type="paragraph" w:customStyle="1" w:styleId="1034">
    <w:name w:val="xl3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35">
    <w:name w:val="正文-1"/>
    <w:basedOn w:val="1"/>
    <w:qFormat/>
    <w:uiPriority w:val="0"/>
    <w:pPr>
      <w:spacing w:beforeLines="50" w:afterLines="50" w:line="360" w:lineRule="auto"/>
      <w:ind w:firstLine="200" w:firstLineChars="200"/>
    </w:pPr>
    <w:rPr>
      <w:rFonts w:ascii="Calibri" w:hAnsi="Calibri"/>
      <w:sz w:val="28"/>
      <w:szCs w:val="22"/>
    </w:rPr>
  </w:style>
  <w:style w:type="paragraph" w:customStyle="1" w:styleId="1036">
    <w:name w:val="xl236"/>
    <w:basedOn w:val="1"/>
    <w:qFormat/>
    <w:uiPriority w:val="0"/>
    <w:pPr>
      <w:pBdr>
        <w:top w:val="single" w:color="auto" w:sz="4" w:space="0"/>
        <w:left w:val="single" w:color="auto" w:sz="4" w:space="0"/>
        <w:bottom w:val="single" w:color="auto" w:sz="4" w:space="0"/>
        <w:right w:val="single" w:color="auto" w:sz="4" w:space="0"/>
      </w:pBdr>
      <w:shd w:val="clear" w:color="auto" w:fill="CCFF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37">
    <w:name w:val="xl70"/>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38">
    <w:name w:val="xl36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39">
    <w:name w:val="目錄標題"/>
    <w:basedOn w:val="2"/>
    <w:next w:val="1"/>
    <w:qFormat/>
    <w:uiPriority w:val="39"/>
    <w:pPr>
      <w:keepLines/>
      <w:widowControl/>
      <w:tabs>
        <w:tab w:val="left" w:pos="4253"/>
      </w:tabs>
      <w:spacing w:before="480" w:after="100" w:afterAutospacing="1" w:line="276" w:lineRule="auto"/>
      <w:jc w:val="left"/>
      <w:outlineLvl w:val="9"/>
    </w:pPr>
    <w:rPr>
      <w:rFonts w:ascii="Cambria" w:hAnsi="Cambria" w:eastAsia="PMingLiU"/>
      <w:bCs/>
      <w:color w:val="365F91"/>
      <w:kern w:val="0"/>
      <w:sz w:val="28"/>
      <w:szCs w:val="28"/>
      <w:lang w:eastAsia="zh-TW"/>
    </w:rPr>
  </w:style>
  <w:style w:type="paragraph" w:customStyle="1" w:styleId="1040">
    <w:name w:val="Char Char1 Char Char Char Char1 Char Char Char Char Char"/>
    <w:basedOn w:val="1"/>
    <w:qFormat/>
    <w:uiPriority w:val="0"/>
    <w:pPr>
      <w:spacing w:line="360" w:lineRule="auto"/>
    </w:pPr>
    <w:rPr>
      <w:rFonts w:ascii="宋体" w:hAnsi="宋体"/>
      <w:szCs w:val="20"/>
    </w:rPr>
  </w:style>
  <w:style w:type="paragraph" w:customStyle="1" w:styleId="1041">
    <w:name w:val="xl14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042">
    <w:name w:val="样式 样式 标题 3H3Heading 3 - oldh3sect1.2.3BOD 0标题 3 Char Char Cha......"/>
    <w:basedOn w:val="1"/>
    <w:next w:val="1"/>
    <w:qFormat/>
    <w:uiPriority w:val="0"/>
    <w:pPr>
      <w:keepNext/>
      <w:keepLines/>
      <w:tabs>
        <w:tab w:val="left" w:pos="425"/>
        <w:tab w:val="left" w:pos="910"/>
      </w:tabs>
      <w:spacing w:beforeLines="50" w:afterLines="50" w:line="360" w:lineRule="auto"/>
      <w:ind w:firstLine="454"/>
      <w:outlineLvl w:val="2"/>
    </w:pPr>
    <w:rPr>
      <w:rFonts w:ascii="宋体" w:hAnsi="宋体" w:eastAsia="黑体" w:cs="宋体"/>
      <w:b/>
      <w:bCs/>
      <w:sz w:val="24"/>
      <w:szCs w:val="20"/>
    </w:rPr>
  </w:style>
  <w:style w:type="paragraph" w:customStyle="1" w:styleId="1043">
    <w:name w:val="xl73"/>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1044">
    <w:name w:val="‧ N table-10 body indent 2"/>
    <w:basedOn w:val="500"/>
    <w:qFormat/>
    <w:uiPriority w:val="0"/>
  </w:style>
  <w:style w:type="paragraph" w:customStyle="1" w:styleId="1045">
    <w:name w:val="TOCI"/>
    <w:basedOn w:val="1"/>
    <w:next w:val="1"/>
    <w:qFormat/>
    <w:uiPriority w:val="0"/>
    <w:pPr>
      <w:autoSpaceDN w:val="0"/>
      <w:adjustRightInd w:val="0"/>
      <w:jc w:val="left"/>
    </w:pPr>
    <w:rPr>
      <w:rFonts w:ascii="Arial" w:hAnsi="Arial" w:eastAsia="PMingLiU" w:cs="Tahoma"/>
      <w:kern w:val="0"/>
      <w:lang w:val="en-GB" w:eastAsia="zh-TW"/>
    </w:rPr>
  </w:style>
  <w:style w:type="paragraph" w:customStyle="1" w:styleId="1046">
    <w:name w:val="此正文"/>
    <w:basedOn w:val="1"/>
    <w:qFormat/>
    <w:uiPriority w:val="0"/>
    <w:pPr>
      <w:spacing w:line="360" w:lineRule="auto"/>
      <w:ind w:firstLine="480" w:firstLineChars="200"/>
    </w:pPr>
    <w:rPr>
      <w:rFonts w:ascii="宋体" w:hAnsi="宋体"/>
      <w:sz w:val="24"/>
    </w:rPr>
  </w:style>
  <w:style w:type="paragraph" w:customStyle="1" w:styleId="1047">
    <w:name w:val="figuredescription"/>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048">
    <w:name w:val="xl5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49">
    <w:name w:val="p26"/>
    <w:basedOn w:val="1"/>
    <w:qFormat/>
    <w:uiPriority w:val="0"/>
    <w:pPr>
      <w:widowControl/>
      <w:spacing w:before="100" w:after="100" w:line="360" w:lineRule="auto"/>
      <w:ind w:firstLine="420"/>
      <w:jc w:val="left"/>
    </w:pPr>
    <w:rPr>
      <w:rFonts w:ascii="宋体" w:hAnsi="宋体"/>
      <w:kern w:val="0"/>
      <w:sz w:val="24"/>
      <w:szCs w:val="20"/>
    </w:rPr>
  </w:style>
  <w:style w:type="paragraph" w:customStyle="1" w:styleId="1050">
    <w:name w:val="xl3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51">
    <w:name w:val="xl76"/>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52">
    <w:name w:val="xl81"/>
    <w:basedOn w:val="1"/>
    <w:qFormat/>
    <w:uiPriority w:val="0"/>
    <w:pPr>
      <w:pBdr>
        <w:top w:val="single" w:color="auto" w:sz="4" w:space="0"/>
        <w:left w:val="single" w:color="auto" w:sz="8"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宋体" w:hAnsi="宋体" w:cs="宋体"/>
      <w:kern w:val="0"/>
      <w:sz w:val="24"/>
    </w:rPr>
  </w:style>
  <w:style w:type="paragraph" w:customStyle="1" w:styleId="1053">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54">
    <w:name w:val="Char Char Char Char Char Char Char"/>
    <w:basedOn w:val="1"/>
    <w:qFormat/>
    <w:uiPriority w:val="0"/>
    <w:pPr>
      <w:tabs>
        <w:tab w:val="left" w:pos="432"/>
      </w:tabs>
      <w:spacing w:line="360" w:lineRule="auto"/>
      <w:ind w:left="432" w:hanging="432"/>
    </w:pPr>
    <w:rPr>
      <w:rFonts w:ascii="Tahoma" w:hAnsi="Tahoma"/>
      <w:sz w:val="24"/>
      <w:szCs w:val="20"/>
    </w:rPr>
  </w:style>
  <w:style w:type="paragraph" w:customStyle="1" w:styleId="1055">
    <w:name w:val="xl221"/>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056">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057">
    <w:name w:val="flNote"/>
    <w:basedOn w:val="1"/>
    <w:qFormat/>
    <w:uiPriority w:val="0"/>
    <w:pPr>
      <w:tabs>
        <w:tab w:val="left" w:pos="0"/>
        <w:tab w:val="left" w:pos="390"/>
      </w:tabs>
      <w:autoSpaceDE w:val="0"/>
      <w:autoSpaceDN w:val="0"/>
      <w:adjustRightInd w:val="0"/>
      <w:snapToGrid w:val="0"/>
      <w:spacing w:before="320" w:after="160" w:line="360" w:lineRule="atLeast"/>
      <w:ind w:firstLine="3080" w:firstLineChars="1100"/>
      <w:jc w:val="left"/>
      <w:textAlignment w:val="baseline"/>
    </w:pPr>
    <w:rPr>
      <w:rFonts w:ascii="Arial" w:eastAsia="黑体"/>
      <w:kern w:val="0"/>
      <w:sz w:val="28"/>
      <w:szCs w:val="28"/>
    </w:rPr>
  </w:style>
  <w:style w:type="paragraph" w:customStyle="1" w:styleId="1058">
    <w:name w:val="表内文字"/>
    <w:basedOn w:val="1"/>
    <w:qFormat/>
    <w:uiPriority w:val="0"/>
    <w:pPr>
      <w:tabs>
        <w:tab w:val="left" w:pos="1418"/>
      </w:tabs>
      <w:spacing w:line="360" w:lineRule="auto"/>
      <w:ind w:firstLine="420"/>
      <w:jc w:val="center"/>
    </w:pPr>
    <w:rPr>
      <w:rFonts w:ascii="仿宋_GB2312" w:hAnsi="宋体" w:eastAsia="仿宋_GB2312"/>
      <w:spacing w:val="-20"/>
      <w:kern w:val="0"/>
      <w:sz w:val="24"/>
    </w:rPr>
  </w:style>
  <w:style w:type="paragraph" w:customStyle="1" w:styleId="1059">
    <w:name w:val="xl88"/>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60">
    <w:name w:val="xl20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061">
    <w:name w:val="Char1 Char Char Char Char Char Char"/>
    <w:basedOn w:val="1"/>
    <w:qFormat/>
    <w:uiPriority w:val="0"/>
    <w:rPr>
      <w:rFonts w:ascii="仿宋_GB2312" w:eastAsia="仿宋_GB2312"/>
      <w:b/>
      <w:sz w:val="32"/>
      <w:szCs w:val="32"/>
    </w:rPr>
  </w:style>
  <w:style w:type="paragraph" w:customStyle="1" w:styleId="1062">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3">
    <w:name w:val="*Alt Numbers Bold"/>
    <w:basedOn w:val="937"/>
    <w:qFormat/>
    <w:uiPriority w:val="0"/>
    <w:pPr>
      <w:tabs>
        <w:tab w:val="left" w:pos="1440"/>
        <w:tab w:val="clear" w:pos="360"/>
      </w:tabs>
      <w:ind w:left="1440" w:hanging="1440"/>
    </w:pPr>
  </w:style>
  <w:style w:type="paragraph" w:customStyle="1" w:styleId="1064">
    <w:name w:val="默认段落字体 Para Char Char Char Char Char Char Char"/>
    <w:basedOn w:val="1"/>
    <w:qFormat/>
    <w:uiPriority w:val="0"/>
    <w:pPr>
      <w:tabs>
        <w:tab w:val="left" w:pos="0"/>
        <w:tab w:val="left" w:pos="390"/>
      </w:tabs>
      <w:autoSpaceDE w:val="0"/>
      <w:autoSpaceDN w:val="0"/>
      <w:adjustRightInd w:val="0"/>
      <w:snapToGrid w:val="0"/>
      <w:ind w:firstLine="425" w:firstLineChars="177"/>
      <w:jc w:val="left"/>
    </w:pPr>
    <w:rPr>
      <w:rFonts w:ascii="Tahoma" w:hAnsi="Tahoma"/>
      <w:sz w:val="24"/>
      <w:szCs w:val="20"/>
    </w:rPr>
  </w:style>
  <w:style w:type="paragraph" w:customStyle="1" w:styleId="1065">
    <w:name w:val="3333"/>
    <w:basedOn w:val="4"/>
    <w:qFormat/>
    <w:uiPriority w:val="0"/>
    <w:pPr>
      <w:keepNext/>
      <w:keepLines/>
      <w:widowControl w:val="0"/>
      <w:tabs>
        <w:tab w:val="left" w:pos="0"/>
        <w:tab w:val="left" w:pos="210"/>
        <w:tab w:val="left" w:pos="2160"/>
      </w:tabs>
      <w:autoSpaceDE/>
      <w:autoSpaceDN/>
      <w:snapToGrid/>
      <w:spacing w:line="415" w:lineRule="auto"/>
      <w:ind w:left="720" w:firstLine="0" w:firstLineChars="0"/>
    </w:pPr>
    <w:rPr>
      <w:rFonts w:ascii="Calibri" w:hAnsi="Calibri"/>
      <w:bCs/>
      <w:sz w:val="28"/>
      <w:szCs w:val="32"/>
    </w:rPr>
  </w:style>
  <w:style w:type="paragraph" w:customStyle="1" w:styleId="1066">
    <w:name w:val="标3"/>
    <w:basedOn w:val="1"/>
    <w:qFormat/>
    <w:uiPriority w:val="0"/>
    <w:pPr>
      <w:spacing w:line="360" w:lineRule="auto"/>
      <w:ind w:firstLine="420"/>
    </w:pPr>
    <w:rPr>
      <w:rFonts w:ascii="宋体" w:hAnsi="宋体"/>
    </w:rPr>
  </w:style>
  <w:style w:type="paragraph" w:customStyle="1" w:styleId="1067">
    <w:name w:val="xl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068">
    <w:name w:val="xl3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69">
    <w:name w:val="xl147"/>
    <w:basedOn w:val="1"/>
    <w:qFormat/>
    <w:uiPriority w:val="0"/>
    <w:pPr>
      <w:widowControl/>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1070">
    <w:name w:val="列出段落5"/>
    <w:basedOn w:val="1"/>
    <w:unhideWhenUsed/>
    <w:qFormat/>
    <w:uiPriority w:val="99"/>
    <w:pPr>
      <w:ind w:firstLine="420" w:firstLineChars="200"/>
    </w:pPr>
  </w:style>
  <w:style w:type="paragraph" w:customStyle="1" w:styleId="1071">
    <w:name w:val="样式 样式 正文（首行缩进2字符） + 首行缩进:  2 字符 + 首行缩进:  2 字符 段前: 0.5 行 段后: 0...."/>
    <w:basedOn w:val="1"/>
    <w:qFormat/>
    <w:uiPriority w:val="0"/>
    <w:pPr>
      <w:spacing w:beforeLines="50" w:afterLines="50" w:line="420" w:lineRule="exact"/>
      <w:ind w:firstLine="200" w:firstLineChars="200"/>
    </w:pPr>
    <w:rPr>
      <w:rFonts w:ascii="宋体" w:hAnsi="宋体" w:cs="宋体"/>
      <w:sz w:val="24"/>
      <w:szCs w:val="20"/>
    </w:rPr>
  </w:style>
  <w:style w:type="paragraph" w:customStyle="1" w:styleId="1072">
    <w:name w:val="xl149"/>
    <w:basedOn w:val="1"/>
    <w:qFormat/>
    <w:uiPriority w:val="0"/>
    <w:pPr>
      <w:widowControl/>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1073">
    <w:name w:val="xl3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74">
    <w:name w:val="Numbering 5 End"/>
    <w:basedOn w:val="61"/>
    <w:qFormat/>
    <w:uiPriority w:val="0"/>
    <w:pPr>
      <w:widowControl/>
      <w:spacing w:after="240"/>
      <w:ind w:left="1417" w:firstLine="0" w:firstLineChars="0"/>
      <w:jc w:val="left"/>
    </w:pPr>
    <w:rPr>
      <w:rFonts w:eastAsia="PMingLiU"/>
      <w:kern w:val="0"/>
      <w:sz w:val="20"/>
      <w:szCs w:val="20"/>
      <w:lang w:eastAsia="zh-TW"/>
    </w:rPr>
  </w:style>
  <w:style w:type="paragraph" w:customStyle="1" w:styleId="1075">
    <w:name w:val="msolistparagraph"/>
    <w:basedOn w:val="1"/>
    <w:qFormat/>
    <w:uiPriority w:val="0"/>
    <w:pPr>
      <w:spacing w:line="360" w:lineRule="auto"/>
      <w:ind w:firstLine="200" w:firstLineChars="200"/>
    </w:pPr>
    <w:rPr>
      <w:rFonts w:ascii="Calibri" w:hAnsi="Calibri"/>
      <w:szCs w:val="22"/>
    </w:rPr>
  </w:style>
  <w:style w:type="paragraph" w:customStyle="1" w:styleId="1076">
    <w:name w:val="_HP Body text 10 pt"/>
    <w:basedOn w:val="102"/>
    <w:next w:val="102"/>
    <w:qFormat/>
    <w:uiPriority w:val="0"/>
    <w:pPr>
      <w:spacing w:after="120"/>
    </w:pPr>
    <w:rPr>
      <w:rFonts w:ascii="Futura-Book" w:hAnsi="Futura-Book" w:eastAsia="宋体" w:cs="Times New Roman"/>
      <w:color w:val="auto"/>
    </w:rPr>
  </w:style>
  <w:style w:type="paragraph" w:customStyle="1" w:styleId="1077">
    <w:name w:val="注×：（正文）"/>
    <w:qFormat/>
    <w:uiPriority w:val="0"/>
    <w:pPr>
      <w:tabs>
        <w:tab w:val="left" w:pos="1260"/>
      </w:tabs>
      <w:ind w:left="1260" w:hanging="420"/>
      <w:jc w:val="both"/>
    </w:pPr>
    <w:rPr>
      <w:rFonts w:ascii="宋体" w:hAnsi="Times New Roman" w:eastAsia="宋体" w:cs="Times New Roman"/>
      <w:sz w:val="18"/>
      <w:szCs w:val="18"/>
      <w:lang w:val="en-US" w:eastAsia="zh-CN" w:bidi="ar-SA"/>
    </w:rPr>
  </w:style>
  <w:style w:type="paragraph" w:customStyle="1" w:styleId="1078">
    <w:name w:val="样式 表格文本 + (西文) Arial (中文) 楷体_GB2312 段后: 23.4 磅1"/>
    <w:basedOn w:val="1"/>
    <w:qFormat/>
    <w:uiPriority w:val="0"/>
    <w:pPr>
      <w:tabs>
        <w:tab w:val="left" w:pos="0"/>
        <w:tab w:val="left" w:pos="390"/>
      </w:tabs>
      <w:autoSpaceDE w:val="0"/>
      <w:autoSpaceDN w:val="0"/>
      <w:adjustRightInd w:val="0"/>
      <w:snapToGrid w:val="0"/>
      <w:spacing w:line="300" w:lineRule="exact"/>
      <w:ind w:firstLine="425" w:firstLineChars="177"/>
      <w:jc w:val="left"/>
    </w:pPr>
    <w:rPr>
      <w:rFonts w:ascii="Arial" w:hAnsi="Arial" w:cs="宋体"/>
      <w:sz w:val="24"/>
      <w:szCs w:val="20"/>
    </w:rPr>
  </w:style>
  <w:style w:type="paragraph" w:customStyle="1" w:styleId="1079">
    <w:name w:val="title_level0"/>
    <w:basedOn w:val="1"/>
    <w:qFormat/>
    <w:uiPriority w:val="0"/>
    <w:pPr>
      <w:widowControl/>
      <w:spacing w:before="100" w:beforeAutospacing="1" w:after="100" w:afterAutospacing="1" w:line="360" w:lineRule="auto"/>
      <w:ind w:firstLine="420"/>
      <w:jc w:val="left"/>
    </w:pPr>
    <w:rPr>
      <w:rFonts w:ascii="Arial" w:hAnsi="Arial" w:cs="Arial"/>
      <w:b/>
      <w:bCs/>
      <w:color w:val="000000"/>
      <w:kern w:val="0"/>
      <w:sz w:val="18"/>
      <w:szCs w:val="18"/>
    </w:rPr>
  </w:style>
  <w:style w:type="paragraph" w:customStyle="1" w:styleId="1080">
    <w:name w:val="Char1 Char Char Char"/>
    <w:basedOn w:val="1"/>
    <w:qFormat/>
    <w:uiPriority w:val="0"/>
    <w:rPr>
      <w:szCs w:val="20"/>
    </w:rPr>
  </w:style>
  <w:style w:type="paragraph" w:customStyle="1" w:styleId="1081">
    <w:name w:val="Header_FooterText"/>
    <w:qFormat/>
    <w:uiPriority w:val="0"/>
    <w:pPr>
      <w:spacing w:line="170" w:lineRule="exact"/>
    </w:pPr>
    <w:rPr>
      <w:rFonts w:ascii="Arial" w:hAnsi="Arial" w:eastAsia="宋体" w:cs="Times New Roman"/>
      <w:b/>
      <w:color w:val="000000"/>
      <w:sz w:val="14"/>
      <w:szCs w:val="14"/>
      <w:lang w:val="en-US" w:eastAsia="en-US" w:bidi="ar-SA"/>
    </w:rPr>
  </w:style>
  <w:style w:type="paragraph" w:customStyle="1" w:styleId="1082">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83">
    <w:name w:val="xl77"/>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1084">
    <w:name w:val="xl31"/>
    <w:basedOn w:val="1"/>
    <w:qFormat/>
    <w:uiPriority w:val="0"/>
    <w:pPr>
      <w:widowControl/>
      <w:pBdr>
        <w:left w:val="single" w:color="auto" w:sz="4" w:space="0"/>
        <w:right w:val="single" w:color="auto" w:sz="4" w:space="0"/>
      </w:pBdr>
      <w:spacing w:before="100" w:after="100" w:line="360" w:lineRule="auto"/>
      <w:ind w:firstLine="420"/>
      <w:textAlignment w:val="top"/>
    </w:pPr>
    <w:rPr>
      <w:rFonts w:ascii="宋体" w:hAnsi="宋体"/>
      <w:kern w:val="0"/>
      <w:sz w:val="24"/>
      <w:szCs w:val="20"/>
    </w:rPr>
  </w:style>
  <w:style w:type="paragraph" w:customStyle="1" w:styleId="1085">
    <w:name w:val="xl183"/>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86">
    <w:name w:val="table rule below"/>
    <w:basedOn w:val="1"/>
    <w:next w:val="1"/>
    <w:qFormat/>
    <w:uiPriority w:val="0"/>
    <w:pPr>
      <w:pBdr>
        <w:bottom w:val="single" w:color="auto" w:sz="6" w:space="0"/>
      </w:pBdr>
      <w:tabs>
        <w:tab w:val="left" w:pos="0"/>
        <w:tab w:val="left" w:pos="390"/>
      </w:tabs>
      <w:autoSpaceDE w:val="0"/>
      <w:autoSpaceDN w:val="0"/>
      <w:adjustRightInd w:val="0"/>
      <w:snapToGrid w:val="0"/>
      <w:spacing w:after="108"/>
      <w:ind w:firstLine="425" w:firstLineChars="177"/>
      <w:jc w:val="left"/>
    </w:pPr>
    <w:rPr>
      <w:rFonts w:ascii="Helvetica" w:hAnsi="Helvetica"/>
      <w:kern w:val="0"/>
      <w:sz w:val="16"/>
      <w:szCs w:val="20"/>
      <w:lang w:val="en-GB"/>
    </w:rPr>
  </w:style>
  <w:style w:type="paragraph" w:customStyle="1" w:styleId="1087">
    <w:name w:val="示例文字"/>
    <w:basedOn w:val="1"/>
    <w:qFormat/>
    <w:uiPriority w:val="0"/>
    <w:pPr>
      <w:tabs>
        <w:tab w:val="left" w:pos="0"/>
        <w:tab w:val="left" w:pos="390"/>
      </w:tabs>
      <w:autoSpaceDE w:val="0"/>
      <w:autoSpaceDN w:val="0"/>
      <w:adjustRightInd w:val="0"/>
      <w:snapToGrid w:val="0"/>
      <w:ind w:firstLine="425" w:firstLineChars="177"/>
      <w:jc w:val="left"/>
    </w:pPr>
    <w:rPr>
      <w:rFonts w:ascii="Arial" w:hAnsi="Arial"/>
      <w:kern w:val="0"/>
      <w:sz w:val="24"/>
    </w:rPr>
  </w:style>
  <w:style w:type="paragraph" w:customStyle="1" w:styleId="1088">
    <w:name w:val="首页页眉"/>
    <w:basedOn w:val="53"/>
    <w:qFormat/>
    <w:uiPriority w:val="0"/>
    <w:pPr>
      <w:pBdr>
        <w:bottom w:val="none" w:color="auto" w:sz="0" w:space="0"/>
      </w:pBdr>
      <w:tabs>
        <w:tab w:val="left" w:pos="0"/>
        <w:tab w:val="left" w:pos="390"/>
        <w:tab w:val="left" w:pos="540"/>
      </w:tabs>
      <w:autoSpaceDE w:val="0"/>
      <w:autoSpaceDN w:val="0"/>
      <w:adjustRightInd w:val="0"/>
      <w:spacing w:line="240" w:lineRule="atLeast"/>
      <w:ind w:firstLine="425" w:firstLineChars="177"/>
      <w:jc w:val="right"/>
    </w:pPr>
    <w:rPr>
      <w:b/>
      <w:kern w:val="0"/>
      <w:sz w:val="24"/>
      <w:szCs w:val="24"/>
    </w:rPr>
  </w:style>
  <w:style w:type="paragraph" w:customStyle="1" w:styleId="1089">
    <w:name w:val="Char21"/>
    <w:basedOn w:val="1"/>
    <w:qFormat/>
    <w:uiPriority w:val="0"/>
    <w:rPr>
      <w:rFonts w:ascii="仿宋_GB2312" w:eastAsia="仿宋_GB2312"/>
      <w:b/>
      <w:sz w:val="32"/>
      <w:szCs w:val="32"/>
    </w:rPr>
  </w:style>
  <w:style w:type="paragraph" w:customStyle="1" w:styleId="1090">
    <w:name w:val="TOC 标题1"/>
    <w:basedOn w:val="2"/>
    <w:next w:val="1"/>
    <w:qFormat/>
    <w:uiPriority w:val="0"/>
    <w:pPr>
      <w:keepLines/>
      <w:widowControl/>
      <w:tabs>
        <w:tab w:val="left" w:pos="4253"/>
      </w:tabs>
      <w:spacing w:before="480" w:after="100" w:afterAutospacing="1" w:line="276" w:lineRule="auto"/>
      <w:jc w:val="left"/>
      <w:outlineLvl w:val="9"/>
    </w:pPr>
    <w:rPr>
      <w:rFonts w:ascii="Cambria" w:hAnsi="Cambria" w:eastAsia="PMingLiU"/>
      <w:bCs/>
      <w:color w:val="365F91"/>
      <w:kern w:val="0"/>
      <w:sz w:val="28"/>
      <w:szCs w:val="28"/>
      <w:lang w:eastAsia="zh-TW"/>
    </w:rPr>
  </w:style>
  <w:style w:type="paragraph" w:customStyle="1" w:styleId="1091">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92">
    <w:name w:val="Char Char Char Char"/>
    <w:basedOn w:val="1"/>
    <w:qFormat/>
    <w:uiPriority w:val="0"/>
  </w:style>
  <w:style w:type="paragraph" w:customStyle="1" w:styleId="1093">
    <w:name w:val="xl51"/>
    <w:basedOn w:val="1"/>
    <w:qFormat/>
    <w:uiPriority w:val="0"/>
    <w:pPr>
      <w:pBdr>
        <w:top w:val="single" w:color="auto" w:sz="4" w:space="0"/>
        <w:left w:val="single" w:color="auto" w:sz="8" w:space="0"/>
        <w:bottom w:val="single" w:color="auto" w:sz="8"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94">
    <w:name w:val="Char Char Char Char Char Char Char Char Char Char Char Char Char Char Char"/>
    <w:basedOn w:val="1"/>
    <w:qFormat/>
    <w:uiPriority w:val="0"/>
    <w:pPr>
      <w:spacing w:line="360" w:lineRule="auto"/>
      <w:ind w:firstLine="420"/>
    </w:pPr>
    <w:rPr>
      <w:rFonts w:ascii="Arial" w:hAnsi="Arial" w:cs="Arial"/>
    </w:rPr>
  </w:style>
  <w:style w:type="paragraph" w:customStyle="1" w:styleId="1095">
    <w:name w:val="CM51"/>
    <w:basedOn w:val="1"/>
    <w:next w:val="1"/>
    <w:qFormat/>
    <w:uiPriority w:val="0"/>
    <w:pPr>
      <w:autoSpaceDE w:val="0"/>
      <w:autoSpaceDN w:val="0"/>
      <w:adjustRightInd w:val="0"/>
      <w:spacing w:after="103"/>
      <w:jc w:val="left"/>
    </w:pPr>
    <w:rPr>
      <w:rFonts w:ascii="黑体" w:hAnsi="Calibri" w:eastAsia="黑体"/>
      <w:kern w:val="0"/>
      <w:sz w:val="24"/>
    </w:rPr>
  </w:style>
  <w:style w:type="paragraph" w:customStyle="1" w:styleId="1096">
    <w:name w:val="xl3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097">
    <w:name w:val="font7"/>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098">
    <w:name w:val="附录 Heading 1"/>
    <w:basedOn w:val="2"/>
    <w:qFormat/>
    <w:uiPriority w:val="0"/>
    <w:pPr>
      <w:pageBreakBefore/>
      <w:widowControl/>
      <w:tabs>
        <w:tab w:val="left" w:pos="840"/>
        <w:tab w:val="left" w:pos="1440"/>
        <w:tab w:val="left" w:pos="2880"/>
        <w:tab w:val="left" w:pos="4253"/>
      </w:tabs>
      <w:spacing w:before="480" w:after="120"/>
      <w:ind w:left="432" w:hanging="432"/>
    </w:pPr>
    <w:rPr>
      <w:rFonts w:ascii="宋体" w:hAnsi="宋体" w:eastAsia="宋体" w:cs="Microsoft Sans Serif"/>
      <w:bCs/>
      <w:color w:val="auto"/>
      <w:kern w:val="32"/>
      <w:sz w:val="36"/>
      <w:szCs w:val="36"/>
    </w:rPr>
  </w:style>
  <w:style w:type="paragraph" w:customStyle="1" w:styleId="1099">
    <w:name w:val="post_content_p"/>
    <w:basedOn w:val="1"/>
    <w:qFormat/>
    <w:uiPriority w:val="0"/>
    <w:pPr>
      <w:widowControl/>
      <w:wordWrap w:val="0"/>
      <w:spacing w:before="100" w:beforeAutospacing="1" w:after="100" w:afterAutospacing="1" w:line="360" w:lineRule="auto"/>
      <w:ind w:firstLine="420"/>
      <w:jc w:val="left"/>
    </w:pPr>
    <w:rPr>
      <w:rFonts w:ascii="宋体" w:hAnsi="宋体" w:cs="宋体"/>
      <w:kern w:val="0"/>
      <w:sz w:val="24"/>
    </w:rPr>
  </w:style>
  <w:style w:type="paragraph" w:customStyle="1" w:styleId="1100">
    <w:name w:val="xl226"/>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宋体" w:hAnsi="宋体" w:cs="宋体"/>
      <w:kern w:val="0"/>
      <w:sz w:val="24"/>
    </w:rPr>
  </w:style>
  <w:style w:type="paragraph" w:customStyle="1" w:styleId="1101">
    <w:name w:val="xl9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02">
    <w:name w:val="标题一"/>
    <w:basedOn w:val="2"/>
    <w:next w:val="1"/>
    <w:qFormat/>
    <w:uiPriority w:val="0"/>
    <w:pPr>
      <w:keepLines/>
      <w:spacing w:before="240" w:after="120" w:line="578" w:lineRule="auto"/>
    </w:pPr>
    <w:rPr>
      <w:rFonts w:ascii="楷体_GB2312" w:hAnsi="华文细黑" w:eastAsia="楷体_GB2312"/>
      <w:bCs/>
      <w:color w:val="auto"/>
      <w:kern w:val="44"/>
      <w:szCs w:val="32"/>
    </w:rPr>
  </w:style>
  <w:style w:type="paragraph" w:customStyle="1" w:styleId="1103">
    <w:name w:val="xl368"/>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04">
    <w:name w:val="标注2"/>
    <w:basedOn w:val="1"/>
    <w:next w:val="1"/>
    <w:qFormat/>
    <w:uiPriority w:val="0"/>
    <w:pPr>
      <w:tabs>
        <w:tab w:val="left" w:pos="900"/>
      </w:tabs>
      <w:spacing w:after="60" w:line="360" w:lineRule="auto"/>
      <w:ind w:left="905" w:hanging="425"/>
    </w:pPr>
    <w:rPr>
      <w:rFonts w:ascii="宋体" w:hAnsi="宋体" w:eastAsia="黑体"/>
      <w:bCs/>
      <w:sz w:val="24"/>
      <w:szCs w:val="20"/>
    </w:rPr>
  </w:style>
  <w:style w:type="paragraph" w:customStyle="1" w:styleId="1105">
    <w:name w:val="xl7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06">
    <w:name w:val="样式 标题 2标题 1.1编号标题21.1head:2#2 headlinehheadlineS&amp;R2ERMH...1"/>
    <w:basedOn w:val="3"/>
    <w:qFormat/>
    <w:uiPriority w:val="0"/>
    <w:pPr>
      <w:tabs>
        <w:tab w:val="left" w:pos="0"/>
        <w:tab w:val="left" w:pos="284"/>
        <w:tab w:val="left" w:pos="390"/>
        <w:tab w:val="left" w:pos="6521"/>
      </w:tabs>
      <w:autoSpaceDE w:val="0"/>
      <w:autoSpaceDN w:val="0"/>
      <w:adjustRightInd w:val="0"/>
      <w:spacing w:line="360" w:lineRule="auto"/>
      <w:ind w:left="8" w:hanging="8" w:hangingChars="3"/>
      <w:jc w:val="left"/>
    </w:pPr>
    <w:rPr>
      <w:rFonts w:ascii="宋体" w:hAnsi="宋体"/>
      <w:sz w:val="28"/>
    </w:rPr>
  </w:style>
  <w:style w:type="paragraph" w:customStyle="1" w:styleId="1107">
    <w:name w:val="list2"/>
    <w:basedOn w:val="1"/>
    <w:qFormat/>
    <w:uiPriority w:val="0"/>
    <w:pPr>
      <w:widowControl/>
      <w:overflowPunct w:val="0"/>
      <w:autoSpaceDE w:val="0"/>
      <w:autoSpaceDN w:val="0"/>
      <w:adjustRightInd w:val="0"/>
      <w:spacing w:line="360" w:lineRule="auto"/>
      <w:ind w:firstLine="420"/>
    </w:pPr>
    <w:rPr>
      <w:rFonts w:hint="eastAsia" w:ascii="宋体" w:hAnsi="宋体"/>
      <w:kern w:val="0"/>
      <w:sz w:val="24"/>
      <w:szCs w:val="20"/>
      <w:lang w:eastAsia="en-US"/>
    </w:rPr>
  </w:style>
  <w:style w:type="paragraph" w:customStyle="1" w:styleId="1108">
    <w:name w:val="xl10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09">
    <w:name w:val="正文加一级编号"/>
    <w:basedOn w:val="1"/>
    <w:next w:val="32"/>
    <w:qFormat/>
    <w:uiPriority w:val="0"/>
    <w:pPr>
      <w:overflowPunct w:val="0"/>
      <w:spacing w:beforeLines="50" w:line="360" w:lineRule="auto"/>
      <w:ind w:left="400" w:leftChars="200" w:hanging="200" w:hangingChars="200"/>
    </w:pPr>
    <w:rPr>
      <w:rFonts w:ascii="宋体" w:hAnsi="宋体"/>
      <w:kern w:val="0"/>
      <w:sz w:val="24"/>
    </w:rPr>
  </w:style>
  <w:style w:type="paragraph" w:customStyle="1" w:styleId="1110">
    <w:name w:val="xl14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11">
    <w:name w:val="font8"/>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12">
    <w:name w:val="TOC 标题11"/>
    <w:basedOn w:val="2"/>
    <w:next w:val="1"/>
    <w:qFormat/>
    <w:uiPriority w:val="39"/>
    <w:pPr>
      <w:keepLines/>
      <w:pageBreakBefore/>
      <w:widowControl/>
      <w:spacing w:before="480" w:line="276" w:lineRule="auto"/>
      <w:jc w:val="left"/>
      <w:outlineLvl w:val="9"/>
    </w:pPr>
    <w:rPr>
      <w:rFonts w:ascii="Cambria" w:hAnsi="Cambria" w:eastAsia="宋体"/>
      <w:bCs/>
      <w:color w:val="365F91"/>
      <w:kern w:val="0"/>
      <w:sz w:val="28"/>
      <w:szCs w:val="28"/>
    </w:rPr>
  </w:style>
  <w:style w:type="paragraph" w:customStyle="1" w:styleId="1113">
    <w:name w:val="Index Separator"/>
    <w:basedOn w:val="46"/>
    <w:qFormat/>
    <w:uiPriority w:val="0"/>
  </w:style>
  <w:style w:type="paragraph" w:customStyle="1" w:styleId="1114">
    <w:name w:val="xl148"/>
    <w:basedOn w:val="1"/>
    <w:qFormat/>
    <w:uiPriority w:val="0"/>
    <w:pPr>
      <w:widowControl/>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1115">
    <w:name w:val="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16">
    <w:name w:val="HP Full Page"/>
    <w:qFormat/>
    <w:uiPriority w:val="0"/>
    <w:rPr>
      <w:rFonts w:ascii="Arial" w:hAnsi="Arial" w:eastAsia="宋体" w:cs="Times New Roman"/>
      <w:sz w:val="16"/>
      <w:szCs w:val="18"/>
      <w:lang w:val="en-US" w:eastAsia="en-US" w:bidi="ar-SA"/>
    </w:rPr>
  </w:style>
  <w:style w:type="paragraph" w:customStyle="1" w:styleId="1117">
    <w:name w:val="xl117"/>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top"/>
    </w:pPr>
    <w:rPr>
      <w:kern w:val="0"/>
      <w:sz w:val="24"/>
    </w:rPr>
  </w:style>
  <w:style w:type="paragraph" w:customStyle="1" w:styleId="1118">
    <w:name w:val="自定二级标题"/>
    <w:basedOn w:val="76"/>
    <w:qFormat/>
    <w:uiPriority w:val="0"/>
    <w:pPr>
      <w:suppressAutoHyphens/>
      <w:spacing w:before="240" w:after="60" w:line="300" w:lineRule="auto"/>
      <w:ind w:firstLine="420"/>
      <w:outlineLvl w:val="0"/>
    </w:pPr>
    <w:rPr>
      <w:rFonts w:ascii="黑体" w:hAnsi="Arial" w:eastAsia="黑体" w:cs="宋体"/>
      <w:b/>
      <w:bCs/>
      <w:kern w:val="1"/>
      <w:sz w:val="28"/>
      <w:szCs w:val="20"/>
      <w:lang w:eastAsia="ar-SA"/>
    </w:rPr>
  </w:style>
  <w:style w:type="paragraph" w:customStyle="1" w:styleId="1119">
    <w:name w:val="‧ N table-8 head left"/>
    <w:basedOn w:val="593"/>
    <w:qFormat/>
    <w:uiPriority w:val="0"/>
    <w:pPr>
      <w:spacing w:before="85" w:after="113"/>
    </w:pPr>
    <w:rPr>
      <w:b/>
      <w:sz w:val="18"/>
    </w:rPr>
  </w:style>
  <w:style w:type="paragraph" w:customStyle="1" w:styleId="1120">
    <w:name w:val="xl240"/>
    <w:basedOn w:val="1"/>
    <w:qFormat/>
    <w:uiPriority w:val="0"/>
    <w:pPr>
      <w:pBdr>
        <w:left w:val="single" w:color="auto" w:sz="4" w:space="0"/>
        <w:bottom w:val="single" w:color="auto" w:sz="8"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21">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22">
    <w:name w:val="xl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1123">
    <w:name w:val="‧ N table-10 body indent"/>
    <w:basedOn w:val="500"/>
    <w:qFormat/>
    <w:uiPriority w:val="0"/>
  </w:style>
  <w:style w:type="paragraph" w:customStyle="1" w:styleId="1124">
    <w:name w:val="*Table Text Bold"/>
    <w:basedOn w:val="689"/>
    <w:qFormat/>
    <w:uiPriority w:val="0"/>
    <w:rPr>
      <w:b/>
    </w:rPr>
  </w:style>
  <w:style w:type="paragraph" w:customStyle="1" w:styleId="1125">
    <w:name w:val="font9"/>
    <w:basedOn w:val="1"/>
    <w:qFormat/>
    <w:uiPriority w:val="0"/>
    <w:pP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126">
    <w:name w:val="xl110"/>
    <w:basedOn w:val="1"/>
    <w:qFormat/>
    <w:uiPriority w:val="0"/>
    <w:pPr>
      <w:pBdr>
        <w:top w:val="single" w:color="auto" w:sz="8"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27">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128">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29">
    <w:name w:val="Char Char7 Char Char"/>
    <w:basedOn w:val="1"/>
    <w:qFormat/>
    <w:uiPriority w:val="0"/>
    <w:rPr>
      <w:rFonts w:ascii="仿宋_GB2312" w:hAnsi="Calibri" w:eastAsia="仿宋_GB2312" w:cs="Calibri"/>
      <w:b/>
      <w:sz w:val="32"/>
      <w:szCs w:val="32"/>
    </w:rPr>
  </w:style>
  <w:style w:type="paragraph" w:customStyle="1" w:styleId="1130">
    <w:name w:val="xl39"/>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31">
    <w:name w:val="document"/>
    <w:basedOn w:val="1"/>
    <w:qFormat/>
    <w:uiPriority w:val="0"/>
    <w:pPr>
      <w:spacing w:beforeLines="50" w:line="360" w:lineRule="auto"/>
      <w:ind w:left="100" w:leftChars="100" w:right="100" w:rightChars="100" w:firstLine="200" w:firstLineChars="200"/>
    </w:pPr>
    <w:rPr>
      <w:rFonts w:ascii="Calibri" w:hAnsi="Calibri"/>
      <w:sz w:val="24"/>
      <w:szCs w:val="22"/>
    </w:rPr>
  </w:style>
  <w:style w:type="paragraph" w:customStyle="1" w:styleId="1132">
    <w:name w:val="‧ N table-8 body right"/>
    <w:basedOn w:val="593"/>
    <w:qFormat/>
    <w:uiPriority w:val="0"/>
    <w:pPr>
      <w:spacing w:before="85" w:after="45"/>
      <w:jc w:val="right"/>
    </w:pPr>
    <w:rPr>
      <w:sz w:val="16"/>
    </w:rPr>
  </w:style>
  <w:style w:type="paragraph" w:customStyle="1" w:styleId="1133">
    <w:name w:val="*Manual # Heading 3"/>
    <w:next w:val="164"/>
    <w:qFormat/>
    <w:uiPriority w:val="0"/>
    <w:pPr>
      <w:keepNext/>
      <w:keepLines/>
      <w:tabs>
        <w:tab w:val="left" w:pos="1440"/>
      </w:tabs>
      <w:spacing w:before="240" w:after="120"/>
      <w:ind w:left="1440" w:hanging="1440"/>
      <w:outlineLvl w:val="3"/>
    </w:pPr>
    <w:rPr>
      <w:rFonts w:ascii="Arial" w:hAnsi="Arial" w:eastAsia="宋体" w:cs="Times New Roman"/>
      <w:b/>
      <w:sz w:val="24"/>
      <w:szCs w:val="24"/>
      <w:lang w:val="en-US" w:eastAsia="en-US" w:bidi="ar-SA"/>
    </w:rPr>
  </w:style>
  <w:style w:type="paragraph" w:customStyle="1" w:styleId="1134">
    <w:name w:val="样式 样式 样式 首行缩进:  0.85 厘米 + 首行缩进:  2 字符 + 首行缩进:  2 字符"/>
    <w:basedOn w:val="1"/>
    <w:qFormat/>
    <w:uiPriority w:val="0"/>
    <w:pPr>
      <w:spacing w:before="200" w:after="200" w:line="240" w:lineRule="atLeast"/>
      <w:ind w:firstLine="200" w:firstLineChars="200"/>
    </w:pPr>
    <w:rPr>
      <w:rFonts w:cs="宋体"/>
      <w:sz w:val="24"/>
      <w:szCs w:val="20"/>
    </w:rPr>
  </w:style>
  <w:style w:type="paragraph" w:customStyle="1" w:styleId="1135">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136">
    <w:name w:val="Default Text:"/>
    <w:basedOn w:val="1"/>
    <w:qFormat/>
    <w:uiPriority w:val="0"/>
    <w:pPr>
      <w:autoSpaceDE w:val="0"/>
      <w:autoSpaceDN w:val="0"/>
      <w:adjustRightInd w:val="0"/>
      <w:spacing w:line="360" w:lineRule="auto"/>
      <w:ind w:firstLine="420"/>
      <w:jc w:val="left"/>
    </w:pPr>
    <w:rPr>
      <w:rFonts w:ascii="宋体" w:hAnsi="宋体"/>
      <w:kern w:val="0"/>
      <w:sz w:val="24"/>
    </w:rPr>
  </w:style>
  <w:style w:type="paragraph" w:customStyle="1" w:styleId="1137">
    <w:name w:val="*SOW 5"/>
    <w:basedOn w:val="562"/>
    <w:next w:val="164"/>
    <w:qFormat/>
    <w:uiPriority w:val="0"/>
    <w:pPr>
      <w:outlineLvl w:val="5"/>
    </w:pPr>
  </w:style>
  <w:style w:type="paragraph" w:customStyle="1" w:styleId="1138">
    <w:name w:val="*Table Text Bullet #1"/>
    <w:basedOn w:val="689"/>
    <w:qFormat/>
    <w:uiPriority w:val="0"/>
    <w:pPr>
      <w:tabs>
        <w:tab w:val="left" w:pos="144"/>
      </w:tabs>
      <w:ind w:left="144" w:hanging="144"/>
    </w:pPr>
  </w:style>
  <w:style w:type="paragraph" w:customStyle="1" w:styleId="1139">
    <w:name w:val="HP Sender Data"/>
    <w:basedOn w:val="844"/>
    <w:qFormat/>
    <w:uiPriority w:val="0"/>
    <w:pPr>
      <w:spacing w:after="0"/>
    </w:pPr>
    <w:rPr>
      <w:b/>
      <w:sz w:val="14"/>
      <w:szCs w:val="14"/>
    </w:rPr>
  </w:style>
  <w:style w:type="paragraph" w:customStyle="1" w:styleId="1140">
    <w:name w:val="表内容"/>
    <w:basedOn w:val="1"/>
    <w:qFormat/>
    <w:uiPriority w:val="0"/>
    <w:pPr>
      <w:widowControl/>
      <w:spacing w:line="360" w:lineRule="auto"/>
      <w:ind w:firstLine="420"/>
      <w:jc w:val="center"/>
    </w:pPr>
    <w:rPr>
      <w:rFonts w:ascii="宋体" w:hAnsi="宋体"/>
      <w:kern w:val="0"/>
      <w:sz w:val="20"/>
    </w:rPr>
  </w:style>
  <w:style w:type="paragraph" w:customStyle="1" w:styleId="1141">
    <w:name w:val="DAS列表二"/>
    <w:basedOn w:val="781"/>
    <w:next w:val="781"/>
    <w:qFormat/>
    <w:uiPriority w:val="0"/>
    <w:pPr>
      <w:tabs>
        <w:tab w:val="left" w:pos="840"/>
      </w:tabs>
      <w:ind w:left="960" w:firstLine="0" w:firstLineChars="0"/>
    </w:pPr>
  </w:style>
  <w:style w:type="paragraph" w:customStyle="1" w:styleId="1142">
    <w:name w:val="PMtext"/>
    <w:basedOn w:val="1"/>
    <w:qFormat/>
    <w:uiPriority w:val="0"/>
    <w:pPr>
      <w:widowControl/>
      <w:spacing w:before="60" w:after="120" w:line="360" w:lineRule="auto"/>
      <w:ind w:left="360" w:firstLine="420"/>
      <w:jc w:val="left"/>
    </w:pPr>
    <w:rPr>
      <w:rFonts w:ascii="宋体" w:hAnsi="宋体"/>
      <w:kern w:val="0"/>
      <w:sz w:val="22"/>
      <w:szCs w:val="20"/>
      <w:lang w:eastAsia="en-US"/>
    </w:rPr>
  </w:style>
  <w:style w:type="paragraph" w:customStyle="1" w:styleId="1143">
    <w:name w:val="xl36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44">
    <w:name w:val="xl2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145">
    <w:name w:val="TopHeader"/>
    <w:basedOn w:val="2"/>
    <w:qFormat/>
    <w:uiPriority w:val="0"/>
    <w:pPr>
      <w:keepLines/>
      <w:tabs>
        <w:tab w:val="left" w:pos="390"/>
        <w:tab w:val="left" w:pos="4253"/>
      </w:tabs>
      <w:autoSpaceDE w:val="0"/>
      <w:autoSpaceDN w:val="0"/>
      <w:adjustRightInd w:val="0"/>
      <w:snapToGrid w:val="0"/>
      <w:spacing w:beforeLines="50" w:afterLines="50" w:line="240" w:lineRule="auto"/>
      <w:ind w:firstLine="569" w:firstLineChars="177"/>
      <w:outlineLvl w:val="9"/>
    </w:pPr>
    <w:rPr>
      <w:rFonts w:eastAsia="宋体"/>
      <w:color w:val="auto"/>
      <w:kern w:val="28"/>
      <w:sz w:val="24"/>
      <w:szCs w:val="20"/>
      <w:lang w:eastAsia="en-US"/>
    </w:rPr>
  </w:style>
  <w:style w:type="paragraph" w:customStyle="1" w:styleId="1146">
    <w:name w:val="Numbering 1 Cont."/>
    <w:basedOn w:val="61"/>
    <w:qFormat/>
    <w:uiPriority w:val="0"/>
    <w:pPr>
      <w:widowControl/>
      <w:ind w:left="0" w:firstLine="0" w:firstLineChars="0"/>
      <w:jc w:val="left"/>
    </w:pPr>
    <w:rPr>
      <w:rFonts w:eastAsia="PMingLiU"/>
      <w:kern w:val="0"/>
      <w:sz w:val="20"/>
      <w:szCs w:val="20"/>
      <w:lang w:eastAsia="zh-TW"/>
    </w:rPr>
  </w:style>
  <w:style w:type="paragraph" w:customStyle="1" w:styleId="1147">
    <w:name w:val="User Index 10"/>
    <w:basedOn w:val="46"/>
    <w:qFormat/>
    <w:uiPriority w:val="0"/>
    <w:pPr>
      <w:tabs>
        <w:tab w:val="right" w:leader="dot" w:pos="9746"/>
      </w:tabs>
      <w:ind w:left="2547"/>
    </w:pPr>
  </w:style>
  <w:style w:type="paragraph" w:customStyle="1" w:styleId="1148">
    <w:name w:val="xl34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49">
    <w:name w:val="表格文字小 (左对齐)"/>
    <w:basedOn w:val="1"/>
    <w:qFormat/>
    <w:uiPriority w:val="0"/>
    <w:pPr>
      <w:tabs>
        <w:tab w:val="left" w:pos="0"/>
        <w:tab w:val="left" w:pos="390"/>
      </w:tabs>
      <w:autoSpaceDE w:val="0"/>
      <w:autoSpaceDN w:val="0"/>
      <w:adjustRightInd w:val="0"/>
      <w:snapToGrid w:val="0"/>
      <w:spacing w:line="312" w:lineRule="atLeast"/>
      <w:ind w:firstLine="425" w:firstLineChars="177"/>
      <w:jc w:val="left"/>
      <w:textAlignment w:val="baseline"/>
    </w:pPr>
    <w:rPr>
      <w:rFonts w:ascii="宋体"/>
      <w:sz w:val="24"/>
    </w:rPr>
  </w:style>
  <w:style w:type="paragraph" w:customStyle="1" w:styleId="1150">
    <w:name w:val="10PT_BULLET_FACTSHEET"/>
    <w:basedOn w:val="1"/>
    <w:qFormat/>
    <w:uiPriority w:val="0"/>
    <w:pPr>
      <w:widowControl/>
      <w:spacing w:before="120" w:line="360" w:lineRule="auto"/>
      <w:ind w:left="-288" w:firstLine="288"/>
      <w:jc w:val="left"/>
    </w:pPr>
    <w:rPr>
      <w:rFonts w:ascii="Futura Bk" w:hAnsi="Futura Bk" w:eastAsia="Times"/>
      <w:color w:val="000000"/>
      <w:kern w:val="0"/>
      <w:sz w:val="20"/>
      <w:szCs w:val="20"/>
      <w:lang w:eastAsia="en-US"/>
    </w:rPr>
  </w:style>
  <w:style w:type="paragraph" w:customStyle="1" w:styleId="1151">
    <w:name w:val="*Cover Text 2"/>
    <w:basedOn w:val="688"/>
    <w:qFormat/>
    <w:uiPriority w:val="0"/>
    <w:pPr>
      <w:spacing w:before="720"/>
    </w:pPr>
    <w:rPr>
      <w:b/>
      <w:color w:val="00637A"/>
      <w:sz w:val="24"/>
      <w:szCs w:val="24"/>
    </w:rPr>
  </w:style>
  <w:style w:type="paragraph" w:customStyle="1" w:styleId="1152">
    <w:name w:val="Text"/>
    <w:basedOn w:val="22"/>
    <w:qFormat/>
    <w:uiPriority w:val="0"/>
    <w:pPr>
      <w:autoSpaceDN w:val="0"/>
      <w:adjustRightInd w:val="0"/>
      <w:spacing w:before="360" w:after="115" w:line="240" w:lineRule="auto"/>
      <w:ind w:firstLine="0"/>
      <w:jc w:val="left"/>
    </w:pPr>
    <w:rPr>
      <w:rFonts w:eastAsia="PMingLiU" w:cs="Tahoma"/>
      <w:iCs/>
      <w:lang w:val="en-GB" w:eastAsia="zh-TW"/>
    </w:rPr>
  </w:style>
  <w:style w:type="paragraph" w:customStyle="1" w:styleId="1153">
    <w:name w:val="Numbering 5 Cont."/>
    <w:basedOn w:val="61"/>
    <w:qFormat/>
    <w:uiPriority w:val="0"/>
    <w:pPr>
      <w:widowControl/>
      <w:ind w:left="1417" w:firstLine="0" w:firstLineChars="0"/>
      <w:jc w:val="left"/>
    </w:pPr>
    <w:rPr>
      <w:rFonts w:eastAsia="PMingLiU"/>
      <w:kern w:val="0"/>
      <w:sz w:val="20"/>
      <w:szCs w:val="20"/>
      <w:lang w:eastAsia="zh-TW"/>
    </w:rPr>
  </w:style>
  <w:style w:type="paragraph" w:customStyle="1" w:styleId="1154">
    <w:name w:val="xl118"/>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155">
    <w:name w:val="AP_Body Char"/>
    <w:basedOn w:val="17"/>
    <w:qFormat/>
    <w:uiPriority w:val="0"/>
    <w:pPr>
      <w:widowControl/>
      <w:adjustRightInd/>
      <w:spacing w:after="120" w:line="360" w:lineRule="auto"/>
      <w:ind w:firstLine="420"/>
      <w:textAlignment w:val="auto"/>
    </w:pPr>
    <w:rPr>
      <w:rFonts w:ascii="Futura Bk" w:hAnsi="Futura Bk" w:eastAsia="MS Mincho" w:cs="Futura Bk"/>
      <w:color w:val="000000"/>
      <w:sz w:val="24"/>
      <w:szCs w:val="24"/>
    </w:rPr>
  </w:style>
  <w:style w:type="paragraph" w:customStyle="1" w:styleId="1156">
    <w:name w:val="xl96"/>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color w:val="000000"/>
      <w:kern w:val="0"/>
      <w:sz w:val="24"/>
    </w:rPr>
  </w:style>
  <w:style w:type="paragraph" w:customStyle="1" w:styleId="1157">
    <w:name w:val="xl129"/>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rFonts w:ascii="仿宋_GB2312" w:hAnsi="宋体" w:eastAsia="仿宋_GB2312" w:cs="宋体"/>
      <w:kern w:val="0"/>
      <w:sz w:val="24"/>
    </w:rPr>
  </w:style>
  <w:style w:type="paragraph" w:customStyle="1" w:styleId="1158">
    <w:name w:val="xl18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59">
    <w:name w:val="xl36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60">
    <w:name w:val="g11"/>
    <w:basedOn w:val="1"/>
    <w:qFormat/>
    <w:uiPriority w:val="0"/>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1161">
    <w:name w:val="~Alt Number Double"/>
    <w:basedOn w:val="568"/>
    <w:qFormat/>
    <w:uiPriority w:val="0"/>
    <w:pPr>
      <w:tabs>
        <w:tab w:val="left" w:pos="1440"/>
        <w:tab w:val="clear" w:pos="360"/>
      </w:tabs>
      <w:ind w:left="1440" w:hanging="1440"/>
    </w:pPr>
  </w:style>
  <w:style w:type="paragraph" w:customStyle="1" w:styleId="1162">
    <w:name w:val="‧ N bullet last"/>
    <w:basedOn w:val="500"/>
    <w:next w:val="645"/>
    <w:qFormat/>
    <w:uiPriority w:val="0"/>
  </w:style>
  <w:style w:type="paragraph" w:customStyle="1" w:styleId="1163">
    <w:name w:val="xl3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164">
    <w:name w:val="GP正文(无首行缩进)"/>
    <w:basedOn w:val="619"/>
    <w:qFormat/>
    <w:uiPriority w:val="0"/>
  </w:style>
  <w:style w:type="paragraph" w:customStyle="1" w:styleId="1165">
    <w:name w:val="xl234"/>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66">
    <w:name w:val="inden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167">
    <w:name w:val="para"/>
    <w:basedOn w:val="1"/>
    <w:qFormat/>
    <w:uiPriority w:val="0"/>
    <w:pPr>
      <w:widowControl/>
      <w:spacing w:before="100" w:beforeAutospacing="1" w:after="100" w:afterAutospacing="1" w:line="360" w:lineRule="auto"/>
      <w:ind w:firstLine="420"/>
      <w:jc w:val="left"/>
    </w:pPr>
    <w:rPr>
      <w:rFonts w:ascii="Arial" w:hAnsi="Arial" w:cs="Arial"/>
      <w:kern w:val="0"/>
      <w:sz w:val="18"/>
      <w:szCs w:val="18"/>
    </w:rPr>
  </w:style>
  <w:style w:type="paragraph" w:customStyle="1" w:styleId="1168">
    <w:name w:val="文本"/>
    <w:qFormat/>
    <w:uiPriority w:val="0"/>
    <w:pPr>
      <w:spacing w:line="360" w:lineRule="auto"/>
      <w:ind w:firstLine="200" w:firstLineChars="200"/>
    </w:pPr>
    <w:rPr>
      <w:rFonts w:ascii="Times New Roman" w:hAnsi="Times New Roman" w:eastAsia="宋体" w:cs="Times New Roman"/>
      <w:kern w:val="2"/>
      <w:sz w:val="21"/>
      <w:lang w:val="en-US" w:eastAsia="zh-CN" w:bidi="ar-SA"/>
    </w:rPr>
  </w:style>
  <w:style w:type="paragraph" w:customStyle="1" w:styleId="1169">
    <w:name w:val="HP_Bullet"/>
    <w:basedOn w:val="783"/>
    <w:qFormat/>
    <w:uiPriority w:val="0"/>
    <w:pPr>
      <w:tabs>
        <w:tab w:val="left" w:pos="1200"/>
        <w:tab w:val="clear" w:pos="1440"/>
      </w:tabs>
      <w:ind w:left="3237" w:leftChars="400" w:hanging="357" w:hangingChars="200"/>
    </w:pPr>
  </w:style>
  <w:style w:type="paragraph" w:customStyle="1" w:styleId="1170">
    <w:name w:val="xl382"/>
    <w:basedOn w:val="1"/>
    <w:qFormat/>
    <w:uiPriority w:val="0"/>
    <w:pPr>
      <w:widowControl/>
      <w:pBdr>
        <w:top w:val="single" w:color="auto" w:sz="4" w:space="0"/>
        <w:left w:val="single" w:color="auto" w:sz="4" w:space="0"/>
        <w:bottom w:val="single" w:color="auto" w:sz="4" w:space="0"/>
      </w:pBdr>
      <w:shd w:val="clear" w:color="000000" w:fill="BFBFBF"/>
      <w:spacing w:before="100" w:beforeAutospacing="1" w:after="100" w:afterAutospacing="1"/>
      <w:jc w:val="left"/>
    </w:pPr>
    <w:rPr>
      <w:rFonts w:ascii="宋体" w:hAnsi="宋体" w:cs="宋体"/>
      <w:kern w:val="0"/>
      <w:sz w:val="24"/>
    </w:rPr>
  </w:style>
  <w:style w:type="paragraph" w:customStyle="1" w:styleId="1171">
    <w:name w:val="indent sub"/>
    <w:basedOn w:val="1"/>
    <w:next w:val="1"/>
    <w:qFormat/>
    <w:uiPriority w:val="0"/>
    <w:pPr>
      <w:tabs>
        <w:tab w:val="left" w:pos="0"/>
        <w:tab w:val="left" w:pos="390"/>
        <w:tab w:val="left" w:pos="1440"/>
      </w:tabs>
      <w:autoSpaceDE w:val="0"/>
      <w:autoSpaceDN w:val="0"/>
      <w:adjustRightInd w:val="0"/>
      <w:snapToGrid w:val="0"/>
      <w:spacing w:after="108"/>
      <w:ind w:left="1440" w:hanging="720" w:firstLineChars="177"/>
      <w:jc w:val="left"/>
    </w:pPr>
    <w:rPr>
      <w:rFonts w:ascii="Helvetica" w:hAnsi="Helvetica"/>
      <w:kern w:val="0"/>
      <w:sz w:val="20"/>
      <w:szCs w:val="20"/>
      <w:lang w:val="en-GB"/>
    </w:rPr>
  </w:style>
  <w:style w:type="paragraph" w:customStyle="1" w:styleId="1172">
    <w:name w:val="Header left"/>
    <w:basedOn w:val="1"/>
    <w:qFormat/>
    <w:uiPriority w:val="0"/>
    <w:pPr>
      <w:tabs>
        <w:tab w:val="center" w:pos="4873"/>
        <w:tab w:val="right" w:pos="9746"/>
      </w:tabs>
      <w:autoSpaceDN w:val="0"/>
      <w:adjustRightInd w:val="0"/>
      <w:jc w:val="left"/>
    </w:pPr>
    <w:rPr>
      <w:rFonts w:ascii="Arial" w:hAnsi="Arial" w:eastAsia="PMingLiU"/>
      <w:kern w:val="0"/>
      <w:sz w:val="20"/>
      <w:szCs w:val="20"/>
      <w:lang w:val="en-GB" w:eastAsia="zh-TW"/>
    </w:rPr>
  </w:style>
  <w:style w:type="paragraph" w:customStyle="1" w:styleId="1173">
    <w:name w:val="xl122"/>
    <w:basedOn w:val="1"/>
    <w:qFormat/>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74">
    <w:name w:val="标题22"/>
    <w:basedOn w:val="4"/>
    <w:qFormat/>
    <w:uiPriority w:val="0"/>
    <w:pPr>
      <w:keepNext/>
      <w:keepLines/>
      <w:widowControl w:val="0"/>
      <w:tabs>
        <w:tab w:val="left" w:pos="0"/>
        <w:tab w:val="left" w:pos="210"/>
      </w:tabs>
      <w:autoSpaceDE/>
      <w:autoSpaceDN/>
      <w:spacing w:before="100" w:beforeAutospacing="1" w:after="100" w:afterAutospacing="1" w:line="360" w:lineRule="auto"/>
      <w:ind w:firstLine="0" w:firstLineChars="0"/>
    </w:pPr>
    <w:rPr>
      <w:rFonts w:ascii="宋体" w:hAnsi="宋体"/>
      <w:sz w:val="28"/>
      <w:szCs w:val="28"/>
    </w:rPr>
  </w:style>
  <w:style w:type="paragraph" w:customStyle="1" w:styleId="1175">
    <w:name w:val="xl230"/>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176">
    <w:name w:val="xl18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177">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178">
    <w:name w:val="List 1 Cont."/>
    <w:basedOn w:val="61"/>
    <w:qFormat/>
    <w:uiPriority w:val="0"/>
    <w:pPr>
      <w:widowControl/>
      <w:ind w:left="0" w:firstLine="0" w:firstLineChars="0"/>
      <w:jc w:val="left"/>
    </w:pPr>
    <w:rPr>
      <w:rFonts w:eastAsia="PMingLiU"/>
      <w:kern w:val="0"/>
      <w:sz w:val="20"/>
      <w:szCs w:val="20"/>
      <w:lang w:eastAsia="zh-TW"/>
    </w:rPr>
  </w:style>
  <w:style w:type="paragraph" w:customStyle="1" w:styleId="1179">
    <w:name w:val="Char Char Char1 Char Char Char1 Char"/>
    <w:basedOn w:val="26"/>
    <w:qFormat/>
    <w:uiPriority w:val="0"/>
    <w:pPr>
      <w:jc w:val="center"/>
    </w:pPr>
    <w:rPr>
      <w:rFonts w:ascii="Verdana" w:hAnsi="Verdana"/>
      <w:kern w:val="0"/>
      <w:sz w:val="20"/>
      <w:szCs w:val="20"/>
      <w:lang w:eastAsia="en-US"/>
    </w:rPr>
  </w:style>
  <w:style w:type="paragraph" w:customStyle="1" w:styleId="1180">
    <w:name w:val="Quotations"/>
    <w:basedOn w:val="1"/>
    <w:qFormat/>
    <w:uiPriority w:val="0"/>
    <w:pPr>
      <w:autoSpaceDN w:val="0"/>
      <w:adjustRightInd w:val="0"/>
      <w:spacing w:after="283"/>
      <w:ind w:left="720" w:right="720"/>
      <w:jc w:val="left"/>
    </w:pPr>
    <w:rPr>
      <w:rFonts w:ascii="Arial" w:hAnsi="Arial" w:eastAsia="PMingLiU"/>
      <w:kern w:val="0"/>
      <w:sz w:val="20"/>
      <w:szCs w:val="20"/>
      <w:lang w:val="en-GB" w:eastAsia="zh-TW"/>
    </w:rPr>
  </w:style>
  <w:style w:type="paragraph" w:customStyle="1" w:styleId="1181">
    <w:name w:val="列表2"/>
    <w:qFormat/>
    <w:uiPriority w:val="0"/>
    <w:pPr>
      <w:spacing w:beforeLines="50"/>
      <w:ind w:left="425" w:hanging="425"/>
      <w:jc w:val="both"/>
    </w:pPr>
    <w:rPr>
      <w:rFonts w:ascii="Times New Roman" w:hAnsi="Times New Roman" w:eastAsia="宋体" w:cs="Times New Roman"/>
      <w:sz w:val="21"/>
      <w:lang w:val="en-US" w:eastAsia="zh-CN" w:bidi="ar-SA"/>
    </w:rPr>
  </w:style>
  <w:style w:type="paragraph" w:customStyle="1" w:styleId="1182">
    <w:name w:val="p0"/>
    <w:basedOn w:val="1"/>
    <w:qFormat/>
    <w:uiPriority w:val="0"/>
    <w:pPr>
      <w:widowControl/>
      <w:spacing w:line="360" w:lineRule="auto"/>
      <w:ind w:firstLine="420"/>
    </w:pPr>
    <w:rPr>
      <w:rFonts w:ascii="宋体" w:hAnsi="宋体"/>
      <w:kern w:val="0"/>
      <w:szCs w:val="20"/>
    </w:rPr>
  </w:style>
  <w:style w:type="paragraph" w:customStyle="1" w:styleId="1183">
    <w:name w:val="一级样式"/>
    <w:basedOn w:val="1"/>
    <w:qFormat/>
    <w:uiPriority w:val="0"/>
    <w:pPr>
      <w:autoSpaceDE w:val="0"/>
      <w:autoSpaceDN w:val="0"/>
      <w:adjustRightInd w:val="0"/>
      <w:spacing w:line="360" w:lineRule="auto"/>
      <w:ind w:firstLine="420"/>
      <w:jc w:val="center"/>
      <w:outlineLvl w:val="0"/>
    </w:pPr>
    <w:rPr>
      <w:rFonts w:ascii="黑体" w:hAnsi="宋体" w:eastAsia="黑体" w:cs="Sim Sun"/>
      <w:kern w:val="0"/>
      <w:sz w:val="30"/>
      <w:szCs w:val="30"/>
    </w:rPr>
  </w:style>
  <w:style w:type="paragraph" w:customStyle="1" w:styleId="1184">
    <w:name w:val="tableheading"/>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185">
    <w:name w:val="Numbering 1 End"/>
    <w:basedOn w:val="61"/>
    <w:qFormat/>
    <w:uiPriority w:val="0"/>
    <w:pPr>
      <w:widowControl/>
      <w:spacing w:after="240"/>
      <w:ind w:left="0" w:firstLine="0" w:firstLineChars="0"/>
      <w:jc w:val="left"/>
    </w:pPr>
    <w:rPr>
      <w:rFonts w:eastAsia="PMingLiU"/>
      <w:kern w:val="0"/>
      <w:sz w:val="20"/>
      <w:szCs w:val="20"/>
      <w:lang w:eastAsia="zh-TW"/>
    </w:rPr>
  </w:style>
  <w:style w:type="paragraph" w:customStyle="1" w:styleId="1186">
    <w:name w:val="xl113"/>
    <w:basedOn w:val="1"/>
    <w:qFormat/>
    <w:uiPriority w:val="0"/>
    <w:pPr>
      <w:pBdr>
        <w:top w:val="single" w:color="auto" w:sz="4" w:space="0"/>
        <w:left w:val="single" w:color="auto" w:sz="8"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kern w:val="0"/>
      <w:sz w:val="24"/>
    </w:rPr>
  </w:style>
  <w:style w:type="paragraph" w:customStyle="1" w:styleId="1187">
    <w:name w:val="xl72"/>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88">
    <w:name w:val="*Footer"/>
    <w:qFormat/>
    <w:uiPriority w:val="0"/>
    <w:pPr>
      <w:tabs>
        <w:tab w:val="right" w:pos="8640"/>
      </w:tabs>
    </w:pPr>
    <w:rPr>
      <w:rFonts w:ascii="Arial" w:hAnsi="Arial" w:eastAsia="宋体" w:cs="Times New Roman"/>
      <w:i/>
      <w:color w:val="00637A"/>
      <w:sz w:val="18"/>
      <w:szCs w:val="18"/>
      <w:lang w:val="en-US" w:eastAsia="en-US" w:bidi="ar-SA"/>
    </w:rPr>
  </w:style>
  <w:style w:type="paragraph" w:customStyle="1" w:styleId="1189">
    <w:name w:val="*List Numbers Bold (Auto)"/>
    <w:basedOn w:val="860"/>
    <w:qFormat/>
    <w:uiPriority w:val="0"/>
    <w:pPr>
      <w:tabs>
        <w:tab w:val="left" w:pos="840"/>
      </w:tabs>
      <w:ind w:left="840"/>
    </w:pPr>
    <w:rPr>
      <w:b/>
    </w:rPr>
  </w:style>
  <w:style w:type="paragraph" w:customStyle="1" w:styleId="1190">
    <w:name w:val="ZK_列表项目编号"/>
    <w:basedOn w:val="1"/>
    <w:next w:val="1"/>
    <w:qFormat/>
    <w:uiPriority w:val="0"/>
    <w:pPr>
      <w:tabs>
        <w:tab w:val="left" w:pos="390"/>
        <w:tab w:val="left" w:pos="420"/>
        <w:tab w:val="left" w:pos="1758"/>
      </w:tabs>
      <w:spacing w:beforeLines="50" w:line="300" w:lineRule="auto"/>
      <w:ind w:left="1758" w:hanging="454" w:firstLineChars="177"/>
    </w:pPr>
    <w:rPr>
      <w:sz w:val="24"/>
      <w:szCs w:val="20"/>
    </w:rPr>
  </w:style>
  <w:style w:type="paragraph" w:customStyle="1" w:styleId="1191">
    <w:name w:val="自由格式"/>
    <w:qFormat/>
    <w:uiPriority w:val="0"/>
    <w:rPr>
      <w:rFonts w:ascii="Cambria" w:hAnsi="Cambria" w:eastAsia="ヒラギノ角ゴ Pro W3" w:cs="Times New Roman"/>
      <w:color w:val="000000"/>
      <w:sz w:val="24"/>
      <w:szCs w:val="24"/>
      <w:lang w:val="en-US" w:eastAsia="zh-CN" w:bidi="ar-SA"/>
    </w:rPr>
  </w:style>
  <w:style w:type="paragraph" w:customStyle="1" w:styleId="1192">
    <w:name w:val="1级"/>
    <w:basedOn w:val="2"/>
    <w:qFormat/>
    <w:uiPriority w:val="0"/>
    <w:pPr>
      <w:keepLines/>
      <w:tabs>
        <w:tab w:val="left" w:pos="4253"/>
      </w:tabs>
      <w:spacing w:beforeLines="50" w:after="330" w:line="578" w:lineRule="auto"/>
      <w:jc w:val="left"/>
    </w:pPr>
    <w:rPr>
      <w:rFonts w:ascii="Calibri" w:hAnsi="Calibri" w:eastAsia="黑体"/>
      <w:bCs/>
      <w:color w:val="auto"/>
      <w:kern w:val="44"/>
      <w:sz w:val="36"/>
      <w:szCs w:val="44"/>
    </w:rPr>
  </w:style>
  <w:style w:type="paragraph" w:customStyle="1" w:styleId="1193">
    <w:name w:val="Normal1"/>
    <w:basedOn w:val="1"/>
    <w:qFormat/>
    <w:uiPriority w:val="0"/>
    <w:pPr>
      <w:widowControl/>
      <w:overflowPunct w:val="0"/>
      <w:autoSpaceDE w:val="0"/>
      <w:autoSpaceDN w:val="0"/>
      <w:adjustRightInd w:val="0"/>
      <w:spacing w:line="360" w:lineRule="auto"/>
      <w:ind w:firstLine="420"/>
      <w:jc w:val="left"/>
      <w:textAlignment w:val="baseline"/>
    </w:pPr>
    <w:rPr>
      <w:rFonts w:ascii="宋体" w:hAnsi="宋体"/>
      <w:kern w:val="0"/>
      <w:sz w:val="20"/>
      <w:szCs w:val="20"/>
    </w:rPr>
  </w:style>
  <w:style w:type="paragraph" w:customStyle="1" w:styleId="1194">
    <w:name w:val="xl92"/>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1195">
    <w:name w:val="xl7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b/>
      <w:bCs/>
      <w:kern w:val="0"/>
      <w:sz w:val="24"/>
    </w:rPr>
  </w:style>
  <w:style w:type="paragraph" w:customStyle="1" w:styleId="1196">
    <w:name w:val="xl3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197">
    <w:name w:val="xl65"/>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textAlignment w:val="top"/>
    </w:pPr>
    <w:rPr>
      <w:rFonts w:ascii="Arial" w:hAnsi="Arial" w:cs="Arial"/>
      <w:kern w:val="0"/>
      <w:sz w:val="24"/>
    </w:rPr>
  </w:style>
  <w:style w:type="paragraph" w:customStyle="1" w:styleId="1198">
    <w:name w:val="xl54"/>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199">
    <w:name w:val="正文0.50.5"/>
    <w:basedOn w:val="1"/>
    <w:qFormat/>
    <w:uiPriority w:val="0"/>
    <w:pPr>
      <w:spacing w:beforeLines="50" w:afterLines="50" w:line="360" w:lineRule="auto"/>
      <w:ind w:firstLine="480" w:firstLineChars="200"/>
    </w:pPr>
    <w:rPr>
      <w:rFonts w:ascii="Calibri" w:hAnsi="Calibri"/>
      <w:sz w:val="24"/>
    </w:rPr>
  </w:style>
  <w:style w:type="paragraph" w:customStyle="1" w:styleId="1200">
    <w:name w:val="Contents Heading"/>
    <w:basedOn w:val="16"/>
    <w:qFormat/>
    <w:uiPriority w:val="0"/>
  </w:style>
  <w:style w:type="paragraph" w:customStyle="1" w:styleId="1201">
    <w:name w:val="xl10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02">
    <w:name w:val="para14"/>
    <w:basedOn w:val="1"/>
    <w:qFormat/>
    <w:uiPriority w:val="0"/>
    <w:pPr>
      <w:widowControl/>
      <w:shd w:val="clear" w:color="auto" w:fill="F8F8F8"/>
      <w:spacing w:before="20" w:after="40" w:line="360" w:lineRule="auto"/>
      <w:ind w:firstLine="420"/>
      <w:jc w:val="left"/>
    </w:pPr>
    <w:rPr>
      <w:rFonts w:ascii="宋体" w:hAnsi="宋体" w:cs="宋体"/>
      <w:color w:val="000000"/>
      <w:kern w:val="0"/>
      <w:sz w:val="23"/>
      <w:szCs w:val="23"/>
    </w:rPr>
  </w:style>
  <w:style w:type="paragraph" w:customStyle="1" w:styleId="1203">
    <w:name w:val="默认段落字体 Para Char Char Char Char Char Char Char Char Char2"/>
    <w:basedOn w:val="1"/>
    <w:qFormat/>
    <w:uiPriority w:val="0"/>
    <w:pPr>
      <w:tabs>
        <w:tab w:val="left" w:pos="0"/>
        <w:tab w:val="left" w:pos="390"/>
      </w:tabs>
      <w:autoSpaceDE w:val="0"/>
      <w:autoSpaceDN w:val="0"/>
      <w:adjustRightInd w:val="0"/>
      <w:snapToGrid w:val="0"/>
      <w:ind w:firstLine="425" w:firstLineChars="177"/>
      <w:jc w:val="left"/>
    </w:pPr>
    <w:rPr>
      <w:rFonts w:ascii="Tahoma" w:hAnsi="Tahoma"/>
      <w:sz w:val="24"/>
      <w:szCs w:val="20"/>
    </w:rPr>
  </w:style>
  <w:style w:type="paragraph" w:customStyle="1" w:styleId="1204">
    <w:name w:val="Alert Title"/>
    <w:basedOn w:val="1"/>
    <w:qFormat/>
    <w:uiPriority w:val="0"/>
    <w:pPr>
      <w:keepNext/>
      <w:keepLines/>
      <w:widowControl/>
      <w:tabs>
        <w:tab w:val="right" w:pos="9072"/>
      </w:tabs>
      <w:spacing w:before="40" w:after="40" w:line="360" w:lineRule="auto"/>
      <w:ind w:firstLine="420"/>
      <w:jc w:val="left"/>
    </w:pPr>
    <w:rPr>
      <w:rFonts w:ascii="Arial" w:hAnsi="Arial"/>
      <w:b/>
      <w:kern w:val="0"/>
      <w:sz w:val="22"/>
      <w:szCs w:val="20"/>
      <w:lang w:eastAsia="en-US"/>
    </w:rPr>
  </w:style>
  <w:style w:type="paragraph" w:customStyle="1" w:styleId="1205">
    <w:name w:val="*SOW 3"/>
    <w:basedOn w:val="562"/>
    <w:next w:val="164"/>
    <w:qFormat/>
    <w:uiPriority w:val="0"/>
    <w:pPr>
      <w:outlineLvl w:val="3"/>
    </w:pPr>
  </w:style>
  <w:style w:type="paragraph" w:customStyle="1" w:styleId="1206">
    <w:name w:val="_HP Table Head 8 pt"/>
    <w:basedOn w:val="102"/>
    <w:next w:val="102"/>
    <w:qFormat/>
    <w:uiPriority w:val="0"/>
    <w:pPr>
      <w:spacing w:before="60" w:after="60"/>
    </w:pPr>
    <w:rPr>
      <w:rFonts w:ascii="Futura-Heavy" w:hAnsi="Futura-Heavy" w:eastAsia="宋体" w:cs="Times New Roman"/>
      <w:color w:val="auto"/>
    </w:rPr>
  </w:style>
  <w:style w:type="paragraph" w:customStyle="1" w:styleId="1207">
    <w:name w:val="样式4"/>
    <w:basedOn w:val="51"/>
    <w:qFormat/>
    <w:uiPriority w:val="0"/>
    <w:pPr>
      <w:pBdr>
        <w:bottom w:val="single" w:color="auto" w:sz="4" w:space="1"/>
      </w:pBdr>
      <w:tabs>
        <w:tab w:val="right" w:pos="9901"/>
        <w:tab w:val="clear" w:pos="4153"/>
        <w:tab w:val="clear" w:pos="8306"/>
      </w:tabs>
    </w:pPr>
    <w:rPr>
      <w:sz w:val="21"/>
    </w:rPr>
  </w:style>
  <w:style w:type="paragraph" w:customStyle="1" w:styleId="1208">
    <w:name w:val="Illustration Index 1"/>
    <w:basedOn w:val="46"/>
    <w:qFormat/>
    <w:uiPriority w:val="0"/>
    <w:pPr>
      <w:tabs>
        <w:tab w:val="right" w:leader="dot" w:pos="9746"/>
      </w:tabs>
    </w:pPr>
  </w:style>
  <w:style w:type="paragraph" w:customStyle="1" w:styleId="1209">
    <w:name w:val="表文字"/>
    <w:qFormat/>
    <w:uiPriority w:val="0"/>
    <w:rPr>
      <w:rFonts w:ascii="宋体" w:hAnsi="Times New Roman" w:eastAsia="宋体" w:cs="Times New Roman"/>
      <w:kern w:val="2"/>
      <w:lang w:val="en-US" w:eastAsia="zh-CN" w:bidi="ar-SA"/>
    </w:rPr>
  </w:style>
  <w:style w:type="paragraph" w:customStyle="1" w:styleId="1210">
    <w:name w:val="样式 标题 3 + (西文) Verdana"/>
    <w:basedOn w:val="4"/>
    <w:qFormat/>
    <w:uiPriority w:val="0"/>
    <w:pPr>
      <w:widowControl w:val="0"/>
      <w:tabs>
        <w:tab w:val="left" w:pos="0"/>
        <w:tab w:val="left" w:pos="210"/>
        <w:tab w:val="left" w:pos="300"/>
      </w:tabs>
      <w:autoSpaceDE/>
      <w:autoSpaceDN/>
      <w:adjustRightInd w:val="0"/>
      <w:snapToGrid/>
      <w:spacing w:beforeLines="50" w:afterLines="50" w:line="360" w:lineRule="auto"/>
      <w:ind w:left="300" w:hanging="720" w:firstLineChars="0"/>
      <w:textAlignment w:val="baseline"/>
    </w:pPr>
    <w:rPr>
      <w:rFonts w:eastAsia="楷体_GB2312"/>
      <w:bCs/>
      <w:sz w:val="32"/>
      <w:szCs w:val="32"/>
    </w:rPr>
  </w:style>
  <w:style w:type="paragraph" w:customStyle="1" w:styleId="1211">
    <w:name w:val="xl206"/>
    <w:basedOn w:val="1"/>
    <w:qFormat/>
    <w:uiPriority w:val="0"/>
    <w:pPr>
      <w:pBdr>
        <w:top w:val="single" w:color="auto" w:sz="4" w:space="0"/>
        <w:left w:val="single" w:color="auto" w:sz="4" w:space="0"/>
        <w:bottom w:val="single" w:color="auto" w:sz="4" w:space="0"/>
        <w:right w:val="single" w:color="auto" w:sz="8"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12">
    <w:name w:val="正文 首行缩进:  2 字符 Char Char"/>
    <w:basedOn w:val="1"/>
    <w:qFormat/>
    <w:uiPriority w:val="0"/>
    <w:pPr>
      <w:spacing w:line="360" w:lineRule="auto"/>
      <w:ind w:firstLine="480"/>
    </w:pPr>
    <w:rPr>
      <w:rFonts w:ascii="楷体_GB2312" w:hAnsi="宋体" w:eastAsia="楷体_GB2312" w:cs="宋体"/>
      <w:bCs/>
      <w:sz w:val="24"/>
    </w:rPr>
  </w:style>
  <w:style w:type="paragraph" w:customStyle="1" w:styleId="1213">
    <w:name w:val="*Header"/>
    <w:basedOn w:val="164"/>
    <w:qFormat/>
    <w:uiPriority w:val="0"/>
    <w:pPr>
      <w:tabs>
        <w:tab w:val="right" w:pos="8784"/>
      </w:tabs>
    </w:pPr>
    <w:rPr>
      <w:color w:val="00637A"/>
      <w:sz w:val="18"/>
      <w:szCs w:val="18"/>
    </w:rPr>
  </w:style>
  <w:style w:type="paragraph" w:customStyle="1" w:styleId="1214">
    <w:name w:val="Abstract"/>
    <w:basedOn w:val="1"/>
    <w:qFormat/>
    <w:uiPriority w:val="0"/>
    <w:pPr>
      <w:widowControl/>
      <w:autoSpaceDE w:val="0"/>
      <w:autoSpaceDN w:val="0"/>
      <w:spacing w:before="60" w:after="60" w:line="360" w:lineRule="auto"/>
      <w:ind w:firstLine="420"/>
    </w:pPr>
    <w:rPr>
      <w:rFonts w:ascii="Arial" w:hAnsi="Arial"/>
      <w:kern w:val="0"/>
      <w:sz w:val="24"/>
      <w:szCs w:val="20"/>
    </w:rPr>
  </w:style>
  <w:style w:type="paragraph" w:customStyle="1" w:styleId="1215">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16">
    <w:name w:val="p14h"/>
    <w:basedOn w:val="1"/>
    <w:qFormat/>
    <w:uiPriority w:val="0"/>
    <w:pPr>
      <w:widowControl/>
      <w:spacing w:beforeLines="50" w:beforeAutospacing="1" w:after="100" w:afterAutospacing="1" w:line="312" w:lineRule="auto"/>
      <w:ind w:firstLine="420"/>
      <w:jc w:val="left"/>
    </w:pPr>
    <w:rPr>
      <w:rFonts w:ascii="宋体" w:hAnsi="宋体"/>
      <w:kern w:val="0"/>
      <w:sz w:val="22"/>
      <w:szCs w:val="22"/>
    </w:rPr>
  </w:style>
  <w:style w:type="paragraph" w:customStyle="1" w:styleId="1217">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18">
    <w:name w:val="xl99"/>
    <w:basedOn w:val="1"/>
    <w:qFormat/>
    <w:uiPriority w:val="0"/>
    <w:pPr>
      <w:pBdr>
        <w:top w:val="single" w:color="auto" w:sz="4" w:space="0"/>
        <w:left w:val="single" w:color="auto" w:sz="4" w:space="0"/>
        <w:bottom w:val="single" w:color="auto" w:sz="4" w:space="0"/>
        <w:right w:val="single" w:color="auto" w:sz="8"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19">
    <w:name w:val="xl64"/>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20">
    <w:name w:val="xl30"/>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21">
    <w:name w:val="xl68"/>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color w:val="000000"/>
      <w:kern w:val="0"/>
      <w:sz w:val="24"/>
    </w:rPr>
  </w:style>
  <w:style w:type="paragraph" w:customStyle="1" w:styleId="1222">
    <w:name w:val="_HP Figure"/>
    <w:basedOn w:val="102"/>
    <w:next w:val="102"/>
    <w:qFormat/>
    <w:uiPriority w:val="0"/>
    <w:pPr>
      <w:spacing w:after="280"/>
    </w:pPr>
    <w:rPr>
      <w:rFonts w:ascii="Futura-Heavy" w:hAnsi="Futura-Heavy" w:eastAsia="宋体" w:cs="Times New Roman"/>
      <w:color w:val="auto"/>
    </w:rPr>
  </w:style>
  <w:style w:type="paragraph" w:customStyle="1" w:styleId="1223">
    <w:name w:val="xl108"/>
    <w:basedOn w:val="1"/>
    <w:qFormat/>
    <w:uiPriority w:val="0"/>
    <w:pPr>
      <w:pBdr>
        <w:top w:val="single" w:color="auto" w:sz="4"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Arial" w:hAnsi="Arial" w:cs="Arial"/>
      <w:kern w:val="0"/>
      <w:sz w:val="24"/>
    </w:rPr>
  </w:style>
  <w:style w:type="paragraph" w:customStyle="1" w:styleId="1224">
    <w:name w:val="xl3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25">
    <w:name w:val="xl23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26">
    <w:name w:val="xl75"/>
    <w:basedOn w:val="1"/>
    <w:qFormat/>
    <w:uiPriority w:val="0"/>
    <w:pPr>
      <w:pBdr>
        <w:top w:val="single" w:color="auto" w:sz="4" w:space="0"/>
        <w:left w:val="single" w:color="auto" w:sz="4"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b/>
      <w:bCs/>
      <w:kern w:val="0"/>
      <w:sz w:val="24"/>
    </w:rPr>
  </w:style>
  <w:style w:type="paragraph" w:customStyle="1" w:styleId="1227">
    <w:name w:val="•Bulleted list"/>
    <w:basedOn w:val="1"/>
    <w:qFormat/>
    <w:uiPriority w:val="0"/>
    <w:pPr>
      <w:suppressAutoHyphens/>
      <w:spacing w:before="40" w:after="40" w:line="240" w:lineRule="exact"/>
      <w:ind w:left="-2153" w:right="-187"/>
    </w:pPr>
    <w:rPr>
      <w:rFonts w:ascii="Arial" w:hAnsi="Arial"/>
      <w:kern w:val="1"/>
      <w:sz w:val="18"/>
      <w:szCs w:val="18"/>
      <w:lang w:eastAsia="ar-SA"/>
    </w:rPr>
  </w:style>
  <w:style w:type="paragraph" w:customStyle="1" w:styleId="1228">
    <w:name w:val="xl3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9">
    <w:name w:val="Numbering 1 Start"/>
    <w:basedOn w:val="61"/>
    <w:qFormat/>
    <w:uiPriority w:val="0"/>
    <w:pPr>
      <w:widowControl/>
      <w:spacing w:before="240"/>
      <w:ind w:left="0" w:firstLine="0" w:firstLineChars="0"/>
      <w:jc w:val="left"/>
    </w:pPr>
    <w:rPr>
      <w:rFonts w:eastAsia="PMingLiU"/>
      <w:kern w:val="0"/>
      <w:sz w:val="20"/>
      <w:szCs w:val="20"/>
      <w:lang w:eastAsia="zh-TW"/>
    </w:rPr>
  </w:style>
  <w:style w:type="paragraph" w:customStyle="1" w:styleId="1230">
    <w:name w:val="文档正文2"/>
    <w:basedOn w:val="1"/>
    <w:qFormat/>
    <w:uiPriority w:val="0"/>
    <w:pPr>
      <w:spacing w:line="360" w:lineRule="auto"/>
      <w:ind w:firstLine="560" w:firstLineChars="200"/>
    </w:pPr>
    <w:rPr>
      <w:rFonts w:ascii="Tahoma" w:hAnsi="Tahoma" w:eastAsia="仿宋_GB2312" w:cs="宋体"/>
      <w:kern w:val="0"/>
      <w:sz w:val="28"/>
      <w:szCs w:val="20"/>
    </w:rPr>
  </w:style>
  <w:style w:type="paragraph" w:customStyle="1" w:styleId="1231">
    <w:name w:val="List Contents"/>
    <w:basedOn w:val="1"/>
    <w:qFormat/>
    <w:uiPriority w:val="0"/>
    <w:pPr>
      <w:autoSpaceDN w:val="0"/>
      <w:adjustRightInd w:val="0"/>
      <w:ind w:left="567"/>
      <w:jc w:val="left"/>
    </w:pPr>
    <w:rPr>
      <w:rFonts w:ascii="Arial" w:hAnsi="Arial" w:eastAsia="PMingLiU"/>
      <w:kern w:val="0"/>
      <w:sz w:val="20"/>
      <w:szCs w:val="20"/>
      <w:lang w:val="en-GB" w:eastAsia="zh-TW"/>
    </w:rPr>
  </w:style>
  <w:style w:type="paragraph" w:customStyle="1" w:styleId="1232">
    <w:name w:val="xl42"/>
    <w:basedOn w:val="1"/>
    <w:qFormat/>
    <w:uiPriority w:val="0"/>
    <w:pPr>
      <w:pBdr>
        <w:top w:val="single" w:color="auto" w:sz="4" w:space="0"/>
        <w:left w:val="single" w:color="auto" w:sz="4" w:space="0"/>
        <w:bottom w:val="single" w:color="auto" w:sz="4" w:space="0"/>
        <w:right w:val="single" w:color="auto" w:sz="8"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33">
    <w:name w:val="xl37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34">
    <w:name w:val="样式 标题 3 + 段前: 0.3 行 段后: 0.3 行"/>
    <w:basedOn w:val="4"/>
    <w:qFormat/>
    <w:uiPriority w:val="0"/>
    <w:pPr>
      <w:keepNext/>
      <w:keepLines/>
      <w:widowControl w:val="0"/>
      <w:tabs>
        <w:tab w:val="left" w:pos="0"/>
        <w:tab w:val="left" w:pos="210"/>
        <w:tab w:val="left" w:pos="720"/>
      </w:tabs>
      <w:autoSpaceDE/>
      <w:autoSpaceDN/>
      <w:snapToGrid/>
      <w:spacing w:afterLines="100" w:line="240" w:lineRule="auto"/>
      <w:ind w:left="720" w:hanging="720" w:firstLineChars="0"/>
    </w:pPr>
    <w:rPr>
      <w:rFonts w:ascii="宋体" w:hAnsi="宋体" w:cs="宋体"/>
      <w:bCs/>
    </w:rPr>
  </w:style>
  <w:style w:type="paragraph" w:customStyle="1" w:styleId="1235">
    <w:name w:val="安安列表项"/>
    <w:basedOn w:val="1"/>
    <w:qFormat/>
    <w:uiPriority w:val="0"/>
    <w:pPr>
      <w:tabs>
        <w:tab w:val="left" w:pos="820"/>
      </w:tabs>
      <w:spacing w:line="360" w:lineRule="auto"/>
      <w:ind w:left="425" w:hanging="425"/>
    </w:pPr>
    <w:rPr>
      <w:rFonts w:ascii="宋体" w:hAnsi="宋体"/>
      <w:sz w:val="24"/>
    </w:rPr>
  </w:style>
  <w:style w:type="paragraph" w:customStyle="1" w:styleId="1236">
    <w:name w:val="*Table Text Bullet #2"/>
    <w:basedOn w:val="1138"/>
    <w:qFormat/>
    <w:uiPriority w:val="0"/>
    <w:pPr>
      <w:tabs>
        <w:tab w:val="left" w:pos="720"/>
      </w:tabs>
      <w:ind w:left="720" w:hanging="360"/>
    </w:pPr>
  </w:style>
  <w:style w:type="paragraph" w:customStyle="1" w:styleId="1237">
    <w:name w:val="~Heading 2"/>
    <w:next w:val="516"/>
    <w:qFormat/>
    <w:uiPriority w:val="0"/>
    <w:pPr>
      <w:keepNext/>
      <w:keepLines/>
      <w:spacing w:before="240" w:after="120" w:line="240" w:lineRule="atLeast"/>
      <w:outlineLvl w:val="2"/>
    </w:pPr>
    <w:rPr>
      <w:rFonts w:ascii="Arial" w:hAnsi="Arial" w:eastAsia="宋体" w:cs="Times New Roman"/>
      <w:color w:val="00637A"/>
      <w:sz w:val="32"/>
      <w:szCs w:val="32"/>
      <w:lang w:val="en-US" w:eastAsia="en-US" w:bidi="ar-SA"/>
    </w:rPr>
  </w:style>
  <w:style w:type="paragraph" w:customStyle="1" w:styleId="1238">
    <w:name w:val="xl8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239">
    <w:name w:val="‧ N table-8 head center"/>
    <w:basedOn w:val="593"/>
    <w:qFormat/>
    <w:uiPriority w:val="0"/>
    <w:pPr>
      <w:spacing w:before="85" w:after="113"/>
      <w:jc w:val="center"/>
    </w:pPr>
    <w:rPr>
      <w:b/>
      <w:sz w:val="18"/>
    </w:rPr>
  </w:style>
  <w:style w:type="paragraph" w:customStyle="1" w:styleId="1240">
    <w:name w:val="Char Char21"/>
    <w:basedOn w:val="1"/>
    <w:qFormat/>
    <w:uiPriority w:val="0"/>
    <w:rPr>
      <w:rFonts w:ascii="Tahoma" w:hAnsi="Tahoma"/>
      <w:sz w:val="24"/>
      <w:szCs w:val="20"/>
    </w:rPr>
  </w:style>
  <w:style w:type="paragraph" w:customStyle="1" w:styleId="1241">
    <w:name w:val="p16"/>
    <w:basedOn w:val="1"/>
    <w:qFormat/>
    <w:uiPriority w:val="0"/>
    <w:pPr>
      <w:widowControl/>
      <w:spacing w:line="360" w:lineRule="auto"/>
      <w:ind w:firstLine="420"/>
      <w:jc w:val="left"/>
    </w:pPr>
    <w:rPr>
      <w:kern w:val="0"/>
      <w:sz w:val="24"/>
    </w:rPr>
  </w:style>
  <w:style w:type="paragraph" w:customStyle="1" w:styleId="1242">
    <w:name w:val="样式 标题 3H3Heading 3 - oldH31H32H33H34H35H36H37H38H39H...1"/>
    <w:basedOn w:val="4"/>
    <w:qFormat/>
    <w:uiPriority w:val="0"/>
    <w:pPr>
      <w:keepNext/>
      <w:tabs>
        <w:tab w:val="left" w:pos="0"/>
        <w:tab w:val="left" w:pos="210"/>
        <w:tab w:val="left" w:pos="900"/>
        <w:tab w:val="left" w:pos="1440"/>
      </w:tabs>
      <w:autoSpaceDE/>
      <w:autoSpaceDN/>
      <w:snapToGrid/>
      <w:spacing w:before="240" w:after="120" w:line="288" w:lineRule="auto"/>
      <w:ind w:left="1440" w:hanging="1440" w:firstLineChars="0"/>
      <w:jc w:val="left"/>
    </w:pPr>
    <w:rPr>
      <w:rFonts w:ascii="宋体" w:hAnsi="宋体" w:cs="Arial"/>
      <w:bCs/>
      <w:kern w:val="0"/>
      <w:sz w:val="24"/>
      <w:szCs w:val="24"/>
    </w:rPr>
  </w:style>
  <w:style w:type="paragraph" w:customStyle="1" w:styleId="1243">
    <w:name w:val="xl8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44">
    <w:name w:val="默认段落字体 Para Char Char Char Char Char Char Char Char Char1 Char Char Char Char Char Char Char Char Char1 Char"/>
    <w:basedOn w:val="26"/>
    <w:qFormat/>
    <w:uiPriority w:val="0"/>
    <w:pPr>
      <w:spacing w:line="360" w:lineRule="auto"/>
      <w:ind w:firstLine="420"/>
    </w:pPr>
    <w:rPr>
      <w:rFonts w:ascii="Tahoma" w:hAnsi="Tahoma"/>
      <w:kern w:val="0"/>
      <w:sz w:val="24"/>
    </w:rPr>
  </w:style>
  <w:style w:type="paragraph" w:customStyle="1" w:styleId="1245">
    <w:name w:val="xl19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246">
    <w:name w:val="itemlist"/>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47">
    <w:name w:val="List Heading"/>
    <w:basedOn w:val="1"/>
    <w:next w:val="1231"/>
    <w:qFormat/>
    <w:uiPriority w:val="0"/>
    <w:pPr>
      <w:autoSpaceDN w:val="0"/>
      <w:adjustRightInd w:val="0"/>
      <w:jc w:val="left"/>
    </w:pPr>
    <w:rPr>
      <w:rFonts w:ascii="Arial" w:hAnsi="Arial" w:eastAsia="PMingLiU"/>
      <w:kern w:val="0"/>
      <w:sz w:val="20"/>
      <w:szCs w:val="20"/>
      <w:lang w:val="en-GB" w:eastAsia="zh-TW"/>
    </w:rPr>
  </w:style>
  <w:style w:type="paragraph" w:customStyle="1" w:styleId="1248">
    <w:name w:val="*Manual # Heading 2"/>
    <w:next w:val="164"/>
    <w:qFormat/>
    <w:uiPriority w:val="0"/>
    <w:pPr>
      <w:keepNext/>
      <w:keepLines/>
      <w:tabs>
        <w:tab w:val="left" w:pos="360"/>
        <w:tab w:val="left" w:pos="1440"/>
      </w:tabs>
      <w:spacing w:before="240" w:after="120"/>
      <w:ind w:left="1440" w:hanging="1440"/>
      <w:outlineLvl w:val="2"/>
    </w:pPr>
    <w:rPr>
      <w:rFonts w:ascii="Arial" w:hAnsi="Arial" w:eastAsia="宋体" w:cs="Times New Roman"/>
      <w:sz w:val="32"/>
      <w:szCs w:val="32"/>
      <w:lang w:val="en-US" w:eastAsia="en-US" w:bidi="ar-SA"/>
    </w:rPr>
  </w:style>
  <w:style w:type="paragraph" w:customStyle="1" w:styleId="1249">
    <w:name w:val="xl3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50">
    <w:name w:val="yxy正文"/>
    <w:basedOn w:val="1"/>
    <w:qFormat/>
    <w:uiPriority w:val="0"/>
    <w:pPr>
      <w:spacing w:line="360" w:lineRule="auto"/>
      <w:ind w:firstLine="200" w:firstLineChars="200"/>
    </w:pPr>
    <w:rPr>
      <w:sz w:val="24"/>
      <w:szCs w:val="20"/>
    </w:rPr>
  </w:style>
  <w:style w:type="paragraph" w:customStyle="1" w:styleId="1251">
    <w:name w:val="xl4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252">
    <w:name w:val="xl3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53">
    <w:name w:val="我的正文"/>
    <w:basedOn w:val="1"/>
    <w:qFormat/>
    <w:uiPriority w:val="0"/>
    <w:pPr>
      <w:widowControl/>
      <w:spacing w:line="288" w:lineRule="auto"/>
      <w:ind w:left="100" w:leftChars="100" w:right="100" w:rightChars="100" w:firstLine="420"/>
    </w:pPr>
    <w:rPr>
      <w:rFonts w:ascii="宋体" w:hAnsi="宋体"/>
      <w:b/>
      <w:spacing w:val="6"/>
      <w:kern w:val="0"/>
      <w:sz w:val="24"/>
      <w:szCs w:val="20"/>
    </w:rPr>
  </w:style>
  <w:style w:type="paragraph" w:customStyle="1" w:styleId="1254">
    <w:name w:val="xl18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55">
    <w:name w:val="xl383"/>
    <w:basedOn w:val="1"/>
    <w:qFormat/>
    <w:uiPriority w:val="0"/>
    <w:pPr>
      <w:widowControl/>
      <w:pBdr>
        <w:top w:val="single" w:color="auto" w:sz="4" w:space="0"/>
        <w:bottom w:val="single" w:color="auto" w:sz="4" w:space="0"/>
      </w:pBdr>
      <w:shd w:val="clear" w:color="000000" w:fill="BFBFBF"/>
      <w:spacing w:before="100" w:beforeAutospacing="1" w:after="100" w:afterAutospacing="1"/>
      <w:jc w:val="left"/>
    </w:pPr>
    <w:rPr>
      <w:rFonts w:ascii="宋体" w:hAnsi="宋体" w:cs="宋体"/>
      <w:kern w:val="0"/>
      <w:sz w:val="24"/>
    </w:rPr>
  </w:style>
  <w:style w:type="paragraph" w:customStyle="1" w:styleId="1256">
    <w:name w:val="‧ N bullet 2 last"/>
    <w:basedOn w:val="500"/>
    <w:next w:val="645"/>
    <w:qFormat/>
    <w:uiPriority w:val="0"/>
  </w:style>
  <w:style w:type="paragraph" w:customStyle="1" w:styleId="1257">
    <w:name w:val="Headline"/>
    <w:basedOn w:val="1"/>
    <w:qFormat/>
    <w:uiPriority w:val="0"/>
    <w:pPr>
      <w:widowControl/>
      <w:suppressAutoHyphens/>
      <w:spacing w:line="280" w:lineRule="exact"/>
      <w:ind w:firstLine="420"/>
      <w:jc w:val="left"/>
    </w:pPr>
    <w:rPr>
      <w:rFonts w:ascii="宋体" w:hAnsi="宋体"/>
      <w:kern w:val="0"/>
      <w:sz w:val="24"/>
      <w:lang w:eastAsia="en-US"/>
    </w:rPr>
  </w:style>
  <w:style w:type="paragraph" w:customStyle="1" w:styleId="1258">
    <w:name w:val="Table index heading"/>
    <w:basedOn w:val="16"/>
    <w:qFormat/>
    <w:uiPriority w:val="0"/>
  </w:style>
  <w:style w:type="paragraph" w:customStyle="1" w:styleId="1259">
    <w:name w:val="xl189"/>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kern w:val="0"/>
      <w:sz w:val="24"/>
    </w:rPr>
  </w:style>
  <w:style w:type="paragraph" w:customStyle="1" w:styleId="1260">
    <w:name w:val="样式 宋体 居中"/>
    <w:basedOn w:val="1"/>
    <w:qFormat/>
    <w:uiPriority w:val="0"/>
    <w:pPr>
      <w:spacing w:line="360" w:lineRule="auto"/>
      <w:ind w:firstLine="420"/>
      <w:jc w:val="center"/>
    </w:pPr>
    <w:rPr>
      <w:rFonts w:ascii="宋体" w:hAnsi="宋体" w:cs="宋体"/>
      <w:szCs w:val="20"/>
    </w:rPr>
  </w:style>
  <w:style w:type="paragraph" w:customStyle="1" w:styleId="1261">
    <w:name w:val="Char4"/>
    <w:basedOn w:val="21"/>
    <w:qFormat/>
    <w:uiPriority w:val="0"/>
    <w:pPr>
      <w:widowControl/>
      <w:spacing w:afterLines="50" w:line="360" w:lineRule="auto"/>
      <w:ind w:firstLine="480"/>
      <w:jc w:val="left"/>
    </w:pPr>
  </w:style>
  <w:style w:type="paragraph" w:customStyle="1" w:styleId="1262">
    <w:name w:val="Char Char2"/>
    <w:basedOn w:val="26"/>
    <w:qFormat/>
    <w:uiPriority w:val="0"/>
    <w:pPr>
      <w:spacing w:line="360" w:lineRule="auto"/>
      <w:ind w:firstLine="420"/>
    </w:pPr>
    <w:rPr>
      <w:rFonts w:ascii="Tahoma" w:hAnsi="Tahoma"/>
      <w:kern w:val="0"/>
      <w:sz w:val="24"/>
    </w:rPr>
  </w:style>
  <w:style w:type="paragraph" w:customStyle="1" w:styleId="1263">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264">
    <w:name w:val="xl3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65">
    <w:name w:val="彩色底纹 - 强调文字颜色 11"/>
    <w:qFormat/>
    <w:uiPriority w:val="71"/>
    <w:rPr>
      <w:rFonts w:ascii="Times New Roman" w:hAnsi="Times New Roman" w:eastAsia="宋体" w:cs="Times New Roman"/>
      <w:kern w:val="2"/>
      <w:sz w:val="21"/>
      <w:szCs w:val="24"/>
      <w:lang w:val="en-US" w:eastAsia="zh-CN" w:bidi="ar-SA"/>
    </w:rPr>
  </w:style>
  <w:style w:type="paragraph" w:customStyle="1" w:styleId="1266">
    <w:name w:val="书名"/>
    <w:basedOn w:val="815"/>
    <w:qFormat/>
    <w:uiPriority w:val="0"/>
    <w:rPr>
      <w:sz w:val="44"/>
    </w:rPr>
  </w:style>
  <w:style w:type="paragraph" w:customStyle="1" w:styleId="1267">
    <w:name w:val="Illustration"/>
    <w:basedOn w:val="22"/>
    <w:qFormat/>
    <w:uiPriority w:val="0"/>
    <w:pPr>
      <w:autoSpaceDN w:val="0"/>
      <w:adjustRightInd w:val="0"/>
      <w:spacing w:before="115" w:after="360" w:line="240" w:lineRule="auto"/>
      <w:ind w:firstLine="0"/>
      <w:jc w:val="center"/>
    </w:pPr>
    <w:rPr>
      <w:rFonts w:eastAsia="PMingLiU" w:cs="Tahoma"/>
      <w:b/>
      <w:iCs/>
      <w:lang w:val="en-GB" w:eastAsia="zh-TW"/>
    </w:rPr>
  </w:style>
  <w:style w:type="paragraph" w:customStyle="1" w:styleId="1268">
    <w:name w:val="*List Text"/>
    <w:basedOn w:val="164"/>
    <w:qFormat/>
    <w:uiPriority w:val="0"/>
    <w:pPr>
      <w:tabs>
        <w:tab w:val="left" w:pos="360"/>
        <w:tab w:val="left" w:pos="576"/>
        <w:tab w:val="right" w:leader="dot" w:pos="8640"/>
      </w:tabs>
      <w:suppressAutoHyphens/>
      <w:ind w:left="360" w:hanging="360"/>
    </w:pPr>
    <w:rPr>
      <w:sz w:val="18"/>
      <w:szCs w:val="18"/>
    </w:rPr>
  </w:style>
  <w:style w:type="paragraph" w:customStyle="1" w:styleId="1269">
    <w:name w:val="默认段落字体 Para Char Char Char Char Char Char Char Char Char Char Char Char Char"/>
    <w:basedOn w:val="26"/>
    <w:qFormat/>
    <w:uiPriority w:val="0"/>
    <w:pPr>
      <w:spacing w:line="360" w:lineRule="auto"/>
      <w:ind w:firstLine="420"/>
    </w:pPr>
    <w:rPr>
      <w:rFonts w:ascii="Tahoma" w:hAnsi="Tahoma"/>
      <w:kern w:val="0"/>
      <w:sz w:val="24"/>
    </w:rPr>
  </w:style>
  <w:style w:type="paragraph" w:customStyle="1" w:styleId="1270">
    <w:name w:val="Horizontal Line"/>
    <w:basedOn w:val="1"/>
    <w:next w:val="17"/>
    <w:qFormat/>
    <w:uiPriority w:val="0"/>
    <w:pPr>
      <w:pBdr>
        <w:bottom w:val="double" w:color="808080" w:sz="6" w:space="0"/>
      </w:pBdr>
      <w:autoSpaceDN w:val="0"/>
      <w:adjustRightInd w:val="0"/>
      <w:spacing w:after="283"/>
      <w:jc w:val="left"/>
    </w:pPr>
    <w:rPr>
      <w:rFonts w:ascii="Arial" w:hAnsi="Arial" w:eastAsia="PMingLiU"/>
      <w:kern w:val="0"/>
      <w:sz w:val="12"/>
      <w:szCs w:val="12"/>
      <w:lang w:val="en-GB" w:eastAsia="zh-TW"/>
    </w:rPr>
  </w:style>
  <w:style w:type="paragraph" w:customStyle="1" w:styleId="1271">
    <w:name w:val="SANGFOR_1_标题1"/>
    <w:basedOn w:val="2"/>
    <w:next w:val="225"/>
    <w:qFormat/>
    <w:uiPriority w:val="0"/>
    <w:pPr>
      <w:keepLines/>
      <w:tabs>
        <w:tab w:val="left" w:pos="1206"/>
        <w:tab w:val="left" w:pos="4253"/>
      </w:tabs>
      <w:spacing w:beforeLines="150" w:afterLines="50" w:line="240" w:lineRule="auto"/>
      <w:ind w:left="425" w:hanging="425"/>
    </w:pPr>
    <w:rPr>
      <w:rFonts w:ascii="宋体" w:hAnsi="宋体" w:eastAsia="宋体"/>
      <w:color w:val="auto"/>
      <w:kern w:val="44"/>
      <w:szCs w:val="32"/>
    </w:rPr>
  </w:style>
  <w:style w:type="paragraph" w:customStyle="1" w:styleId="1272">
    <w:name w:val="css"/>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273">
    <w:name w:val="Blockquote"/>
    <w:basedOn w:val="1"/>
    <w:qFormat/>
    <w:uiPriority w:val="0"/>
    <w:pPr>
      <w:autoSpaceDE w:val="0"/>
      <w:autoSpaceDN w:val="0"/>
      <w:adjustRightInd w:val="0"/>
      <w:spacing w:before="100" w:after="100"/>
      <w:ind w:left="360" w:right="360"/>
      <w:jc w:val="left"/>
    </w:pPr>
    <w:rPr>
      <w:rFonts w:eastAsia="??"/>
      <w:kern w:val="0"/>
      <w:sz w:val="24"/>
      <w:szCs w:val="28"/>
    </w:rPr>
  </w:style>
  <w:style w:type="paragraph" w:customStyle="1" w:styleId="1274">
    <w:name w:val="_Style 13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75">
    <w:name w:val="Heading 21"/>
    <w:basedOn w:val="102"/>
    <w:next w:val="102"/>
    <w:qFormat/>
    <w:uiPriority w:val="0"/>
    <w:pPr>
      <w:spacing w:after="120"/>
    </w:pPr>
    <w:rPr>
      <w:rFonts w:ascii="Futura-Book" w:hAnsi="Futura-Book" w:eastAsia="宋体" w:cs="Times New Roman"/>
      <w:color w:val="auto"/>
    </w:rPr>
  </w:style>
  <w:style w:type="paragraph" w:customStyle="1" w:styleId="1276">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77">
    <w:name w:val="样式 Arial 行距: 多倍行距 1.2 字行 首行缩进:  2 字符"/>
    <w:basedOn w:val="1"/>
    <w:qFormat/>
    <w:uiPriority w:val="0"/>
    <w:pPr>
      <w:spacing w:line="288" w:lineRule="auto"/>
      <w:ind w:firstLine="200" w:firstLineChars="200"/>
    </w:pPr>
    <w:rPr>
      <w:rFonts w:ascii="Arial" w:hAnsi="Arial" w:cs="宋体"/>
      <w:sz w:val="20"/>
      <w:szCs w:val="20"/>
    </w:rPr>
  </w:style>
  <w:style w:type="paragraph" w:customStyle="1" w:styleId="1278">
    <w:name w:val="列出段落111"/>
    <w:qFormat/>
    <w:uiPriority w:val="34"/>
    <w:pPr>
      <w:ind w:left="720"/>
    </w:pPr>
    <w:rPr>
      <w:rFonts w:ascii="Cambria" w:hAnsi="Cambria" w:eastAsia="ヒラギノ角ゴ Pro W3" w:cs="Times New Roman"/>
      <w:color w:val="000000"/>
      <w:sz w:val="24"/>
      <w:szCs w:val="24"/>
      <w:lang w:val="en-US" w:eastAsia="zh-CN" w:bidi="ar-SA"/>
    </w:rPr>
  </w:style>
  <w:style w:type="paragraph" w:customStyle="1" w:styleId="1279">
    <w:name w:val="表标题(小)"/>
    <w:basedOn w:val="1"/>
    <w:next w:val="32"/>
    <w:qFormat/>
    <w:uiPriority w:val="0"/>
    <w:pPr>
      <w:keepNext/>
      <w:tabs>
        <w:tab w:val="left" w:pos="0"/>
        <w:tab w:val="left" w:pos="390"/>
      </w:tabs>
      <w:autoSpaceDE w:val="0"/>
      <w:autoSpaceDN w:val="0"/>
      <w:adjustRightInd w:val="0"/>
      <w:snapToGrid w:val="0"/>
      <w:spacing w:line="360" w:lineRule="auto"/>
      <w:ind w:firstLine="425" w:firstLineChars="177"/>
      <w:jc w:val="left"/>
      <w:outlineLvl w:val="8"/>
    </w:pPr>
    <w:rPr>
      <w:rFonts w:ascii="宋体"/>
      <w:sz w:val="24"/>
    </w:rPr>
  </w:style>
  <w:style w:type="paragraph" w:customStyle="1" w:styleId="1280">
    <w:name w:val="xl3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rPr>
  </w:style>
  <w:style w:type="paragraph" w:customStyle="1" w:styleId="1281">
    <w:name w:val="Char Char Char Char Char Char1"/>
    <w:basedOn w:val="1"/>
    <w:qFormat/>
    <w:uiPriority w:val="0"/>
    <w:pPr>
      <w:widowControl/>
      <w:snapToGrid w:val="0"/>
      <w:spacing w:before="120" w:after="160" w:line="360" w:lineRule="auto"/>
      <w:ind w:right="-360" w:firstLine="420"/>
      <w:jc w:val="left"/>
    </w:pPr>
    <w:rPr>
      <w:rFonts w:ascii="Arial" w:hAnsi="Arial"/>
      <w:kern w:val="0"/>
      <w:sz w:val="24"/>
      <w:lang w:eastAsia="en-US"/>
    </w:rPr>
  </w:style>
  <w:style w:type="paragraph" w:customStyle="1" w:styleId="1282">
    <w:name w:val="样式 标题 3H3Heading 3 - oldH31H32H33H34H35H36H37H38H39H..."/>
    <w:basedOn w:val="4"/>
    <w:qFormat/>
    <w:uiPriority w:val="0"/>
    <w:pPr>
      <w:keepNext/>
      <w:tabs>
        <w:tab w:val="left" w:pos="0"/>
        <w:tab w:val="left" w:pos="210"/>
        <w:tab w:val="left" w:pos="900"/>
        <w:tab w:val="left" w:pos="1260"/>
        <w:tab w:val="left" w:pos="1440"/>
      </w:tabs>
      <w:autoSpaceDE/>
      <w:autoSpaceDN/>
      <w:snapToGrid/>
      <w:spacing w:before="240" w:after="120" w:line="360" w:lineRule="auto"/>
      <w:ind w:left="1440" w:hanging="720" w:firstLineChars="0"/>
      <w:jc w:val="left"/>
    </w:pPr>
    <w:rPr>
      <w:rFonts w:ascii="Microsoft Sans Serif" w:hAnsi="Microsoft Sans Serif" w:cs="宋体"/>
      <w:bCs/>
      <w:kern w:val="0"/>
      <w:sz w:val="24"/>
    </w:rPr>
  </w:style>
  <w:style w:type="paragraph" w:customStyle="1" w:styleId="1283">
    <w:name w:val="Alert Body Text"/>
    <w:qFormat/>
    <w:uiPriority w:val="0"/>
    <w:pPr>
      <w:keepLines/>
      <w:spacing w:after="40"/>
    </w:pPr>
    <w:rPr>
      <w:rFonts w:ascii="Times New Roman" w:hAnsi="Times New Roman" w:eastAsia="宋体" w:cs="Times New Roman"/>
      <w:sz w:val="22"/>
      <w:lang w:val="en-US" w:eastAsia="en-US" w:bidi="ar-SA"/>
    </w:rPr>
  </w:style>
  <w:style w:type="paragraph" w:customStyle="1" w:styleId="1284">
    <w:name w:val="列表内容"/>
    <w:basedOn w:val="1"/>
    <w:next w:val="1"/>
    <w:qFormat/>
    <w:uiPriority w:val="0"/>
    <w:pPr>
      <w:widowControl/>
      <w:tabs>
        <w:tab w:val="left" w:pos="360"/>
      </w:tabs>
      <w:spacing w:line="360" w:lineRule="auto"/>
      <w:jc w:val="left"/>
    </w:pPr>
    <w:rPr>
      <w:rFonts w:ascii="宋体" w:hAnsi="宋体"/>
      <w:kern w:val="0"/>
      <w:sz w:val="18"/>
    </w:rPr>
  </w:style>
  <w:style w:type="paragraph" w:customStyle="1" w:styleId="1285">
    <w:name w:val="2"/>
    <w:basedOn w:val="1"/>
    <w:qFormat/>
    <w:uiPriority w:val="0"/>
    <w:rPr>
      <w:rFonts w:ascii="Tahoma" w:hAnsi="Tahoma" w:eastAsia="??" w:cs="Tahoma"/>
      <w:sz w:val="24"/>
      <w:szCs w:val="28"/>
    </w:rPr>
  </w:style>
  <w:style w:type="paragraph" w:customStyle="1" w:styleId="1286">
    <w:name w:val="普通(网站)1"/>
    <w:basedOn w:val="1"/>
    <w:qFormat/>
    <w:uiPriority w:val="0"/>
    <w:pPr>
      <w:widowControl/>
      <w:jc w:val="left"/>
    </w:pPr>
    <w:rPr>
      <w:rFonts w:ascii="ˎ̥" w:hAnsi="ˎ̥" w:cs="宋体"/>
      <w:color w:val="000000"/>
      <w:kern w:val="0"/>
      <w:sz w:val="13"/>
      <w:szCs w:val="13"/>
    </w:rPr>
  </w:style>
  <w:style w:type="paragraph" w:customStyle="1" w:styleId="1287">
    <w:name w:val="xl34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288">
    <w:name w:val="xl214"/>
    <w:basedOn w:val="1"/>
    <w:qFormat/>
    <w:uiPriority w:val="0"/>
    <w:pPr>
      <w:pBdr>
        <w:top w:val="single" w:color="auto" w:sz="4" w:space="0"/>
        <w:left w:val="single" w:color="auto" w:sz="4" w:space="0"/>
        <w:bottom w:val="single" w:color="auto" w:sz="4" w:space="0"/>
        <w:right w:val="single" w:color="auto" w:sz="4" w:space="0"/>
      </w:pBdr>
      <w:shd w:val="clear" w:color="auto" w:fill="CCFFCC"/>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289">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290">
    <w:name w:val="Item Step"/>
    <w:basedOn w:val="1"/>
    <w:qFormat/>
    <w:uiPriority w:val="0"/>
    <w:pPr>
      <w:widowControl/>
      <w:tabs>
        <w:tab w:val="left" w:pos="482"/>
      </w:tabs>
      <w:snapToGrid w:val="0"/>
      <w:spacing w:before="80" w:after="80" w:line="300" w:lineRule="auto"/>
      <w:ind w:left="737" w:hanging="397"/>
    </w:pPr>
    <w:rPr>
      <w:rFonts w:ascii="Arial" w:hAnsi="Arial" w:cs="Arial"/>
      <w:kern w:val="0"/>
      <w:szCs w:val="21"/>
    </w:rPr>
  </w:style>
  <w:style w:type="paragraph" w:customStyle="1" w:styleId="1291">
    <w:name w:val="图解"/>
    <w:basedOn w:val="1"/>
    <w:next w:val="1"/>
    <w:qFormat/>
    <w:uiPriority w:val="0"/>
    <w:pPr>
      <w:tabs>
        <w:tab w:val="left" w:pos="0"/>
        <w:tab w:val="left" w:pos="390"/>
        <w:tab w:val="left" w:pos="540"/>
      </w:tabs>
      <w:autoSpaceDE w:val="0"/>
      <w:autoSpaceDN w:val="0"/>
      <w:adjustRightInd w:val="0"/>
      <w:snapToGrid w:val="0"/>
      <w:spacing w:before="120" w:after="120"/>
      <w:ind w:firstLine="425" w:firstLineChars="177"/>
      <w:jc w:val="left"/>
    </w:pPr>
    <w:rPr>
      <w:rFonts w:hAnsi="宋体"/>
      <w:sz w:val="24"/>
      <w:szCs w:val="20"/>
    </w:rPr>
  </w:style>
  <w:style w:type="paragraph" w:customStyle="1" w:styleId="1292">
    <w:name w:val="aspnumfaautoadjustrightr"/>
    <w:qFormat/>
    <w:uiPriority w:val="0"/>
    <w:pPr>
      <w:widowControl w:val="0"/>
      <w:autoSpaceDE w:val="0"/>
      <w:autoSpaceDN w:val="0"/>
      <w:adjustRightInd w:val="0"/>
      <w:ind w:firstLine="720"/>
      <w:jc w:val="both"/>
    </w:pPr>
    <w:rPr>
      <w:rFonts w:ascii="Times New Roman" w:hAnsi="Times New Roman" w:eastAsia="??" w:cs="Times New Roman"/>
      <w:sz w:val="24"/>
      <w:szCs w:val="28"/>
      <w:lang w:val="en-US" w:eastAsia="zh-CN" w:bidi="ar-SA"/>
    </w:rPr>
  </w:style>
  <w:style w:type="paragraph" w:customStyle="1" w:styleId="1293">
    <w:name w:val="~Heading 3"/>
    <w:next w:val="516"/>
    <w:qFormat/>
    <w:uiPriority w:val="0"/>
    <w:pPr>
      <w:keepNext/>
      <w:keepLines/>
      <w:spacing w:before="240" w:after="120"/>
      <w:outlineLvl w:val="3"/>
    </w:pPr>
    <w:rPr>
      <w:rFonts w:ascii="Arial" w:hAnsi="Arial" w:eastAsia="宋体" w:cs="Times New Roman"/>
      <w:b/>
      <w:color w:val="00637A"/>
      <w:sz w:val="24"/>
      <w:szCs w:val="24"/>
      <w:lang w:val="en-US" w:eastAsia="en-US" w:bidi="ar-SA"/>
    </w:rPr>
  </w:style>
  <w:style w:type="paragraph" w:customStyle="1" w:styleId="1294">
    <w:name w:val="表格和图形名称"/>
    <w:basedOn w:val="1"/>
    <w:next w:val="1"/>
    <w:qFormat/>
    <w:uiPriority w:val="0"/>
    <w:pPr>
      <w:widowControl/>
      <w:spacing w:afterLines="50" w:line="360" w:lineRule="auto"/>
      <w:ind w:firstLine="420"/>
      <w:jc w:val="center"/>
    </w:pPr>
    <w:rPr>
      <w:rFonts w:ascii="宋体" w:hAnsi="宋体"/>
      <w:kern w:val="0"/>
      <w:sz w:val="24"/>
      <w:szCs w:val="20"/>
    </w:rPr>
  </w:style>
  <w:style w:type="paragraph" w:customStyle="1" w:styleId="1295">
    <w:name w:val="yxy标题2"/>
    <w:basedOn w:val="1"/>
    <w:next w:val="1"/>
    <w:qFormat/>
    <w:uiPriority w:val="0"/>
    <w:pPr>
      <w:keepNext/>
      <w:spacing w:before="260" w:after="120" w:line="360" w:lineRule="auto"/>
      <w:outlineLvl w:val="1"/>
    </w:pPr>
    <w:rPr>
      <w:b/>
      <w:sz w:val="30"/>
      <w:szCs w:val="20"/>
    </w:rPr>
  </w:style>
  <w:style w:type="paragraph" w:customStyle="1" w:styleId="1296">
    <w:name w:val="*Bullet #3 Subtext Single"/>
    <w:basedOn w:val="550"/>
    <w:qFormat/>
    <w:uiPriority w:val="0"/>
    <w:pPr>
      <w:spacing w:after="0"/>
      <w:ind w:firstLine="0"/>
    </w:pPr>
  </w:style>
  <w:style w:type="paragraph" w:customStyle="1" w:styleId="129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8">
    <w:name w:val="默认段落字体 Para Char"/>
    <w:basedOn w:val="1"/>
    <w:qFormat/>
    <w:uiPriority w:val="0"/>
    <w:pPr>
      <w:tabs>
        <w:tab w:val="left" w:pos="454"/>
      </w:tabs>
      <w:ind w:firstLine="420"/>
    </w:pPr>
  </w:style>
  <w:style w:type="paragraph" w:customStyle="1" w:styleId="1299">
    <w:name w:val="xl19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00">
    <w:name w:val="xl6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301">
    <w:name w:val="p21"/>
    <w:basedOn w:val="1"/>
    <w:qFormat/>
    <w:uiPriority w:val="0"/>
    <w:pPr>
      <w:widowControl/>
      <w:spacing w:line="360" w:lineRule="auto"/>
      <w:ind w:firstLine="420"/>
    </w:pPr>
    <w:rPr>
      <w:rFonts w:ascii="Tahoma" w:hAnsi="Tahoma"/>
      <w:kern w:val="0"/>
      <w:sz w:val="24"/>
      <w:szCs w:val="20"/>
    </w:rPr>
  </w:style>
  <w:style w:type="paragraph" w:customStyle="1" w:styleId="1302">
    <w:name w:val="listitem"/>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1303">
    <w:name w:val="xl38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04">
    <w:name w:val="User Index 3"/>
    <w:basedOn w:val="46"/>
    <w:qFormat/>
    <w:uiPriority w:val="0"/>
    <w:pPr>
      <w:tabs>
        <w:tab w:val="right" w:leader="dot" w:pos="9746"/>
      </w:tabs>
      <w:ind w:left="566"/>
    </w:pPr>
  </w:style>
  <w:style w:type="paragraph" w:customStyle="1" w:styleId="1305">
    <w:name w:val="xl37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06">
    <w:name w:val="Char Char24 Char Char"/>
    <w:basedOn w:val="1"/>
    <w:qFormat/>
    <w:uiPriority w:val="0"/>
    <w:pPr>
      <w:tabs>
        <w:tab w:val="right" w:pos="-2120"/>
      </w:tabs>
      <w:snapToGrid w:val="0"/>
    </w:pPr>
    <w:rPr>
      <w:sz w:val="24"/>
    </w:rPr>
  </w:style>
  <w:style w:type="paragraph" w:customStyle="1" w:styleId="1307">
    <w:name w:val="xl107"/>
    <w:basedOn w:val="1"/>
    <w:qFormat/>
    <w:uiPriority w:val="0"/>
    <w:pPr>
      <w:pBdr>
        <w:top w:val="single" w:color="auto" w:sz="8" w:space="0"/>
        <w:left w:val="single" w:color="auto" w:sz="4" w:space="0"/>
        <w:bottom w:val="single" w:color="auto" w:sz="4" w:space="0"/>
        <w:right w:val="single" w:color="auto" w:sz="8" w:space="0"/>
      </w:pBdr>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kern w:val="0"/>
      <w:sz w:val="24"/>
    </w:rPr>
  </w:style>
  <w:style w:type="paragraph" w:customStyle="1" w:styleId="1308">
    <w:name w:val="font12"/>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customStyle="1" w:styleId="1309">
    <w:name w:val="xl6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left" w:pos="0"/>
        <w:tab w:val="left" w:pos="390"/>
      </w:tabs>
      <w:autoSpaceDE w:val="0"/>
      <w:autoSpaceDN w:val="0"/>
      <w:adjustRightInd w:val="0"/>
      <w:snapToGrid w:val="0"/>
      <w:spacing w:before="100" w:beforeAutospacing="1" w:after="100" w:afterAutospacing="1"/>
      <w:ind w:firstLine="425" w:firstLineChars="177"/>
      <w:jc w:val="left"/>
    </w:pPr>
    <w:rPr>
      <w:rFonts w:ascii="仿宋_GB2312" w:hAnsi="宋体" w:eastAsia="仿宋_GB2312" w:cs="宋体"/>
      <w:b/>
      <w:bCs/>
      <w:kern w:val="0"/>
      <w:sz w:val="24"/>
    </w:rPr>
  </w:style>
  <w:style w:type="paragraph" w:customStyle="1" w:styleId="1310">
    <w:name w:val="xl66"/>
    <w:basedOn w:val="1"/>
    <w:qFormat/>
    <w:uiPriority w:val="0"/>
    <w:pPr>
      <w:pBdr>
        <w:top w:val="single" w:color="auto" w:sz="4" w:space="0"/>
        <w:left w:val="single" w:color="auto" w:sz="8" w:space="0"/>
        <w:bottom w:val="single" w:color="auto" w:sz="4" w:space="0"/>
        <w:right w:val="single" w:color="auto" w:sz="4" w:space="0"/>
      </w:pBdr>
      <w:tabs>
        <w:tab w:val="left" w:pos="0"/>
        <w:tab w:val="left" w:pos="390"/>
      </w:tabs>
      <w:autoSpaceDE w:val="0"/>
      <w:autoSpaceDN w:val="0"/>
      <w:adjustRightInd w:val="0"/>
      <w:snapToGrid w:val="0"/>
      <w:spacing w:before="100" w:beforeAutospacing="1" w:after="100" w:afterAutospacing="1"/>
      <w:ind w:firstLine="425" w:firstLineChars="177"/>
      <w:jc w:val="left"/>
      <w:textAlignment w:val="bottom"/>
    </w:pPr>
    <w:rPr>
      <w:rFonts w:ascii="Arial" w:hAnsi="Arial" w:cs="Arial"/>
      <w:kern w:val="0"/>
      <w:sz w:val="24"/>
    </w:rPr>
  </w:style>
  <w:style w:type="paragraph" w:customStyle="1" w:styleId="1311">
    <w:name w:val="xl228"/>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312">
    <w:name w:val="xl362"/>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313">
    <w:name w:val="xl132"/>
    <w:basedOn w:val="1"/>
    <w:qFormat/>
    <w:uiPriority w:val="0"/>
    <w:pPr>
      <w:pBdr>
        <w:top w:val="single" w:color="auto" w:sz="4" w:space="0"/>
        <w:left w:val="single" w:color="auto" w:sz="4" w:space="0"/>
        <w:bottom w:val="single" w:color="auto" w:sz="4" w:space="0"/>
        <w:right w:val="single" w:color="auto" w:sz="4" w:space="0"/>
      </w:pBdr>
      <w:shd w:val="clear" w:color="auto" w:fill="99CCFF"/>
      <w:tabs>
        <w:tab w:val="left" w:pos="0"/>
        <w:tab w:val="left" w:pos="390"/>
      </w:tabs>
      <w:autoSpaceDE w:val="0"/>
      <w:autoSpaceDN w:val="0"/>
      <w:adjustRightInd w:val="0"/>
      <w:snapToGrid w:val="0"/>
      <w:spacing w:before="100" w:beforeAutospacing="1" w:after="100" w:afterAutospacing="1"/>
      <w:ind w:firstLine="425" w:firstLineChars="177"/>
      <w:jc w:val="left"/>
      <w:textAlignment w:val="center"/>
    </w:pPr>
    <w:rPr>
      <w:kern w:val="0"/>
      <w:sz w:val="24"/>
    </w:rPr>
  </w:style>
  <w:style w:type="paragraph" w:customStyle="1" w:styleId="1314">
    <w:name w:val="SideBar"/>
    <w:basedOn w:val="1"/>
    <w:qFormat/>
    <w:uiPriority w:val="0"/>
    <w:pPr>
      <w:widowControl/>
      <w:spacing w:before="120" w:line="360" w:lineRule="auto"/>
      <w:ind w:firstLine="420"/>
      <w:jc w:val="left"/>
    </w:pPr>
    <w:rPr>
      <w:rFonts w:ascii="New Century Schlbk" w:hAnsi="New Century Schlbk"/>
      <w:kern w:val="0"/>
      <w:sz w:val="22"/>
      <w:szCs w:val="20"/>
    </w:rPr>
  </w:style>
  <w:style w:type="paragraph" w:customStyle="1" w:styleId="1315">
    <w:name w:val="*Blind Paragraph"/>
    <w:basedOn w:val="53"/>
    <w:qFormat/>
    <w:uiPriority w:val="0"/>
    <w:pPr>
      <w:spacing w:line="360" w:lineRule="auto"/>
      <w:ind w:firstLine="420"/>
    </w:pPr>
    <w:rPr>
      <w:kern w:val="0"/>
    </w:rPr>
  </w:style>
  <w:style w:type="paragraph" w:customStyle="1" w:styleId="1316">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1317">
    <w:name w:val="项目圆"/>
    <w:basedOn w:val="1"/>
    <w:qFormat/>
    <w:uiPriority w:val="0"/>
    <w:pPr>
      <w:tabs>
        <w:tab w:val="left" w:pos="454"/>
        <w:tab w:val="left" w:pos="840"/>
      </w:tabs>
      <w:spacing w:beforeLines="50" w:afterLines="50" w:line="360" w:lineRule="auto"/>
      <w:ind w:left="425" w:hanging="425"/>
    </w:pPr>
  </w:style>
  <w:style w:type="paragraph" w:customStyle="1" w:styleId="1318">
    <w:name w:val="xl3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319">
    <w:name w:val="Heading 11"/>
    <w:basedOn w:val="102"/>
    <w:next w:val="102"/>
    <w:qFormat/>
    <w:uiPriority w:val="0"/>
    <w:pPr>
      <w:spacing w:after="240"/>
    </w:pPr>
    <w:rPr>
      <w:rFonts w:ascii="Futura-Book" w:hAnsi="Futura-Book" w:eastAsia="宋体" w:cs="Times New Roman"/>
      <w:color w:val="auto"/>
    </w:rPr>
  </w:style>
  <w:style w:type="paragraph" w:customStyle="1" w:styleId="1320">
    <w:name w:val="4级"/>
    <w:basedOn w:val="5"/>
    <w:qFormat/>
    <w:uiPriority w:val="0"/>
    <w:pPr>
      <w:keepNext/>
      <w:keepLines/>
      <w:widowControl w:val="0"/>
      <w:tabs>
        <w:tab w:val="left" w:pos="993"/>
      </w:tabs>
      <w:spacing w:beforeLines="50" w:after="170" w:line="376" w:lineRule="auto"/>
      <w:ind w:left="851" w:right="100" w:rightChars="100" w:hanging="851"/>
    </w:pPr>
    <w:rPr>
      <w:rFonts w:ascii="Cambria" w:hAnsi="Cambria"/>
      <w:b/>
      <w:bCs/>
      <w:kern w:val="2"/>
      <w:sz w:val="30"/>
      <w:szCs w:val="28"/>
    </w:rPr>
  </w:style>
  <w:style w:type="paragraph" w:customStyle="1" w:styleId="1321">
    <w:name w:val="纯文本2"/>
    <w:basedOn w:val="1322"/>
    <w:qFormat/>
    <w:uiPriority w:val="0"/>
    <w:pPr>
      <w:widowControl/>
      <w:jc w:val="left"/>
    </w:pPr>
    <w:rPr>
      <w:rFonts w:ascii="宋体" w:hAnsi="Courier New"/>
    </w:rPr>
  </w:style>
  <w:style w:type="paragraph" w:customStyle="1" w:styleId="1322">
    <w:name w:val="正文4"/>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23">
    <w:name w:val="正文首行缩进1"/>
    <w:basedOn w:val="17"/>
    <w:qFormat/>
    <w:uiPriority w:val="0"/>
    <w:pPr>
      <w:spacing w:before="100" w:beforeAutospacing="1"/>
      <w:ind w:firstLine="420" w:firstLineChars="100"/>
    </w:pPr>
  </w:style>
  <w:style w:type="table" w:customStyle="1" w:styleId="1324">
    <w:name w:val="Table Normal"/>
    <w:qFormat/>
    <w:uiPriority w:val="0"/>
    <w:tblPr>
      <w:tblCellMar>
        <w:top w:w="0" w:type="dxa"/>
        <w:left w:w="0" w:type="dxa"/>
        <w:bottom w:w="0" w:type="dxa"/>
        <w:right w:w="0" w:type="dxa"/>
      </w:tblCellMar>
    </w:tblPr>
  </w:style>
  <w:style w:type="table" w:customStyle="1" w:styleId="1325">
    <w:name w:val="中等深浅网格 1 - 强调文字颜色 22"/>
    <w:basedOn w:val="80"/>
    <w:qFormat/>
    <w:uiPriority w:val="0"/>
    <w:rPr>
      <w:szCs w:val="24"/>
    </w:rPr>
    <w:tcPr>
      <w:shd w:val="clear" w:color="auto" w:fill="EDF2F8"/>
    </w:tcPr>
    <w:tblStylePr w:type="firstRow">
      <w:rPr>
        <w:b/>
        <w:bCs/>
      </w:rPr>
      <w:tcPr>
        <w:tcBorders>
          <w:top w:val="nil"/>
          <w:left w:val="single" w:color="FFFFFF" w:sz="12" w:space="0"/>
          <w:bottom w:val="nil"/>
          <w:right w:val="nil"/>
          <w:insideH w:val="nil"/>
          <w:insideV w:val="nil"/>
          <w:tl2br w:val="nil"/>
          <w:tr2bl w:val="nil"/>
        </w:tcBorders>
        <w:shd w:val="clear" w:color="auto" w:fill="9E3A38"/>
      </w:tcPr>
    </w:tblStylePr>
    <w:tblStylePr w:type="lastRow">
      <w:rPr>
        <w:b/>
        <w:bCs/>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140</Pages>
  <Words>9488</Words>
  <Characters>10443</Characters>
  <Lines>786</Lines>
  <Paragraphs>221</Paragraphs>
  <TotalTime>2</TotalTime>
  <ScaleCrop>false</ScaleCrop>
  <LinksUpToDate>false</LinksUpToDate>
  <CharactersWithSpaces>10825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2026-05-11T00:27:00Z</dcterms:created>
  <dc:creator>GSS</dc:creator>
  <cp:lastModifiedBy>x</cp:lastModifiedBy>
  <cp:lastPrinted>2025-10-24T09:36:00Z</cp:lastPrinted>
  <dcterms:modified xsi:type="dcterms:W3CDTF">2026-05-12T05:43:37Z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F4F0D386E17A4FCA9E923697AFBF6086_13</vt:lpwstr>
  </property>
  <property fmtid="{D5CDD505-2E9C-101B-9397-08002B2CF9AE}" pid="4" name="KSOTemplateDocerSaveRecord">
    <vt:lpwstr>eyJoZGlkIjoiYjVlYWQzMTI5NGI1M2U0Y2FhMmUzYTU3ODQ0YWRiZmIiLCJ1c2VySWQiOiI2MjM4NTA5OTYifQ==</vt:lpwstr>
  </property>
</Properties>
</file>