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rPr>
      </w:pPr>
      <w:r>
        <w:rPr>
          <w:sz w:val="21"/>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5EFC0">
                            <w:pPr>
                              <w:jc w:val="center"/>
                              <w:rPr>
                                <w:rFonts w:hint="eastAsia"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鄯善县人民医院2026年中央医疗服务与保障能力提升(医疗卫生机构能力建设)补助资金(急诊科薄弱专科)采购项目-（急诊科信息化软件建设采购）</w:t>
                            </w:r>
                          </w:p>
                          <w:p w14:paraId="296511C7">
                            <w:pPr>
                              <w:jc w:val="center"/>
                              <w:rPr>
                                <w:rFonts w:hint="default"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（项目编号：SJX-2026-482）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2E65EFC0">
                      <w:pPr>
                        <w:jc w:val="center"/>
                        <w:rPr>
                          <w:rFonts w:hint="eastAsia"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鄯善县人民医院2026年中央医疗服务与保障能力提升(医疗卫生机构能力建设)补助资金(急诊科薄弱专科)采购项目-（急诊科信息化软件建设采购）</w:t>
                      </w:r>
                    </w:p>
                    <w:p w14:paraId="296511C7">
                      <w:pPr>
                        <w:jc w:val="center"/>
                        <w:rPr>
                          <w:rFonts w:hint="default"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（项目编号：SJX-2026-482）</w:t>
                      </w:r>
                    </w:p>
                  </w:txbxContent>
                </v:textbox>
              </v:shape>
            </w:pict>
          </mc:Fallback>
        </mc:AlternateContent>
      </w:r>
      <w:r>
        <w:rPr>
          <w:rFonts w:hint="eastAsia" w:eastAsiaTheme="minorEastAsia"/>
          <w:highlight w:val="none"/>
          <w:lang w:eastAsia="zh-CN"/>
        </w:rPr>
        <w:drawing>
          <wp:anchor distT="0" distB="0" distL="114300" distR="114300" simplePos="0" relativeHeight="251664384" behindDoc="0" locked="0" layoutInCell="1" allowOverlap="1">
            <wp:simplePos x="0" y="0"/>
            <wp:positionH relativeFrom="column">
              <wp:posOffset>2974975</wp:posOffset>
            </wp:positionH>
            <wp:positionV relativeFrom="page">
              <wp:posOffset>7449185</wp:posOffset>
            </wp:positionV>
            <wp:extent cx="1417320" cy="1410970"/>
            <wp:effectExtent l="0" t="0" r="5080" b="1143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6"/>
                    <a:srcRect l="22113" t="29394" r="21666" b="28715"/>
                    <a:stretch>
                      <a:fillRect/>
                    </a:stretch>
                  </pic:blipFill>
                  <pic:spPr>
                    <a:xfrm>
                      <a:off x="0" y="0"/>
                      <a:ext cx="1417320" cy="1410970"/>
                    </a:xfrm>
                    <a:prstGeom prst="rect">
                      <a:avLst/>
                    </a:prstGeom>
                  </pic:spPr>
                </pic:pic>
              </a:graphicData>
            </a:graphic>
          </wp:anchor>
        </w:drawing>
      </w:r>
      <w: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7769225" cy="10739755"/>
                    </a:xfrm>
                    <a:prstGeom prst="rect">
                      <a:avLst/>
                    </a:prstGeom>
                    <a:noFill/>
                    <a:ln>
                      <a:noFill/>
                    </a:ln>
                  </pic:spPr>
                </pic:pic>
              </a:graphicData>
            </a:graphic>
          </wp:anchor>
        </w:drawing>
      </w:r>
    </w:p>
    <w:p w14:paraId="6125EC80">
      <w:pPr>
        <w:rPr>
          <w:rFonts w:hint="eastAsia" w:ascii="仿宋_GB2312" w:hAnsi="仿宋_GB2312" w:eastAsia="仿宋_GB2312" w:cs="仿宋_GB2312"/>
        </w:rPr>
      </w:pPr>
    </w:p>
    <w:p w14:paraId="2E75FFF8">
      <w:pPr>
        <w:jc w:val="center"/>
        <w:rPr>
          <w:rFonts w:hint="eastAsia" w:ascii="仿宋_GB2312" w:hAnsi="仿宋_GB2312" w:eastAsia="仿宋_GB2312" w:cs="仿宋_GB2312"/>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2559050</wp:posOffset>
                </wp:positionV>
                <wp:extent cx="7130415" cy="11931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789F">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01.5pt;height:93.95pt;width:561.45pt;z-index:251662336;mso-width-relative:page;mso-height-relative:page;" filled="f" stroked="f" coordsize="21600,21600" o:gfxdata="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EveV3QAAAAwBAAAPAAAAAAAAAAEAIAAAACIA&#10;AABkcnMvZG93bnJldi54bWxQSwECFAAUAAAACACHTuJAh43KvD0CAABpBAAADgAAAAAAAAABACAA&#10;AAAsAQAAZHJzL2Uyb0RvYy54bWxQSwUGAAAAAAYABgBZAQAA2wUAAAAA&#10;">
                <v:fill on="f" focussize="0,0"/>
                <v:stroke on="f" weight="0.5pt"/>
                <v:imagedata o:title=""/>
                <o:lock v:ext="edit" aspectratio="f"/>
                <v:textbox>
                  <w:txbxContent>
                    <w:p w14:paraId="3856789F">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采购人：鄯善县人民医院（盖章）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日期：2026年6月8日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3360;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采购人：鄯善县人民医院（盖章）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日期：2026年6月8日</w:t>
                      </w:r>
                    </w:p>
                  </w:txbxContent>
                </v:textbox>
              </v:shape>
            </w:pict>
          </mc:Fallback>
        </mc:AlternateContent>
      </w:r>
    </w:p>
    <w:p w14:paraId="0F027646">
      <w:pPr>
        <w:jc w:val="center"/>
        <w:rPr>
          <w:rFonts w:hint="eastAsia" w:ascii="仿宋_GB2312" w:hAnsi="仿宋_GB2312" w:eastAsia="仿宋_GB2312" w:cs="仿宋_GB2312"/>
          <w:sz w:val="32"/>
          <w:szCs w:val="32"/>
        </w:rPr>
      </w:pPr>
    </w:p>
    <w:p w14:paraId="09DCD6E5">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目  录</w:t>
      </w:r>
    </w:p>
    <w:sdt>
      <w:sdtPr>
        <w:rPr>
          <w:rFonts w:ascii="宋体" w:hAnsi="宋体" w:eastAsia="宋体" w:cstheme="minorBidi"/>
          <w:kern w:val="2"/>
          <w:sz w:val="21"/>
          <w:szCs w:val="24"/>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lang w:val="en-US" w:eastAsia="zh-CN" w:bidi="ar-SA"/>
        </w:rPr>
      </w:sdtEndPr>
      <w:sdtContent>
        <w:p w14:paraId="6A689BAA">
          <w:pPr>
            <w:spacing w:before="0" w:beforeLines="0" w:after="0" w:afterLines="0" w:line="240" w:lineRule="auto"/>
            <w:ind w:left="0" w:leftChars="0" w:right="0" w:rightChars="0" w:firstLine="0" w:firstLineChars="0"/>
            <w:jc w:val="center"/>
          </w:pPr>
        </w:p>
        <w:p w14:paraId="7592144E">
          <w:pPr>
            <w:pStyle w:val="34"/>
            <w:tabs>
              <w:tab w:val="right" w:leader="dot" w:pos="8306"/>
            </w:tabs>
            <w:rPr>
              <w:b/>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"1-2" \h \u </w:instrText>
          </w:r>
          <w:r>
            <w:rPr>
              <w:rFonts w:hint="eastAsia" w:ascii="仿宋_GB2312" w:hAnsi="仿宋_GB2312" w:eastAsia="仿宋_GB2312" w:cs="仿宋_GB2312"/>
              <w:sz w:val="32"/>
              <w:szCs w:val="32"/>
            </w:rPr>
            <w:fldChar w:fldCharType="separate"/>
          </w:r>
        </w:p>
        <w:p w14:paraId="52CEF569">
          <w:pPr>
            <w:pStyle w:val="3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_Toc11868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 xml:space="preserve">第一章 </w:t>
          </w:r>
          <w:r>
            <w:rPr>
              <w:rFonts w:hint="eastAsia" w:ascii="仿宋_GB2312" w:hAnsi="仿宋_GB2312" w:eastAsia="仿宋_GB2312" w:cs="仿宋_GB2312"/>
              <w:b/>
              <w:sz w:val="24"/>
              <w:szCs w:val="24"/>
              <w:lang w:val="en-US" w:eastAsia="zh-CN"/>
            </w:rPr>
            <w:t>公开招标公告</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_Toc11868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1</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3EB46A83">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_Toc21739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一、项目基本情况</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_Toc21739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B817CA2">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_Toc15364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二、申请人的资格要求：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_Toc15364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6D8F61E">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_Toc29084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三、获取招标文件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_Toc29084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899C993">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_Toc24224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_Toc24224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D5C2611">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_Toc17115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五、公告期限</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_Toc17115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1B65F33">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_Toc22084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六、其他补充事宜</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_Toc22084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CF67833">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_Toc21999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七、对本次采购提出询问，请按以下方式联系</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_Toc21999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FBDB8BB">
          <w:pPr>
            <w:pStyle w:val="3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_Toc31403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第二章 投标须知前附表</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_Toc31403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4</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314886B9">
          <w:pPr>
            <w:pStyle w:val="3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_Toc27881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第三章 投标人须知</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_Toc27881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9</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6A4AC209">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_Toc20936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一、 说 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_Toc20936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B84BF4F">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_Toc6547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二、 招标文件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_Toc6547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361CDE2">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_Toc9070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三、 投标文件的编制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_Toc9070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46A2B0B">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_Toc21719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四、 投标文件的提交</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_Toc21719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CC1931D">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_Toc15263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五、 开标、资格审查及评标</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_Toc15263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154ABE2">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_Toc7787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六、 确定中标</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_Toc7787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8A80C63">
          <w:pPr>
            <w:pStyle w:val="3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_Toc22543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第四章 政府采购合同</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_Toc22543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26</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18D7154D">
          <w:pPr>
            <w:pStyle w:val="3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_Toc20159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第五章 采购需求</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_Toc20159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32</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7BC1176F">
          <w:pPr>
            <w:pStyle w:val="3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_Toc21893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第六章 评标程序、评标方法和评标标准</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_Toc21893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49</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0665BF8B">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_Toc27440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1. 评标方法</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_Toc27440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E14A503">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_Toc12617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2. 评标原则</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_Toc12617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E2AA71F">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_Toc6046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3. 资格审查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_Toc6046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B7DFE3F">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_Toc4337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4. 符合性审查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_Toc4337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6B18D9A">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_Toc23924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5. 投标文件有关事项的澄清或者说明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_Toc23924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D476681">
          <w:pPr>
            <w:pStyle w:val="3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_Toc22049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6. 详细评审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_Toc22049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E2940CA">
          <w:pPr>
            <w:pStyle w:val="3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_Toc31337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第七章 投标文件格式</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_Toc31337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61</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039B5540">
          <w:pPr>
            <w:pStyle w:val="35"/>
            <w:tabs>
              <w:tab w:val="right" w:leader="dot" w:pos="8306"/>
            </w:tabs>
          </w:pPr>
        </w:p>
        <w:p w14:paraId="1409214F">
          <w:pPr>
            <w:jc w:val="both"/>
            <w:rPr>
              <w:rFonts w:hint="eastAsia" w:ascii="仿宋_GB2312" w:hAnsi="仿宋_GB2312" w:eastAsia="仿宋_GB2312" w:cs="仿宋_GB2312"/>
              <w:sz w:val="32"/>
              <w:szCs w:val="32"/>
            </w:rPr>
          </w:pPr>
          <w:r>
            <w:rPr>
              <w:rFonts w:hint="eastAsia" w:ascii="仿宋_GB2312" w:hAnsi="仿宋_GB2312" w:eastAsia="仿宋_GB2312" w:cs="仿宋_GB2312"/>
              <w:b/>
              <w:szCs w:val="32"/>
            </w:rPr>
            <w:fldChar w:fldCharType="end"/>
          </w:r>
        </w:p>
      </w:sdtContent>
    </w:sdt>
    <w:p w14:paraId="5FC6BE31">
      <w:pPr>
        <w:pStyle w:val="3"/>
        <w:numPr>
          <w:ilvl w:val="0"/>
          <w:numId w:val="2"/>
        </w:numPr>
        <w:bidi w:val="0"/>
        <w:jc w:val="center"/>
        <w:rPr>
          <w:rFonts w:hint="eastAsia" w:ascii="仿宋_GB2312" w:hAnsi="仿宋_GB2312" w:eastAsia="仿宋_GB2312" w:cs="仿宋_GB2312"/>
          <w:sz w:val="32"/>
          <w:szCs w:val="32"/>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0B2D058C">
      <w:pPr>
        <w:pStyle w:val="3"/>
        <w:numPr>
          <w:ilvl w:val="0"/>
          <w:numId w:val="2"/>
        </w:numPr>
        <w:bidi w:val="0"/>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val="en-US" w:eastAsia="zh-CN"/>
        </w:rPr>
        <w:t>招标</w:t>
      </w:r>
      <w:r>
        <w:rPr>
          <w:rFonts w:hint="eastAsia" w:ascii="方正小标宋简体" w:hAnsi="方正小标宋简体" w:eastAsia="方正小标宋简体" w:cs="方正小标宋简体"/>
          <w:sz w:val="32"/>
          <w:szCs w:val="32"/>
        </w:rPr>
        <w:t>公告</w:t>
      </w:r>
      <w:bookmarkEnd w:id="0"/>
    </w:p>
    <w:p w14:paraId="127A32B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1" w:name="_Toc21739"/>
      <w:r>
        <w:rPr>
          <w:rFonts w:hint="eastAsia" w:ascii="仿宋_GB2312" w:hAnsi="仿宋_GB2312" w:eastAsia="仿宋_GB2312" w:cs="仿宋_GB2312"/>
          <w:b/>
          <w:bCs/>
          <w:sz w:val="24"/>
          <w:szCs w:val="24"/>
          <w:highlight w:val="none"/>
        </w:rPr>
        <w:t>一、项目基本情况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项目编号：SJX-2026-482</w:t>
      </w:r>
    </w:p>
    <w:p w14:paraId="0895833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项目名称：鄯善县人民医院2026年中央医疗服务与保障能力提升(医疗卫生机构能力建设)补助资金(急诊科薄弱专科)采购项目</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lang w:eastAsia="zh-CN"/>
        </w:rPr>
        <w:t>（急诊科信息化软件建设采购）</w:t>
      </w:r>
    </w:p>
    <w:p w14:paraId="549357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采购方式：公开招标</w:t>
      </w:r>
    </w:p>
    <w:p w14:paraId="4A20AE7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1000000</w:t>
      </w:r>
    </w:p>
    <w:p w14:paraId="3BC234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最高限价（元）：</w:t>
      </w:r>
      <w:r>
        <w:rPr>
          <w:rFonts w:hint="eastAsia" w:ascii="仿宋_GB2312" w:hAnsi="仿宋_GB2312" w:eastAsia="仿宋_GB2312" w:cs="仿宋_GB2312"/>
          <w:sz w:val="24"/>
          <w:szCs w:val="24"/>
          <w:highlight w:val="none"/>
          <w:lang w:val="en-US" w:eastAsia="zh-CN"/>
        </w:rPr>
        <w:t>1000000</w:t>
      </w:r>
    </w:p>
    <w:p w14:paraId="52CD09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采购需求：急诊科信息化软件建设，具体内容详见本项目采购需求。 </w:t>
      </w:r>
    </w:p>
    <w:p w14:paraId="3A591B4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3EBE63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合同履约期限：</w:t>
      </w:r>
      <w:r>
        <w:rPr>
          <w:rFonts w:hint="eastAsia" w:ascii="仿宋_GB2312" w:hAnsi="仿宋_GB2312" w:eastAsia="仿宋_GB2312" w:cs="仿宋_GB2312"/>
          <w:sz w:val="24"/>
          <w:szCs w:val="24"/>
          <w:highlight w:val="none"/>
          <w:lang w:val="en-US" w:eastAsia="zh-CN"/>
        </w:rPr>
        <w:t>具体以合同签订为准</w:t>
      </w:r>
    </w:p>
    <w:p w14:paraId="422FF3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本项目（</w:t>
      </w:r>
      <w:r>
        <w:rPr>
          <w:rFonts w:hint="eastAsia" w:ascii="仿宋_GB2312" w:hAnsi="仿宋_GB2312" w:eastAsia="仿宋_GB2312" w:cs="仿宋_GB2312"/>
          <w:b/>
          <w:bCs/>
          <w:sz w:val="24"/>
          <w:szCs w:val="24"/>
          <w:highlight w:val="none"/>
          <w:lang w:val="en-US" w:eastAsia="zh-CN"/>
        </w:rPr>
        <w:t>否</w:t>
      </w:r>
      <w:r>
        <w:rPr>
          <w:rFonts w:hint="eastAsia" w:ascii="仿宋_GB2312" w:hAnsi="仿宋_GB2312" w:eastAsia="仿宋_GB2312" w:cs="仿宋_GB2312"/>
          <w:b/>
          <w:bCs/>
          <w:sz w:val="24"/>
          <w:szCs w:val="24"/>
          <w:highlight w:val="none"/>
        </w:rPr>
        <w:t>）接受联合体投标。</w:t>
      </w:r>
    </w:p>
    <w:p w14:paraId="039242B7">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2" w:name="_Toc15364"/>
      <w:r>
        <w:rPr>
          <w:rFonts w:hint="eastAsia" w:ascii="仿宋_GB2312" w:hAnsi="仿宋_GB2312" w:eastAsia="仿宋_GB2312" w:cs="仿宋_GB2312"/>
          <w:b/>
          <w:bCs/>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2.落</w:t>
      </w:r>
      <w:r>
        <w:rPr>
          <w:rFonts w:hint="eastAsia" w:ascii="仿宋_GB2312" w:hAnsi="仿宋_GB2312" w:eastAsia="仿宋_GB2312" w:cs="仿宋_GB2312"/>
          <w:sz w:val="24"/>
          <w:szCs w:val="24"/>
          <w:highlight w:val="none"/>
          <w:lang w:eastAsia="zh-CN"/>
        </w:rPr>
        <w:t>实政府采购政策需满足的资格要求：</w:t>
      </w:r>
      <w:r>
        <w:rPr>
          <w:rFonts w:hint="eastAsia" w:ascii="仿宋_GB2312" w:hAnsi="仿宋_GB2312" w:eastAsia="仿宋_GB2312" w:cs="仿宋_GB2312"/>
          <w:sz w:val="24"/>
          <w:szCs w:val="24"/>
          <w:highlight w:val="none"/>
          <w:lang w:val="en-US" w:eastAsia="zh-CN"/>
        </w:rPr>
        <w:t>本项目专门面向中小企业采购</w:t>
      </w:r>
    </w:p>
    <w:p w14:paraId="1A71602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3.本项目的特定资格要求：</w:t>
      </w:r>
    </w:p>
    <w:p w14:paraId="1EE861B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DB39C9A">
      <w:pPr>
        <w:pStyle w:val="24"/>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仿宋_GB2312" w:hAnsi="仿宋_GB2312" w:eastAsia="仿宋_GB2312" w:cs="仿宋_GB2312"/>
          <w:b/>
          <w:bCs/>
          <w:sz w:val="24"/>
          <w:szCs w:val="24"/>
          <w:lang w:eastAsia="zh-CN"/>
        </w:rPr>
        <w:t>。</w:t>
      </w:r>
    </w:p>
    <w:p w14:paraId="7DE7DE3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yellow"/>
        </w:rPr>
      </w:pPr>
    </w:p>
    <w:p w14:paraId="78DF098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rPr>
      </w:pPr>
      <w:bookmarkStart w:id="3" w:name="_Toc29084"/>
      <w:r>
        <w:rPr>
          <w:rFonts w:hint="eastAsia" w:ascii="仿宋_GB2312" w:hAnsi="仿宋_GB2312" w:eastAsia="仿宋_GB2312" w:cs="仿宋_GB2312"/>
          <w:b/>
          <w:bCs/>
          <w:sz w:val="24"/>
          <w:szCs w:val="24"/>
        </w:rPr>
        <w:t>三、获取招标文件</w:t>
      </w:r>
      <w:bookmarkEnd w:id="3"/>
    </w:p>
    <w:p w14:paraId="1D82BDC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时间：</w:t>
      </w:r>
      <w:r>
        <w:rPr>
          <w:rFonts w:hint="eastAsia" w:ascii="仿宋_GB2312" w:hAnsi="仿宋_GB2312" w:eastAsia="仿宋_GB2312" w:cs="仿宋_GB2312"/>
          <w:sz w:val="24"/>
          <w:szCs w:val="24"/>
          <w:highlight w:val="none"/>
        </w:rPr>
        <w:t>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9</w:t>
      </w:r>
      <w:r>
        <w:rPr>
          <w:rFonts w:hint="eastAsia" w:ascii="仿宋_GB2312" w:hAnsi="仿宋_GB2312" w:eastAsia="仿宋_GB2312" w:cs="仿宋_GB2312"/>
          <w:sz w:val="24"/>
          <w:szCs w:val="24"/>
          <w:highlight w:val="none"/>
        </w:rPr>
        <w:t>日至202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16</w:t>
      </w:r>
      <w:r>
        <w:rPr>
          <w:rFonts w:hint="eastAsia" w:ascii="仿宋_GB2312" w:hAnsi="仿宋_GB2312" w:eastAsia="仿宋_GB2312" w:cs="仿宋_GB2312"/>
          <w:sz w:val="24"/>
          <w:szCs w:val="24"/>
          <w:highlight w:val="none"/>
        </w:rPr>
        <w:t>日，每天上午0</w:t>
      </w:r>
      <w:r>
        <w:rPr>
          <w:rFonts w:hint="eastAsia" w:ascii="仿宋_GB2312" w:hAnsi="仿宋_GB2312" w:eastAsia="仿宋_GB2312" w:cs="仿宋_GB2312"/>
          <w:sz w:val="24"/>
          <w:szCs w:val="24"/>
          <w:highlight w:val="none"/>
          <w:lang w:val="en-US" w:eastAsia="zh-CN"/>
        </w:rPr>
        <w:t>0</w:t>
      </w:r>
      <w:r>
        <w:rPr>
          <w:rFonts w:hint="eastAsia" w:ascii="仿宋_GB2312" w:hAnsi="仿宋_GB2312" w:eastAsia="仿宋_GB2312" w:cs="仿宋_GB2312"/>
          <w:sz w:val="24"/>
          <w:szCs w:val="24"/>
          <w:highlight w:val="none"/>
        </w:rPr>
        <w:t>:00至</w:t>
      </w:r>
      <w:r>
        <w:rPr>
          <w:rFonts w:hint="eastAsia" w:ascii="仿宋_GB2312" w:hAnsi="仿宋_GB2312" w:eastAsia="仿宋_GB2312" w:cs="仿宋_GB2312"/>
          <w:sz w:val="24"/>
          <w:szCs w:val="24"/>
          <w:highlight w:val="none"/>
          <w:lang w:val="en-US" w:eastAsia="zh-CN"/>
        </w:rPr>
        <w:t>14</w:t>
      </w:r>
      <w:r>
        <w:rPr>
          <w:rFonts w:hint="eastAsia" w:ascii="仿宋_GB2312" w:hAnsi="仿宋_GB2312" w:eastAsia="仿宋_GB2312" w:cs="仿宋_GB2312"/>
          <w:sz w:val="24"/>
          <w:szCs w:val="24"/>
          <w:highlight w:val="none"/>
        </w:rPr>
        <w:t>:00，下午</w:t>
      </w:r>
      <w:r>
        <w:rPr>
          <w:rFonts w:hint="eastAsia" w:ascii="仿宋_GB2312" w:hAnsi="仿宋_GB2312" w:eastAsia="仿宋_GB2312" w:cs="仿宋_GB2312"/>
          <w:sz w:val="24"/>
          <w:szCs w:val="24"/>
          <w:highlight w:val="none"/>
          <w:lang w:val="en-US" w:eastAsia="zh-CN"/>
        </w:rPr>
        <w:t>14</w:t>
      </w:r>
      <w:r>
        <w:rPr>
          <w:rFonts w:hint="eastAsia" w:ascii="仿宋_GB2312" w:hAnsi="仿宋_GB2312" w:eastAsia="仿宋_GB2312" w:cs="仿宋_GB2312"/>
          <w:sz w:val="24"/>
          <w:szCs w:val="24"/>
          <w:highlight w:val="none"/>
        </w:rPr>
        <w:t>:00至</w:t>
      </w:r>
      <w:r>
        <w:rPr>
          <w:rFonts w:hint="eastAsia" w:ascii="仿宋_GB2312" w:hAnsi="仿宋_GB2312" w:eastAsia="仿宋_GB2312" w:cs="仿宋_GB2312"/>
          <w:sz w:val="24"/>
          <w:szCs w:val="24"/>
          <w:highlight w:val="none"/>
          <w:lang w:val="en-US" w:eastAsia="zh-CN"/>
        </w:rPr>
        <w:t>23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59</w:t>
      </w:r>
      <w:r>
        <w:rPr>
          <w:rFonts w:hint="eastAsia" w:ascii="仿宋_GB2312" w:hAnsi="仿宋_GB2312" w:eastAsia="仿宋_GB2312" w:cs="仿宋_GB2312"/>
          <w:sz w:val="24"/>
          <w:szCs w:val="24"/>
          <w:highlight w:val="none"/>
        </w:rPr>
        <w:t>（北京时间，法定节假日除外）</w:t>
      </w:r>
    </w:p>
    <w:p w14:paraId="7E5B54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方式：供应商登录政采云平台https://www.zcygov.cn/在线申请获取采购文件（进入“项目采购”应用，在获取采购文件菜单中选择项目，申请获取采购文件）本次招标不提供纸质版招标文件。</w:t>
      </w:r>
    </w:p>
    <w:p w14:paraId="6A1973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4" w:name="_Toc24224"/>
      <w:r>
        <w:rPr>
          <w:rFonts w:hint="eastAsia" w:ascii="仿宋_GB2312" w:hAnsi="仿宋_GB2312" w:eastAsia="仿宋_GB2312" w:cs="仿宋_GB2312"/>
          <w:b/>
          <w:bCs/>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提交投标文件截止时间：202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30</w:t>
      </w:r>
      <w:r>
        <w:rPr>
          <w:rFonts w:hint="eastAsia" w:ascii="仿宋_GB2312" w:hAnsi="仿宋_GB2312" w:eastAsia="仿宋_GB2312" w:cs="仿宋_GB2312"/>
          <w:sz w:val="24"/>
          <w:szCs w:val="24"/>
          <w:highlight w:val="none"/>
        </w:rPr>
        <w:t>日</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00</w:t>
      </w:r>
      <w:r>
        <w:rPr>
          <w:rFonts w:hint="eastAsia" w:ascii="仿宋_GB2312" w:hAnsi="仿宋_GB2312" w:eastAsia="仿宋_GB2312" w:cs="仿宋_GB2312"/>
          <w:sz w:val="24"/>
          <w:szCs w:val="24"/>
          <w:highlight w:val="none"/>
        </w:rPr>
        <w:t>（北京时间）</w:t>
      </w:r>
    </w:p>
    <w:p w14:paraId="45665C6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开标时间：202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30</w:t>
      </w:r>
      <w:r>
        <w:rPr>
          <w:rFonts w:hint="eastAsia" w:ascii="仿宋_GB2312" w:hAnsi="仿宋_GB2312" w:eastAsia="仿宋_GB2312" w:cs="仿宋_GB2312"/>
          <w:sz w:val="24"/>
          <w:szCs w:val="24"/>
          <w:highlight w:val="none"/>
        </w:rPr>
        <w:t>日</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00</w:t>
      </w:r>
      <w:r>
        <w:rPr>
          <w:rFonts w:hint="eastAsia" w:ascii="仿宋_GB2312" w:hAnsi="仿宋_GB2312" w:eastAsia="仿宋_GB2312" w:cs="仿宋_GB2312"/>
          <w:sz w:val="24"/>
          <w:szCs w:val="24"/>
          <w:highlight w:val="none"/>
        </w:rPr>
        <w:t>（北京时间）</w:t>
      </w:r>
    </w:p>
    <w:p w14:paraId="43D876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5" w:name="_Toc17115"/>
      <w:r>
        <w:rPr>
          <w:rFonts w:hint="eastAsia" w:ascii="仿宋_GB2312" w:hAnsi="仿宋_GB2312" w:eastAsia="仿宋_GB2312" w:cs="仿宋_GB2312"/>
          <w:b/>
          <w:bCs/>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6" w:name="_Toc22084"/>
      <w:r>
        <w:rPr>
          <w:rFonts w:hint="eastAsia" w:ascii="仿宋_GB2312" w:hAnsi="仿宋_GB2312" w:eastAsia="仿宋_GB2312" w:cs="仿宋_GB2312"/>
          <w:b/>
          <w:bCs/>
          <w:sz w:val="24"/>
          <w:szCs w:val="24"/>
          <w:highlight w:val="none"/>
        </w:rPr>
        <w:t>六、其他补充事宜</w:t>
      </w:r>
      <w:bookmarkEnd w:id="6"/>
    </w:p>
    <w:p w14:paraId="23274B1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b/>
          <w:bCs/>
          <w:sz w:val="24"/>
          <w:szCs w:val="24"/>
        </w:rPr>
        <w:t>关于本项目所有公告、公示在</w:t>
      </w:r>
      <w:r>
        <w:rPr>
          <w:rFonts w:hint="eastAsia" w:ascii="仿宋_GB2312" w:hAnsi="仿宋_GB2312" w:eastAsia="仿宋_GB2312" w:cs="仿宋_GB2312"/>
          <w:b/>
          <w:bCs/>
          <w:sz w:val="24"/>
          <w:szCs w:val="24"/>
          <w:highlight w:val="none"/>
        </w:rPr>
        <w:t>新疆政府采购网</w:t>
      </w:r>
      <w:r>
        <w:rPr>
          <w:rFonts w:hint="eastAsia" w:ascii="仿宋_GB2312" w:hAnsi="仿宋_GB2312" w:eastAsia="仿宋_GB2312" w:cs="仿宋_GB2312"/>
          <w:b/>
          <w:bCs/>
          <w:sz w:val="24"/>
          <w:szCs w:val="24"/>
        </w:rPr>
        <w:t>发布。</w:t>
      </w:r>
    </w:p>
    <w:p w14:paraId="1DECD39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2、请投标单位随时关注本项目的澄清、答疑、变更事项。</w:t>
      </w:r>
    </w:p>
    <w:p w14:paraId="7B65356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3、本项目实行电子招投标，供应商须登录政采云平台申请获取招标文件，并通过政采云电子投标客户端制作响应文件，同时自行承担与投标有关的一切费用。</w:t>
      </w:r>
    </w:p>
    <w:p w14:paraId="7976112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4、各供应商应在开标前确保成为</w:t>
      </w:r>
      <w:r>
        <w:rPr>
          <w:rFonts w:hint="eastAsia" w:ascii="仿宋_GB2312" w:hAnsi="仿宋_GB2312" w:eastAsia="仿宋_GB2312" w:cs="仿宋_GB2312"/>
          <w:b/>
          <w:bCs/>
          <w:sz w:val="24"/>
          <w:szCs w:val="24"/>
        </w:rPr>
        <w:t>新疆政府采购网</w:t>
      </w:r>
      <w:r>
        <w:rPr>
          <w:rFonts w:hint="eastAsia" w:ascii="仿宋_GB2312" w:hAnsi="仿宋_GB2312" w:eastAsia="仿宋_GB2312" w:cs="仿宋_GB2312"/>
          <w:sz w:val="24"/>
          <w:szCs w:val="24"/>
        </w:rPr>
        <w:t>正式注册入库供应商，并完成CA数字证书申领。因未注册入库、未办理CA数字证书等原因造成无法投标或投标失败等后果由供应商自行承担。</w:t>
      </w:r>
    </w:p>
    <w:p w14:paraId="1ED260C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rPr>
      </w:pPr>
      <w:bookmarkStart w:id="7" w:name="_Toc21999"/>
      <w:r>
        <w:rPr>
          <w:rFonts w:hint="eastAsia" w:ascii="仿宋_GB2312" w:hAnsi="仿宋_GB2312" w:eastAsia="仿宋_GB2312" w:cs="仿宋_GB2312"/>
          <w:b/>
          <w:bCs/>
          <w:sz w:val="24"/>
          <w:szCs w:val="24"/>
        </w:rPr>
        <w:t>七、对本次采购提出询问，请按以下方式联系</w:t>
      </w:r>
      <w:bookmarkEnd w:id="7"/>
    </w:p>
    <w:p w14:paraId="30B196B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1.采购人信息</w:t>
      </w:r>
    </w:p>
    <w:p w14:paraId="6C3D0FE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 称：鄯善县人民医院</w:t>
      </w:r>
    </w:p>
    <w:p w14:paraId="2B94D2F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 址：吐鲁番市鄯善县新城东路897号</w:t>
      </w:r>
    </w:p>
    <w:p w14:paraId="7388D0E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联系方式：周娟 0995-8381234、13899326118</w:t>
      </w:r>
    </w:p>
    <w:p w14:paraId="000595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2.采购代理机构信息</w:t>
      </w:r>
    </w:p>
    <w:p w14:paraId="573E919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 称：新疆世纪星工程咨询有限公司</w:t>
      </w:r>
    </w:p>
    <w:p w14:paraId="01D1FDF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 址：乌鲁木齐经济技术开发区二期黄山街一品九点阳光德港大厦B座20楼</w:t>
      </w:r>
    </w:p>
    <w:p w14:paraId="7B64BBC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项目联系人：</w:t>
      </w:r>
      <w:r>
        <w:rPr>
          <w:rFonts w:hint="eastAsia" w:ascii="仿宋_GB2312" w:hAnsi="仿宋_GB2312" w:eastAsia="仿宋_GB2312" w:cs="仿宋_GB2312"/>
          <w:sz w:val="24"/>
          <w:szCs w:val="24"/>
          <w:highlight w:val="none"/>
          <w:lang w:val="en-US" w:eastAsia="zh-CN"/>
        </w:rPr>
        <w:t>毛文静</w:t>
      </w:r>
    </w:p>
    <w:p w14:paraId="2399338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联系方式：0991-3678303</w:t>
      </w:r>
      <w:r>
        <w:rPr>
          <w:rFonts w:hint="eastAsia" w:ascii="仿宋_GB2312" w:hAnsi="仿宋_GB2312" w:eastAsia="仿宋_GB2312" w:cs="仿宋_GB2312"/>
          <w:sz w:val="24"/>
          <w:szCs w:val="24"/>
        </w:rPr>
        <w:br w:type="page"/>
      </w:r>
    </w:p>
    <w:p w14:paraId="6CB70F45">
      <w:pPr>
        <w:pStyle w:val="3"/>
        <w:numPr>
          <w:ilvl w:val="0"/>
          <w:numId w:val="2"/>
        </w:numPr>
        <w:bidi w:val="0"/>
        <w:jc w:val="center"/>
        <w:rPr>
          <w:rFonts w:hint="eastAsia" w:ascii="方正小标宋简体" w:hAnsi="方正小标宋简体" w:eastAsia="方正小标宋简体" w:cs="方正小标宋简体"/>
          <w:sz w:val="36"/>
          <w:szCs w:val="36"/>
          <w:highlight w:val="none"/>
        </w:rPr>
      </w:pPr>
      <w:bookmarkStart w:id="8" w:name="_Toc31403"/>
      <w:r>
        <w:rPr>
          <w:rFonts w:hint="eastAsia" w:ascii="方正小标宋简体" w:hAnsi="方正小标宋简体" w:eastAsia="方正小标宋简体" w:cs="方正小标宋简体"/>
          <w:sz w:val="36"/>
          <w:szCs w:val="36"/>
          <w:highlight w:val="none"/>
        </w:rPr>
        <w:t>投标须知前附表</w:t>
      </w:r>
      <w:bookmarkEnd w:id="8"/>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C0C24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F799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lang w:val="en-US" w:eastAsia="zh-CN"/>
              </w:rPr>
              <w:t>条款号</w:t>
            </w:r>
          </w:p>
        </w:tc>
        <w:tc>
          <w:tcPr>
            <w:tcW w:w="6652" w:type="dxa"/>
            <w:tcBorders>
              <w:tl2br w:val="nil"/>
              <w:tr2bl w:val="nil"/>
            </w:tcBorders>
          </w:tcPr>
          <w:p w14:paraId="5F0672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lang w:val="en-US" w:eastAsia="zh-CN"/>
              </w:rPr>
              <w:t>内容</w:t>
            </w:r>
          </w:p>
        </w:tc>
      </w:tr>
      <w:tr w14:paraId="130629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D2AD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1.1</w:t>
            </w:r>
          </w:p>
        </w:tc>
        <w:tc>
          <w:tcPr>
            <w:tcW w:w="6652" w:type="dxa"/>
            <w:tcBorders>
              <w:tl2br w:val="nil"/>
              <w:tr2bl w:val="nil"/>
            </w:tcBorders>
            <w:vAlign w:val="center"/>
          </w:tcPr>
          <w:p w14:paraId="54767FA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名 称：鄯善县人民医院</w:t>
            </w:r>
          </w:p>
          <w:p w14:paraId="29E025D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地 址：吐鲁番市鄯善县新城东路897号</w:t>
            </w:r>
          </w:p>
          <w:p w14:paraId="266422E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联系方式：周娟 0995-8381234、13899326118</w:t>
            </w:r>
          </w:p>
        </w:tc>
      </w:tr>
      <w:tr w14:paraId="17B2BA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9CE8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w:t>
            </w:r>
          </w:p>
        </w:tc>
        <w:tc>
          <w:tcPr>
            <w:tcW w:w="6652" w:type="dxa"/>
            <w:tcBorders>
              <w:tl2br w:val="nil"/>
              <w:tr2bl w:val="nil"/>
            </w:tcBorders>
            <w:vAlign w:val="center"/>
          </w:tcPr>
          <w:p w14:paraId="6C74EA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采购代理机构：新疆世纪星工程咨询有限公司 </w:t>
            </w:r>
          </w:p>
          <w:p w14:paraId="5C84CF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地址：乌鲁木齐经济技术开发区二期黄山街一品九点阳光德港大厦B座20楼 </w:t>
            </w:r>
          </w:p>
          <w:p w14:paraId="159E72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业务联系人：</w:t>
            </w:r>
            <w:r>
              <w:rPr>
                <w:rFonts w:hint="eastAsia" w:ascii="仿宋_GB2312" w:hAnsi="仿宋_GB2312" w:eastAsia="仿宋_GB2312" w:cs="仿宋_GB2312"/>
                <w:sz w:val="21"/>
                <w:szCs w:val="21"/>
                <w:highlight w:val="none"/>
                <w:vertAlign w:val="baseline"/>
                <w:lang w:val="en-US" w:eastAsia="zh-CN"/>
              </w:rPr>
              <w:t xml:space="preserve">毛文静  </w:t>
            </w:r>
            <w:r>
              <w:rPr>
                <w:rFonts w:hint="eastAsia" w:ascii="仿宋_GB2312" w:hAnsi="仿宋_GB2312" w:eastAsia="仿宋_GB2312" w:cs="仿宋_GB2312"/>
                <w:sz w:val="21"/>
                <w:szCs w:val="21"/>
                <w:highlight w:val="none"/>
                <w:vertAlign w:val="baseline"/>
              </w:rPr>
              <w:t xml:space="preserve">电话：0991-3678303 </w:t>
            </w:r>
          </w:p>
          <w:p w14:paraId="1730289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rPr>
              <w:t>电子邮箱：</w:t>
            </w:r>
            <w:r>
              <w:rPr>
                <w:rFonts w:hint="eastAsia" w:ascii="仿宋_GB2312" w:hAnsi="仿宋_GB2312" w:eastAsia="仿宋_GB2312" w:cs="仿宋_GB2312"/>
                <w:sz w:val="21"/>
                <w:szCs w:val="21"/>
                <w:highlight w:val="none"/>
                <w:vertAlign w:val="baseline"/>
                <w:lang w:val="en-US" w:eastAsia="zh-CN"/>
              </w:rPr>
              <w:t>1074057075@qq.com</w:t>
            </w:r>
          </w:p>
        </w:tc>
      </w:tr>
      <w:tr w14:paraId="50893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6FB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1.3.3</w:t>
            </w:r>
          </w:p>
        </w:tc>
        <w:tc>
          <w:tcPr>
            <w:tcW w:w="6652" w:type="dxa"/>
            <w:tcBorders>
              <w:tl2br w:val="nil"/>
              <w:tr2bl w:val="nil"/>
            </w:tcBorders>
            <w:vAlign w:val="center"/>
          </w:tcPr>
          <w:p w14:paraId="1DE5875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rPr>
              <w:t>合格投标人的其他资格要求：</w:t>
            </w:r>
          </w:p>
          <w:p w14:paraId="29D5C0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kern w:val="2"/>
                <w:sz w:val="21"/>
                <w:szCs w:val="21"/>
                <w:highlight w:val="none"/>
                <w:vertAlign w:val="baseline"/>
                <w:lang w:val="en-US" w:eastAsia="zh-CN" w:bidi="ar-SA"/>
              </w:rPr>
            </w:pPr>
            <w:r>
              <w:rPr>
                <w:rFonts w:hint="eastAsia" w:ascii="仿宋_GB2312" w:hAnsi="仿宋_GB2312" w:eastAsia="仿宋_GB2312" w:cs="仿宋_GB2312"/>
                <w:b w:val="0"/>
                <w:bCs w:val="0"/>
                <w:kern w:val="2"/>
                <w:sz w:val="21"/>
                <w:szCs w:val="21"/>
                <w:highlight w:val="none"/>
                <w:vertAlign w:val="baseline"/>
                <w:lang w:val="en-US" w:eastAsia="zh-CN" w:bidi="ar-SA"/>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184705F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b w:val="0"/>
                <w:bCs w:val="0"/>
                <w:kern w:val="2"/>
                <w:sz w:val="21"/>
                <w:szCs w:val="21"/>
                <w:highlight w:val="none"/>
                <w:vertAlign w:val="baseline"/>
                <w:lang w:val="en-US" w:eastAsia="zh-CN" w:bidi="ar-SA"/>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3282FF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949B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1.4</w:t>
            </w:r>
          </w:p>
        </w:tc>
        <w:tc>
          <w:tcPr>
            <w:tcW w:w="6652" w:type="dxa"/>
            <w:tcBorders>
              <w:tl2br w:val="nil"/>
              <w:tr2bl w:val="nil"/>
            </w:tcBorders>
            <w:vAlign w:val="center"/>
          </w:tcPr>
          <w:p w14:paraId="2D462C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是否允许采购进口产品：否</w:t>
            </w:r>
          </w:p>
          <w:p w14:paraId="12112673">
            <w:pPr>
              <w:pStyle w:val="2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kern w:val="2"/>
                <w:sz w:val="21"/>
                <w:szCs w:val="21"/>
                <w:highlight w:val="none"/>
                <w:vertAlign w:val="baseline"/>
                <w:lang w:val="en-US" w:eastAsia="zh-CN" w:bidi="ar-SA"/>
              </w:rPr>
              <w:t>进口产品按照财政部文件《政府采购进口产品管理办法》(财库〔2007〕119号)、财政部文件《关于政府采购进口产品管理有关问题的通知》（财办库[2008]248 号）认定，整机设备内元器件不做限制。</w:t>
            </w:r>
          </w:p>
        </w:tc>
      </w:tr>
      <w:tr w14:paraId="49192C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891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1.5.1</w:t>
            </w:r>
          </w:p>
        </w:tc>
        <w:tc>
          <w:tcPr>
            <w:tcW w:w="6652" w:type="dxa"/>
            <w:tcBorders>
              <w:tl2br w:val="nil"/>
              <w:tr2bl w:val="nil"/>
            </w:tcBorders>
            <w:vAlign w:val="center"/>
          </w:tcPr>
          <w:p w14:paraId="201EF803">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kern w:val="2"/>
                <w:sz w:val="21"/>
                <w:szCs w:val="21"/>
                <w:highlight w:val="none"/>
                <w:vertAlign w:val="baseline"/>
                <w:lang w:val="en-US" w:eastAsia="zh-CN" w:bidi="ar-SA"/>
              </w:rPr>
            </w:pPr>
            <w:r>
              <w:rPr>
                <w:rFonts w:hint="eastAsia" w:ascii="仿宋_GB2312" w:hAnsi="仿宋_GB2312" w:eastAsia="仿宋_GB2312" w:cs="仿宋_GB2312"/>
                <w:b/>
                <w:bCs/>
                <w:kern w:val="2"/>
                <w:sz w:val="21"/>
                <w:szCs w:val="21"/>
                <w:highlight w:val="none"/>
                <w:vertAlign w:val="baseline"/>
                <w:lang w:val="en-US" w:eastAsia="zh-CN" w:bidi="ar-SA"/>
              </w:rPr>
              <w:t>本项目采购标的对应的中小企业划分标准所属行业</w:t>
            </w:r>
            <w:r>
              <w:rPr>
                <w:rFonts w:hint="eastAsia" w:ascii="仿宋_GB2312" w:hAnsi="仿宋_GB2312" w:eastAsia="仿宋_GB2312" w:cs="仿宋_GB2312"/>
                <w:kern w:val="2"/>
                <w:sz w:val="21"/>
                <w:szCs w:val="21"/>
                <w:highlight w:val="none"/>
                <w:vertAlign w:val="baseline"/>
                <w:lang w:val="en-US" w:eastAsia="zh-CN" w:bidi="ar-SA"/>
              </w:rPr>
              <w:t>：</w:t>
            </w:r>
          </w:p>
          <w:p w14:paraId="0018BD67">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kern w:val="2"/>
                <w:sz w:val="21"/>
                <w:szCs w:val="21"/>
                <w:highlight w:val="none"/>
                <w:vertAlign w:val="baseline"/>
                <w:lang w:val="en-US" w:eastAsia="zh-CN" w:bidi="ar-SA"/>
              </w:rPr>
            </w:pPr>
            <w:r>
              <w:rPr>
                <w:rFonts w:hint="eastAsia" w:ascii="仿宋_GB2312" w:hAnsi="仿宋_GB2312" w:eastAsia="仿宋_GB2312" w:cs="仿宋_GB2312"/>
                <w:kern w:val="2"/>
                <w:sz w:val="21"/>
                <w:szCs w:val="21"/>
                <w:highlight w:val="none"/>
                <w:vertAlign w:val="baseline"/>
                <w:lang w:val="en-US" w:eastAsia="zh-CN" w:bidi="ar-SA"/>
              </w:rPr>
              <w:t>根据工业和信息化部、国家统计局、国家发展 和改革委员会、财政部《关于印发中小企业划型标准规定的通知》 （工信部联企业〔2011〕300 号）</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730"/>
              <w:gridCol w:w="2808"/>
            </w:tblGrid>
            <w:tr w14:paraId="5B85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88" w:type="dxa"/>
                  <w:vAlign w:val="center"/>
                </w:tcPr>
                <w:p w14:paraId="5F1D17D0">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包号</w:t>
                  </w:r>
                </w:p>
              </w:tc>
              <w:tc>
                <w:tcPr>
                  <w:tcW w:w="2730" w:type="dxa"/>
                  <w:vAlign w:val="center"/>
                </w:tcPr>
                <w:p w14:paraId="055234BF">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标的名称</w:t>
                  </w:r>
                </w:p>
              </w:tc>
              <w:tc>
                <w:tcPr>
                  <w:tcW w:w="2808" w:type="dxa"/>
                  <w:vAlign w:val="center"/>
                </w:tcPr>
                <w:p w14:paraId="21A8F73F">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中小企业划分标准所属行业</w:t>
                  </w:r>
                </w:p>
              </w:tc>
            </w:tr>
            <w:tr w14:paraId="1261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2F645B30">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标项1</w:t>
                  </w:r>
                </w:p>
              </w:tc>
              <w:tc>
                <w:tcPr>
                  <w:tcW w:w="2730" w:type="dxa"/>
                  <w:vAlign w:val="center"/>
                </w:tcPr>
                <w:p w14:paraId="0B4998F2">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急诊科信息化软件建设采购</w:t>
                  </w:r>
                </w:p>
              </w:tc>
              <w:tc>
                <w:tcPr>
                  <w:tcW w:w="2808" w:type="dxa"/>
                  <w:vAlign w:val="center"/>
                </w:tcPr>
                <w:p w14:paraId="0BE798FA">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软件和信息技术服务业</w:t>
                  </w:r>
                </w:p>
              </w:tc>
            </w:tr>
          </w:tbl>
          <w:p w14:paraId="092927BF">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rPr>
            </w:pPr>
          </w:p>
        </w:tc>
      </w:tr>
      <w:tr w14:paraId="556436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83" w:hRule="atLeast"/>
        </w:trPr>
        <w:tc>
          <w:tcPr>
            <w:tcW w:w="1870" w:type="dxa"/>
            <w:tcBorders>
              <w:bottom w:val="single" w:color="auto" w:sz="4" w:space="0"/>
              <w:tl2br w:val="nil"/>
              <w:tr2bl w:val="nil"/>
            </w:tcBorders>
            <w:vAlign w:val="center"/>
          </w:tcPr>
          <w:p w14:paraId="1ABE3E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13ED1A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本项目面向中小企业采购预留份额、措施及比例：</w:t>
            </w:r>
          </w:p>
          <w:p w14:paraId="1E7D2A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□本项目不专门面向中小企业预留采购份额。</w:t>
            </w:r>
          </w:p>
          <w:p w14:paraId="203033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☑本项目专门面向</w:t>
            </w:r>
            <w:r>
              <w:rPr>
                <w:rFonts w:hint="eastAsia" w:ascii="仿宋_GB2312" w:hAnsi="仿宋_GB2312" w:eastAsia="仿宋_GB2312" w:cs="仿宋_GB2312"/>
                <w:b/>
                <w:bCs/>
                <w:sz w:val="21"/>
                <w:szCs w:val="21"/>
                <w:highlight w:val="none"/>
                <w:vertAlign w:val="baseline"/>
                <w:lang w:val="en-US" w:eastAsia="zh-CN"/>
              </w:rPr>
              <w:t>☑中小□小微企业</w:t>
            </w:r>
            <w:r>
              <w:rPr>
                <w:rFonts w:hint="eastAsia" w:ascii="仿宋_GB2312" w:hAnsi="仿宋_GB2312" w:eastAsia="仿宋_GB2312" w:cs="仿宋_GB2312"/>
                <w:sz w:val="21"/>
                <w:szCs w:val="21"/>
                <w:highlight w:val="none"/>
                <w:vertAlign w:val="baseline"/>
                <w:lang w:val="en-US" w:eastAsia="zh-CN"/>
              </w:rPr>
              <w:t xml:space="preserve"> 采购。即: 提供的货物全部由符合政策要求的☑</w:t>
            </w:r>
            <w:r>
              <w:rPr>
                <w:rFonts w:hint="eastAsia" w:ascii="仿宋_GB2312" w:hAnsi="仿宋_GB2312" w:eastAsia="仿宋_GB2312" w:cs="仿宋_GB2312"/>
                <w:b/>
                <w:bCs/>
                <w:sz w:val="21"/>
                <w:szCs w:val="21"/>
                <w:highlight w:val="none"/>
                <w:vertAlign w:val="baseline"/>
                <w:lang w:val="en-US" w:eastAsia="zh-CN"/>
              </w:rPr>
              <w:t>中小□小微</w:t>
            </w:r>
            <w:r>
              <w:rPr>
                <w:rFonts w:hint="eastAsia" w:ascii="仿宋_GB2312" w:hAnsi="仿宋_GB2312" w:eastAsia="仿宋_GB2312" w:cs="仿宋_GB2312"/>
                <w:sz w:val="21"/>
                <w:szCs w:val="21"/>
                <w:highlight w:val="none"/>
                <w:vertAlign w:val="baseline"/>
                <w:lang w:val="en-US" w:eastAsia="zh-CN"/>
              </w:rPr>
              <w:t>企业制造、服务全部由符合政策要求的</w:t>
            </w:r>
            <w:r>
              <w:rPr>
                <w:rFonts w:hint="eastAsia" w:ascii="仿宋_GB2312" w:hAnsi="仿宋_GB2312" w:eastAsia="仿宋_GB2312" w:cs="仿宋_GB2312"/>
                <w:b/>
                <w:bCs/>
                <w:sz w:val="21"/>
                <w:szCs w:val="21"/>
                <w:highlight w:val="none"/>
                <w:vertAlign w:val="baseline"/>
                <w:lang w:val="en-US" w:eastAsia="zh-CN"/>
              </w:rPr>
              <w:t>□中小□小微</w:t>
            </w:r>
            <w:r>
              <w:rPr>
                <w:rFonts w:hint="eastAsia" w:ascii="仿宋_GB2312" w:hAnsi="仿宋_GB2312" w:eastAsia="仿宋_GB2312" w:cs="仿宋_GB2312"/>
                <w:sz w:val="21"/>
                <w:szCs w:val="21"/>
                <w:highlight w:val="none"/>
                <w:vertAlign w:val="baseline"/>
                <w:lang w:val="en-US" w:eastAsia="zh-CN"/>
              </w:rPr>
              <w:t>企业承接。</w:t>
            </w:r>
          </w:p>
          <w:p w14:paraId="4A2CD82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_GB2312" w:hAnsi="仿宋_GB2312" w:eastAsia="仿宋_GB2312" w:cs="仿宋_GB2312"/>
                <w:sz w:val="21"/>
                <w:szCs w:val="21"/>
                <w:highlight w:val="none"/>
                <w:u w:val="single"/>
                <w:vertAlign w:val="baseline"/>
                <w:lang w:val="en-US" w:eastAsia="zh-CN"/>
              </w:rPr>
              <w:t xml:space="preserve"> /</w:t>
            </w:r>
            <w:r>
              <w:rPr>
                <w:rFonts w:hint="eastAsia" w:ascii="仿宋_GB2312" w:hAnsi="仿宋_GB2312" w:eastAsia="仿宋_GB2312" w:cs="仿宋_GB2312"/>
                <w:b/>
                <w:bCs/>
                <w:sz w:val="21"/>
                <w:szCs w:val="21"/>
                <w:highlight w:val="none"/>
                <w:u w:val="single"/>
                <w:vertAlign w:val="baseline"/>
                <w:lang w:val="en-US" w:eastAsia="zh-CN"/>
              </w:rPr>
              <w:t>。</w:t>
            </w:r>
          </w:p>
        </w:tc>
      </w:tr>
      <w:tr w14:paraId="238C27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6" w:hRule="atLeast"/>
        </w:trPr>
        <w:tc>
          <w:tcPr>
            <w:tcW w:w="1870" w:type="dxa"/>
            <w:tcBorders>
              <w:top w:val="single" w:color="auto" w:sz="4" w:space="0"/>
              <w:bottom w:val="single" w:color="auto" w:sz="4" w:space="0"/>
              <w:tl2br w:val="nil"/>
              <w:tr2bl w:val="nil"/>
            </w:tcBorders>
            <w:vAlign w:val="center"/>
          </w:tcPr>
          <w:p w14:paraId="0B40E4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op w:val="single" w:color="auto" w:sz="4" w:space="0"/>
              <w:bottom w:val="single" w:color="auto" w:sz="4" w:space="0"/>
              <w:tl2br w:val="nil"/>
              <w:tr2bl w:val="nil"/>
            </w:tcBorders>
            <w:vAlign w:val="center"/>
          </w:tcPr>
          <w:p w14:paraId="3572254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本项目是否适用本国产品价格评审优惠政策：</w:t>
            </w:r>
          </w:p>
          <w:p w14:paraId="2177D3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☑本项目适用支持本国产品标准</w:t>
            </w:r>
          </w:p>
          <w:p w14:paraId="5DA42A0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□本项目不适用</w:t>
            </w:r>
          </w:p>
          <w:p w14:paraId="1C8D9F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6B6A4D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051925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1.12</w:t>
            </w:r>
          </w:p>
        </w:tc>
        <w:tc>
          <w:tcPr>
            <w:tcW w:w="6652" w:type="dxa"/>
            <w:tcBorders>
              <w:tl2br w:val="nil"/>
              <w:tr2bl w:val="nil"/>
            </w:tcBorders>
            <w:vAlign w:val="center"/>
          </w:tcPr>
          <w:p w14:paraId="567658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rPr>
              <w:t>是否允许联合体投标：</w:t>
            </w:r>
            <w:r>
              <w:rPr>
                <w:rFonts w:hint="eastAsia" w:ascii="仿宋_GB2312" w:hAnsi="仿宋_GB2312" w:eastAsia="仿宋_GB2312" w:cs="仿宋_GB2312"/>
                <w:sz w:val="21"/>
                <w:szCs w:val="21"/>
                <w:highlight w:val="none"/>
                <w:vertAlign w:val="baseline"/>
                <w:lang w:val="en-US" w:eastAsia="zh-CN"/>
              </w:rPr>
              <w:t>否</w:t>
            </w:r>
          </w:p>
          <w:p w14:paraId="2E83D2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eastAsia="zh-CN"/>
              </w:rPr>
            </w:pPr>
            <w:r>
              <w:rPr>
                <w:rFonts w:hint="eastAsia" w:ascii="仿宋_GB2312" w:hAnsi="仿宋_GB2312" w:eastAsia="仿宋_GB2312" w:cs="仿宋_GB2312"/>
                <w:sz w:val="21"/>
                <w:szCs w:val="21"/>
                <w:highlight w:val="none"/>
                <w:vertAlign w:val="baseline"/>
              </w:rPr>
              <w:t>联合体的其他资格要求：</w:t>
            </w:r>
            <w:r>
              <w:rPr>
                <w:rFonts w:hint="eastAsia" w:ascii="仿宋_GB2312" w:hAnsi="仿宋_GB2312" w:eastAsia="仿宋_GB2312" w:cs="仿宋_GB2312"/>
                <w:sz w:val="21"/>
                <w:szCs w:val="21"/>
                <w:highlight w:val="none"/>
                <w:vertAlign w:val="baseline"/>
                <w:lang w:val="en-US" w:eastAsia="zh-CN"/>
              </w:rPr>
              <w:t>/</w:t>
            </w:r>
          </w:p>
        </w:tc>
      </w:tr>
      <w:tr w14:paraId="5F2BE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F5D4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2.2</w:t>
            </w:r>
          </w:p>
        </w:tc>
        <w:tc>
          <w:tcPr>
            <w:tcW w:w="6652" w:type="dxa"/>
            <w:tcBorders>
              <w:tl2br w:val="nil"/>
              <w:tr2bl w:val="nil"/>
            </w:tcBorders>
            <w:vAlign w:val="center"/>
          </w:tcPr>
          <w:p w14:paraId="3957E64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项目预算金额：100万元</w:t>
            </w:r>
          </w:p>
          <w:p w14:paraId="773C872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总价最高限价:100万元</w:t>
            </w:r>
          </w:p>
          <w:p w14:paraId="6324CAE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highlight w:val="none"/>
                <w:vertAlign w:val="baseline"/>
                <w:lang w:val="en-US" w:eastAsia="zh-CN"/>
              </w:rPr>
            </w:pPr>
            <w:r>
              <w:rPr>
                <w:rFonts w:hint="default" w:ascii="仿宋_GB2312" w:hAnsi="仿宋_GB2312" w:eastAsia="仿宋_GB2312" w:cs="仿宋_GB2312"/>
                <w:sz w:val="21"/>
                <w:szCs w:val="21"/>
                <w:highlight w:val="none"/>
                <w:vertAlign w:val="baseline"/>
                <w:lang w:val="en-US" w:eastAsia="zh-CN"/>
              </w:rPr>
              <w:t>备注:超过项目最高限价的均将按无效投标处理</w:t>
            </w:r>
            <w:r>
              <w:rPr>
                <w:rFonts w:hint="eastAsia" w:ascii="仿宋_GB2312" w:hAnsi="仿宋_GB2312" w:eastAsia="仿宋_GB2312" w:cs="仿宋_GB2312"/>
                <w:sz w:val="21"/>
                <w:szCs w:val="21"/>
                <w:highlight w:val="none"/>
                <w:vertAlign w:val="baseline"/>
                <w:lang w:val="en-US" w:eastAsia="zh-CN"/>
              </w:rPr>
              <w:t>。</w:t>
            </w:r>
          </w:p>
        </w:tc>
      </w:tr>
      <w:tr w14:paraId="7ED5A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195F0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5.4</w:t>
            </w:r>
          </w:p>
        </w:tc>
        <w:tc>
          <w:tcPr>
            <w:tcW w:w="6652" w:type="dxa"/>
            <w:tcBorders>
              <w:tl2br w:val="nil"/>
              <w:tr2bl w:val="nil"/>
            </w:tcBorders>
            <w:vAlign w:val="center"/>
          </w:tcPr>
          <w:p w14:paraId="17E133B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是否组织现场考察或者召开答疑会：</w:t>
            </w:r>
            <w:r>
              <w:rPr>
                <w:rFonts w:hint="eastAsia" w:ascii="仿宋_GB2312" w:hAnsi="仿宋_GB2312" w:eastAsia="仿宋_GB2312" w:cs="仿宋_GB2312"/>
                <w:sz w:val="21"/>
                <w:szCs w:val="21"/>
                <w:highlight w:val="none"/>
                <w:vertAlign w:val="baseline"/>
                <w:lang w:val="en-US" w:eastAsia="zh-CN"/>
              </w:rPr>
              <w:t>否</w:t>
            </w:r>
            <w:r>
              <w:rPr>
                <w:rFonts w:hint="eastAsia" w:ascii="仿宋_GB2312" w:hAnsi="仿宋_GB2312" w:eastAsia="仿宋_GB2312" w:cs="仿宋_GB2312"/>
                <w:sz w:val="21"/>
                <w:szCs w:val="21"/>
                <w:highlight w:val="none"/>
                <w:vertAlign w:val="baseline"/>
              </w:rPr>
              <w:t xml:space="preserve"> </w:t>
            </w:r>
          </w:p>
          <w:p w14:paraId="6807563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rPr>
              <w:t>组织现场考察或者召开答疑会相关要求</w:t>
            </w:r>
            <w:r>
              <w:rPr>
                <w:rFonts w:hint="eastAsia" w:ascii="仿宋_GB2312" w:hAnsi="仿宋_GB2312" w:eastAsia="仿宋_GB2312" w:cs="仿宋_GB2312"/>
                <w:sz w:val="21"/>
                <w:szCs w:val="21"/>
                <w:highlight w:val="none"/>
                <w:vertAlign w:val="baseline"/>
                <w:lang w:val="en-US" w:eastAsia="zh-CN"/>
              </w:rPr>
              <w:t>/</w:t>
            </w:r>
          </w:p>
        </w:tc>
      </w:tr>
      <w:tr w14:paraId="68E94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D02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6.1 </w:t>
            </w:r>
          </w:p>
        </w:tc>
        <w:tc>
          <w:tcPr>
            <w:tcW w:w="6652" w:type="dxa"/>
            <w:tcBorders>
              <w:tl2br w:val="nil"/>
              <w:tr2bl w:val="nil"/>
            </w:tcBorders>
            <w:vAlign w:val="center"/>
          </w:tcPr>
          <w:p w14:paraId="104C56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是否需要提供样品</w:t>
            </w:r>
            <w:r>
              <w:rPr>
                <w:rFonts w:hint="eastAsia" w:ascii="仿宋_GB2312" w:hAnsi="仿宋_GB2312" w:eastAsia="仿宋_GB2312" w:cs="仿宋_GB2312"/>
                <w:sz w:val="21"/>
                <w:szCs w:val="21"/>
                <w:highlight w:val="none"/>
                <w:vertAlign w:val="baseline"/>
                <w:lang w:eastAsia="zh-CN"/>
              </w:rPr>
              <w:t>（</w:t>
            </w:r>
            <w:r>
              <w:rPr>
                <w:rFonts w:hint="eastAsia" w:ascii="仿宋_GB2312" w:hAnsi="仿宋_GB2312" w:eastAsia="仿宋_GB2312" w:cs="仿宋_GB2312"/>
                <w:sz w:val="21"/>
                <w:szCs w:val="21"/>
                <w:highlight w:val="none"/>
                <w:vertAlign w:val="baseline"/>
                <w:lang w:val="en-US" w:eastAsia="zh-CN"/>
              </w:rPr>
              <w:t>演示</w:t>
            </w:r>
            <w:r>
              <w:rPr>
                <w:rFonts w:hint="eastAsia" w:ascii="仿宋_GB2312" w:hAnsi="仿宋_GB2312" w:eastAsia="仿宋_GB2312" w:cs="仿宋_GB2312"/>
                <w:sz w:val="21"/>
                <w:szCs w:val="21"/>
                <w:highlight w:val="none"/>
                <w:vertAlign w:val="baseline"/>
                <w:lang w:eastAsia="zh-CN"/>
              </w:rPr>
              <w:t>）</w:t>
            </w:r>
            <w:r>
              <w:rPr>
                <w:rFonts w:hint="eastAsia" w:ascii="仿宋_GB2312" w:hAnsi="仿宋_GB2312" w:eastAsia="仿宋_GB2312" w:cs="仿宋_GB2312"/>
                <w:sz w:val="21"/>
                <w:szCs w:val="21"/>
                <w:highlight w:val="none"/>
                <w:vertAlign w:val="baseline"/>
              </w:rPr>
              <w:t xml:space="preserve">：否 </w:t>
            </w:r>
          </w:p>
          <w:p w14:paraId="5F0ACC3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eastAsia="zh-CN"/>
              </w:rPr>
            </w:pPr>
            <w:r>
              <w:rPr>
                <w:rFonts w:hint="eastAsia" w:ascii="仿宋_GB2312" w:hAnsi="仿宋_GB2312" w:eastAsia="仿宋_GB2312" w:cs="仿宋_GB2312"/>
                <w:sz w:val="21"/>
                <w:szCs w:val="21"/>
                <w:highlight w:val="none"/>
                <w:vertAlign w:val="baseline"/>
              </w:rPr>
              <w:t>提供样品（演示）要求包括：</w:t>
            </w:r>
            <w:r>
              <w:rPr>
                <w:rFonts w:hint="eastAsia" w:ascii="仿宋_GB2312" w:hAnsi="仿宋_GB2312" w:eastAsia="仿宋_GB2312" w:cs="仿宋_GB2312"/>
                <w:sz w:val="21"/>
                <w:szCs w:val="21"/>
                <w:highlight w:val="none"/>
                <w:vertAlign w:val="baseline"/>
                <w:lang w:val="en-US" w:eastAsia="zh-CN"/>
              </w:rPr>
              <w:t>/</w:t>
            </w:r>
          </w:p>
        </w:tc>
      </w:tr>
      <w:tr w14:paraId="4538A6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85B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8.1 </w:t>
            </w:r>
          </w:p>
        </w:tc>
        <w:tc>
          <w:tcPr>
            <w:tcW w:w="6652" w:type="dxa"/>
            <w:tcBorders>
              <w:tl2br w:val="nil"/>
              <w:tr2bl w:val="nil"/>
            </w:tcBorders>
            <w:vAlign w:val="center"/>
          </w:tcPr>
          <w:p w14:paraId="3D9636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如投标人对多个包进行投标，可以中标</w:t>
            </w:r>
            <w:r>
              <w:rPr>
                <w:rFonts w:hint="eastAsia" w:ascii="仿宋_GB2312" w:hAnsi="仿宋_GB2312" w:eastAsia="仿宋_GB2312" w:cs="仿宋_GB2312"/>
                <w:b/>
                <w:bCs/>
                <w:sz w:val="21"/>
                <w:szCs w:val="21"/>
                <w:u w:val="single"/>
                <w:vertAlign w:val="baseline"/>
              </w:rPr>
              <w:t>多</w:t>
            </w:r>
            <w:r>
              <w:rPr>
                <w:rFonts w:hint="eastAsia" w:ascii="仿宋_GB2312" w:hAnsi="仿宋_GB2312" w:eastAsia="仿宋_GB2312" w:cs="仿宋_GB2312"/>
                <w:sz w:val="21"/>
                <w:szCs w:val="21"/>
                <w:vertAlign w:val="baseline"/>
              </w:rPr>
              <w:t>包</w:t>
            </w:r>
          </w:p>
        </w:tc>
      </w:tr>
      <w:tr w14:paraId="2F43F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20FB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w:t>
            </w:r>
          </w:p>
        </w:tc>
        <w:tc>
          <w:tcPr>
            <w:tcW w:w="6652" w:type="dxa"/>
            <w:tcBorders>
              <w:tl2br w:val="nil"/>
              <w:tr2bl w:val="nil"/>
            </w:tcBorders>
            <w:vAlign w:val="center"/>
          </w:tcPr>
          <w:p w14:paraId="67925E9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保证金形式：支票、汇票、本票、网上银行支付或者金融机构、担保机构出具的保函等</w:t>
            </w:r>
            <w:r>
              <w:rPr>
                <w:rFonts w:hint="eastAsia" w:ascii="仿宋_GB2312" w:hAnsi="仿宋_GB2312" w:eastAsia="仿宋_GB2312" w:cs="仿宋_GB2312"/>
                <w:sz w:val="21"/>
                <w:szCs w:val="21"/>
                <w:highlight w:val="none"/>
                <w:vertAlign w:val="baseline"/>
                <w:lang w:val="en-US" w:eastAsia="zh-CN"/>
              </w:rPr>
              <w:t>政府采购法律法规中要求的</w:t>
            </w:r>
            <w:r>
              <w:rPr>
                <w:rFonts w:hint="eastAsia" w:ascii="仿宋_GB2312" w:hAnsi="仿宋_GB2312" w:eastAsia="仿宋_GB2312" w:cs="仿宋_GB2312"/>
                <w:sz w:val="21"/>
                <w:szCs w:val="21"/>
                <w:highlight w:val="none"/>
                <w:vertAlign w:val="baseline"/>
              </w:rPr>
              <w:t>非现金形式</w:t>
            </w:r>
          </w:p>
          <w:p w14:paraId="2C1376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保证金数额：</w:t>
            </w:r>
            <w:r>
              <w:rPr>
                <w:rFonts w:hint="eastAsia" w:ascii="仿宋_GB2312" w:hAnsi="仿宋_GB2312" w:eastAsia="仿宋_GB2312" w:cs="仿宋_GB2312"/>
                <w:sz w:val="21"/>
                <w:szCs w:val="21"/>
                <w:highlight w:val="none"/>
                <w:vertAlign w:val="baseline"/>
                <w:lang w:val="en-US" w:eastAsia="zh-CN"/>
              </w:rPr>
              <w:t>20000</w:t>
            </w:r>
            <w:r>
              <w:rPr>
                <w:rFonts w:hint="eastAsia" w:ascii="仿宋_GB2312" w:hAnsi="仿宋_GB2312" w:eastAsia="仿宋_GB2312" w:cs="仿宋_GB2312"/>
                <w:sz w:val="21"/>
                <w:szCs w:val="21"/>
                <w:highlight w:val="none"/>
                <w:vertAlign w:val="baseline"/>
              </w:rPr>
              <w:t xml:space="preserve">元 </w:t>
            </w:r>
          </w:p>
          <w:p w14:paraId="4818219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投标保证金递交方式：</w:t>
            </w:r>
          </w:p>
          <w:p w14:paraId="28C65C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保证金收款人：新疆世纪星工程咨询有限公司</w:t>
            </w:r>
          </w:p>
          <w:p w14:paraId="15AA04F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保证金收款账号：512090100100073085</w:t>
            </w:r>
          </w:p>
          <w:p w14:paraId="7E4D57F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保证收款银行及行号: 兴业银行乌鲁木齐分行营业部309881002010</w:t>
            </w:r>
          </w:p>
          <w:p w14:paraId="65144B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投标保证金到账（保函提交）截止时间同投标截止时间。</w:t>
            </w:r>
          </w:p>
          <w:p w14:paraId="4D6326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以支票、汇票、本票、网上银行支付等形式提交投标保证金的，应在投标截止时间前到账；</w:t>
            </w:r>
          </w:p>
          <w:p w14:paraId="1D1E250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投标保函提交方式：</w:t>
            </w:r>
            <w:r>
              <w:rPr>
                <w:rFonts w:hint="eastAsia" w:ascii="仿宋_GB2312" w:hAnsi="仿宋_GB2312" w:eastAsia="仿宋_GB2312" w:cs="仿宋_GB2312"/>
                <w:b w:val="0"/>
                <w:bCs w:val="0"/>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D6878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由于到账时间晚于投标截止时间的，或者票据错误、印鉴不清等原因导致不能到账的，其投标无效。</w:t>
            </w:r>
          </w:p>
          <w:p w14:paraId="651ED7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投标保证金（投标保函）有效期与投标有效期一致。</w:t>
            </w:r>
          </w:p>
          <w:p w14:paraId="164610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highlight w:val="none"/>
              </w:rPr>
            </w:pPr>
            <w:r>
              <w:rPr>
                <w:rFonts w:hint="eastAsia" w:ascii="仿宋_GB2312" w:hAnsi="仿宋_GB2312" w:eastAsia="仿宋_GB2312" w:cs="仿宋_GB2312"/>
                <w:b w:val="0"/>
                <w:bCs w:val="0"/>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243F2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0E8A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12.1</w:t>
            </w:r>
          </w:p>
        </w:tc>
        <w:tc>
          <w:tcPr>
            <w:tcW w:w="6652" w:type="dxa"/>
            <w:tcBorders>
              <w:tl2br w:val="nil"/>
              <w:tr2bl w:val="nil"/>
            </w:tcBorders>
            <w:vAlign w:val="center"/>
          </w:tcPr>
          <w:p w14:paraId="005D15E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vertAlign w:val="baseline"/>
              </w:rPr>
            </w:pPr>
            <w:r>
              <w:rPr>
                <w:rFonts w:hint="eastAsia" w:ascii="仿宋_GB2312" w:hAnsi="仿宋_GB2312" w:eastAsia="仿宋_GB2312" w:cs="仿宋_GB2312"/>
                <w:b w:val="0"/>
                <w:bCs w:val="0"/>
                <w:sz w:val="21"/>
                <w:szCs w:val="21"/>
                <w:vertAlign w:val="baseline"/>
              </w:rPr>
              <w:t>投标有效期：从提交投标（响应）文件的截止之日起90日历天</w:t>
            </w:r>
          </w:p>
        </w:tc>
      </w:tr>
      <w:tr w14:paraId="3BD910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837E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14.1</w:t>
            </w:r>
          </w:p>
        </w:tc>
        <w:tc>
          <w:tcPr>
            <w:tcW w:w="6652" w:type="dxa"/>
            <w:tcBorders>
              <w:tl2br w:val="nil"/>
              <w:tr2bl w:val="nil"/>
            </w:tcBorders>
            <w:vAlign w:val="center"/>
          </w:tcPr>
          <w:p w14:paraId="7E3562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投标截止时间：</w:t>
            </w:r>
            <w:r>
              <w:rPr>
                <w:rFonts w:hint="eastAsia" w:ascii="仿宋_GB2312" w:hAnsi="仿宋_GB2312" w:eastAsia="仿宋_GB2312" w:cs="仿宋_GB2312"/>
                <w:sz w:val="24"/>
                <w:szCs w:val="24"/>
                <w:highlight w:val="none"/>
              </w:rPr>
              <w:t>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30</w:t>
            </w:r>
            <w:r>
              <w:rPr>
                <w:rFonts w:hint="eastAsia" w:ascii="仿宋_GB2312" w:hAnsi="仿宋_GB2312" w:eastAsia="仿宋_GB2312" w:cs="仿宋_GB2312"/>
                <w:sz w:val="24"/>
                <w:szCs w:val="24"/>
                <w:highlight w:val="none"/>
              </w:rPr>
              <w:t xml:space="preserve">日 </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00</w:t>
            </w:r>
            <w:r>
              <w:rPr>
                <w:rFonts w:hint="eastAsia" w:ascii="仿宋_GB2312" w:hAnsi="仿宋_GB2312" w:eastAsia="仿宋_GB2312" w:cs="仿宋_GB2312"/>
                <w:b w:val="0"/>
                <w:bCs w:val="0"/>
                <w:sz w:val="21"/>
                <w:szCs w:val="21"/>
                <w:highlight w:val="none"/>
                <w:vertAlign w:val="baseline"/>
                <w:lang w:val="en-US" w:eastAsia="zh-CN"/>
              </w:rPr>
              <w:t>（北京时间）</w:t>
            </w:r>
          </w:p>
          <w:p w14:paraId="57A7E6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lang w:val="en-US" w:eastAsia="zh-CN"/>
              </w:rPr>
            </w:pPr>
            <w:r>
              <w:rPr>
                <w:rFonts w:hint="eastAsia" w:ascii="仿宋_GB2312" w:hAnsi="仿宋_GB2312" w:eastAsia="仿宋_GB2312" w:cs="仿宋_GB2312"/>
                <w:b w:val="0"/>
                <w:bCs w:val="0"/>
                <w:sz w:val="21"/>
                <w:szCs w:val="21"/>
                <w:vertAlign w:val="baseline"/>
                <w:lang w:val="en-US" w:eastAsia="zh-CN"/>
              </w:rPr>
              <w:t>投标人需在投标文件截止时间前，将加密投标文件上传至云平台项目采购系统中，逾期上传或错误方式投递送达将导致</w:t>
            </w:r>
            <w:r>
              <w:rPr>
                <w:rFonts w:hint="eastAsia" w:ascii="仿宋_GB2312" w:hAnsi="仿宋_GB2312" w:eastAsia="仿宋_GB2312" w:cs="仿宋_GB2312"/>
                <w:b/>
                <w:bCs/>
                <w:sz w:val="21"/>
                <w:szCs w:val="21"/>
                <w:vertAlign w:val="baseline"/>
                <w:lang w:val="en-US" w:eastAsia="zh-CN"/>
              </w:rPr>
              <w:t>投标无效</w:t>
            </w:r>
            <w:r>
              <w:rPr>
                <w:rFonts w:hint="eastAsia" w:ascii="仿宋_GB2312" w:hAnsi="仿宋_GB2312" w:eastAsia="仿宋_GB2312" w:cs="仿宋_GB2312"/>
                <w:b w:val="0"/>
                <w:bCs w:val="0"/>
                <w:sz w:val="21"/>
                <w:szCs w:val="21"/>
                <w:vertAlign w:val="baseline"/>
                <w:lang w:val="en-US" w:eastAsia="zh-CN"/>
              </w:rPr>
              <w:t>。</w:t>
            </w:r>
          </w:p>
        </w:tc>
      </w:tr>
      <w:tr w14:paraId="2C8E75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F624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15.1</w:t>
            </w:r>
          </w:p>
        </w:tc>
        <w:tc>
          <w:tcPr>
            <w:tcW w:w="6652" w:type="dxa"/>
            <w:tcBorders>
              <w:tl2br w:val="nil"/>
              <w:tr2bl w:val="nil"/>
            </w:tcBorders>
            <w:vAlign w:val="center"/>
          </w:tcPr>
          <w:p w14:paraId="6F73D9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开标时间：同投标截止时间 </w:t>
            </w:r>
          </w:p>
          <w:p w14:paraId="399C7B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yellow"/>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开标地点：政采云平台（https://www.zcygov.cn/）不见面开标系统</w:t>
            </w:r>
          </w:p>
        </w:tc>
      </w:tr>
      <w:tr w14:paraId="75ACB3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7A8575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19.1</w:t>
            </w:r>
          </w:p>
        </w:tc>
        <w:tc>
          <w:tcPr>
            <w:tcW w:w="6652" w:type="dxa"/>
            <w:tcBorders>
              <w:bottom w:val="single" w:color="auto" w:sz="4" w:space="0"/>
              <w:tl2br w:val="nil"/>
              <w:tr2bl w:val="nil"/>
            </w:tcBorders>
            <w:vAlign w:val="center"/>
          </w:tcPr>
          <w:p w14:paraId="340F27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采购人是否委托评标委员会直接确定中标人：否 </w:t>
            </w:r>
          </w:p>
        </w:tc>
      </w:tr>
      <w:tr w14:paraId="61491A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46C642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22.4</w:t>
            </w:r>
          </w:p>
        </w:tc>
        <w:tc>
          <w:tcPr>
            <w:tcW w:w="6652" w:type="dxa"/>
            <w:tcBorders>
              <w:top w:val="single" w:color="auto" w:sz="4" w:space="0"/>
              <w:tl2br w:val="nil"/>
              <w:tr2bl w:val="nil"/>
            </w:tcBorders>
            <w:vAlign w:val="center"/>
          </w:tcPr>
          <w:p w14:paraId="4FB9DDF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本项目是否允许分包：</w:t>
            </w:r>
          </w:p>
          <w:p w14:paraId="2098B5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☑不允许</w:t>
            </w:r>
          </w:p>
          <w:p w14:paraId="5102EA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□允许，具体要求：</w:t>
            </w:r>
          </w:p>
          <w:p w14:paraId="33E8C8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（1）可以分包履行的具体内容：</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08D26B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（2）允许分包的金额或者比例：</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0922AF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（3）其他要求：</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tc>
      </w:tr>
      <w:tr w14:paraId="3BB89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7FA4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23.1</w:t>
            </w:r>
          </w:p>
        </w:tc>
        <w:tc>
          <w:tcPr>
            <w:tcW w:w="6652" w:type="dxa"/>
            <w:tcBorders>
              <w:tl2br w:val="nil"/>
              <w:tr2bl w:val="nil"/>
            </w:tcBorders>
            <w:vAlign w:val="center"/>
          </w:tcPr>
          <w:p w14:paraId="55DA1AD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本项目不收取履约保证金</w:t>
            </w:r>
          </w:p>
          <w:p w14:paraId="6E9EB3E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提交履约保证金的时间：/</w:t>
            </w:r>
          </w:p>
          <w:p w14:paraId="3769EE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履约保证金金额：/</w:t>
            </w:r>
          </w:p>
          <w:p w14:paraId="7B408A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履约保证金形式：</w:t>
            </w:r>
            <w:r>
              <w:rPr>
                <w:rFonts w:hint="eastAsia" w:ascii="仿宋_GB2312" w:hAnsi="仿宋_GB2312" w:eastAsia="仿宋_GB2312" w:cs="仿宋_GB2312"/>
                <w:sz w:val="21"/>
                <w:szCs w:val="21"/>
                <w:highlight w:val="none"/>
                <w:vertAlign w:val="baseline"/>
              </w:rPr>
              <w:t>支票、汇票、本票、网上银行支付或者金融机构、担保机构出具的保函等</w:t>
            </w:r>
            <w:r>
              <w:rPr>
                <w:rFonts w:hint="eastAsia" w:ascii="仿宋_GB2312" w:hAnsi="仿宋_GB2312" w:eastAsia="仿宋_GB2312" w:cs="仿宋_GB2312"/>
                <w:sz w:val="21"/>
                <w:szCs w:val="21"/>
                <w:highlight w:val="none"/>
                <w:vertAlign w:val="baseline"/>
                <w:lang w:val="en-US" w:eastAsia="zh-CN"/>
              </w:rPr>
              <w:t>政府采购法律法规中要求的</w:t>
            </w:r>
            <w:r>
              <w:rPr>
                <w:rFonts w:hint="eastAsia" w:ascii="仿宋_GB2312" w:hAnsi="仿宋_GB2312" w:eastAsia="仿宋_GB2312" w:cs="仿宋_GB2312"/>
                <w:sz w:val="21"/>
                <w:szCs w:val="21"/>
                <w:highlight w:val="none"/>
                <w:vertAlign w:val="baseline"/>
              </w:rPr>
              <w:t>非现金形式</w:t>
            </w:r>
            <w:r>
              <w:rPr>
                <w:rFonts w:hint="eastAsia" w:ascii="仿宋_GB2312" w:hAnsi="仿宋_GB2312" w:eastAsia="仿宋_GB2312" w:cs="仿宋_GB2312"/>
                <w:sz w:val="21"/>
                <w:szCs w:val="21"/>
                <w:highlight w:val="none"/>
                <w:vertAlign w:val="baseline"/>
                <w:lang w:eastAsia="zh-CN"/>
              </w:rPr>
              <w:t>，</w:t>
            </w:r>
            <w:r>
              <w:rPr>
                <w:rFonts w:hint="eastAsia" w:ascii="仿宋_GB2312" w:hAnsi="仿宋_GB2312" w:eastAsia="仿宋_GB2312" w:cs="仿宋_GB2312"/>
                <w:sz w:val="21"/>
                <w:szCs w:val="21"/>
                <w:highlight w:val="none"/>
                <w:vertAlign w:val="baseline"/>
                <w:lang w:val="en-US" w:eastAsia="zh-CN"/>
              </w:rPr>
              <w:t>合同履约完成后10个工作日内退还。</w:t>
            </w:r>
          </w:p>
        </w:tc>
      </w:tr>
      <w:tr w14:paraId="2BDA7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93" w:hRule="atLeast"/>
        </w:trPr>
        <w:tc>
          <w:tcPr>
            <w:tcW w:w="1870" w:type="dxa"/>
            <w:tcBorders>
              <w:bottom w:val="single" w:color="auto" w:sz="4" w:space="0"/>
              <w:tl2br w:val="nil"/>
              <w:tr2bl w:val="nil"/>
            </w:tcBorders>
            <w:vAlign w:val="center"/>
          </w:tcPr>
          <w:p w14:paraId="45BD4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24.1</w:t>
            </w:r>
          </w:p>
        </w:tc>
        <w:tc>
          <w:tcPr>
            <w:tcW w:w="6652" w:type="dxa"/>
            <w:tcBorders>
              <w:bottom w:val="single" w:color="auto" w:sz="4" w:space="0"/>
              <w:tl2br w:val="nil"/>
              <w:tr2bl w:val="nil"/>
            </w:tcBorders>
            <w:vAlign w:val="center"/>
          </w:tcPr>
          <w:p w14:paraId="4A449AC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是否由中标人缴纳招标代理费：是 </w:t>
            </w:r>
          </w:p>
          <w:p w14:paraId="686C48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招标代理费：参照原国家计委计价格[2002】1980号文标准下浮30%计算方法收取。</w:t>
            </w:r>
          </w:p>
          <w:p w14:paraId="0D3E86D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支付形式：支票、电汇等形式 </w:t>
            </w:r>
          </w:p>
          <w:p w14:paraId="59B2F3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2FADD1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招标代理服务费账户：</w:t>
            </w:r>
          </w:p>
          <w:p w14:paraId="33204E0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单位全称：新疆世纪星工程咨询有限公司</w:t>
            </w:r>
          </w:p>
          <w:p w14:paraId="446D448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开 户 行：交通银行股份有限公司乌鲁木齐卫星路支行</w:t>
            </w:r>
          </w:p>
          <w:p w14:paraId="4F00AE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帐    号：651651056018800020157</w:t>
            </w:r>
          </w:p>
          <w:p w14:paraId="2A911B1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val="0"/>
                <w:bCs w:val="0"/>
                <w:sz w:val="21"/>
                <w:szCs w:val="21"/>
                <w:highlight w:val="none"/>
                <w:vertAlign w:val="baseline"/>
                <w:lang w:val="en-US" w:eastAsia="zh-CN"/>
              </w:rPr>
              <w:t>行    号：301881000569</w:t>
            </w:r>
          </w:p>
        </w:tc>
      </w:tr>
      <w:tr w14:paraId="375132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06F0B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25</w:t>
            </w:r>
          </w:p>
        </w:tc>
        <w:tc>
          <w:tcPr>
            <w:tcW w:w="6652" w:type="dxa"/>
            <w:tcBorders>
              <w:top w:val="single" w:color="auto" w:sz="4"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接收询问和质疑的联系方式：</w:t>
            </w:r>
          </w:p>
          <w:p w14:paraId="6BAC10E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1、询问</w:t>
            </w:r>
          </w:p>
          <w:p w14:paraId="719F522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联系部门、联系电话、通讯地址：见第一章《招标公告》中的采购代理机构信息和项目联系方式。</w:t>
            </w:r>
          </w:p>
          <w:p w14:paraId="1CA30E1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2、质疑</w:t>
            </w:r>
          </w:p>
          <w:p w14:paraId="6A57A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联系部门：新疆世纪星工程咨询有限公司招标部</w:t>
            </w:r>
          </w:p>
          <w:p w14:paraId="4932C5A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联系人、联系电话：毛文静    0991-3678303</w:t>
            </w:r>
          </w:p>
          <w:p w14:paraId="5D75B6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通讯地址：乌鲁木齐经济技术开发区二期黄山街一品九点阳光德港大厦B座20楼</w:t>
            </w:r>
          </w:p>
          <w:p w14:paraId="2BF1922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其他要求：质疑书、授权</w:t>
            </w:r>
            <w:r>
              <w:rPr>
                <w:rFonts w:hint="eastAsia" w:ascii="仿宋_GB2312" w:hAnsi="仿宋_GB2312" w:eastAsia="仿宋_GB2312" w:cs="仿宋_GB2312"/>
                <w:b w:val="0"/>
                <w:bCs w:val="0"/>
                <w:sz w:val="21"/>
                <w:szCs w:val="21"/>
                <w:highlight w:val="none"/>
                <w:vertAlign w:val="baseline"/>
                <w:lang w:val="en-US" w:eastAsia="zh-CN"/>
              </w:rPr>
              <w:t>委托书</w:t>
            </w:r>
            <w:r>
              <w:rPr>
                <w:rFonts w:hint="eastAsia" w:ascii="仿宋_GB2312" w:hAnsi="仿宋_GB2312" w:eastAsia="仿宋_GB2312" w:cs="仿宋_GB2312"/>
                <w:b/>
                <w:bCs/>
                <w:sz w:val="21"/>
                <w:szCs w:val="21"/>
                <w:highlight w:val="none"/>
                <w:vertAlign w:val="baseline"/>
                <w:lang w:val="en-US" w:eastAsia="zh-CN"/>
              </w:rPr>
              <w:t>及报名成功截图PDF扫描件发送至代理机构邮箱，以上资料原件邮寄或送至代理机构。</w:t>
            </w:r>
          </w:p>
        </w:tc>
      </w:tr>
      <w:tr w14:paraId="7BA25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40969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适用于本投标人须知的额外增加的变动：</w:t>
            </w:r>
          </w:p>
        </w:tc>
      </w:tr>
      <w:tr w14:paraId="5AC370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754CDC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27DF0C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核心产品：</w:t>
            </w:r>
          </w:p>
          <w:p w14:paraId="0FA453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w:t>
            </w:r>
            <w:r>
              <w:rPr>
                <w:rFonts w:hint="eastAsia" w:ascii="仿宋_GB2312" w:hAnsi="仿宋_GB2312" w:eastAsia="仿宋_GB2312" w:cs="仿宋_GB2312"/>
                <w:b w:val="0"/>
                <w:bCs w:val="0"/>
                <w:sz w:val="21"/>
                <w:szCs w:val="21"/>
                <w:highlight w:val="none"/>
                <w:u w:val="single"/>
                <w:vertAlign w:val="baseline"/>
                <w:lang w:val="en-US" w:eastAsia="zh-CN"/>
              </w:rPr>
              <w:t xml:space="preserve"> 标项1</w:t>
            </w:r>
            <w:r>
              <w:rPr>
                <w:rFonts w:hint="eastAsia" w:ascii="仿宋_GB2312" w:hAnsi="仿宋_GB2312" w:eastAsia="仿宋_GB2312" w:cs="仿宋_GB2312"/>
                <w:b w:val="0"/>
                <w:bCs w:val="0"/>
                <w:sz w:val="21"/>
                <w:szCs w:val="21"/>
                <w:highlight w:val="none"/>
                <w:vertAlign w:val="baseline"/>
                <w:lang w:val="en-US" w:eastAsia="zh-CN"/>
              </w:rPr>
              <w:t xml:space="preserve"> 为单一产品采购项目。</w:t>
            </w:r>
          </w:p>
          <w:p w14:paraId="64493CF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u w:val="singl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为非单一产品采购项目，核心产品为</w:t>
            </w:r>
            <w:r>
              <w:rPr>
                <w:rFonts w:hint="eastAsia" w:ascii="仿宋_GB2312" w:hAnsi="仿宋_GB2312" w:eastAsia="仿宋_GB2312" w:cs="仿宋_GB2312"/>
                <w:b w:val="0"/>
                <w:bCs w:val="0"/>
                <w:sz w:val="21"/>
                <w:szCs w:val="21"/>
                <w:highlight w:val="none"/>
                <w:u w:val="single"/>
                <w:vertAlign w:val="baseline"/>
                <w:lang w:val="en-US" w:eastAsia="zh-CN"/>
              </w:rPr>
              <w:t xml:space="preserve">：         </w:t>
            </w:r>
          </w:p>
          <w:p w14:paraId="63F20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b/>
                <w:bCs/>
                <w:sz w:val="21"/>
                <w:szCs w:val="21"/>
                <w:highlight w:val="none"/>
                <w:vertAlign w:val="baseline"/>
                <w:lang w:val="en-US" w:eastAsia="zh-CN"/>
              </w:rPr>
              <w:t>注：若不单独标明核心产品则所有产品均被视为核心产品</w:t>
            </w:r>
          </w:p>
        </w:tc>
      </w:tr>
      <w:tr w14:paraId="0E12AE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0C05AA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780B26B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评标方法：综合评分法</w:t>
            </w:r>
          </w:p>
        </w:tc>
      </w:tr>
      <w:tr w14:paraId="22D1CA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4BE8BD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6652" w:type="dxa"/>
            <w:tcBorders>
              <w:top w:val="single" w:color="auto" w:sz="4" w:space="0"/>
              <w:tl2br w:val="nil"/>
              <w:tr2bl w:val="nil"/>
            </w:tcBorders>
            <w:vAlign w:val="center"/>
          </w:tcPr>
          <w:p w14:paraId="50BC8B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项目属性：货物</w:t>
            </w:r>
          </w:p>
        </w:tc>
      </w:tr>
      <w:tr w14:paraId="6520B8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5F2A82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6652" w:type="dxa"/>
            <w:tcBorders>
              <w:top w:val="single" w:color="auto" w:sz="4" w:space="0"/>
              <w:tl2br w:val="nil"/>
              <w:tr2bl w:val="nil"/>
            </w:tcBorders>
            <w:vAlign w:val="center"/>
          </w:tcPr>
          <w:p w14:paraId="5D41335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供货期：签订合同后90日内安装、调试、验收合格</w:t>
            </w:r>
          </w:p>
        </w:tc>
      </w:tr>
      <w:tr w14:paraId="57DAA8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57" w:hRule="atLeast"/>
        </w:trPr>
        <w:tc>
          <w:tcPr>
            <w:tcW w:w="8522" w:type="dxa"/>
            <w:gridSpan w:val="2"/>
            <w:tcBorders>
              <w:tl2br w:val="nil"/>
              <w:tr2bl w:val="nil"/>
            </w:tcBorders>
            <w:vAlign w:val="center"/>
          </w:tcPr>
          <w:p w14:paraId="0EC88F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适用于本投标人须知的额外增加的变动：</w:t>
            </w:r>
          </w:p>
          <w:p w14:paraId="143A7C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1、关于本项目所有公告、公示在新疆政府采购网（http://www.ccgp-xinjiang.gov.cn/）发布。</w:t>
            </w:r>
          </w:p>
          <w:p w14:paraId="370101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2、请投标单位随时关注本项目的澄清、答疑、变更事项。</w:t>
            </w:r>
          </w:p>
          <w:p w14:paraId="364CD6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0D4F78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BC56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76518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C1651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40AE9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仿宋_GB2312" w:hAnsi="仿宋_GB2312" w:eastAsia="仿宋_GB2312" w:cs="仿宋_GB2312"/>
                <w:b/>
                <w:bCs/>
                <w:sz w:val="21"/>
                <w:szCs w:val="21"/>
                <w:highlight w:val="none"/>
                <w:vertAlign w:val="baseline"/>
                <w:lang w:val="en-US" w:eastAsia="zh-CN"/>
              </w:rPr>
              <w:t>本项目投标文件解密时间定为30分钟，如投标人因自身原因导致在规定的时间未能成功解密的视为放弃投标。</w:t>
            </w:r>
          </w:p>
          <w:p w14:paraId="7E5A8E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9、</w:t>
            </w:r>
            <w:r>
              <w:rPr>
                <w:rFonts w:hint="eastAsia" w:ascii="仿宋_GB2312" w:hAnsi="仿宋_GB2312" w:eastAsia="仿宋_GB2312" w:cs="仿宋_GB2312"/>
                <w:b/>
                <w:bCs/>
                <w:sz w:val="21"/>
                <w:szCs w:val="21"/>
                <w:highlight w:val="none"/>
                <w:vertAlign w:val="baseline"/>
                <w:lang w:val="en-US" w:eastAsia="zh-CN"/>
              </w:rPr>
              <w:t>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0189D37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10、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7AC6EA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11、投标人须知前附表是对投标人须知正文部分对应条款的补充、细化，投标人阅读时应与正文部分一并阅读，投标人须知前附表与正文部分不一致处，应以投标人须知前附表为准。 </w:t>
            </w:r>
          </w:p>
          <w:p w14:paraId="16869C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12、“☑”符号表示本招标文件选定的内容；“□”符号表示本招标文件未选定的内容；空格中的“/”表示没有具体内容。投标人投标时请按“☑符号”选定的内容和要求参加投标。</w:t>
            </w:r>
          </w:p>
          <w:p w14:paraId="50AC1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13、与合同履行有关条款中注明的“甲方”、“买方”，在招标投标阶段按“采购人”理解；注明的“乙方”、“卖方”，按“投标人”理解。</w:t>
            </w:r>
          </w:p>
          <w:p w14:paraId="6275A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14、投标人必须认真阅读招标文件中所有的事项、格式、条款和采购需求等。投标人没有按照招标文件要求提交全部资料，或者投标文件没有对招标文件在各方面都做出实质性响应的可能导致其投标无效或被拒绝。</w:t>
            </w:r>
          </w:p>
          <w:p w14:paraId="2B5A7CE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p>
        </w:tc>
      </w:tr>
    </w:tbl>
    <w:p w14:paraId="70223A4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4CE062F9">
      <w:pPr>
        <w:pStyle w:val="3"/>
        <w:numPr>
          <w:ilvl w:val="0"/>
          <w:numId w:val="2"/>
        </w:numPr>
        <w:bidi w:val="0"/>
        <w:jc w:val="center"/>
        <w:rPr>
          <w:rFonts w:hint="eastAsia" w:ascii="方正小标宋简体" w:hAnsi="方正小标宋简体" w:eastAsia="方正小标宋简体" w:cs="方正小标宋简体"/>
          <w:sz w:val="32"/>
          <w:szCs w:val="32"/>
        </w:rPr>
      </w:pPr>
      <w:bookmarkStart w:id="9" w:name="_Toc27881"/>
      <w:r>
        <w:rPr>
          <w:rFonts w:hint="eastAsia" w:ascii="方正小标宋简体" w:hAnsi="方正小标宋简体" w:eastAsia="方正小标宋简体" w:cs="方正小标宋简体"/>
          <w:sz w:val="32"/>
          <w:szCs w:val="32"/>
        </w:rPr>
        <w:t>投标人须知</w:t>
      </w:r>
      <w:bookmarkEnd w:id="9"/>
    </w:p>
    <w:p w14:paraId="5B33DD65">
      <w:pPr>
        <w:keepNext w:val="0"/>
        <w:keepLines w:val="0"/>
        <w:pageBreakBefore w:val="0"/>
        <w:widowControl w:val="0"/>
        <w:numPr>
          <w:ilvl w:val="0"/>
          <w:numId w:val="3"/>
        </w:numPr>
        <w:kinsoku/>
        <w:wordWrap/>
        <w:overflowPunct/>
        <w:topLinePunct w:val="0"/>
        <w:autoSpaceDE/>
        <w:autoSpaceDN/>
        <w:bidi w:val="0"/>
        <w:adjustRightInd/>
        <w:snapToGrid/>
        <w:spacing w:line="440" w:lineRule="exact"/>
        <w:jc w:val="center"/>
        <w:textAlignment w:val="auto"/>
        <w:outlineLvl w:val="1"/>
        <w:rPr>
          <w:rFonts w:hint="eastAsia" w:ascii="仿宋_GB2312" w:hAnsi="仿宋_GB2312" w:eastAsia="仿宋_GB2312" w:cs="仿宋_GB2312"/>
          <w:b/>
          <w:bCs/>
          <w:sz w:val="24"/>
          <w:szCs w:val="24"/>
        </w:rPr>
      </w:pPr>
      <w:bookmarkStart w:id="10" w:name="_Toc20936"/>
      <w:r>
        <w:rPr>
          <w:rFonts w:hint="eastAsia" w:ascii="仿宋_GB2312" w:hAnsi="仿宋_GB2312" w:eastAsia="仿宋_GB2312" w:cs="仿宋_GB2312"/>
          <w:b/>
          <w:bCs/>
          <w:sz w:val="24"/>
          <w:szCs w:val="24"/>
        </w:rPr>
        <w:t>说 明</w:t>
      </w:r>
      <w:bookmarkEnd w:id="10"/>
    </w:p>
    <w:p w14:paraId="732662D5">
      <w:pPr>
        <w:pStyle w:val="24"/>
        <w:rPr>
          <w:rFonts w:hint="eastAsia"/>
        </w:rPr>
      </w:pPr>
    </w:p>
    <w:p w14:paraId="19ADED7B">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采购人、采购代理机构及投标人</w:t>
      </w:r>
    </w:p>
    <w:p w14:paraId="1750318A">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w:t>
      </w:r>
      <w:r>
        <w:rPr>
          <w:rFonts w:hint="eastAsia" w:ascii="仿宋_GB2312" w:hAnsi="仿宋_GB2312" w:eastAsia="仿宋_GB2312" w:cs="仿宋_GB2312"/>
          <w:b w:val="0"/>
          <w:bCs w:val="0"/>
          <w:sz w:val="24"/>
          <w:szCs w:val="24"/>
          <w:u w:val="single"/>
          <w:lang w:val="en-US" w:eastAsia="zh-CN"/>
        </w:rPr>
        <w:t>见投标须知前附表</w:t>
      </w:r>
      <w:r>
        <w:rPr>
          <w:rFonts w:hint="eastAsia" w:ascii="仿宋_GB2312" w:hAnsi="仿宋_GB2312" w:eastAsia="仿宋_GB2312" w:cs="仿宋_GB2312"/>
          <w:b w:val="0"/>
          <w:bCs w:val="0"/>
          <w:sz w:val="24"/>
          <w:szCs w:val="24"/>
          <w:u w:val="none"/>
          <w:lang w:val="en-US" w:eastAsia="zh-CN"/>
        </w:rPr>
        <w:t>，是采购活动当事人之一，负责项目的整体规划、技术方案可行性设计论证与实施，作为合同采购方（用户）的主体承担质疑回复、履行合同、验收与评价等义务。</w:t>
      </w:r>
    </w:p>
    <w:p w14:paraId="7CF0F685">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采购代理机构：本次招标的采购代理机构为新疆世纪星工程咨询有限公司，负责整个采购活动的组织，依法负责编制和发布招标文件，对招标文件拥有最终的解释权，不以任何身份出任评标委员会成员。</w:t>
      </w:r>
    </w:p>
    <w:p w14:paraId="2C959AED">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Chars="0"/>
        <w:jc w:val="both"/>
        <w:textAlignment w:val="auto"/>
        <w:rPr>
          <w:rFonts w:hint="default"/>
          <w:lang w:val="en-US" w:eastAsia="zh-CN"/>
        </w:rPr>
      </w:pPr>
      <w:r>
        <w:rPr>
          <w:rFonts w:hint="eastAsia" w:ascii="仿宋_GB2312" w:hAnsi="仿宋_GB2312" w:eastAsia="仿宋_GB2312" w:cs="仿宋_GB2312"/>
          <w:b w:val="0"/>
          <w:bCs w:val="0"/>
          <w:sz w:val="24"/>
          <w:szCs w:val="24"/>
          <w:lang w:val="en-US" w:eastAsia="zh-CN"/>
        </w:rPr>
        <w:t>投标人：是指在云平台项目采购系统完成本项目投标登记并提交电子投标文件的供应商。</w:t>
      </w:r>
    </w:p>
    <w:p w14:paraId="1670828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投标人须满足以下条件：</w:t>
      </w:r>
    </w:p>
    <w:p w14:paraId="45BA554C">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具备《中华人民共和国政府采购法》第二十二条关于投标人条件的规定，遵守国家、本项目采购人本级和上级财政部门政府采购的有关规定。</w:t>
      </w:r>
    </w:p>
    <w:p w14:paraId="3D934503">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以招标文件规定的方式获得了本项目的招标文件。</w:t>
      </w:r>
    </w:p>
    <w:p w14:paraId="10DA8C0B">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符合</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中规定的其他资格要求。</w:t>
      </w:r>
    </w:p>
    <w:p w14:paraId="0F634950">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如经财政主管部门批准可以采购进口产品，将在投标须知前附表中写明。但投标人应保证所投产品可履行合法报通关手续进入中国关境内。若</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中未写明允许采购进口产品，如投标人所投产品为进口产品，其投标将作为</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 xml:space="preserve">被拒绝。 </w:t>
      </w:r>
    </w:p>
    <w:p w14:paraId="74ABD2D7">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中小企业、监狱企业及残疾人福利性单位。</w:t>
      </w:r>
    </w:p>
    <w:p w14:paraId="309083FB">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采购标的对应的中小企业划分标准所属行业见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03A680C1">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。若投标须知前附表中写明本项目预留部分采购项目预算专门面向中小企业采购的，本项目面向中小企业采购预留份额、措施及比例见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，未达到上述比例的投标将被认定为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。承接企业如为监狱企业或残疾人福利性单位的，视同为小型、微型企业。</w:t>
      </w:r>
    </w:p>
    <w:p w14:paraId="67A7BC67">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A9C9E4F">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投标人提供的货物、工程或者服务符合下列情形的，享受中小企业扶持政策：</w:t>
      </w:r>
    </w:p>
    <w:p w14:paraId="4BB87C83">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在货物采购项目中，货物由中小企业制造，即货物由中小企业生产且使用该中小企业商号或者注册商标；</w:t>
      </w:r>
    </w:p>
    <w:p w14:paraId="094D8372">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在工程采购项目中，工程由中小企业承建，即工程施工单位为中小企业；</w:t>
      </w:r>
    </w:p>
    <w:p w14:paraId="3A417F0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345E3C7E">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在货物采购项目中，投标人提供的货物既有中小企业制造货物，也有大型企业制造货物的，不享受中小企业扶持政策。 </w:t>
      </w:r>
    </w:p>
    <w:p w14:paraId="2E6BF040">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以联合体形式参加政府采购活动，联合体各方均为中小企业的，联合体视同中小企业。其中，联合体各方均为小微企业的，联合体视同小微企业。</w:t>
      </w:r>
    </w:p>
    <w:p w14:paraId="1A8A4C83">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637F9D6">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48A937E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安置的残疾人占本单位在职职工人数的比例不低于25%（含25%），并且安置的残疾人人数不少于10人（含10人）； </w:t>
      </w:r>
    </w:p>
    <w:p w14:paraId="3C6DDEB8">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依法与安置的每位残疾人签订了一年以上（含一年）的劳动合同或服务协议；</w:t>
      </w:r>
    </w:p>
    <w:p w14:paraId="686CA50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为安置的每位残疾人按月足额缴纳了基本养老保险、基本医疗保险、失业保险、工伤保险和生育保险等社会保险费；</w:t>
      </w:r>
    </w:p>
    <w:p w14:paraId="596F7F9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通过银行等金融机构向安置的每位残疾人，按月支付了不低于单位所在区县适用的经省级人民政府批准的月最低工资标准的工资；</w:t>
      </w:r>
    </w:p>
    <w:p w14:paraId="71DC877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提供本单位制造的货物、承担的工程或者服务，或者提供其他残疾人福利性单位制造的货物（不包括使用非残疾人福利性单位注册商标的货物）。</w:t>
      </w:r>
    </w:p>
    <w:p w14:paraId="1E8D4EB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8365942">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享受中小企业扶持政策获得政府采购合同的，小微企业不得将合同分包给大中型企业，中型企业不得将合同分包给大型企业。</w:t>
      </w:r>
    </w:p>
    <w:p w14:paraId="03DD1CFD">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政府采购节能产品、环境标志产品</w:t>
      </w:r>
    </w:p>
    <w:p w14:paraId="66351C18">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1A84AB5">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1EF7C620">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B8B8CC7">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64DA244C">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支持乡村产业振兴管理</w:t>
      </w:r>
    </w:p>
    <w:p w14:paraId="2847A76C">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243E7617">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正版软件</w:t>
      </w:r>
    </w:p>
    <w:p w14:paraId="2863401E">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B946306">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21959E9A">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供应商信用记录</w:t>
      </w:r>
    </w:p>
    <w:p w14:paraId="3ED3E953">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0FE13A48">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采购需求标准</w:t>
      </w:r>
    </w:p>
    <w:p w14:paraId="1384D389">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商品包装、快递包装政府采购需求标准（试行）</w:t>
      </w:r>
    </w:p>
    <w:p w14:paraId="16D8FBA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06C71E1B">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绿色数据中心政府采购需求标准（试行）</w:t>
      </w:r>
    </w:p>
    <w:p w14:paraId="386E0AD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0D70E644">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其他采购需求标准</w:t>
      </w:r>
    </w:p>
    <w:p w14:paraId="3371736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183DE6B2">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支持本国产品</w:t>
      </w:r>
    </w:p>
    <w:p w14:paraId="7E1223B7">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见投标人须知前附表</w:t>
      </w:r>
      <w:r>
        <w:rPr>
          <w:rFonts w:hint="eastAsia" w:ascii="仿宋_GB2312" w:hAnsi="仿宋_GB2312" w:eastAsia="仿宋_GB2312" w:cs="仿宋_GB2312"/>
          <w:b w:val="0"/>
          <w:bCs w:val="0"/>
          <w:sz w:val="24"/>
          <w:szCs w:val="24"/>
          <w:lang w:val="en-US" w:eastAsia="zh-CN"/>
        </w:rPr>
        <w:t>。</w:t>
      </w:r>
    </w:p>
    <w:p w14:paraId="513344B6">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5B743BB6">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采购人、采购代理机构应当随中标、成交结果同时公告中标、成交供应商提供的《关于符合本国产品标准的声明函》或有关证明文件。</w:t>
      </w:r>
    </w:p>
    <w:p w14:paraId="19E0424F">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中允许联合体投标，对联合体规定如下：</w:t>
      </w:r>
    </w:p>
    <w:p w14:paraId="666DA32C">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两个以上投标人可以组成一个投标联合体，以一个投标人的身份投标。  </w:t>
      </w:r>
    </w:p>
    <w:p w14:paraId="35DC8045">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联合体各方均应符合《中华人民共和国政府采购法》第二十二条规定的条件，遵守国家、本项目采购人本级和上级财政部门政府采购的有关规定。</w:t>
      </w:r>
    </w:p>
    <w:p w14:paraId="5FC5767A">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采购人根据采购项目对投标人的特殊要求，联合体中至少应当有一方符合相关规定。</w:t>
      </w:r>
    </w:p>
    <w:p w14:paraId="43F82DFA">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联合体各方应签订共同投标协议，明确约定联合体各方承担的工作和相应的责任，并将共同投标协议连同投标文件一并提交采购人或采购代理机构。</w:t>
      </w:r>
    </w:p>
    <w:p w14:paraId="54E32D2E">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7F8C967E">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联合体中有同类资质的投标人按照联合体分工承担相同工作的，按照资质等级较低的投标人确定资质等级。</w:t>
      </w:r>
    </w:p>
    <w:p w14:paraId="34E1EEA9">
      <w:pPr>
        <w:keepNext w:val="0"/>
        <w:keepLines w:val="0"/>
        <w:pageBreakBefore w:val="0"/>
        <w:widowControl w:val="0"/>
        <w:numPr>
          <w:ilvl w:val="2"/>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对联合体投标的其他资格要求见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62B80BF8">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单位负责人为同一人或者存在直接控股、管理关系的不同投标人，其投标将被认定为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588D93A0">
      <w:pPr>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为本项目提供整体设计、规范编制或者项目管理、监理、检测等服务的投标人，其投标将被认定为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0DAF1E22">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资金来源 </w:t>
      </w:r>
    </w:p>
    <w:p w14:paraId="4F57C1A8">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本项目的采购人已获得足以支付本次招标后所签订的合同项下的资金（包括财政性资金和本项目采购中无法与财政性资金分割的非财政性资金）。 </w:t>
      </w:r>
    </w:p>
    <w:p w14:paraId="0E60C31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项目预算金额和最高限价见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6FF76C0A">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投标人报价超过招标文件规定的预算金额或者最高限价的，其投标将被认定为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06D1C8D0">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投标费用</w:t>
      </w:r>
    </w:p>
    <w:p w14:paraId="31C6AB9B">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投标人应自行承担所有与准备和参加投标有关的费用，无论投标的结果如何，采购人或采购代理机构在任何情况下均无承担这些费用的义务和责任。</w:t>
      </w:r>
    </w:p>
    <w:p w14:paraId="3EF778A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bCs/>
          <w:sz w:val="24"/>
          <w:szCs w:val="24"/>
          <w:lang w:val="en-US" w:eastAsia="zh-CN"/>
        </w:rPr>
        <w:t>适用法律</w:t>
      </w:r>
    </w:p>
    <w:p w14:paraId="45C9A712">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6F8D331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p>
    <w:p w14:paraId="18BBB03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0" w:leftChars="0"/>
        <w:jc w:val="center"/>
        <w:textAlignment w:val="auto"/>
        <w:outlineLvl w:val="1"/>
        <w:rPr>
          <w:rFonts w:hint="eastAsia" w:ascii="仿宋_GB2312" w:hAnsi="仿宋_GB2312" w:eastAsia="仿宋_GB2312" w:cs="仿宋_GB2312"/>
          <w:b/>
          <w:bCs/>
          <w:sz w:val="24"/>
          <w:szCs w:val="24"/>
          <w:lang w:val="en-US" w:eastAsia="zh-CN"/>
        </w:rPr>
      </w:pPr>
      <w:bookmarkStart w:id="11" w:name="_Toc6547"/>
      <w:r>
        <w:rPr>
          <w:rFonts w:hint="eastAsia" w:ascii="仿宋_GB2312" w:hAnsi="仿宋_GB2312" w:eastAsia="仿宋_GB2312" w:cs="仿宋_GB2312"/>
          <w:b/>
          <w:bCs/>
          <w:kern w:val="2"/>
          <w:sz w:val="24"/>
          <w:szCs w:val="24"/>
          <w:lang w:val="en-US" w:eastAsia="zh-CN" w:bidi="ar-SA"/>
        </w:rPr>
        <w:t>二、</w:t>
      </w:r>
      <w:r>
        <w:rPr>
          <w:rFonts w:hint="eastAsia" w:ascii="仿宋_GB2312" w:hAnsi="仿宋_GB2312" w:eastAsia="仿宋_GB2312" w:cs="仿宋_GB2312"/>
          <w:b/>
          <w:bCs/>
          <w:sz w:val="24"/>
          <w:szCs w:val="24"/>
          <w:lang w:val="en-US" w:eastAsia="zh-CN"/>
        </w:rPr>
        <w:t>招标文件</w:t>
      </w:r>
      <w:bookmarkEnd w:id="11"/>
    </w:p>
    <w:p w14:paraId="364BE066">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招标文件构成</w:t>
      </w:r>
    </w:p>
    <w:p w14:paraId="509D8701">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招标文件包括以下部分：</w:t>
      </w:r>
    </w:p>
    <w:p w14:paraId="1091F07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第一章 招标公告（投标邀请） </w:t>
      </w:r>
    </w:p>
    <w:p w14:paraId="3331E39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第二章 投标须知前附表 </w:t>
      </w:r>
    </w:p>
    <w:p w14:paraId="56E8928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第三章 投标人须知</w:t>
      </w:r>
    </w:p>
    <w:p w14:paraId="7D0C398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第四章 政府采购合同 </w:t>
      </w:r>
    </w:p>
    <w:p w14:paraId="0780A5D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第五章 采购需求 </w:t>
      </w:r>
    </w:p>
    <w:p w14:paraId="7D599D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第六章 评标程序、评标方法和评标标准</w:t>
      </w:r>
    </w:p>
    <w:p w14:paraId="607249A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第七章 投标文件格式 </w:t>
      </w:r>
    </w:p>
    <w:p w14:paraId="1A5866E5">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包括招标公告和招标文件及其补充、变更和澄清等一系列文件。投标人应认真阅读招标文件的全部内容。投标人应按照招标文件要求提交投标文件并保证所提供的全部资料的真实性，并对招标文件做出实质性响应，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205A04E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招标文件中有不一致的，有澄清的部分以最终的澄清更正内容为准；未澄清的，以投标须知前附表为准；</w:t>
      </w:r>
      <w:r>
        <w:rPr>
          <w:rFonts w:hint="eastAsia" w:ascii="仿宋_GB2312" w:hAnsi="仿宋_GB2312" w:eastAsia="仿宋_GB2312" w:cs="仿宋_GB2312"/>
          <w:b w:val="0"/>
          <w:bCs w:val="0"/>
          <w:sz w:val="24"/>
          <w:szCs w:val="24"/>
          <w:u w:val="none"/>
          <w:lang w:val="en-US" w:eastAsia="zh-CN"/>
        </w:rPr>
        <w:t>投标须知前附表</w:t>
      </w:r>
      <w:r>
        <w:rPr>
          <w:rFonts w:hint="eastAsia" w:ascii="仿宋_GB2312" w:hAnsi="仿宋_GB2312" w:eastAsia="仿宋_GB2312" w:cs="仿宋_GB2312"/>
          <w:b w:val="0"/>
          <w:bCs w:val="0"/>
          <w:sz w:val="24"/>
          <w:szCs w:val="24"/>
          <w:lang w:val="en-US" w:eastAsia="zh-CN"/>
        </w:rPr>
        <w:t>不涉及的内容，以编排在后的最后描述为准。</w:t>
      </w:r>
    </w:p>
    <w:p w14:paraId="18C5278F">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现场考察或者答疑会及相关事项见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449CF21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采购人在踏勘现场中介绍的资料和数据等，只是为了使投标人能够利用招标人现有的资料。招标人对投标人由此而作出的推论、解释和结论概不负责。</w:t>
      </w:r>
    </w:p>
    <w:p w14:paraId="1FF377D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投标人自行承担踏勘现场发生的责任、风险和自身费用。</w:t>
      </w:r>
    </w:p>
    <w:p w14:paraId="54DC6701">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样品（演示）</w:t>
      </w:r>
    </w:p>
    <w:p w14:paraId="5186784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如需提供样品（演示），对样品（演示）相关要求见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，对样品（演示）的评审方法及评审标准见招标文件第六章《评标程序、评标方法和评标标准》。</w:t>
      </w:r>
    </w:p>
    <w:p w14:paraId="4995B714">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招标文件规定投标人提交样品的，样品属于投标文件的组成部分。样品的生产、运输、安装、保全等一切费用由投标人自理。</w:t>
      </w:r>
    </w:p>
    <w:p w14:paraId="7105DB2E">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投标截止时间前，投标人应将样品送达至指定地点。若需要现场演示的，投标人应提前做好演示准备（包括演示设备）。</w:t>
      </w:r>
    </w:p>
    <w:p w14:paraId="7E54015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71C36ADE">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对招标文件的澄清或修改</w:t>
      </w:r>
    </w:p>
    <w:p w14:paraId="5F1BDFE1">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088C4810">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53C5568E">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77615D9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为了保证对招标文件的澄清和修改满足法律的时限要求，任何要求对招标文件进行澄清的投标人，均应在投标截止期十五日前，以书面形式将澄清要求通知采购人或采购代理机构。</w:t>
      </w:r>
    </w:p>
    <w:p w14:paraId="21747320">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如更正公告有重新发布电子招标文件的，投标人应登录电子招投标平台下载最新发布的电子招标文件制作投标文件。</w:t>
      </w:r>
    </w:p>
    <w:p w14:paraId="1FB0234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54A993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z w:val="24"/>
          <w:szCs w:val="24"/>
          <w:lang w:val="en-US" w:eastAsia="zh-CN"/>
        </w:rPr>
      </w:pPr>
    </w:p>
    <w:p w14:paraId="16CB4D1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2" w:name="_Toc9070"/>
      <w:r>
        <w:rPr>
          <w:rFonts w:hint="eastAsia" w:ascii="仿宋_GB2312" w:hAnsi="仿宋_GB2312" w:eastAsia="仿宋_GB2312" w:cs="仿宋_GB2312"/>
          <w:b/>
          <w:bCs/>
          <w:kern w:val="2"/>
          <w:sz w:val="24"/>
          <w:szCs w:val="24"/>
          <w:lang w:val="en-US" w:eastAsia="zh-CN" w:bidi="ar-SA"/>
        </w:rPr>
        <w:t>三、</w:t>
      </w:r>
      <w:r>
        <w:rPr>
          <w:rFonts w:hint="eastAsia" w:ascii="仿宋_GB2312" w:hAnsi="仿宋_GB2312" w:eastAsia="仿宋_GB2312" w:cs="仿宋_GB2312"/>
          <w:b/>
          <w:bCs/>
          <w:sz w:val="24"/>
          <w:szCs w:val="24"/>
          <w:lang w:val="en-US" w:eastAsia="zh-CN"/>
        </w:rPr>
        <w:t>投标文件的编制</w:t>
      </w:r>
      <w:bookmarkEnd w:id="12"/>
    </w:p>
    <w:p w14:paraId="215A774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u w:val="single"/>
          <w:lang w:val="en-US" w:eastAsia="zh-CN"/>
        </w:rPr>
      </w:pPr>
      <w:r>
        <w:rPr>
          <w:rFonts w:hint="eastAsia" w:ascii="仿宋_GB2312" w:hAnsi="仿宋_GB2312" w:eastAsia="仿宋_GB2312" w:cs="仿宋_GB2312"/>
          <w:b/>
          <w:bCs/>
          <w:sz w:val="24"/>
          <w:szCs w:val="24"/>
          <w:lang w:val="en-US" w:eastAsia="zh-CN"/>
        </w:rPr>
        <w:t>投标范围、投标文件中计量单位的使用及投标语言</w:t>
      </w:r>
    </w:p>
    <w:p w14:paraId="0E051073">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投标人可对招标文件中一个或几个分包进行投标，除非在</w:t>
      </w:r>
      <w:r>
        <w:rPr>
          <w:rFonts w:hint="eastAsia" w:ascii="仿宋_GB2312" w:hAnsi="仿宋_GB2312" w:eastAsia="仿宋_GB2312" w:cs="仿宋_GB2312"/>
          <w:b w:val="0"/>
          <w:bCs w:val="0"/>
          <w:sz w:val="24"/>
          <w:szCs w:val="24"/>
          <w:u w:val="single"/>
          <w:lang w:val="en-US" w:eastAsia="zh-CN"/>
        </w:rPr>
        <w:t>投标须知前附表中另有规定</w:t>
      </w:r>
      <w:r>
        <w:rPr>
          <w:rFonts w:hint="eastAsia" w:ascii="仿宋_GB2312" w:hAnsi="仿宋_GB2312" w:eastAsia="仿宋_GB2312" w:cs="仿宋_GB2312"/>
          <w:b w:val="0"/>
          <w:bCs w:val="0"/>
          <w:sz w:val="24"/>
          <w:szCs w:val="24"/>
          <w:lang w:val="en-US" w:eastAsia="zh-CN"/>
        </w:rPr>
        <w:t xml:space="preserve">。 </w:t>
      </w:r>
    </w:p>
    <w:p w14:paraId="2024F265">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投标人应当对所投采购包对应第五章《采购需求》所列的全部内容进行投标，不得将一个采购包中的内容拆分投标，任何只对本项目采购标的其中一部分内容、数量进行的投标都被视为</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w:t>
      </w:r>
    </w:p>
    <w:p w14:paraId="72C19BCC">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无论招标文件中是否要求，投标人所投货物或服务均应符合国家强制性标准。</w:t>
      </w:r>
    </w:p>
    <w:p w14:paraId="57758C9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除招标文件有特殊要求外，本项目投标所使用的计量单位，应采用中华人民共和国法定计量单位。</w:t>
      </w:r>
    </w:p>
    <w:p w14:paraId="7D28B2C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除招标文件另有规定外，投标文件应使用中文文本，若有不同文本，以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 </w:t>
      </w:r>
    </w:p>
    <w:p w14:paraId="44B2E4DD">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投标文件构成</w:t>
      </w:r>
    </w:p>
    <w:p w14:paraId="0665B7B6">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投标人应当按照招标文件的要求编制投标文件。投标文件应由资格证明文件、报价文件、商务和技术文件四部分构成。投标文件的部分格式要求，见第七章《投标文件格式》。</w:t>
      </w:r>
    </w:p>
    <w:p w14:paraId="3CA66D8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第五章《采购需求》及第六章《评标程序、评标方法和评标标准》中涉及的证明文件。</w:t>
      </w:r>
    </w:p>
    <w:p w14:paraId="6EC549F4">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77E89BB2">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投标人认为应附的其他材料。</w:t>
      </w:r>
    </w:p>
    <w:p w14:paraId="4B968E1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74D6443D">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投标报价</w:t>
      </w:r>
    </w:p>
    <w:p w14:paraId="0B43D14C">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投标人所提供的货物和服务均应以人民币报价，除在招标文件另有规定外（如：报折扣、报优惠率等）。</w:t>
      </w:r>
    </w:p>
    <w:p w14:paraId="557D10E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_GB2312" w:hAnsi="仿宋_GB2312" w:eastAsia="仿宋_GB2312" w:cs="仿宋_GB2312"/>
          <w:b/>
          <w:bCs/>
          <w:sz w:val="24"/>
          <w:szCs w:val="24"/>
          <w:lang w:val="en-US" w:eastAsia="zh-CN"/>
        </w:rPr>
        <w:t>投标被拒绝</w:t>
      </w:r>
      <w:r>
        <w:rPr>
          <w:rFonts w:hint="eastAsia" w:ascii="仿宋_GB2312" w:hAnsi="仿宋_GB2312" w:eastAsia="仿宋_GB2312" w:cs="仿宋_GB2312"/>
          <w:b w:val="0"/>
          <w:bCs w:val="0"/>
          <w:sz w:val="24"/>
          <w:szCs w:val="24"/>
          <w:lang w:val="en-US" w:eastAsia="zh-CN"/>
        </w:rPr>
        <w:t>。</w:t>
      </w:r>
    </w:p>
    <w:p w14:paraId="11FBD3E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27DC2BBF">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0367E3BB">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投标保证金</w:t>
      </w:r>
    </w:p>
    <w:p w14:paraId="6CBD27D4">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中规定的金额及要求交纳投标保证金，并作为其投标的一部分。</w:t>
      </w:r>
    </w:p>
    <w:p w14:paraId="54E410BF">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交纳保证金的形式除</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中另有约定外，可采用的形式：政府采购法律法规接受的支票、汇票、本票、网上银行支付或者金融机构、担保机构出具的保函等非现金形式。</w:t>
      </w:r>
    </w:p>
    <w:p w14:paraId="6308B001">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243BA4B1">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374773D5">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投标保证金（保函）有效期同投标有效期。</w:t>
      </w:r>
    </w:p>
    <w:p w14:paraId="6B4970A2">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联合体投标的，可以由联合体中的一方或者共同提交投标保证金，以一方名义提交投标保证金的，对联合体各方均具有约束力。</w:t>
      </w:r>
    </w:p>
    <w:p w14:paraId="3E189151">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445F2DB9">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投标人在投标截止时间前撤回已提交的投标文件的，自收到投标人书面撤回通知之日起 5 个工作日内退还已收取的投标保证金。 </w:t>
      </w:r>
    </w:p>
    <w:p w14:paraId="0F90A7CB">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中标人的投标保证金，自采购合同签订之日起 5 个工作日内退还中标人。 </w:t>
      </w:r>
    </w:p>
    <w:p w14:paraId="0393EEE8">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未中标投标人的投标保证金，自中标通知书发出之日起 5 个工作日内退还未中标人。</w:t>
      </w:r>
    </w:p>
    <w:p w14:paraId="075C4FF8">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终止采购活动的项目已经收取投标保证金的，自终止采购活动后 5 个工作日内退还已收取的投标保证金。</w:t>
      </w:r>
    </w:p>
    <w:p w14:paraId="49165637">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有下列情形之一的，采购人或采购代理机构可以不予退还投标保证金：</w:t>
      </w:r>
    </w:p>
    <w:p w14:paraId="098C36DA">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在投标有效期内，投标人撤回投标的； </w:t>
      </w:r>
    </w:p>
    <w:p w14:paraId="2BCB7E46">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中标人不按本招标文件的规定与采购人签订合同的； </w:t>
      </w:r>
    </w:p>
    <w:p w14:paraId="7BC0BBB7">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中标人不按本招标文件的规定提交履约保证金的； </w:t>
      </w:r>
    </w:p>
    <w:p w14:paraId="281DCEB3">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存在的串通投标情形的； </w:t>
      </w:r>
    </w:p>
    <w:p w14:paraId="4CA538B0">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存在提供虚假材料谋取中标、成交的；</w:t>
      </w:r>
    </w:p>
    <w:p w14:paraId="15FDC07C">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中标后，无正当理由放弃中标资格的；</w:t>
      </w:r>
    </w:p>
    <w:p w14:paraId="09E47491">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法律法规和招标文件规定的其他情形。 </w:t>
      </w:r>
    </w:p>
    <w:p w14:paraId="7AA11602">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投标有效期</w:t>
      </w:r>
    </w:p>
    <w:p w14:paraId="53100152">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投标文件应在</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中规定的投标有效期内保持有效，投标有效期少于招标文件规定期限的，其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E40563B">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DDACD8D">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投标文件的制作</w:t>
      </w:r>
    </w:p>
    <w:p w14:paraId="2FB81A85">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11F147C">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投标人应使用电子招投标平台提供的投标客户端编制、标记、加密投标文件，成功加密后将生成指定格式的电子投标文件和电子备用投标文件</w:t>
      </w:r>
    </w:p>
    <w:p w14:paraId="4830A1BC">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如有对多个采购包投标的，要对每个采购包独立制作电子投标文件。</w:t>
      </w:r>
    </w:p>
    <w:p w14:paraId="285BF9CB">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投标人须对招标文件的对应要求给予唯一的实质性响应，否则将视为</w:t>
      </w:r>
      <w:r>
        <w:rPr>
          <w:rFonts w:hint="eastAsia" w:ascii="仿宋_GB2312" w:hAnsi="仿宋_GB2312" w:eastAsia="仿宋_GB2312" w:cs="仿宋_GB2312"/>
          <w:b/>
          <w:bCs/>
          <w:sz w:val="24"/>
          <w:szCs w:val="24"/>
          <w:lang w:val="en-US" w:eastAsia="zh-CN"/>
        </w:rPr>
        <w:t>不响应</w:t>
      </w:r>
      <w:r>
        <w:rPr>
          <w:rFonts w:hint="eastAsia" w:ascii="仿宋_GB2312" w:hAnsi="仿宋_GB2312" w:eastAsia="仿宋_GB2312" w:cs="仿宋_GB2312"/>
          <w:b w:val="0"/>
          <w:bCs w:val="0"/>
          <w:sz w:val="24"/>
          <w:szCs w:val="24"/>
          <w:lang w:val="en-US" w:eastAsia="zh-CN"/>
        </w:rPr>
        <w:t>。</w:t>
      </w:r>
    </w:p>
    <w:p w14:paraId="7F54BC3D">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招标文件中，凡标有“※”的地方均为实质性响应条款，投标人若有一项带“※”的条款未响应或不满足，将按无效投标处理。</w:t>
      </w:r>
    </w:p>
    <w:p w14:paraId="436E1D33">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6E16858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z w:val="24"/>
          <w:szCs w:val="24"/>
          <w:lang w:val="en-US" w:eastAsia="zh-CN"/>
        </w:rPr>
      </w:pPr>
    </w:p>
    <w:p w14:paraId="546BFBF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3" w:name="_Toc21719"/>
      <w:r>
        <w:rPr>
          <w:rFonts w:hint="eastAsia" w:ascii="仿宋_GB2312" w:hAnsi="仿宋_GB2312" w:eastAsia="仿宋_GB2312" w:cs="仿宋_GB2312"/>
          <w:b/>
          <w:bCs/>
          <w:kern w:val="2"/>
          <w:sz w:val="24"/>
          <w:szCs w:val="24"/>
          <w:lang w:val="en-US" w:eastAsia="zh-CN" w:bidi="ar-SA"/>
        </w:rPr>
        <w:t>四、</w:t>
      </w:r>
      <w:r>
        <w:rPr>
          <w:rFonts w:hint="eastAsia" w:ascii="仿宋_GB2312" w:hAnsi="仿宋_GB2312" w:eastAsia="仿宋_GB2312" w:cs="仿宋_GB2312"/>
          <w:b/>
          <w:bCs/>
          <w:sz w:val="24"/>
          <w:szCs w:val="24"/>
          <w:lang w:val="en-US" w:eastAsia="zh-CN"/>
        </w:rPr>
        <w:t>投标文件的提交</w:t>
      </w:r>
      <w:bookmarkEnd w:id="13"/>
    </w:p>
    <w:p w14:paraId="1B31B25B">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投标文件的提交</w:t>
      </w:r>
    </w:p>
    <w:p w14:paraId="1B5FCC58">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投标人应在</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40D6DA58">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代理机构对因不可抗力事件造成的投标文件的损坏、丢失的，不承担责任。</w:t>
      </w:r>
    </w:p>
    <w:p w14:paraId="1E39423B">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出现下述情形之一，属于未成功提交投标文件，按无效</w:t>
      </w:r>
      <w:r>
        <w:rPr>
          <w:rFonts w:hint="eastAsia" w:ascii="仿宋_GB2312" w:hAnsi="仿宋_GB2312" w:eastAsia="仿宋_GB2312" w:cs="仿宋_GB2312"/>
          <w:b/>
          <w:bCs/>
          <w:sz w:val="24"/>
          <w:szCs w:val="24"/>
          <w:lang w:val="en-US" w:eastAsia="zh-CN"/>
        </w:rPr>
        <w:t>投标处理</w:t>
      </w:r>
      <w:r>
        <w:rPr>
          <w:rFonts w:hint="eastAsia" w:ascii="仿宋_GB2312" w:hAnsi="仿宋_GB2312" w:eastAsia="仿宋_GB2312" w:cs="仿宋_GB2312"/>
          <w:b w:val="0"/>
          <w:bCs w:val="0"/>
          <w:sz w:val="24"/>
          <w:szCs w:val="24"/>
          <w:lang w:val="en-US" w:eastAsia="zh-CN"/>
        </w:rPr>
        <w:t>：</w:t>
      </w:r>
    </w:p>
    <w:p w14:paraId="78DB36DA">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至提交投标文件截止时，投标文件未完整上传的。 </w:t>
      </w:r>
    </w:p>
    <w:p w14:paraId="5BD79A06">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投标文件未按投标格式中注明需签字盖章的要求进行签名（含电子签名）和加盖电子印章，或签名（含电子签名）或电子印章不完整的。</w:t>
      </w:r>
    </w:p>
    <w:p w14:paraId="65352711">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投标文件损坏或格式不正确的。</w:t>
      </w:r>
    </w:p>
    <w:p w14:paraId="3BFC353B">
      <w:pPr>
        <w:keepNext w:val="0"/>
        <w:keepLines w:val="0"/>
        <w:pageBreakBefore w:val="0"/>
        <w:widowControl w:val="0"/>
        <w:numPr>
          <w:ilvl w:val="1"/>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投标文件的修改、撤回与撤销</w:t>
      </w:r>
    </w:p>
    <w:p w14:paraId="1612EB51">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02FE500C">
      <w:pPr>
        <w:keepNext w:val="0"/>
        <w:keepLines w:val="0"/>
        <w:pageBreakBefore w:val="0"/>
        <w:widowControl w:val="0"/>
        <w:numPr>
          <w:ilvl w:val="2"/>
          <w:numId w:val="8"/>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在提交投标文件截止时间后，投标人不得补充、修改和更换投标文件。</w:t>
      </w:r>
      <w:r>
        <w:rPr>
          <w:rFonts w:hint="eastAsia" w:ascii="仿宋_GB2312" w:hAnsi="仿宋_GB2312" w:eastAsia="仿宋_GB2312" w:cs="仿宋_GB2312"/>
          <w:b/>
          <w:bCs/>
          <w:sz w:val="24"/>
          <w:szCs w:val="24"/>
          <w:lang w:val="en-US" w:eastAsia="zh-CN"/>
        </w:rPr>
        <w:t xml:space="preserve"> </w:t>
      </w:r>
    </w:p>
    <w:p w14:paraId="2F37F36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p>
    <w:p w14:paraId="11191FE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4" w:name="_Toc15263"/>
      <w:r>
        <w:rPr>
          <w:rFonts w:hint="eastAsia" w:ascii="仿宋_GB2312" w:hAnsi="仿宋_GB2312" w:eastAsia="仿宋_GB2312" w:cs="仿宋_GB2312"/>
          <w:b/>
          <w:bCs/>
          <w:kern w:val="2"/>
          <w:sz w:val="24"/>
          <w:szCs w:val="24"/>
          <w:lang w:val="en-US" w:eastAsia="zh-CN" w:bidi="ar-SA"/>
        </w:rPr>
        <w:t>五、</w:t>
      </w:r>
      <w:r>
        <w:rPr>
          <w:rFonts w:hint="eastAsia" w:ascii="仿宋_GB2312" w:hAnsi="仿宋_GB2312" w:eastAsia="仿宋_GB2312" w:cs="仿宋_GB2312"/>
          <w:b/>
          <w:bCs/>
          <w:sz w:val="24"/>
          <w:szCs w:val="24"/>
          <w:lang w:val="en-US" w:eastAsia="zh-CN"/>
        </w:rPr>
        <w:t>开标、资格审查及评标</w:t>
      </w:r>
      <w:bookmarkEnd w:id="14"/>
    </w:p>
    <w:p w14:paraId="02F48BE3">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开标</w:t>
      </w:r>
    </w:p>
    <w:p w14:paraId="31682647">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采购人和采购代理机构将按</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26E46340">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采用远程电子开标的：</w:t>
      </w:r>
    </w:p>
    <w:p w14:paraId="612D3B0F">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76533351">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44D522D2">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仿宋_GB2312" w:hAnsi="仿宋_GB2312" w:eastAsia="仿宋_GB2312" w:cs="仿宋_GB2312"/>
          <w:b/>
          <w:bCs/>
          <w:sz w:val="24"/>
          <w:szCs w:val="24"/>
          <w:lang w:val="en-US" w:eastAsia="zh-CN"/>
        </w:rPr>
        <w:t>投标处理</w:t>
      </w:r>
      <w:r>
        <w:rPr>
          <w:rFonts w:hint="eastAsia" w:ascii="仿宋_GB2312" w:hAnsi="仿宋_GB2312" w:eastAsia="仿宋_GB2312" w:cs="仿宋_GB2312"/>
          <w:b w:val="0"/>
          <w:bCs w:val="0"/>
          <w:sz w:val="24"/>
          <w:szCs w:val="24"/>
          <w:lang w:val="en-US" w:eastAsia="zh-CN"/>
        </w:rPr>
        <w:t>。</w:t>
      </w:r>
    </w:p>
    <w:p w14:paraId="7C852C6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11D9A325">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投标截止时间后，投标人不足3家的，不得开标。同时，本次采购活动结束。</w:t>
      </w:r>
    </w:p>
    <w:p w14:paraId="60445376">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采购人或采购代理机构将对开标过程进行记录，由参加开标的各投标人代表和相关工作人员签字确认。</w:t>
      </w:r>
    </w:p>
    <w:p w14:paraId="0F108A56">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资格审查</w:t>
      </w:r>
    </w:p>
    <w:p w14:paraId="591C47A1">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32B523F">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资格审查要求详见第六章《评标程序、评标方法和评标标准》。</w:t>
      </w:r>
    </w:p>
    <w:p w14:paraId="20790DA2">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采购人或采购代理机构将按</w:t>
      </w:r>
      <w:r>
        <w:rPr>
          <w:rFonts w:hint="eastAsia" w:ascii="仿宋_GB2312" w:hAnsi="仿宋_GB2312" w:eastAsia="仿宋_GB2312" w:cs="仿宋_GB2312"/>
          <w:b w:val="0"/>
          <w:bCs w:val="0"/>
          <w:sz w:val="24"/>
          <w:szCs w:val="24"/>
          <w:u w:val="none"/>
          <w:lang w:val="en-US" w:eastAsia="zh-CN"/>
        </w:rPr>
        <w:t>第六章《评标程序、评标方法和评标标准》</w:t>
      </w:r>
      <w:r>
        <w:rPr>
          <w:rFonts w:hint="eastAsia" w:ascii="仿宋_GB2312" w:hAnsi="仿宋_GB2312" w:eastAsia="仿宋_GB2312" w:cs="仿宋_GB2312"/>
          <w:b w:val="0"/>
          <w:bCs w:val="0"/>
          <w:sz w:val="24"/>
          <w:szCs w:val="24"/>
          <w:lang w:val="en-US" w:eastAsia="zh-CN"/>
        </w:rPr>
        <w:t>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71EAE5D9">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评标委员会</w:t>
      </w:r>
    </w:p>
    <w:p w14:paraId="4B0D0C62">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评标委员会根据政府采购有关规定和本次招标采购项目的特点进行组建，并负责具体评标事务，独立履行职责。 </w:t>
      </w:r>
    </w:p>
    <w:p w14:paraId="01B1A48D">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4F9A1913">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评标程序、评标方法和评标标准</w:t>
      </w:r>
    </w:p>
    <w:p w14:paraId="4E336452">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详见第六章《评标程序、评标方法和评标标准》</w:t>
      </w:r>
    </w:p>
    <w:p w14:paraId="1F7FBB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p>
    <w:p w14:paraId="0A9072C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5" w:name="_Toc7787"/>
      <w:r>
        <w:rPr>
          <w:rFonts w:hint="eastAsia" w:ascii="仿宋_GB2312" w:hAnsi="仿宋_GB2312" w:eastAsia="仿宋_GB2312" w:cs="仿宋_GB2312"/>
          <w:b/>
          <w:bCs/>
          <w:kern w:val="2"/>
          <w:sz w:val="24"/>
          <w:szCs w:val="24"/>
          <w:lang w:val="en-US" w:eastAsia="zh-CN" w:bidi="ar-SA"/>
        </w:rPr>
        <w:t>六、</w:t>
      </w:r>
      <w:r>
        <w:rPr>
          <w:rFonts w:hint="eastAsia" w:ascii="仿宋_GB2312" w:hAnsi="仿宋_GB2312" w:eastAsia="仿宋_GB2312" w:cs="仿宋_GB2312"/>
          <w:b/>
          <w:bCs/>
          <w:sz w:val="24"/>
          <w:szCs w:val="24"/>
          <w:lang w:val="en-US" w:eastAsia="zh-CN"/>
        </w:rPr>
        <w:t>确定中标</w:t>
      </w:r>
      <w:bookmarkEnd w:id="15"/>
    </w:p>
    <w:p w14:paraId="5FE77B56">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确定中标人</w:t>
      </w:r>
    </w:p>
    <w:p w14:paraId="115035B9">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06E70104">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中标公告与中标通知书</w:t>
      </w:r>
    </w:p>
    <w:p w14:paraId="791F76D0">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采购人或采购代理机构自中标人确定之日起 2 个工作日内，在招标公告发布媒体发布中标结果，同时向中标人发出中标通知书，中标公告期限为 1 个工作日。中标公告同时作为采购代理机构通知除中标供应商外的其他投标人没有中标的书面形式，采购代理机构不再以其它方式另行通知。</w:t>
      </w:r>
    </w:p>
    <w:p w14:paraId="3113375F">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中标通知书对采购人和中标供应商均具有法律效力。中标通知书发出后，中标供应商放弃中标项目的，应当依法承担法律责任。</w:t>
      </w:r>
    </w:p>
    <w:p w14:paraId="16093712">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废标</w:t>
      </w:r>
    </w:p>
    <w:p w14:paraId="2A74BA36">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在招标采购中，出现下列情形之一的，应予废标：</w:t>
      </w:r>
    </w:p>
    <w:p w14:paraId="7DC8163B">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符合专业条件的供应商或者对招标文件作实质响应的供应商不足三家的；</w:t>
      </w:r>
    </w:p>
    <w:p w14:paraId="5B434994">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出现影响采购公正的违法、违规行为的；</w:t>
      </w:r>
    </w:p>
    <w:p w14:paraId="5012118B">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投标人的报价均超过了采购预算，采购人不能支付的；</w:t>
      </w:r>
    </w:p>
    <w:p w14:paraId="6BE6684B">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因重大变故，采购任务取消的；</w:t>
      </w:r>
    </w:p>
    <w:p w14:paraId="07861E6C">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lang w:val="en-US" w:eastAsia="zh-CN"/>
        </w:rPr>
        <w:t>法律、法规规定的其他情形。</w:t>
      </w:r>
    </w:p>
    <w:p w14:paraId="68B9B08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废标后，采购人将废标理由通知所有投标人。</w:t>
      </w:r>
    </w:p>
    <w:p w14:paraId="12AD59C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签订合同</w:t>
      </w:r>
    </w:p>
    <w:p w14:paraId="6627FE6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中标人、采购人应当自中标通知书发出之日起 30 日内，按照招标文件和中标人投标文件的规定签订书面合同。所签订的合同不得对招标文件确定的事项和中标人投标文件作实质性修改。 </w:t>
      </w:r>
    </w:p>
    <w:p w14:paraId="0764912F">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中标人拒绝与采购人签订合同的，采购人可以按照评标报告推荐的中标候选人名单排序，确定下一候选人为中标人，也可以重新开展政府采购活动。</w:t>
      </w:r>
    </w:p>
    <w:p w14:paraId="4550DAF0">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联合体中标的，联合体各方应当共同与采购人签订合同，就中标项目向采购人承担连带责任。 </w:t>
      </w:r>
    </w:p>
    <w:p w14:paraId="1A5F2305">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。中标人就采购项目和分包项目向采购人负责，分包供应商就分包项目承担责任。</w:t>
      </w:r>
    </w:p>
    <w:p w14:paraId="47CC2DD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履约保证金</w:t>
      </w:r>
    </w:p>
    <w:p w14:paraId="45079AB2">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中标人应按照</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规定的金额、形式和时间向采购人缴纳履约保证金。</w:t>
      </w:r>
    </w:p>
    <w:p w14:paraId="554C31B9">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经采购人同意，中标人也可以自愿采用其他履约保证金的提供方式。</w:t>
      </w:r>
    </w:p>
    <w:p w14:paraId="6E4C0B00">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7A6971E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代理服务费</w:t>
      </w:r>
    </w:p>
    <w:p w14:paraId="2B8A01CD">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收费对象及缴纳时间见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。由中标人支付的，中标人须一次性向采购代理机构缴纳代理费，投标报价应包含代理费用。</w:t>
      </w:r>
    </w:p>
    <w:p w14:paraId="73C0B6BD">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收费标准</w:t>
      </w:r>
    </w:p>
    <w:p w14:paraId="071C868D">
      <w:pPr>
        <w:spacing w:line="360" w:lineRule="auto"/>
        <w:ind w:firstLine="480"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根据下表约定按差额定率累进法计算</w:t>
      </w:r>
      <w:r>
        <w:rPr>
          <w:rFonts w:hint="eastAsia" w:ascii="仿宋_GB2312" w:hAnsi="仿宋_GB2312" w:eastAsia="仿宋_GB2312" w:cs="仿宋_GB2312"/>
          <w:sz w:val="24"/>
          <w:highlight w:val="none"/>
          <w:lang w:val="en-US" w:eastAsia="zh-CN"/>
        </w:rPr>
        <w:t>:</w:t>
      </w:r>
    </w:p>
    <w:tbl>
      <w:tblPr>
        <w:tblStyle w:val="25"/>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1F89F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BAE9C4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608B5A5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01430E9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服务招标</w:t>
            </w:r>
          </w:p>
        </w:tc>
        <w:tc>
          <w:tcPr>
            <w:tcW w:w="1997" w:type="dxa"/>
            <w:tcBorders>
              <w:left w:val="single" w:color="auto" w:sz="2" w:space="0"/>
              <w:bottom w:val="single" w:color="auto" w:sz="2" w:space="0"/>
            </w:tcBorders>
            <w:vAlign w:val="center"/>
          </w:tcPr>
          <w:p w14:paraId="7CDD756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工程招标</w:t>
            </w:r>
          </w:p>
        </w:tc>
      </w:tr>
      <w:tr w14:paraId="2181DB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49B6C0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238FF5C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6C0D238">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5E799E2">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r>
      <w:tr w14:paraId="56599D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13CA7A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3A70275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582D832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44A733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0.7%</w:t>
            </w:r>
          </w:p>
        </w:tc>
      </w:tr>
      <w:tr w14:paraId="5A5BF3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2D407F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76514C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05CC7679">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6871225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0.55%</w:t>
            </w:r>
          </w:p>
        </w:tc>
      </w:tr>
      <w:tr w14:paraId="22C822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A0AF33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2B12BDF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0DD2A6A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36AA704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0.35%</w:t>
            </w:r>
          </w:p>
        </w:tc>
      </w:tr>
      <w:tr w14:paraId="5C82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627164E">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6E9040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A98813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E0C76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w:t>
            </w:r>
          </w:p>
        </w:tc>
      </w:tr>
      <w:tr w14:paraId="673337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3CD68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CB9DB7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3221591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3B3F10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r>
      <w:tr w14:paraId="2C071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D34EFD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2E826A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3C2DB5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7" w:type="dxa"/>
            <w:tcBorders>
              <w:top w:val="single" w:color="auto" w:sz="2" w:space="0"/>
              <w:left w:val="single" w:color="auto" w:sz="2" w:space="0"/>
            </w:tcBorders>
            <w:vAlign w:val="center"/>
          </w:tcPr>
          <w:p w14:paraId="60EFCAC5">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r>
    </w:tbl>
    <w:p w14:paraId="5539163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p>
    <w:p w14:paraId="65DBCB6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询问与质疑</w:t>
      </w:r>
    </w:p>
    <w:p w14:paraId="2ADC8F0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询问</w:t>
      </w:r>
    </w:p>
    <w:p w14:paraId="5D62C579">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中“采购人、采购代理机构的名称、地址和联系方式”。</w:t>
      </w:r>
    </w:p>
    <w:p w14:paraId="1D8336B3">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质疑</w:t>
      </w:r>
    </w:p>
    <w:p w14:paraId="378CDAC9">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61AD2DFC">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供应商应知其权益受到损害之日是指：</w:t>
      </w:r>
    </w:p>
    <w:p w14:paraId="1FF489E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（1）对招标文件提出质疑的，为获取招标文件之日或者招标文件公告期限届满之日；</w:t>
      </w:r>
    </w:p>
    <w:p w14:paraId="6237D3A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（2）对采购过程提出质疑的，为各采购程序环节结束之日；</w:t>
      </w:r>
    </w:p>
    <w:p w14:paraId="26017D1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（3）对中标结果提出质疑的，为中标结果公告期限届满之日。 </w:t>
      </w:r>
    </w:p>
    <w:p w14:paraId="1D3D1A20">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C30CA26">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70EA96A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质疑函应当包括下列内容： </w:t>
      </w:r>
    </w:p>
    <w:p w14:paraId="5995E8F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（1）投标人名称、地址、邮编、联系人及联系电话； </w:t>
      </w:r>
    </w:p>
    <w:p w14:paraId="7C73B7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（2）质疑项目的名称、编号； </w:t>
      </w:r>
    </w:p>
    <w:p w14:paraId="13080AA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（3）具体、明确的质疑事项和与质疑事项相关的请求； </w:t>
      </w:r>
    </w:p>
    <w:p w14:paraId="4E91254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（4）事实依据； </w:t>
      </w:r>
    </w:p>
    <w:p w14:paraId="353E449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（5）必要的法律依据； </w:t>
      </w:r>
    </w:p>
    <w:p w14:paraId="61C33FA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（6）提出质疑的日期。</w:t>
      </w:r>
    </w:p>
    <w:p w14:paraId="786FF54E">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A8A8145">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E945D3F">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其他</w:t>
      </w:r>
    </w:p>
    <w:p w14:paraId="1FD23C65">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578303F1">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5396F50F">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适用于本投标人须知的额外增加的变动详见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p>
    <w:p w14:paraId="779F0C6C">
      <w:pP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br w:type="page"/>
      </w:r>
    </w:p>
    <w:p w14:paraId="3BD73112">
      <w:pPr>
        <w:pStyle w:val="3"/>
        <w:numPr>
          <w:ilvl w:val="0"/>
          <w:numId w:val="2"/>
        </w:numPr>
        <w:bidi w:val="0"/>
        <w:jc w:val="center"/>
        <w:rPr>
          <w:rFonts w:hint="eastAsia" w:ascii="方正小标宋简体" w:hAnsi="方正小标宋简体" w:eastAsia="方正小标宋简体" w:cs="方正小标宋简体"/>
          <w:sz w:val="32"/>
          <w:szCs w:val="32"/>
          <w:highlight w:val="none"/>
          <w:lang w:val="en-US" w:eastAsia="zh-CN"/>
        </w:rPr>
      </w:pPr>
      <w:bookmarkStart w:id="16" w:name="_Toc22543"/>
      <w:r>
        <w:rPr>
          <w:rFonts w:hint="eastAsia" w:ascii="方正小标宋简体" w:hAnsi="方正小标宋简体" w:eastAsia="方正小标宋简体" w:cs="方正小标宋简体"/>
          <w:sz w:val="32"/>
          <w:szCs w:val="32"/>
          <w:highlight w:val="none"/>
          <w:lang w:val="en-US" w:eastAsia="zh-CN"/>
        </w:rPr>
        <w:t>政府采购合同</w:t>
      </w:r>
      <w:bookmarkEnd w:id="16"/>
    </w:p>
    <w:p w14:paraId="586945FF">
      <w:pPr>
        <w:spacing w:line="480" w:lineRule="auto"/>
        <w:jc w:val="center"/>
        <w:outlineLvl w:val="1"/>
        <w:rPr>
          <w:rFonts w:hint="eastAsia" w:ascii="仿宋" w:hAnsi="仿宋" w:eastAsia="仿宋" w:cs="仿宋"/>
          <w:b/>
          <w:bCs/>
          <w:i w:val="0"/>
          <w:iCs w:val="0"/>
          <w:color w:val="auto"/>
          <w:spacing w:val="-20"/>
          <w:kern w:val="44"/>
          <w:sz w:val="32"/>
          <w:szCs w:val="32"/>
          <w:highlight w:val="none"/>
          <w:lang w:val="en-US" w:eastAsia="zh-CN" w:bidi="ar-SA"/>
        </w:rPr>
      </w:pPr>
      <w:bookmarkStart w:id="17" w:name="_Toc400"/>
      <w:bookmarkStart w:id="18" w:name="_Toc3714"/>
      <w:bookmarkStart w:id="19" w:name="_Toc25887"/>
      <w:r>
        <w:rPr>
          <w:rFonts w:hint="eastAsia" w:ascii="仿宋" w:hAnsi="仿宋" w:eastAsia="仿宋" w:cs="仿宋"/>
          <w:b/>
          <w:bCs/>
          <w:i w:val="0"/>
          <w:iCs w:val="0"/>
          <w:color w:val="auto"/>
          <w:spacing w:val="-20"/>
          <w:kern w:val="44"/>
          <w:sz w:val="32"/>
          <w:szCs w:val="32"/>
          <w:highlight w:val="none"/>
          <w:lang w:val="en-US" w:eastAsia="zh-CN" w:bidi="ar-SA"/>
        </w:rPr>
        <w:t>政府采购合同参考范本</w:t>
      </w:r>
      <w:bookmarkEnd w:id="17"/>
      <w:bookmarkEnd w:id="18"/>
      <w:bookmarkEnd w:id="19"/>
    </w:p>
    <w:p w14:paraId="7959632F">
      <w:pPr>
        <w:pStyle w:val="2"/>
        <w:jc w:val="center"/>
        <w:rPr>
          <w:rFonts w:hint="eastAsia" w:ascii="仿宋" w:hAnsi="仿宋" w:eastAsia="仿宋" w:cs="仿宋"/>
          <w:sz w:val="32"/>
          <w:szCs w:val="32"/>
          <w:highlight w:val="none"/>
          <w:lang w:val="en-US" w:eastAsia="zh-CN"/>
        </w:rPr>
      </w:pPr>
      <w:r>
        <w:rPr>
          <w:rFonts w:hint="eastAsia" w:ascii="仿宋" w:hAnsi="仿宋" w:eastAsia="仿宋" w:cs="仿宋"/>
          <w:b/>
          <w:bCs/>
          <w:i w:val="0"/>
          <w:iCs w:val="0"/>
          <w:color w:val="auto"/>
          <w:spacing w:val="-20"/>
          <w:kern w:val="44"/>
          <w:sz w:val="32"/>
          <w:szCs w:val="32"/>
          <w:highlight w:val="none"/>
          <w:lang w:val="en-US" w:eastAsia="zh-CN" w:bidi="ar-SA"/>
        </w:rPr>
        <w:t>（仅做参考）</w:t>
      </w:r>
    </w:p>
    <w:p w14:paraId="4E7B43E1">
      <w:pPr>
        <w:spacing w:line="480" w:lineRule="auto"/>
        <w:jc w:val="center"/>
        <w:rPr>
          <w:rFonts w:hint="eastAsia" w:ascii="仿宋" w:hAnsi="仿宋" w:eastAsia="仿宋" w:cs="仿宋"/>
          <w:b/>
          <w:i w:val="0"/>
          <w:iCs w:val="0"/>
          <w:color w:val="auto"/>
          <w:sz w:val="24"/>
          <w:szCs w:val="24"/>
          <w:highlight w:val="none"/>
        </w:rPr>
      </w:pPr>
    </w:p>
    <w:p w14:paraId="64765D52">
      <w:pPr>
        <w:spacing w:line="480" w:lineRule="auto"/>
        <w:jc w:val="center"/>
        <w:rPr>
          <w:rFonts w:hint="eastAsia" w:ascii="仿宋" w:hAnsi="仿宋" w:eastAsia="仿宋" w:cs="仿宋"/>
          <w:b/>
          <w:i w:val="0"/>
          <w:iCs w:val="0"/>
          <w:color w:val="auto"/>
          <w:sz w:val="24"/>
          <w:szCs w:val="24"/>
          <w:highlight w:val="none"/>
        </w:rPr>
      </w:pPr>
    </w:p>
    <w:p w14:paraId="78EA753E">
      <w:pPr>
        <w:spacing w:line="360" w:lineRule="auto"/>
        <w:jc w:val="center"/>
        <w:outlineLvl w:val="1"/>
        <w:rPr>
          <w:rFonts w:hint="eastAsia" w:ascii="仿宋" w:hAnsi="仿宋" w:eastAsia="仿宋" w:cs="仿宋"/>
          <w:b/>
          <w:i w:val="0"/>
          <w:iCs w:val="0"/>
          <w:color w:val="auto"/>
          <w:sz w:val="24"/>
          <w:szCs w:val="24"/>
          <w:highlight w:val="none"/>
        </w:rPr>
      </w:pPr>
      <w:bookmarkStart w:id="20" w:name="_Toc17774"/>
      <w:bookmarkStart w:id="21" w:name="_Toc2449"/>
      <w:bookmarkStart w:id="22" w:name="_Toc2188"/>
      <w:bookmarkStart w:id="23" w:name="_Toc22800"/>
      <w:r>
        <w:rPr>
          <w:rFonts w:hint="eastAsia" w:ascii="仿宋" w:hAnsi="仿宋" w:eastAsia="仿宋" w:cs="仿宋"/>
          <w:b/>
          <w:i w:val="0"/>
          <w:iCs w:val="0"/>
          <w:color w:val="auto"/>
          <w:sz w:val="24"/>
          <w:szCs w:val="24"/>
          <w:highlight w:val="none"/>
        </w:rPr>
        <w:t>第一部分 合同书</w:t>
      </w:r>
      <w:bookmarkEnd w:id="20"/>
      <w:bookmarkEnd w:id="21"/>
      <w:bookmarkEnd w:id="22"/>
      <w:bookmarkEnd w:id="23"/>
    </w:p>
    <w:p w14:paraId="6E9726E4">
      <w:pPr>
        <w:spacing w:line="480" w:lineRule="auto"/>
        <w:jc w:val="center"/>
        <w:rPr>
          <w:rFonts w:hint="eastAsia" w:ascii="仿宋" w:hAnsi="仿宋" w:eastAsia="仿宋" w:cs="仿宋"/>
          <w:b/>
          <w:i w:val="0"/>
          <w:iCs w:val="0"/>
          <w:color w:val="auto"/>
          <w:sz w:val="24"/>
          <w:szCs w:val="24"/>
          <w:highlight w:val="none"/>
        </w:rPr>
      </w:pPr>
    </w:p>
    <w:p w14:paraId="450EAA9B">
      <w:pPr>
        <w:pStyle w:val="11"/>
        <w:rPr>
          <w:rFonts w:hint="eastAsia" w:ascii="仿宋" w:hAnsi="仿宋" w:eastAsia="仿宋" w:cs="仿宋"/>
          <w:i w:val="0"/>
          <w:iCs w:val="0"/>
          <w:color w:val="auto"/>
          <w:sz w:val="24"/>
          <w:szCs w:val="24"/>
          <w:highlight w:val="none"/>
        </w:rPr>
      </w:pPr>
    </w:p>
    <w:p w14:paraId="52A0F1EF">
      <w:pPr>
        <w:pStyle w:val="11"/>
        <w:rPr>
          <w:rFonts w:hint="eastAsia" w:ascii="仿宋" w:hAnsi="仿宋" w:eastAsia="仿宋" w:cs="仿宋"/>
          <w:i w:val="0"/>
          <w:iCs w:val="0"/>
          <w:color w:val="auto"/>
          <w:sz w:val="24"/>
          <w:szCs w:val="24"/>
          <w:highlight w:val="none"/>
        </w:rPr>
      </w:pPr>
    </w:p>
    <w:p w14:paraId="7F9B0310">
      <w:pPr>
        <w:spacing w:before="120" w:line="480" w:lineRule="auto"/>
        <w:ind w:left="96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项目名称：</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rPr>
        <w:t>（分包项目须填写完整的分包号及分包名称）</w:t>
      </w:r>
    </w:p>
    <w:p w14:paraId="3DA6F395">
      <w:pPr>
        <w:spacing w:before="120" w:line="480" w:lineRule="auto"/>
        <w:ind w:left="96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项目编号</w:t>
      </w:r>
      <w:r>
        <w:rPr>
          <w:rFonts w:hint="eastAsia" w:ascii="仿宋" w:hAnsi="仿宋" w:eastAsia="仿宋" w:cs="仿宋"/>
          <w:i w:val="0"/>
          <w:iCs w:val="0"/>
          <w:color w:val="auto"/>
          <w:sz w:val="24"/>
          <w:szCs w:val="24"/>
          <w:highlight w:val="none"/>
          <w:lang w:val="en-US" w:eastAsia="zh-CN"/>
        </w:rPr>
        <w:t>/包号</w:t>
      </w:r>
      <w:r>
        <w:rPr>
          <w:rFonts w:hint="eastAsia" w:ascii="仿宋" w:hAnsi="仿宋" w:eastAsia="仿宋" w:cs="仿宋"/>
          <w:i w:val="0"/>
          <w:iCs w:val="0"/>
          <w:color w:val="auto"/>
          <w:sz w:val="24"/>
          <w:szCs w:val="24"/>
          <w:highlight w:val="none"/>
        </w:rPr>
        <w:t>：</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p>
    <w:p w14:paraId="35C192BA">
      <w:pPr>
        <w:spacing w:before="120" w:line="480" w:lineRule="auto"/>
        <w:ind w:left="96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甲方（采购人）：</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p>
    <w:p w14:paraId="5A8D717D">
      <w:pPr>
        <w:spacing w:before="120" w:line="480" w:lineRule="auto"/>
        <w:ind w:left="96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乙方（</w:t>
      </w:r>
      <w:r>
        <w:rPr>
          <w:rFonts w:hint="eastAsia" w:ascii="仿宋" w:hAnsi="仿宋" w:eastAsia="仿宋" w:cs="仿宋"/>
          <w:i w:val="0"/>
          <w:iCs w:val="0"/>
          <w:color w:val="auto"/>
          <w:sz w:val="24"/>
          <w:szCs w:val="24"/>
          <w:highlight w:val="none"/>
          <w:lang w:val="en-US" w:eastAsia="zh-CN"/>
        </w:rPr>
        <w:t>成交</w:t>
      </w:r>
      <w:r>
        <w:rPr>
          <w:rFonts w:hint="eastAsia" w:ascii="仿宋" w:hAnsi="仿宋" w:eastAsia="仿宋" w:cs="仿宋"/>
          <w:i w:val="0"/>
          <w:iCs w:val="0"/>
          <w:color w:val="auto"/>
          <w:sz w:val="24"/>
          <w:szCs w:val="24"/>
          <w:highlight w:val="none"/>
        </w:rPr>
        <w:t>人）：</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p>
    <w:p w14:paraId="372552E2">
      <w:pPr>
        <w:spacing w:before="120" w:line="480" w:lineRule="auto"/>
        <w:ind w:firstLine="960" w:firstLineChars="40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签订地：</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p>
    <w:p w14:paraId="2CC9D3B2">
      <w:pPr>
        <w:spacing w:before="120" w:line="480" w:lineRule="auto"/>
        <w:ind w:firstLine="960" w:firstLine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签订日期：</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年</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月</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日</w:t>
      </w:r>
    </w:p>
    <w:p w14:paraId="3EA9242F">
      <w:pPr>
        <w:widowControl/>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br w:type="page"/>
      </w:r>
    </w:p>
    <w:p w14:paraId="12533894">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rPr>
        <w:t>（</w:t>
      </w:r>
      <w:r>
        <w:rPr>
          <w:rFonts w:hint="eastAsia" w:ascii="仿宋" w:hAnsi="仿宋" w:eastAsia="仿宋" w:cs="仿宋"/>
          <w:i w:val="0"/>
          <w:iCs w:val="0"/>
          <w:color w:val="auto"/>
          <w:sz w:val="24"/>
          <w:szCs w:val="24"/>
          <w:highlight w:val="none"/>
          <w:lang w:val="zh-CN"/>
        </w:rPr>
        <w:t>以下简称：甲方</w:t>
      </w:r>
      <w:r>
        <w:rPr>
          <w:rFonts w:hint="eastAsia" w:ascii="仿宋" w:hAnsi="仿宋" w:eastAsia="仿宋" w:cs="仿宋"/>
          <w:i w:val="0"/>
          <w:iCs w:val="0"/>
          <w:color w:val="auto"/>
          <w:sz w:val="24"/>
          <w:szCs w:val="24"/>
          <w:highlight w:val="none"/>
        </w:rPr>
        <w:t>）通过</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rPr>
        <w:t>组织的</w:t>
      </w:r>
      <w:r>
        <w:rPr>
          <w:rFonts w:hint="eastAsia" w:ascii="仿宋" w:hAnsi="仿宋" w:eastAsia="仿宋" w:cs="仿宋"/>
          <w:i w:val="0"/>
          <w:iCs w:val="0"/>
          <w:color w:val="auto"/>
          <w:sz w:val="24"/>
          <w:szCs w:val="24"/>
          <w:highlight w:val="none"/>
          <w:u w:val="single"/>
          <w:lang w:val="en-US" w:eastAsia="zh-CN"/>
        </w:rPr>
        <w:t>公开招标</w:t>
      </w:r>
      <w:r>
        <w:rPr>
          <w:rFonts w:hint="eastAsia" w:ascii="仿宋" w:hAnsi="仿宋" w:eastAsia="仿宋" w:cs="仿宋"/>
          <w:i w:val="0"/>
          <w:iCs w:val="0"/>
          <w:color w:val="auto"/>
          <w:sz w:val="24"/>
          <w:szCs w:val="24"/>
          <w:highlight w:val="none"/>
        </w:rPr>
        <w:t>方式采购活动，经</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评</w:t>
      </w:r>
      <w:r>
        <w:rPr>
          <w:rFonts w:hint="eastAsia" w:ascii="仿宋" w:hAnsi="仿宋" w:eastAsia="仿宋" w:cs="仿宋"/>
          <w:i w:val="0"/>
          <w:iCs w:val="0"/>
          <w:color w:val="auto"/>
          <w:sz w:val="24"/>
          <w:szCs w:val="24"/>
          <w:highlight w:val="none"/>
          <w:u w:val="single"/>
          <w:lang w:val="en-US" w:eastAsia="zh-CN"/>
        </w:rPr>
        <w:t xml:space="preserve">审小组  </w:t>
      </w:r>
      <w:r>
        <w:rPr>
          <w:rFonts w:hint="eastAsia" w:ascii="仿宋" w:hAnsi="仿宋" w:eastAsia="仿宋" w:cs="仿宋"/>
          <w:i w:val="0"/>
          <w:iCs w:val="0"/>
          <w:color w:val="auto"/>
          <w:sz w:val="24"/>
          <w:szCs w:val="24"/>
          <w:highlight w:val="none"/>
        </w:rPr>
        <w:t>评定，</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rPr>
        <w:t>（</w:t>
      </w:r>
      <w:r>
        <w:rPr>
          <w:rFonts w:hint="eastAsia" w:ascii="仿宋" w:hAnsi="仿宋" w:eastAsia="仿宋" w:cs="仿宋"/>
          <w:i w:val="0"/>
          <w:iCs w:val="0"/>
          <w:color w:val="auto"/>
          <w:sz w:val="24"/>
          <w:szCs w:val="24"/>
          <w:highlight w:val="none"/>
          <w:lang w:val="zh-CN"/>
        </w:rPr>
        <w:t>以下简称：乙方</w:t>
      </w:r>
      <w:r>
        <w:rPr>
          <w:rFonts w:hint="eastAsia" w:ascii="仿宋" w:hAnsi="仿宋" w:eastAsia="仿宋" w:cs="仿宋"/>
          <w:i w:val="0"/>
          <w:iCs w:val="0"/>
          <w:color w:val="auto"/>
          <w:sz w:val="24"/>
          <w:szCs w:val="24"/>
          <w:highlight w:val="none"/>
        </w:rPr>
        <w:t>）为本项目</w:t>
      </w:r>
      <w:r>
        <w:rPr>
          <w:rFonts w:hint="eastAsia" w:ascii="仿宋" w:hAnsi="仿宋" w:eastAsia="仿宋" w:cs="仿宋"/>
          <w:i w:val="0"/>
          <w:iCs w:val="0"/>
          <w:color w:val="auto"/>
          <w:sz w:val="24"/>
          <w:szCs w:val="24"/>
          <w:highlight w:val="none"/>
          <w:lang w:val="en-US" w:eastAsia="zh-CN"/>
        </w:rPr>
        <w:t>成交</w:t>
      </w:r>
      <w:r>
        <w:rPr>
          <w:rFonts w:hint="eastAsia" w:ascii="仿宋" w:hAnsi="仿宋" w:eastAsia="仿宋" w:cs="仿宋"/>
          <w:i w:val="0"/>
          <w:iCs w:val="0"/>
          <w:color w:val="auto"/>
          <w:sz w:val="24"/>
          <w:szCs w:val="24"/>
          <w:highlight w:val="none"/>
        </w:rPr>
        <w:t>人，现按照采购文件确定的事项签订本合同。</w:t>
      </w:r>
    </w:p>
    <w:p w14:paraId="18284C5F">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lang w:val="zh-CN"/>
        </w:rPr>
      </w:pPr>
      <w:r>
        <w:rPr>
          <w:rFonts w:hint="eastAsia" w:ascii="仿宋" w:hAnsi="仿宋" w:eastAsia="仿宋" w:cs="仿宋"/>
          <w:i w:val="0"/>
          <w:iCs w:val="0"/>
          <w:color w:val="auto"/>
          <w:sz w:val="24"/>
          <w:szCs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6AA80418">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24" w:name="_Toc8364"/>
      <w:bookmarkStart w:id="25" w:name="_Toc9411"/>
      <w:bookmarkStart w:id="26" w:name="_Toc24059"/>
      <w:bookmarkStart w:id="27" w:name="_Toc2232"/>
      <w:bookmarkStart w:id="28" w:name="_Toc3029"/>
      <w:r>
        <w:rPr>
          <w:rFonts w:hint="eastAsia" w:ascii="仿宋" w:hAnsi="仿宋" w:eastAsia="仿宋" w:cs="仿宋"/>
          <w:b/>
          <w:bCs/>
          <w:i w:val="0"/>
          <w:iCs w:val="0"/>
          <w:color w:val="auto"/>
          <w:sz w:val="24"/>
          <w:szCs w:val="24"/>
          <w:highlight w:val="none"/>
          <w:lang w:val="zh-CN"/>
        </w:rPr>
        <w:t>1.1 合同组成部分</w:t>
      </w:r>
      <w:bookmarkEnd w:id="24"/>
      <w:bookmarkEnd w:id="25"/>
      <w:bookmarkEnd w:id="26"/>
      <w:bookmarkEnd w:id="27"/>
      <w:bookmarkEnd w:id="28"/>
    </w:p>
    <w:p w14:paraId="2DACB12B">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lang w:val="zh-CN"/>
        </w:rPr>
      </w:pPr>
      <w:r>
        <w:rPr>
          <w:rFonts w:hint="eastAsia" w:ascii="仿宋" w:hAnsi="仿宋" w:eastAsia="仿宋" w:cs="仿宋"/>
          <w:i w:val="0"/>
          <w:iCs w:val="0"/>
          <w:color w:val="auto"/>
          <w:sz w:val="24"/>
          <w:szCs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63C49FCF">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lang w:val="zh-CN"/>
        </w:rPr>
      </w:pPr>
      <w:r>
        <w:rPr>
          <w:rFonts w:hint="eastAsia" w:ascii="仿宋" w:hAnsi="仿宋" w:eastAsia="仿宋" w:cs="仿宋"/>
          <w:i w:val="0"/>
          <w:iCs w:val="0"/>
          <w:color w:val="auto"/>
          <w:sz w:val="24"/>
          <w:szCs w:val="24"/>
          <w:highlight w:val="none"/>
          <w:lang w:val="zh-CN"/>
        </w:rPr>
        <w:t>1.1.1本合同及其补充合同、变更协议；</w:t>
      </w:r>
    </w:p>
    <w:p w14:paraId="6009ACDA">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lang w:val="zh-CN"/>
        </w:rPr>
      </w:pPr>
      <w:r>
        <w:rPr>
          <w:rFonts w:hint="eastAsia" w:ascii="仿宋" w:hAnsi="仿宋" w:eastAsia="仿宋" w:cs="仿宋"/>
          <w:i w:val="0"/>
          <w:iCs w:val="0"/>
          <w:color w:val="auto"/>
          <w:sz w:val="24"/>
          <w:szCs w:val="24"/>
          <w:highlight w:val="none"/>
          <w:lang w:val="zh-CN"/>
        </w:rPr>
        <w:t>1.1.2</w:t>
      </w:r>
      <w:r>
        <w:rPr>
          <w:rFonts w:hint="eastAsia" w:ascii="仿宋" w:hAnsi="仿宋" w:eastAsia="仿宋" w:cs="仿宋"/>
          <w:i w:val="0"/>
          <w:iCs w:val="0"/>
          <w:color w:val="auto"/>
          <w:sz w:val="24"/>
          <w:szCs w:val="24"/>
          <w:highlight w:val="none"/>
          <w:lang w:val="en-US" w:eastAsia="zh-CN"/>
        </w:rPr>
        <w:t>成交</w:t>
      </w:r>
      <w:r>
        <w:rPr>
          <w:rFonts w:hint="eastAsia" w:ascii="仿宋" w:hAnsi="仿宋" w:eastAsia="仿宋" w:cs="仿宋"/>
          <w:i w:val="0"/>
          <w:iCs w:val="0"/>
          <w:color w:val="auto"/>
          <w:sz w:val="24"/>
          <w:szCs w:val="24"/>
          <w:highlight w:val="none"/>
          <w:lang w:val="zh-CN"/>
        </w:rPr>
        <w:t>通知书；</w:t>
      </w:r>
    </w:p>
    <w:p w14:paraId="0E1AC3B7">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lang w:val="zh-CN"/>
        </w:rPr>
      </w:pPr>
      <w:r>
        <w:rPr>
          <w:rFonts w:hint="eastAsia" w:ascii="仿宋" w:hAnsi="仿宋" w:eastAsia="仿宋" w:cs="仿宋"/>
          <w:i w:val="0"/>
          <w:iCs w:val="0"/>
          <w:color w:val="auto"/>
          <w:sz w:val="24"/>
          <w:szCs w:val="24"/>
          <w:highlight w:val="none"/>
          <w:lang w:val="zh-CN"/>
        </w:rPr>
        <w:t>1.1.3</w:t>
      </w:r>
      <w:r>
        <w:rPr>
          <w:rFonts w:hint="eastAsia" w:ascii="仿宋" w:hAnsi="仿宋" w:eastAsia="仿宋" w:cs="仿宋"/>
          <w:i w:val="0"/>
          <w:iCs w:val="0"/>
          <w:color w:val="auto"/>
          <w:sz w:val="24"/>
          <w:szCs w:val="24"/>
          <w:highlight w:val="none"/>
          <w:lang w:val="en-US" w:eastAsia="zh-CN"/>
        </w:rPr>
        <w:t>响应</w:t>
      </w:r>
      <w:r>
        <w:rPr>
          <w:rFonts w:hint="eastAsia" w:ascii="仿宋" w:hAnsi="仿宋" w:eastAsia="仿宋" w:cs="仿宋"/>
          <w:i w:val="0"/>
          <w:iCs w:val="0"/>
          <w:color w:val="auto"/>
          <w:sz w:val="24"/>
          <w:szCs w:val="24"/>
          <w:highlight w:val="none"/>
          <w:lang w:val="zh-CN"/>
        </w:rPr>
        <w:t>文件（含澄清或者说明文件）；</w:t>
      </w:r>
    </w:p>
    <w:p w14:paraId="03203737">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lang w:val="zh-CN"/>
        </w:rPr>
      </w:pPr>
      <w:r>
        <w:rPr>
          <w:rFonts w:hint="eastAsia" w:ascii="仿宋" w:hAnsi="仿宋" w:eastAsia="仿宋" w:cs="仿宋"/>
          <w:i w:val="0"/>
          <w:iCs w:val="0"/>
          <w:color w:val="auto"/>
          <w:sz w:val="24"/>
          <w:szCs w:val="24"/>
          <w:highlight w:val="none"/>
          <w:lang w:val="zh-CN"/>
        </w:rPr>
        <w:t>1.1.4</w:t>
      </w:r>
      <w:r>
        <w:rPr>
          <w:rFonts w:hint="eastAsia" w:ascii="仿宋" w:hAnsi="仿宋" w:eastAsia="仿宋" w:cs="仿宋"/>
          <w:i w:val="0"/>
          <w:iCs w:val="0"/>
          <w:color w:val="auto"/>
          <w:sz w:val="24"/>
          <w:szCs w:val="24"/>
          <w:highlight w:val="none"/>
          <w:lang w:val="en-US" w:eastAsia="zh-CN"/>
        </w:rPr>
        <w:t>公开招标</w:t>
      </w:r>
      <w:r>
        <w:rPr>
          <w:rFonts w:hint="eastAsia" w:ascii="仿宋" w:hAnsi="仿宋" w:eastAsia="仿宋" w:cs="仿宋"/>
          <w:i w:val="0"/>
          <w:iCs w:val="0"/>
          <w:color w:val="auto"/>
          <w:sz w:val="24"/>
          <w:szCs w:val="24"/>
          <w:highlight w:val="none"/>
          <w:lang w:val="zh-CN"/>
        </w:rPr>
        <w:t>文件（含澄清或者修改文件）；</w:t>
      </w:r>
    </w:p>
    <w:p w14:paraId="5446CB91">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lang w:val="zh-CN"/>
        </w:rPr>
      </w:pPr>
      <w:r>
        <w:rPr>
          <w:rFonts w:hint="eastAsia" w:ascii="仿宋" w:hAnsi="仿宋" w:eastAsia="仿宋" w:cs="仿宋"/>
          <w:i w:val="0"/>
          <w:iCs w:val="0"/>
          <w:color w:val="auto"/>
          <w:sz w:val="24"/>
          <w:szCs w:val="24"/>
          <w:highlight w:val="none"/>
          <w:lang w:val="zh-CN"/>
        </w:rPr>
        <w:t>1.1.5其他相关采购文件。</w:t>
      </w:r>
    </w:p>
    <w:p w14:paraId="228F44CE">
      <w:pPr>
        <w:spacing w:line="360" w:lineRule="auto"/>
        <w:ind w:firstLine="437"/>
        <w:outlineLvl w:val="2"/>
        <w:rPr>
          <w:rFonts w:hint="eastAsia" w:ascii="仿宋" w:hAnsi="仿宋" w:eastAsia="仿宋" w:cs="仿宋"/>
          <w:b/>
          <w:bCs/>
          <w:i w:val="0"/>
          <w:iCs w:val="0"/>
          <w:color w:val="auto"/>
          <w:sz w:val="24"/>
          <w:szCs w:val="24"/>
          <w:highlight w:val="none"/>
          <w:lang w:val="en-US" w:eastAsia="zh-CN"/>
        </w:rPr>
      </w:pPr>
      <w:bookmarkStart w:id="29" w:name="_Toc6773"/>
      <w:bookmarkStart w:id="30" w:name="_Toc6311"/>
      <w:bookmarkStart w:id="31" w:name="_Toc18585"/>
      <w:bookmarkStart w:id="32" w:name="_Toc22185"/>
      <w:bookmarkStart w:id="33" w:name="_Toc3392"/>
      <w:bookmarkStart w:id="34" w:name="_Toc786"/>
      <w:bookmarkStart w:id="35" w:name="_Toc2918"/>
      <w:r>
        <w:rPr>
          <w:rFonts w:hint="eastAsia" w:ascii="仿宋" w:hAnsi="仿宋" w:eastAsia="仿宋" w:cs="仿宋"/>
          <w:b/>
          <w:bCs/>
          <w:i w:val="0"/>
          <w:iCs w:val="0"/>
          <w:color w:val="auto"/>
          <w:sz w:val="24"/>
          <w:szCs w:val="24"/>
          <w:highlight w:val="none"/>
          <w:lang w:val="zh-CN"/>
        </w:rPr>
        <w:t xml:space="preserve">1.2 </w:t>
      </w:r>
      <w:bookmarkEnd w:id="29"/>
      <w:bookmarkEnd w:id="30"/>
      <w:bookmarkEnd w:id="31"/>
      <w:bookmarkEnd w:id="32"/>
      <w:bookmarkEnd w:id="33"/>
      <w:bookmarkEnd w:id="34"/>
      <w:bookmarkEnd w:id="35"/>
      <w:r>
        <w:rPr>
          <w:rFonts w:hint="eastAsia" w:ascii="仿宋" w:hAnsi="仿宋" w:eastAsia="仿宋" w:cs="仿宋"/>
          <w:b/>
          <w:bCs/>
          <w:i w:val="0"/>
          <w:iCs w:val="0"/>
          <w:color w:val="auto"/>
          <w:sz w:val="24"/>
          <w:szCs w:val="24"/>
          <w:highlight w:val="none"/>
          <w:lang w:val="en-US" w:eastAsia="zh-CN"/>
        </w:rPr>
        <w:t>采购项目</w:t>
      </w:r>
    </w:p>
    <w:p w14:paraId="0FDE318B">
      <w:pPr>
        <w:spacing w:line="360" w:lineRule="auto"/>
        <w:ind w:firstLine="435"/>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1.2.1名称：</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w:t>
      </w:r>
    </w:p>
    <w:p w14:paraId="32B111A5">
      <w:pPr>
        <w:spacing w:line="360" w:lineRule="auto"/>
        <w:ind w:firstLine="435"/>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1.2.2内容：</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w:t>
      </w:r>
    </w:p>
    <w:p w14:paraId="4D04201A">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36" w:name="_Toc10679"/>
      <w:bookmarkStart w:id="37" w:name="_Toc23292"/>
      <w:bookmarkStart w:id="38" w:name="_Toc21551"/>
      <w:bookmarkStart w:id="39" w:name="_Toc21631"/>
      <w:bookmarkStart w:id="40" w:name="_Toc17906"/>
      <w:r>
        <w:rPr>
          <w:rFonts w:hint="eastAsia" w:ascii="仿宋" w:hAnsi="仿宋" w:eastAsia="仿宋" w:cs="仿宋"/>
          <w:b/>
          <w:bCs/>
          <w:i w:val="0"/>
          <w:iCs w:val="0"/>
          <w:color w:val="auto"/>
          <w:sz w:val="24"/>
          <w:szCs w:val="24"/>
          <w:highlight w:val="none"/>
          <w:lang w:val="zh-CN"/>
        </w:rPr>
        <w:t>1.3 价款</w:t>
      </w:r>
      <w:bookmarkEnd w:id="36"/>
      <w:bookmarkEnd w:id="37"/>
      <w:bookmarkEnd w:id="38"/>
      <w:bookmarkEnd w:id="39"/>
      <w:bookmarkEnd w:id="40"/>
    </w:p>
    <w:p w14:paraId="56190305">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本合同总价为：￥</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元（大写：人民币</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元）。</w:t>
      </w:r>
    </w:p>
    <w:p w14:paraId="1AFE8155">
      <w:pPr>
        <w:spacing w:line="360" w:lineRule="auto"/>
        <w:ind w:firstLine="435"/>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分项价格：</w:t>
      </w:r>
    </w:p>
    <w:tbl>
      <w:tblPr>
        <w:tblStyle w:val="25"/>
        <w:tblW w:w="8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316"/>
        <w:gridCol w:w="3000"/>
      </w:tblGrid>
      <w:tr w14:paraId="0AD0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vAlign w:val="center"/>
          </w:tcPr>
          <w:p w14:paraId="7EFCFC9E">
            <w:pPr>
              <w:jc w:val="center"/>
              <w:rPr>
                <w:rFonts w:hint="eastAsia" w:ascii="仿宋" w:hAnsi="仿宋" w:eastAsia="仿宋" w:cs="仿宋"/>
                <w:i w:val="0"/>
                <w:iCs w:val="0"/>
                <w:color w:val="auto"/>
                <w:sz w:val="24"/>
                <w:szCs w:val="24"/>
                <w:highlight w:val="none"/>
                <w:lang w:val="zh-CN"/>
              </w:rPr>
            </w:pPr>
            <w:r>
              <w:rPr>
                <w:rFonts w:hint="eastAsia" w:ascii="仿宋" w:hAnsi="仿宋" w:eastAsia="仿宋" w:cs="仿宋"/>
                <w:i w:val="0"/>
                <w:iCs w:val="0"/>
                <w:color w:val="auto"/>
                <w:sz w:val="24"/>
                <w:szCs w:val="24"/>
                <w:highlight w:val="none"/>
                <w:lang w:val="zh-CN"/>
              </w:rPr>
              <w:t>序号</w:t>
            </w:r>
          </w:p>
        </w:tc>
        <w:tc>
          <w:tcPr>
            <w:tcW w:w="4316" w:type="dxa"/>
            <w:vAlign w:val="center"/>
          </w:tcPr>
          <w:p w14:paraId="2A86A533">
            <w:pPr>
              <w:ind w:firstLine="200"/>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分项名称</w:t>
            </w:r>
          </w:p>
        </w:tc>
        <w:tc>
          <w:tcPr>
            <w:tcW w:w="3000" w:type="dxa"/>
            <w:vAlign w:val="center"/>
          </w:tcPr>
          <w:p w14:paraId="67863864">
            <w:pPr>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分项价格</w:t>
            </w:r>
          </w:p>
        </w:tc>
      </w:tr>
      <w:tr w14:paraId="05D6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57" w:type="dxa"/>
          </w:tcPr>
          <w:p w14:paraId="487B8CF0">
            <w:pPr>
              <w:jc w:val="center"/>
              <w:rPr>
                <w:rFonts w:hint="eastAsia" w:ascii="仿宋" w:hAnsi="仿宋" w:eastAsia="仿宋" w:cs="仿宋"/>
                <w:i w:val="0"/>
                <w:iCs w:val="0"/>
                <w:color w:val="auto"/>
                <w:sz w:val="24"/>
                <w:szCs w:val="24"/>
                <w:highlight w:val="none"/>
                <w:lang w:val="zh-CN"/>
              </w:rPr>
            </w:pPr>
            <w:r>
              <w:rPr>
                <w:rFonts w:hint="eastAsia" w:ascii="仿宋" w:hAnsi="仿宋" w:eastAsia="仿宋" w:cs="仿宋"/>
                <w:i w:val="0"/>
                <w:iCs w:val="0"/>
                <w:color w:val="auto"/>
                <w:sz w:val="24"/>
                <w:szCs w:val="24"/>
                <w:highlight w:val="none"/>
                <w:lang w:val="zh-CN"/>
              </w:rPr>
              <w:t>1</w:t>
            </w:r>
          </w:p>
        </w:tc>
        <w:tc>
          <w:tcPr>
            <w:tcW w:w="4316" w:type="dxa"/>
            <w:vAlign w:val="center"/>
          </w:tcPr>
          <w:p w14:paraId="2209DC0A">
            <w:pPr>
              <w:ind w:firstLine="200"/>
              <w:jc w:val="center"/>
              <w:rPr>
                <w:rFonts w:hint="eastAsia" w:ascii="仿宋" w:hAnsi="仿宋" w:eastAsia="仿宋" w:cs="仿宋"/>
                <w:i w:val="0"/>
                <w:iCs w:val="0"/>
                <w:color w:val="auto"/>
                <w:sz w:val="24"/>
                <w:szCs w:val="24"/>
                <w:highlight w:val="none"/>
                <w:lang w:val="en-US" w:eastAsia="zh-CN"/>
              </w:rPr>
            </w:pPr>
          </w:p>
        </w:tc>
        <w:tc>
          <w:tcPr>
            <w:tcW w:w="3000" w:type="dxa"/>
            <w:vAlign w:val="center"/>
          </w:tcPr>
          <w:p w14:paraId="6BA9507A">
            <w:pPr>
              <w:ind w:firstLine="200"/>
              <w:jc w:val="center"/>
              <w:rPr>
                <w:rFonts w:hint="eastAsia" w:ascii="仿宋" w:hAnsi="仿宋" w:eastAsia="仿宋" w:cs="仿宋"/>
                <w:i w:val="0"/>
                <w:iCs w:val="0"/>
                <w:color w:val="auto"/>
                <w:sz w:val="24"/>
                <w:szCs w:val="24"/>
                <w:highlight w:val="none"/>
              </w:rPr>
            </w:pPr>
          </w:p>
        </w:tc>
      </w:tr>
      <w:tr w14:paraId="54EE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69A13DD6">
            <w:pPr>
              <w:jc w:val="center"/>
              <w:rPr>
                <w:rFonts w:hint="eastAsia" w:ascii="仿宋" w:hAnsi="仿宋" w:eastAsia="仿宋" w:cs="仿宋"/>
                <w:i w:val="0"/>
                <w:iCs w:val="0"/>
                <w:color w:val="auto"/>
                <w:sz w:val="24"/>
                <w:szCs w:val="24"/>
                <w:highlight w:val="none"/>
                <w:lang w:val="zh-CN"/>
              </w:rPr>
            </w:pPr>
            <w:r>
              <w:rPr>
                <w:rFonts w:hint="eastAsia" w:ascii="仿宋" w:hAnsi="仿宋" w:eastAsia="仿宋" w:cs="仿宋"/>
                <w:i w:val="0"/>
                <w:iCs w:val="0"/>
                <w:color w:val="auto"/>
                <w:sz w:val="24"/>
                <w:szCs w:val="24"/>
                <w:highlight w:val="none"/>
                <w:lang w:val="zh-CN"/>
              </w:rPr>
              <w:t>2</w:t>
            </w:r>
          </w:p>
        </w:tc>
        <w:tc>
          <w:tcPr>
            <w:tcW w:w="4316" w:type="dxa"/>
            <w:vAlign w:val="center"/>
          </w:tcPr>
          <w:p w14:paraId="042A0561">
            <w:pPr>
              <w:ind w:firstLine="200"/>
              <w:jc w:val="center"/>
              <w:rPr>
                <w:rFonts w:hint="eastAsia" w:ascii="仿宋" w:hAnsi="仿宋" w:eastAsia="仿宋" w:cs="仿宋"/>
                <w:i w:val="0"/>
                <w:iCs w:val="0"/>
                <w:color w:val="auto"/>
                <w:sz w:val="24"/>
                <w:szCs w:val="24"/>
                <w:highlight w:val="none"/>
                <w:lang w:eastAsia="zh-CN"/>
              </w:rPr>
            </w:pPr>
          </w:p>
        </w:tc>
        <w:tc>
          <w:tcPr>
            <w:tcW w:w="3000" w:type="dxa"/>
            <w:vAlign w:val="center"/>
          </w:tcPr>
          <w:p w14:paraId="3FE04458">
            <w:pPr>
              <w:ind w:firstLine="200"/>
              <w:jc w:val="center"/>
              <w:rPr>
                <w:rFonts w:hint="eastAsia" w:ascii="仿宋" w:hAnsi="仿宋" w:eastAsia="仿宋" w:cs="仿宋"/>
                <w:i w:val="0"/>
                <w:iCs w:val="0"/>
                <w:color w:val="auto"/>
                <w:sz w:val="24"/>
                <w:szCs w:val="24"/>
                <w:highlight w:val="none"/>
              </w:rPr>
            </w:pPr>
          </w:p>
        </w:tc>
      </w:tr>
      <w:tr w14:paraId="34DA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73" w:type="dxa"/>
            <w:gridSpan w:val="2"/>
            <w:vAlign w:val="center"/>
          </w:tcPr>
          <w:p w14:paraId="0128D140">
            <w:pPr>
              <w:ind w:firstLine="200"/>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总价</w:t>
            </w:r>
          </w:p>
        </w:tc>
        <w:tc>
          <w:tcPr>
            <w:tcW w:w="3000" w:type="dxa"/>
            <w:vAlign w:val="center"/>
          </w:tcPr>
          <w:p w14:paraId="51824B9B">
            <w:pPr>
              <w:ind w:firstLine="200"/>
              <w:jc w:val="center"/>
              <w:rPr>
                <w:rFonts w:hint="eastAsia" w:ascii="仿宋" w:hAnsi="仿宋" w:eastAsia="仿宋" w:cs="仿宋"/>
                <w:i w:val="0"/>
                <w:iCs w:val="0"/>
                <w:color w:val="auto"/>
                <w:sz w:val="24"/>
                <w:szCs w:val="24"/>
                <w:highlight w:val="none"/>
              </w:rPr>
            </w:pPr>
          </w:p>
        </w:tc>
      </w:tr>
    </w:tbl>
    <w:p w14:paraId="2915B022">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41" w:name="_Toc26749"/>
      <w:bookmarkStart w:id="42" w:name="_Toc22618"/>
      <w:bookmarkStart w:id="43" w:name="_Toc11209"/>
      <w:bookmarkStart w:id="44" w:name="_Toc1814"/>
      <w:bookmarkStart w:id="45" w:name="_Toc10340"/>
      <w:r>
        <w:rPr>
          <w:rFonts w:hint="eastAsia" w:ascii="仿宋" w:hAnsi="仿宋" w:eastAsia="仿宋" w:cs="仿宋"/>
          <w:b/>
          <w:bCs/>
          <w:i w:val="0"/>
          <w:iCs w:val="0"/>
          <w:color w:val="auto"/>
          <w:sz w:val="24"/>
          <w:szCs w:val="24"/>
          <w:highlight w:val="none"/>
          <w:lang w:val="zh-CN"/>
        </w:rPr>
        <w:t>1.4 付款方式和发票开具方式</w:t>
      </w:r>
      <w:bookmarkEnd w:id="41"/>
      <w:bookmarkEnd w:id="42"/>
      <w:bookmarkEnd w:id="43"/>
      <w:bookmarkEnd w:id="44"/>
      <w:bookmarkEnd w:id="45"/>
    </w:p>
    <w:p w14:paraId="5CBEDBE0">
      <w:pPr>
        <w:spacing w:line="360" w:lineRule="auto"/>
        <w:ind w:firstLine="435"/>
        <w:rPr>
          <w:rFonts w:hint="eastAsia" w:ascii="仿宋" w:hAnsi="仿宋" w:eastAsia="仿宋" w:cs="仿宋"/>
          <w:i w:val="0"/>
          <w:iCs w:val="0"/>
          <w:color w:val="auto"/>
          <w:sz w:val="24"/>
          <w:szCs w:val="24"/>
          <w:highlight w:val="none"/>
          <w:u w:val="single"/>
          <w:lang w:eastAsia="zh-CN"/>
        </w:rPr>
      </w:pPr>
      <w:r>
        <w:rPr>
          <w:rFonts w:hint="eastAsia" w:ascii="仿宋" w:hAnsi="仿宋" w:eastAsia="仿宋" w:cs="仿宋"/>
          <w:i w:val="0"/>
          <w:iCs w:val="0"/>
          <w:color w:val="auto"/>
          <w:sz w:val="24"/>
          <w:szCs w:val="24"/>
          <w:highlight w:val="none"/>
        </w:rPr>
        <w:t>1.4.1付款方式：</w:t>
      </w:r>
      <w:r>
        <w:rPr>
          <w:rFonts w:hint="eastAsia" w:ascii="仿宋" w:hAnsi="仿宋" w:eastAsia="仿宋" w:cs="仿宋"/>
          <w:i w:val="0"/>
          <w:iCs w:val="0"/>
          <w:color w:val="auto"/>
          <w:sz w:val="24"/>
          <w:szCs w:val="24"/>
          <w:highlight w:val="none"/>
          <w:u w:val="single"/>
          <w:lang w:val="en-US" w:eastAsia="zh-CN"/>
        </w:rPr>
        <w:t xml:space="preserve">                            </w:t>
      </w:r>
    </w:p>
    <w:p w14:paraId="7A2814F5">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1.4.2发票开具方：</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w:t>
      </w:r>
    </w:p>
    <w:p w14:paraId="3EE2E9C5">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46" w:name="_Toc28125"/>
      <w:bookmarkStart w:id="47" w:name="_Toc19304"/>
      <w:bookmarkStart w:id="48" w:name="_Toc32071"/>
      <w:bookmarkStart w:id="49" w:name="_Toc2846"/>
      <w:bookmarkStart w:id="50" w:name="_Toc26833"/>
      <w:r>
        <w:rPr>
          <w:rFonts w:hint="eastAsia" w:ascii="仿宋" w:hAnsi="仿宋" w:eastAsia="仿宋" w:cs="仿宋"/>
          <w:b/>
          <w:bCs/>
          <w:i w:val="0"/>
          <w:iCs w:val="0"/>
          <w:color w:val="auto"/>
          <w:sz w:val="24"/>
          <w:szCs w:val="24"/>
          <w:highlight w:val="none"/>
          <w:lang w:val="zh-CN"/>
        </w:rPr>
        <w:t>1.5 服务地点和方式</w:t>
      </w:r>
      <w:bookmarkEnd w:id="46"/>
      <w:bookmarkEnd w:id="47"/>
      <w:bookmarkEnd w:id="48"/>
      <w:bookmarkEnd w:id="49"/>
      <w:bookmarkEnd w:id="50"/>
    </w:p>
    <w:p w14:paraId="15F919F7">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1.5.2服务地点：</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rPr>
        <w:t>；</w:t>
      </w:r>
    </w:p>
    <w:p w14:paraId="00FA99ED">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1.5.3服务方：</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w:t>
      </w:r>
    </w:p>
    <w:p w14:paraId="0D909617">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51" w:name="_Toc21423"/>
      <w:bookmarkStart w:id="52" w:name="_Toc24085"/>
      <w:bookmarkStart w:id="53" w:name="_Toc19554"/>
      <w:bookmarkStart w:id="54" w:name="_Toc14399"/>
      <w:bookmarkStart w:id="55" w:name="_Toc27250"/>
      <w:r>
        <w:rPr>
          <w:rFonts w:hint="eastAsia" w:ascii="仿宋" w:hAnsi="仿宋" w:eastAsia="仿宋" w:cs="仿宋"/>
          <w:b/>
          <w:bCs/>
          <w:i w:val="0"/>
          <w:iCs w:val="0"/>
          <w:color w:val="auto"/>
          <w:sz w:val="24"/>
          <w:szCs w:val="24"/>
          <w:highlight w:val="none"/>
          <w:lang w:val="zh-CN"/>
        </w:rPr>
        <w:t>1.6 违约责任</w:t>
      </w:r>
      <w:bookmarkEnd w:id="51"/>
      <w:bookmarkEnd w:id="52"/>
      <w:bookmarkEnd w:id="53"/>
      <w:bookmarkEnd w:id="54"/>
      <w:bookmarkEnd w:id="55"/>
    </w:p>
    <w:p w14:paraId="48FB39A1">
      <w:pPr>
        <w:keepNext w:val="0"/>
        <w:keepLines w:val="0"/>
        <w:pageBreakBefore w:val="0"/>
        <w:widowControl w:val="0"/>
        <w:kinsoku/>
        <w:wordWrap/>
        <w:overflowPunct/>
        <w:topLinePunct w:val="0"/>
        <w:autoSpaceDE/>
        <w:autoSpaceDN/>
        <w:bidi w:val="0"/>
        <w:adjustRightInd/>
        <w:snapToGrid/>
        <w:spacing w:line="336" w:lineRule="auto"/>
        <w:ind w:firstLine="435"/>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1.6.1除不可抗力外，如果乙方没有按照本合同约定的期限、地点和方式履行，那么甲方可要求乙方支付违约金，违约金按每迟延履行一日的应提供而未提供服务价格的</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%计算，最高限额为本合同总价的</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%；迟延履行的违约金计算数额达到前述最高限额之日起，甲方有权在要求乙方支付违约金的同时，书面通知乙方解除本合同；</w:t>
      </w:r>
    </w:p>
    <w:p w14:paraId="655948A3">
      <w:pPr>
        <w:keepNext w:val="0"/>
        <w:keepLines w:val="0"/>
        <w:pageBreakBefore w:val="0"/>
        <w:widowControl w:val="0"/>
        <w:kinsoku/>
        <w:wordWrap/>
        <w:overflowPunct/>
        <w:topLinePunct w:val="0"/>
        <w:autoSpaceDE/>
        <w:autoSpaceDN/>
        <w:bidi w:val="0"/>
        <w:adjustRightInd/>
        <w:snapToGrid/>
        <w:spacing w:line="336" w:lineRule="auto"/>
        <w:ind w:firstLine="435"/>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1.6.2除不可抗力外，如果甲方没有按照本合同约定的付款方式付款，那么乙方可要求甲方支付违约金，违约金按每迟延付款一日的应付而未付款的</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%计算，最高限额为本合同总价的</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%；迟延付款的违约金计算数额达到前述最高限额之日起，乙方有权在要求甲方支付违约金的同时，书面通知甲方解除本合同；</w:t>
      </w:r>
    </w:p>
    <w:p w14:paraId="5D832FD4">
      <w:pPr>
        <w:keepNext w:val="0"/>
        <w:keepLines w:val="0"/>
        <w:pageBreakBefore w:val="0"/>
        <w:widowControl w:val="0"/>
        <w:kinsoku/>
        <w:wordWrap/>
        <w:overflowPunct/>
        <w:topLinePunct w:val="0"/>
        <w:autoSpaceDE/>
        <w:autoSpaceDN/>
        <w:bidi w:val="0"/>
        <w:adjustRightInd/>
        <w:snapToGrid/>
        <w:spacing w:line="336" w:lineRule="auto"/>
        <w:ind w:firstLine="435"/>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9C567CE">
      <w:pPr>
        <w:keepNext w:val="0"/>
        <w:keepLines w:val="0"/>
        <w:pageBreakBefore w:val="0"/>
        <w:widowControl w:val="0"/>
        <w:kinsoku/>
        <w:wordWrap/>
        <w:overflowPunct/>
        <w:topLinePunct w:val="0"/>
        <w:autoSpaceDE/>
        <w:autoSpaceDN/>
        <w:bidi w:val="0"/>
        <w:adjustRightInd/>
        <w:snapToGrid/>
        <w:spacing w:line="336" w:lineRule="auto"/>
        <w:ind w:firstLine="435"/>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0B1CD43">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02B36817">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14:paraId="66E4B940">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1.6.7因甲方未按合同约定支付价款、未按合同约定受领标的物、擅自解除合同</w:t>
      </w:r>
      <w:r>
        <w:rPr>
          <w:rFonts w:hint="eastAsia" w:ascii="仿宋" w:hAnsi="仿宋" w:eastAsia="仿宋" w:cs="仿宋"/>
          <w:i w:val="0"/>
          <w:iCs w:val="0"/>
          <w:color w:val="auto"/>
          <w:sz w:val="24"/>
          <w:szCs w:val="24"/>
          <w:highlight w:val="none"/>
          <w:lang w:eastAsia="zh-CN"/>
        </w:rPr>
        <w:t>、</w:t>
      </w:r>
      <w:r>
        <w:rPr>
          <w:rFonts w:hint="eastAsia" w:ascii="仿宋" w:hAnsi="仿宋" w:eastAsia="仿宋" w:cs="仿宋"/>
          <w:i w:val="0"/>
          <w:iCs w:val="0"/>
          <w:color w:val="auto"/>
          <w:sz w:val="24"/>
          <w:szCs w:val="24"/>
          <w:highlight w:val="none"/>
        </w:rPr>
        <w:t>逾期退还履约保证金导致乙方遭受的直接损失，乙方可向甲方申请赔偿，赔偿金额由双方协商一致；针对因政策变化等原因不能签订合同或解除合同时，造成乙方合法利益受损的情形，可以给予乙方合理补偿，补偿金额不得超过乙方的直接损失。</w:t>
      </w:r>
    </w:p>
    <w:p w14:paraId="26F93B2F">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56" w:name="_Toc31764"/>
      <w:bookmarkStart w:id="57" w:name="_Toc16021"/>
      <w:bookmarkStart w:id="58" w:name="_Toc32730"/>
      <w:bookmarkStart w:id="59" w:name="_Toc15583"/>
      <w:bookmarkStart w:id="60" w:name="_Toc28375"/>
      <w:r>
        <w:rPr>
          <w:rFonts w:hint="eastAsia" w:ascii="仿宋" w:hAnsi="仿宋" w:eastAsia="仿宋" w:cs="仿宋"/>
          <w:b/>
          <w:bCs/>
          <w:i w:val="0"/>
          <w:iCs w:val="0"/>
          <w:color w:val="auto"/>
          <w:sz w:val="24"/>
          <w:szCs w:val="24"/>
          <w:highlight w:val="none"/>
          <w:lang w:val="zh-CN"/>
        </w:rPr>
        <w:t>1.7 合同争议的解决</w:t>
      </w:r>
      <w:bookmarkEnd w:id="56"/>
      <w:bookmarkEnd w:id="57"/>
      <w:bookmarkEnd w:id="58"/>
      <w:bookmarkEnd w:id="59"/>
      <w:bookmarkEnd w:id="60"/>
    </w:p>
    <w:p w14:paraId="0F915D9F">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本合同履行过程中发生的任何争议，双方当事人均可通过和解或者调解解决；不愿和解、调解或者和解、调解不成的，可以选择下列第</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1.7.2</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种方式解决：</w:t>
      </w:r>
    </w:p>
    <w:p w14:paraId="2DD7D2FE">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1.7.1将争议提交</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仲裁委员会依申请仲裁时其现行有效的仲裁规则裁决；</w:t>
      </w:r>
    </w:p>
    <w:p w14:paraId="55336F29">
      <w:pPr>
        <w:keepNext w:val="0"/>
        <w:keepLines w:val="0"/>
        <w:pageBreakBefore w:val="0"/>
        <w:widowControl w:val="0"/>
        <w:kinsoku/>
        <w:wordWrap/>
        <w:overflowPunct/>
        <w:topLinePunct w:val="0"/>
        <w:autoSpaceDE/>
        <w:autoSpaceDN/>
        <w:bidi w:val="0"/>
        <w:adjustRightInd/>
        <w:snapToGrid/>
        <w:spacing w:line="336" w:lineRule="auto"/>
        <w:ind w:firstLine="437"/>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1.7.2向</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人民法院起诉。</w:t>
      </w:r>
    </w:p>
    <w:p w14:paraId="2613BC26">
      <w:pPr>
        <w:spacing w:line="360" w:lineRule="auto"/>
        <w:ind w:firstLine="437"/>
        <w:outlineLvl w:val="2"/>
        <w:rPr>
          <w:rFonts w:hint="eastAsia" w:ascii="仿宋" w:hAnsi="仿宋" w:eastAsia="仿宋" w:cs="仿宋"/>
          <w:b/>
          <w:bCs/>
          <w:i w:val="0"/>
          <w:iCs w:val="0"/>
          <w:color w:val="auto"/>
          <w:sz w:val="24"/>
          <w:szCs w:val="24"/>
          <w:highlight w:val="none"/>
          <w:lang w:val="zh-CN"/>
        </w:rPr>
      </w:pPr>
      <w:bookmarkStart w:id="61" w:name="_Toc11173"/>
      <w:bookmarkStart w:id="62" w:name="_Toc15322"/>
      <w:bookmarkStart w:id="63" w:name="_Toc27401"/>
      <w:bookmarkStart w:id="64" w:name="_Toc18193"/>
      <w:bookmarkStart w:id="65" w:name="_Toc7245"/>
      <w:r>
        <w:rPr>
          <w:rFonts w:hint="eastAsia" w:ascii="仿宋" w:hAnsi="仿宋" w:eastAsia="仿宋" w:cs="仿宋"/>
          <w:b/>
          <w:bCs/>
          <w:i w:val="0"/>
          <w:iCs w:val="0"/>
          <w:color w:val="auto"/>
          <w:sz w:val="24"/>
          <w:szCs w:val="24"/>
          <w:highlight w:val="none"/>
          <w:lang w:val="zh-CN"/>
        </w:rPr>
        <w:t>1.8 合同生效</w:t>
      </w:r>
      <w:bookmarkEnd w:id="61"/>
      <w:bookmarkEnd w:id="62"/>
      <w:bookmarkEnd w:id="63"/>
      <w:bookmarkEnd w:id="64"/>
      <w:bookmarkEnd w:id="65"/>
    </w:p>
    <w:p w14:paraId="4138384E">
      <w:pPr>
        <w:spacing w:line="360" w:lineRule="auto"/>
        <w:ind w:firstLine="435"/>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本合同自双方当事人盖章时生效。</w:t>
      </w:r>
    </w:p>
    <w:p w14:paraId="2AE61AD7">
      <w:pPr>
        <w:autoSpaceDE w:val="0"/>
        <w:autoSpaceDN w:val="0"/>
        <w:adjustRightInd w:val="0"/>
        <w:spacing w:line="560" w:lineRule="exact"/>
        <w:rPr>
          <w:rFonts w:hint="eastAsia" w:ascii="仿宋" w:hAnsi="仿宋" w:eastAsia="仿宋" w:cs="仿宋"/>
          <w:i w:val="0"/>
          <w:iCs w:val="0"/>
          <w:color w:val="auto"/>
          <w:sz w:val="24"/>
          <w:szCs w:val="24"/>
          <w:highlight w:val="none"/>
          <w:lang w:val="zh-CN"/>
        </w:rPr>
      </w:pPr>
    </w:p>
    <w:p w14:paraId="3DA3A45A">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仿宋" w:hAnsi="仿宋" w:eastAsia="仿宋" w:cs="仿宋"/>
          <w:bCs/>
          <w:i w:val="0"/>
          <w:iCs w:val="0"/>
          <w:color w:val="auto"/>
          <w:sz w:val="24"/>
          <w:szCs w:val="24"/>
          <w:highlight w:val="none"/>
          <w:lang w:val="zh-CN"/>
        </w:rPr>
      </w:pPr>
      <w:r>
        <w:rPr>
          <w:rFonts w:hint="eastAsia" w:ascii="仿宋" w:hAnsi="仿宋" w:eastAsia="仿宋" w:cs="仿宋"/>
          <w:bCs/>
          <w:i w:val="0"/>
          <w:iCs w:val="0"/>
          <w:color w:val="auto"/>
          <w:sz w:val="24"/>
          <w:szCs w:val="24"/>
          <w:highlight w:val="none"/>
          <w:lang w:val="zh-CN"/>
        </w:rPr>
        <w:t>甲    方：</w:t>
      </w:r>
      <w:r>
        <w:rPr>
          <w:rFonts w:hint="eastAsia" w:ascii="仿宋" w:hAnsi="仿宋" w:eastAsia="仿宋" w:cs="仿宋"/>
          <w:bCs/>
          <w:i w:val="0"/>
          <w:iCs w:val="0"/>
          <w:color w:val="auto"/>
          <w:sz w:val="24"/>
          <w:szCs w:val="24"/>
          <w:highlight w:val="none"/>
          <w:u w:val="single"/>
          <w:lang w:val="zh-CN"/>
        </w:rPr>
        <w:t xml:space="preserve">    （单位盖章）     </w:t>
      </w:r>
      <w:r>
        <w:rPr>
          <w:rFonts w:hint="eastAsia" w:ascii="仿宋" w:hAnsi="仿宋" w:eastAsia="仿宋" w:cs="仿宋"/>
          <w:bCs/>
          <w:i w:val="0"/>
          <w:iCs w:val="0"/>
          <w:color w:val="auto"/>
          <w:sz w:val="24"/>
          <w:szCs w:val="24"/>
          <w:highlight w:val="none"/>
          <w:lang w:val="zh-CN"/>
        </w:rPr>
        <w:t xml:space="preserve">          乙方：</w:t>
      </w:r>
      <w:r>
        <w:rPr>
          <w:rFonts w:hint="eastAsia" w:ascii="仿宋" w:hAnsi="仿宋" w:eastAsia="仿宋" w:cs="仿宋"/>
          <w:bCs/>
          <w:i w:val="0"/>
          <w:iCs w:val="0"/>
          <w:color w:val="auto"/>
          <w:sz w:val="24"/>
          <w:szCs w:val="24"/>
          <w:highlight w:val="none"/>
          <w:u w:val="single"/>
          <w:lang w:val="zh-CN"/>
        </w:rPr>
        <w:t xml:space="preserve">    （单位盖章）     </w:t>
      </w:r>
    </w:p>
    <w:p w14:paraId="0C70E74E">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仿宋" w:hAnsi="仿宋" w:eastAsia="仿宋" w:cs="仿宋"/>
          <w:i w:val="0"/>
          <w:iCs w:val="0"/>
          <w:color w:val="auto"/>
          <w:sz w:val="24"/>
          <w:szCs w:val="24"/>
          <w:highlight w:val="none"/>
          <w:lang w:val="zh-CN"/>
        </w:rPr>
      </w:pPr>
      <w:r>
        <w:rPr>
          <w:rFonts w:hint="eastAsia" w:ascii="仿宋" w:hAnsi="仿宋" w:eastAsia="仿宋" w:cs="仿宋"/>
          <w:i w:val="0"/>
          <w:iCs w:val="0"/>
          <w:color w:val="auto"/>
          <w:sz w:val="24"/>
          <w:szCs w:val="24"/>
          <w:highlight w:val="none"/>
          <w:lang w:val="zh-CN"/>
        </w:rPr>
        <w:t>法定代表人                               法定代表人</w:t>
      </w:r>
    </w:p>
    <w:p w14:paraId="397C01A7">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仿宋" w:hAnsi="仿宋" w:eastAsia="仿宋" w:cs="仿宋"/>
          <w:i w:val="0"/>
          <w:iCs w:val="0"/>
          <w:color w:val="auto"/>
          <w:sz w:val="24"/>
          <w:szCs w:val="24"/>
          <w:highlight w:val="none"/>
          <w:lang w:val="zh-CN"/>
        </w:rPr>
      </w:pPr>
      <w:r>
        <w:rPr>
          <w:rFonts w:hint="eastAsia" w:ascii="仿宋" w:hAnsi="仿宋" w:eastAsia="仿宋" w:cs="仿宋"/>
          <w:i w:val="0"/>
          <w:iCs w:val="0"/>
          <w:color w:val="auto"/>
          <w:sz w:val="24"/>
          <w:szCs w:val="24"/>
          <w:highlight w:val="none"/>
          <w:lang w:val="zh-CN"/>
        </w:rPr>
        <w:t>或授权代表（签字）：                      或授权代表（签字）：</w:t>
      </w:r>
    </w:p>
    <w:p w14:paraId="0EC584BD">
      <w:pPr>
        <w:keepNext w:val="0"/>
        <w:keepLines w:val="0"/>
        <w:pageBreakBefore w:val="0"/>
        <w:widowControl/>
        <w:kinsoku/>
        <w:wordWrap/>
        <w:overflowPunct/>
        <w:topLinePunct w:val="0"/>
        <w:bidi w:val="0"/>
        <w:snapToGrid/>
        <w:spacing w:line="500" w:lineRule="exact"/>
        <w:jc w:val="left"/>
        <w:textAlignment w:val="auto"/>
        <w:rPr>
          <w:rFonts w:hint="eastAsia" w:ascii="仿宋" w:hAnsi="仿宋" w:eastAsia="仿宋" w:cs="仿宋"/>
          <w:bCs/>
          <w:i w:val="0"/>
          <w:iCs w:val="0"/>
          <w:color w:val="auto"/>
          <w:sz w:val="24"/>
          <w:szCs w:val="24"/>
          <w:highlight w:val="none"/>
        </w:rPr>
      </w:pPr>
      <w:r>
        <w:rPr>
          <w:rFonts w:hint="eastAsia" w:ascii="仿宋" w:hAnsi="仿宋" w:eastAsia="仿宋" w:cs="仿宋"/>
          <w:bCs/>
          <w:i w:val="0"/>
          <w:iCs w:val="0"/>
          <w:color w:val="auto"/>
          <w:sz w:val="24"/>
          <w:szCs w:val="24"/>
          <w:highlight w:val="none"/>
        </w:rPr>
        <w:t>时间：</w:t>
      </w:r>
      <w:r>
        <w:rPr>
          <w:rFonts w:hint="eastAsia" w:ascii="仿宋" w:hAnsi="仿宋" w:eastAsia="仿宋" w:cs="仿宋"/>
          <w:bCs/>
          <w:i w:val="0"/>
          <w:iCs w:val="0"/>
          <w:color w:val="auto"/>
          <w:sz w:val="24"/>
          <w:szCs w:val="24"/>
          <w:highlight w:val="none"/>
          <w:u w:val="single"/>
        </w:rPr>
        <w:t xml:space="preserve">      </w:t>
      </w:r>
      <w:r>
        <w:rPr>
          <w:rFonts w:hint="eastAsia" w:ascii="仿宋" w:hAnsi="仿宋" w:eastAsia="仿宋" w:cs="仿宋"/>
          <w:bCs/>
          <w:i w:val="0"/>
          <w:iCs w:val="0"/>
          <w:color w:val="auto"/>
          <w:sz w:val="24"/>
          <w:szCs w:val="24"/>
          <w:highlight w:val="none"/>
        </w:rPr>
        <w:t>年</w:t>
      </w:r>
      <w:r>
        <w:rPr>
          <w:rFonts w:hint="eastAsia" w:ascii="仿宋" w:hAnsi="仿宋" w:eastAsia="仿宋" w:cs="仿宋"/>
          <w:bCs/>
          <w:i w:val="0"/>
          <w:iCs w:val="0"/>
          <w:color w:val="auto"/>
          <w:sz w:val="24"/>
          <w:szCs w:val="24"/>
          <w:highlight w:val="none"/>
          <w:u w:val="single"/>
        </w:rPr>
        <w:t xml:space="preserve">    </w:t>
      </w:r>
      <w:r>
        <w:rPr>
          <w:rFonts w:hint="eastAsia" w:ascii="仿宋" w:hAnsi="仿宋" w:eastAsia="仿宋" w:cs="仿宋"/>
          <w:bCs/>
          <w:i w:val="0"/>
          <w:iCs w:val="0"/>
          <w:color w:val="auto"/>
          <w:sz w:val="24"/>
          <w:szCs w:val="24"/>
          <w:highlight w:val="none"/>
        </w:rPr>
        <w:t>月</w:t>
      </w:r>
      <w:r>
        <w:rPr>
          <w:rFonts w:hint="eastAsia" w:ascii="仿宋" w:hAnsi="仿宋" w:eastAsia="仿宋" w:cs="仿宋"/>
          <w:bCs/>
          <w:i w:val="0"/>
          <w:iCs w:val="0"/>
          <w:color w:val="auto"/>
          <w:sz w:val="24"/>
          <w:szCs w:val="24"/>
          <w:highlight w:val="none"/>
          <w:u w:val="single"/>
        </w:rPr>
        <w:t xml:space="preserve">    </w:t>
      </w:r>
      <w:r>
        <w:rPr>
          <w:rFonts w:hint="eastAsia" w:ascii="仿宋" w:hAnsi="仿宋" w:eastAsia="仿宋" w:cs="仿宋"/>
          <w:bCs/>
          <w:i w:val="0"/>
          <w:iCs w:val="0"/>
          <w:color w:val="auto"/>
          <w:sz w:val="24"/>
          <w:szCs w:val="24"/>
          <w:highlight w:val="none"/>
        </w:rPr>
        <w:t>日               时间：</w:t>
      </w:r>
      <w:r>
        <w:rPr>
          <w:rFonts w:hint="eastAsia" w:ascii="仿宋" w:hAnsi="仿宋" w:eastAsia="仿宋" w:cs="仿宋"/>
          <w:bCs/>
          <w:i w:val="0"/>
          <w:iCs w:val="0"/>
          <w:color w:val="auto"/>
          <w:sz w:val="24"/>
          <w:szCs w:val="24"/>
          <w:highlight w:val="none"/>
          <w:u w:val="single"/>
        </w:rPr>
        <w:t xml:space="preserve">      </w:t>
      </w:r>
      <w:r>
        <w:rPr>
          <w:rFonts w:hint="eastAsia" w:ascii="仿宋" w:hAnsi="仿宋" w:eastAsia="仿宋" w:cs="仿宋"/>
          <w:bCs/>
          <w:i w:val="0"/>
          <w:iCs w:val="0"/>
          <w:color w:val="auto"/>
          <w:sz w:val="24"/>
          <w:szCs w:val="24"/>
          <w:highlight w:val="none"/>
        </w:rPr>
        <w:t>年</w:t>
      </w:r>
      <w:r>
        <w:rPr>
          <w:rFonts w:hint="eastAsia" w:ascii="仿宋" w:hAnsi="仿宋" w:eastAsia="仿宋" w:cs="仿宋"/>
          <w:bCs/>
          <w:i w:val="0"/>
          <w:iCs w:val="0"/>
          <w:color w:val="auto"/>
          <w:sz w:val="24"/>
          <w:szCs w:val="24"/>
          <w:highlight w:val="none"/>
          <w:u w:val="single"/>
        </w:rPr>
        <w:t xml:space="preserve">    </w:t>
      </w:r>
      <w:r>
        <w:rPr>
          <w:rFonts w:hint="eastAsia" w:ascii="仿宋" w:hAnsi="仿宋" w:eastAsia="仿宋" w:cs="仿宋"/>
          <w:bCs/>
          <w:i w:val="0"/>
          <w:iCs w:val="0"/>
          <w:color w:val="auto"/>
          <w:sz w:val="24"/>
          <w:szCs w:val="24"/>
          <w:highlight w:val="none"/>
        </w:rPr>
        <w:t>月</w:t>
      </w:r>
      <w:r>
        <w:rPr>
          <w:rFonts w:hint="eastAsia" w:ascii="仿宋" w:hAnsi="仿宋" w:eastAsia="仿宋" w:cs="仿宋"/>
          <w:bCs/>
          <w:i w:val="0"/>
          <w:iCs w:val="0"/>
          <w:color w:val="auto"/>
          <w:sz w:val="24"/>
          <w:szCs w:val="24"/>
          <w:highlight w:val="none"/>
          <w:u w:val="single"/>
        </w:rPr>
        <w:t xml:space="preserve">    </w:t>
      </w:r>
      <w:r>
        <w:rPr>
          <w:rFonts w:hint="eastAsia" w:ascii="仿宋" w:hAnsi="仿宋" w:eastAsia="仿宋" w:cs="仿宋"/>
          <w:bCs/>
          <w:i w:val="0"/>
          <w:iCs w:val="0"/>
          <w:color w:val="auto"/>
          <w:sz w:val="24"/>
          <w:szCs w:val="24"/>
          <w:highlight w:val="none"/>
        </w:rPr>
        <w:t>日</w:t>
      </w:r>
    </w:p>
    <w:p w14:paraId="5288AA71">
      <w:pPr>
        <w:keepNext w:val="0"/>
        <w:keepLines w:val="0"/>
        <w:pageBreakBefore w:val="0"/>
        <w:kinsoku/>
        <w:wordWrap/>
        <w:overflowPunct/>
        <w:topLinePunct w:val="0"/>
        <w:bidi w:val="0"/>
        <w:snapToGrid/>
        <w:spacing w:line="500" w:lineRule="exact"/>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w:t>
      </w:r>
      <w:bookmarkStart w:id="66" w:name="_Hlk110099149"/>
      <w:r>
        <w:rPr>
          <w:rFonts w:hint="eastAsia" w:ascii="仿宋" w:hAnsi="仿宋" w:eastAsia="仿宋" w:cs="仿宋"/>
          <w:i w:val="0"/>
          <w:iCs w:val="0"/>
          <w:color w:val="auto"/>
          <w:sz w:val="24"/>
          <w:szCs w:val="24"/>
          <w:highlight w:val="none"/>
        </w:rPr>
        <w:t>乙方账户信息</w:t>
      </w:r>
    </w:p>
    <w:p w14:paraId="6EE96B20">
      <w:pPr>
        <w:keepNext w:val="0"/>
        <w:keepLines w:val="0"/>
        <w:pageBreakBefore w:val="0"/>
        <w:kinsoku/>
        <w:wordWrap/>
        <w:overflowPunct/>
        <w:topLinePunct w:val="0"/>
        <w:bidi w:val="0"/>
        <w:snapToGrid/>
        <w:spacing w:line="500" w:lineRule="exact"/>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户名：</w:t>
      </w:r>
      <w:r>
        <w:rPr>
          <w:rFonts w:hint="eastAsia" w:ascii="仿宋" w:hAnsi="仿宋" w:eastAsia="仿宋" w:cs="仿宋"/>
          <w:i w:val="0"/>
          <w:iCs w:val="0"/>
          <w:color w:val="auto"/>
          <w:sz w:val="24"/>
          <w:szCs w:val="24"/>
          <w:highlight w:val="none"/>
          <w:u w:val="single"/>
        </w:rPr>
        <w:t xml:space="preserve">            </w:t>
      </w:r>
    </w:p>
    <w:p w14:paraId="2A8D6EE7">
      <w:pPr>
        <w:keepNext w:val="0"/>
        <w:keepLines w:val="0"/>
        <w:pageBreakBefore w:val="0"/>
        <w:kinsoku/>
        <w:wordWrap/>
        <w:overflowPunct/>
        <w:topLinePunct w:val="0"/>
        <w:bidi w:val="0"/>
        <w:snapToGrid/>
        <w:spacing w:line="500" w:lineRule="exact"/>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账号：</w:t>
      </w:r>
      <w:r>
        <w:rPr>
          <w:rFonts w:hint="eastAsia" w:ascii="仿宋" w:hAnsi="仿宋" w:eastAsia="仿宋" w:cs="仿宋"/>
          <w:i w:val="0"/>
          <w:iCs w:val="0"/>
          <w:color w:val="auto"/>
          <w:sz w:val="24"/>
          <w:szCs w:val="24"/>
          <w:highlight w:val="none"/>
          <w:u w:val="single"/>
        </w:rPr>
        <w:t xml:space="preserve">            </w:t>
      </w:r>
    </w:p>
    <w:p w14:paraId="7360A251">
      <w:pPr>
        <w:keepNext w:val="0"/>
        <w:keepLines w:val="0"/>
        <w:pageBreakBefore w:val="0"/>
        <w:kinsoku/>
        <w:wordWrap/>
        <w:overflowPunct/>
        <w:topLinePunct w:val="0"/>
        <w:bidi w:val="0"/>
        <w:snapToGrid/>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i w:val="0"/>
          <w:iCs w:val="0"/>
          <w:color w:val="auto"/>
          <w:sz w:val="24"/>
          <w:szCs w:val="24"/>
          <w:highlight w:val="none"/>
        </w:rPr>
        <w:t xml:space="preserve">                                         开户银行：</w:t>
      </w:r>
      <w:r>
        <w:rPr>
          <w:rFonts w:hint="eastAsia" w:ascii="仿宋" w:hAnsi="仿宋" w:eastAsia="仿宋" w:cs="仿宋"/>
          <w:i w:val="0"/>
          <w:iCs w:val="0"/>
          <w:color w:val="auto"/>
          <w:sz w:val="24"/>
          <w:szCs w:val="24"/>
          <w:highlight w:val="none"/>
          <w:u w:val="single"/>
        </w:rPr>
        <w:t xml:space="preserve">        </w:t>
      </w:r>
      <w:bookmarkEnd w:id="66"/>
    </w:p>
    <w:p w14:paraId="25EF066F"/>
    <w:p w14:paraId="510B38F0">
      <w:pPr>
        <w:widowControl/>
        <w:spacing w:line="580" w:lineRule="exact"/>
        <w:jc w:val="left"/>
        <w:rPr>
          <w:rFonts w:hint="eastAsia" w:ascii="仿宋" w:hAnsi="仿宋" w:eastAsia="仿宋" w:cs="仿宋"/>
          <w:bCs/>
          <w:color w:val="auto"/>
          <w:kern w:val="0"/>
          <w:sz w:val="24"/>
          <w:highlight w:val="none"/>
        </w:rPr>
      </w:pPr>
    </w:p>
    <w:p w14:paraId="05B790A2">
      <w:pPr>
        <w:widowControl/>
        <w:spacing w:line="580" w:lineRule="exact"/>
        <w:jc w:val="left"/>
        <w:rPr>
          <w:rFonts w:hint="eastAsia" w:ascii="仿宋" w:hAnsi="仿宋" w:eastAsia="仿宋" w:cs="仿宋"/>
          <w:bCs/>
          <w:color w:val="auto"/>
          <w:kern w:val="0"/>
          <w:sz w:val="24"/>
          <w:highlight w:val="none"/>
        </w:rPr>
      </w:pPr>
    </w:p>
    <w:p w14:paraId="1CBDCF72">
      <w:pPr>
        <w:widowControl/>
        <w:spacing w:line="580" w:lineRule="exact"/>
        <w:jc w:val="left"/>
        <w:rPr>
          <w:rFonts w:hint="eastAsia" w:ascii="仿宋" w:hAnsi="仿宋" w:eastAsia="仿宋" w:cs="仿宋"/>
          <w:bCs/>
          <w:color w:val="auto"/>
          <w:kern w:val="0"/>
          <w:sz w:val="24"/>
          <w:highlight w:val="none"/>
        </w:rPr>
      </w:pPr>
    </w:p>
    <w:p w14:paraId="1FC88F40">
      <w:pPr>
        <w:widowControl/>
        <w:spacing w:line="580" w:lineRule="exact"/>
        <w:jc w:val="left"/>
        <w:rPr>
          <w:rFonts w:hint="eastAsia" w:ascii="仿宋" w:hAnsi="仿宋" w:eastAsia="仿宋" w:cs="仿宋"/>
          <w:bCs/>
          <w:color w:val="auto"/>
          <w:kern w:val="0"/>
          <w:sz w:val="24"/>
          <w:highlight w:val="none"/>
        </w:rPr>
      </w:pPr>
    </w:p>
    <w:p w14:paraId="260EBDBF">
      <w:pPr>
        <w:widowControl/>
        <w:spacing w:line="580" w:lineRule="exact"/>
        <w:jc w:val="left"/>
        <w:rPr>
          <w:rFonts w:hint="eastAsia" w:ascii="仿宋" w:hAnsi="仿宋" w:eastAsia="仿宋" w:cs="仿宋"/>
          <w:bCs/>
          <w:color w:val="auto"/>
          <w:kern w:val="0"/>
          <w:sz w:val="24"/>
          <w:highlight w:val="none"/>
        </w:rPr>
      </w:pPr>
    </w:p>
    <w:p w14:paraId="4C7786B7">
      <w:pPr>
        <w:widowControl/>
        <w:spacing w:line="580" w:lineRule="exact"/>
        <w:jc w:val="left"/>
        <w:rPr>
          <w:rFonts w:hint="eastAsia" w:ascii="仿宋" w:hAnsi="仿宋" w:eastAsia="仿宋" w:cs="仿宋"/>
          <w:bCs/>
          <w:color w:val="auto"/>
          <w:kern w:val="0"/>
          <w:sz w:val="24"/>
          <w:highlight w:val="none"/>
        </w:rPr>
      </w:pPr>
    </w:p>
    <w:p w14:paraId="74EA80AD">
      <w:pPr>
        <w:widowControl/>
        <w:spacing w:line="580" w:lineRule="exact"/>
        <w:jc w:val="left"/>
        <w:rPr>
          <w:rFonts w:hint="eastAsia" w:ascii="仿宋" w:hAnsi="仿宋" w:eastAsia="仿宋" w:cs="仿宋"/>
          <w:bCs/>
          <w:color w:val="auto"/>
          <w:kern w:val="0"/>
          <w:sz w:val="24"/>
          <w:highlight w:val="none"/>
        </w:rPr>
      </w:pPr>
    </w:p>
    <w:p w14:paraId="0D3D6DCA">
      <w:pPr>
        <w:rPr>
          <w:rFonts w:hint="eastAsia" w:ascii="仿宋_GB2312" w:hAnsi="仿宋_GB2312" w:eastAsia="仿宋_GB2312" w:cs="仿宋_GB2312"/>
          <w:b w:val="0"/>
          <w:bCs w:val="0"/>
          <w:sz w:val="24"/>
          <w:szCs w:val="24"/>
          <w:lang w:val="en-US" w:eastAsia="zh-CN"/>
        </w:rPr>
      </w:pPr>
    </w:p>
    <w:p w14:paraId="57446D9D">
      <w:pPr>
        <w:pStyle w:val="3"/>
        <w:numPr>
          <w:ilvl w:val="0"/>
          <w:numId w:val="2"/>
        </w:numPr>
        <w:bidi w:val="0"/>
        <w:jc w:val="center"/>
        <w:rPr>
          <w:rFonts w:hint="eastAsia" w:ascii="方正小标宋简体" w:hAnsi="方正小标宋简体" w:eastAsia="方正小标宋简体" w:cs="方正小标宋简体"/>
          <w:sz w:val="32"/>
          <w:szCs w:val="32"/>
          <w:highlight w:val="none"/>
          <w:lang w:val="en-US" w:eastAsia="zh-CN"/>
        </w:rPr>
      </w:pPr>
      <w:bookmarkStart w:id="67" w:name="_Toc20159"/>
      <w:r>
        <w:rPr>
          <w:rFonts w:hint="eastAsia" w:ascii="方正小标宋简体" w:hAnsi="方正小标宋简体" w:eastAsia="方正小标宋简体" w:cs="方正小标宋简体"/>
          <w:sz w:val="32"/>
          <w:szCs w:val="32"/>
          <w:highlight w:val="none"/>
          <w:lang w:val="en-US" w:eastAsia="zh-CN"/>
        </w:rPr>
        <w:t>采购需求</w:t>
      </w:r>
      <w:bookmarkEnd w:id="67"/>
    </w:p>
    <w:p w14:paraId="274C068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说明：</w:t>
      </w:r>
    </w:p>
    <w:p w14:paraId="267A7D3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采购项目内容中凡标有“※”的地方均为必须完全满足条款，投标人要特别加以注意，必须完全满足或优于这些要求，若有一项带“※”的指标要求未响应或不满足，将按投标无效处理。需求书中如有标注“▲”号条款为重要指标，供应商若有部分“▲”条款未响应或不满足，将导致失分，但不作为无效响应条款。</w:t>
      </w:r>
    </w:p>
    <w:p w14:paraId="0B69684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2、以下技术指标及要求中如出现设备或产品品牌或指向某个品牌，仅作为参考该设备或产品所需达到的具体技术性能要求，不作为该设备或产品的品牌要求。</w:t>
      </w:r>
    </w:p>
    <w:p w14:paraId="7232937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_GB2312" w:hAnsi="仿宋_GB2312" w:eastAsia="仿宋_GB2312" w:cs="仿宋_GB2312"/>
          <w:sz w:val="24"/>
          <w:szCs w:val="24"/>
          <w:highlight w:val="none"/>
          <w:lang w:val="en-US" w:eastAsia="zh-CN"/>
        </w:rPr>
      </w:pPr>
    </w:p>
    <w:p w14:paraId="1B6466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_GB2312" w:hAnsi="仿宋_GB2312" w:eastAsia="仿宋_GB2312" w:cs="仿宋_GB2312"/>
          <w:sz w:val="24"/>
          <w:szCs w:val="24"/>
          <w:highlight w:val="none"/>
          <w:lang w:val="en-US" w:eastAsia="zh-CN"/>
        </w:rPr>
      </w:pPr>
    </w:p>
    <w:p w14:paraId="0F463596">
      <w:pPr>
        <w:keepNext w:val="0"/>
        <w:keepLines w:val="0"/>
        <w:widowControl/>
        <w:suppressLineNumbers w:val="0"/>
        <w:jc w:val="left"/>
        <w:rPr>
          <w:highlight w:val="none"/>
        </w:rPr>
      </w:pPr>
      <w:r>
        <w:rPr>
          <w:rFonts w:hint="eastAsia" w:ascii="宋体" w:hAnsi="宋体" w:eastAsia="宋体" w:cs="宋体"/>
          <w:b/>
          <w:bCs/>
          <w:color w:val="auto"/>
          <w:sz w:val="24"/>
          <w:szCs w:val="24"/>
          <w:highlight w:val="none"/>
          <w:lang w:val="en-US" w:eastAsia="zh-CN"/>
        </w:rPr>
        <w:t>一、</w:t>
      </w:r>
      <w:r>
        <w:rPr>
          <w:rFonts w:ascii="Bold" w:hAnsi="Bold" w:eastAsia="Bold" w:cs="Bold"/>
          <w:b/>
          <w:bCs/>
          <w:color w:val="000000"/>
          <w:kern w:val="0"/>
          <w:sz w:val="24"/>
          <w:szCs w:val="24"/>
          <w:highlight w:val="none"/>
          <w:lang w:val="en-US" w:eastAsia="zh-CN" w:bidi="ar"/>
        </w:rPr>
        <w:t>采购需求一览表</w:t>
      </w:r>
    </w:p>
    <w:p w14:paraId="126E15E5">
      <w:pPr>
        <w:pageBreakBefore w:val="0"/>
        <w:kinsoku/>
        <w:wordWrap/>
        <w:overflowPunct/>
        <w:topLinePunct w:val="0"/>
        <w:autoSpaceDE/>
        <w:autoSpaceDN/>
        <w:bidi w:val="0"/>
        <w:adjustRightInd/>
        <w:snapToGrid/>
        <w:spacing w:beforeLines="0" w:afterLines="0" w:line="360" w:lineRule="auto"/>
        <w:jc w:val="left"/>
        <w:textAlignment w:val="auto"/>
        <w:rPr>
          <w:rFonts w:hint="eastAsia" w:ascii="宋体" w:hAnsi="宋体" w:eastAsia="宋体" w:cs="宋体"/>
          <w:b/>
          <w:bCs/>
          <w:color w:val="auto"/>
          <w:sz w:val="24"/>
          <w:szCs w:val="24"/>
          <w:highlight w:val="none"/>
          <w:lang w:val="en-US" w:eastAsia="zh-CN"/>
        </w:rPr>
      </w:pPr>
    </w:p>
    <w:tbl>
      <w:tblPr>
        <w:tblStyle w:val="25"/>
        <w:tblW w:w="9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266"/>
        <w:gridCol w:w="2063"/>
        <w:gridCol w:w="1405"/>
        <w:gridCol w:w="1653"/>
        <w:gridCol w:w="1716"/>
      </w:tblGrid>
      <w:tr w14:paraId="6A05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932" w:type="dxa"/>
            <w:vAlign w:val="center"/>
          </w:tcPr>
          <w:p w14:paraId="50AD38AD">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标项</w:t>
            </w:r>
          </w:p>
        </w:tc>
        <w:tc>
          <w:tcPr>
            <w:tcW w:w="1266" w:type="dxa"/>
            <w:vAlign w:val="center"/>
          </w:tcPr>
          <w:p w14:paraId="104A5EFF">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标的序号</w:t>
            </w:r>
          </w:p>
        </w:tc>
        <w:tc>
          <w:tcPr>
            <w:tcW w:w="2063" w:type="dxa"/>
            <w:vAlign w:val="center"/>
          </w:tcPr>
          <w:p w14:paraId="773D6FDD">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标的名称</w:t>
            </w:r>
          </w:p>
        </w:tc>
        <w:tc>
          <w:tcPr>
            <w:tcW w:w="1405" w:type="dxa"/>
            <w:vAlign w:val="center"/>
          </w:tcPr>
          <w:p w14:paraId="2781649E">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数量/单位</w:t>
            </w:r>
          </w:p>
        </w:tc>
        <w:tc>
          <w:tcPr>
            <w:tcW w:w="1653" w:type="dxa"/>
            <w:vAlign w:val="center"/>
          </w:tcPr>
          <w:p w14:paraId="4AD0BAC5">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最高限制单价（元）</w:t>
            </w:r>
          </w:p>
        </w:tc>
        <w:tc>
          <w:tcPr>
            <w:tcW w:w="1716" w:type="dxa"/>
            <w:vAlign w:val="center"/>
          </w:tcPr>
          <w:p w14:paraId="36EA60E9">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最高限制总价（元）</w:t>
            </w:r>
          </w:p>
        </w:tc>
      </w:tr>
      <w:tr w14:paraId="3E98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932" w:type="dxa"/>
            <w:vAlign w:val="center"/>
          </w:tcPr>
          <w:p w14:paraId="453DF1D7">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标项1</w:t>
            </w:r>
          </w:p>
        </w:tc>
        <w:tc>
          <w:tcPr>
            <w:tcW w:w="1266" w:type="dxa"/>
            <w:vAlign w:val="center"/>
          </w:tcPr>
          <w:p w14:paraId="1D18EBDF">
            <w:pPr>
              <w:widowControl w:val="0"/>
              <w:snapToGrid w:val="0"/>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1-1</w:t>
            </w:r>
          </w:p>
        </w:tc>
        <w:tc>
          <w:tcPr>
            <w:tcW w:w="2063" w:type="dxa"/>
            <w:vAlign w:val="center"/>
          </w:tcPr>
          <w:p w14:paraId="0451994E">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急诊全流程管理信息系统</w:t>
            </w:r>
          </w:p>
        </w:tc>
        <w:tc>
          <w:tcPr>
            <w:tcW w:w="1405" w:type="dxa"/>
            <w:vAlign w:val="center"/>
          </w:tcPr>
          <w:p w14:paraId="34CD219E">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1套</w:t>
            </w:r>
          </w:p>
        </w:tc>
        <w:tc>
          <w:tcPr>
            <w:tcW w:w="1653" w:type="dxa"/>
            <w:vAlign w:val="center"/>
          </w:tcPr>
          <w:p w14:paraId="2139B8C9">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1000000</w:t>
            </w:r>
          </w:p>
        </w:tc>
        <w:tc>
          <w:tcPr>
            <w:tcW w:w="1716" w:type="dxa"/>
            <w:vAlign w:val="center"/>
          </w:tcPr>
          <w:p w14:paraId="2D403F47">
            <w:pPr>
              <w:widowControl w:val="0"/>
              <w:snapToGrid w:val="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1000000</w:t>
            </w:r>
          </w:p>
        </w:tc>
      </w:tr>
    </w:tbl>
    <w:p w14:paraId="2BB8C2E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二、技术要求：</w:t>
      </w:r>
    </w:p>
    <w:p w14:paraId="7536DA6B">
      <w:pPr>
        <w:numPr>
          <w:ilvl w:val="0"/>
          <w:numId w:val="0"/>
        </w:numPr>
        <w:spacing w:line="360" w:lineRule="exact"/>
        <w:ind w:left="420" w:leftChars="0"/>
        <w:jc w:val="center"/>
        <w:rPr>
          <w:rFonts w:hint="default" w:ascii="宋体" w:hAnsi="宋体"/>
          <w:b/>
          <w:bCs w:val="0"/>
          <w:szCs w:val="21"/>
          <w:highlight w:val="none"/>
          <w:lang w:val="en-US" w:eastAsia="zh-CN"/>
        </w:rPr>
      </w:pPr>
      <w:r>
        <w:rPr>
          <w:rFonts w:hint="eastAsia" w:ascii="宋体" w:hAnsi="宋体"/>
          <w:b/>
          <w:bCs w:val="0"/>
          <w:szCs w:val="21"/>
          <w:highlight w:val="none"/>
          <w:lang w:val="en-US" w:eastAsia="zh-CN"/>
        </w:rPr>
        <w:t>1-1软件参数</w:t>
      </w:r>
    </w:p>
    <w:p w14:paraId="06292B5F">
      <w:pPr>
        <w:pStyle w:val="3"/>
        <w:numPr>
          <w:ilvl w:val="0"/>
          <w:numId w:val="0"/>
        </w:numPr>
        <w:ind w:leftChars="0"/>
        <w:rPr>
          <w:rFonts w:hint="eastAsia" w:ascii="仿宋" w:hAnsi="仿宋" w:eastAsia="仿宋" w:cs="仿宋"/>
          <w:sz w:val="24"/>
          <w:szCs w:val="24"/>
          <w:highlight w:val="none"/>
        </w:rPr>
      </w:pPr>
      <w:bookmarkStart w:id="68" w:name="_Hlk494380988"/>
      <w:bookmarkEnd w:id="68"/>
      <w:bookmarkStart w:id="69" w:name="_Toc1279"/>
      <w:bookmarkEnd w:id="69"/>
      <w:r>
        <w:rPr>
          <w:rFonts w:hint="eastAsia" w:ascii="仿宋" w:hAnsi="仿宋" w:eastAsia="仿宋" w:cs="仿宋"/>
          <w:sz w:val="24"/>
          <w:szCs w:val="24"/>
          <w:highlight w:val="none"/>
        </w:rPr>
        <w:t>建设清单</w:t>
      </w:r>
    </w:p>
    <w:tbl>
      <w:tblPr>
        <w:tblStyle w:val="26"/>
        <w:tblW w:w="58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220"/>
        <w:gridCol w:w="5006"/>
        <w:gridCol w:w="1528"/>
        <w:gridCol w:w="1528"/>
      </w:tblGrid>
      <w:tr w14:paraId="2664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noWrap/>
            <w:vAlign w:val="center"/>
          </w:tcPr>
          <w:p w14:paraId="313C5FC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616" w:type="pct"/>
            <w:noWrap/>
            <w:vAlign w:val="center"/>
          </w:tcPr>
          <w:p w14:paraId="743367E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建设类别</w:t>
            </w:r>
          </w:p>
        </w:tc>
        <w:tc>
          <w:tcPr>
            <w:tcW w:w="2531" w:type="pct"/>
            <w:noWrap/>
            <w:vAlign w:val="center"/>
          </w:tcPr>
          <w:p w14:paraId="7326DAF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具体模块</w:t>
            </w:r>
          </w:p>
        </w:tc>
        <w:tc>
          <w:tcPr>
            <w:tcW w:w="772" w:type="pct"/>
            <w:noWrap/>
            <w:vAlign w:val="center"/>
          </w:tcPr>
          <w:p w14:paraId="200EB2B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数量</w:t>
            </w:r>
          </w:p>
        </w:tc>
        <w:tc>
          <w:tcPr>
            <w:tcW w:w="772" w:type="pct"/>
            <w:noWrap/>
            <w:vAlign w:val="center"/>
          </w:tcPr>
          <w:p w14:paraId="69291CC4">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备注</w:t>
            </w:r>
          </w:p>
        </w:tc>
      </w:tr>
      <w:tr w14:paraId="3224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noWrap/>
            <w:vAlign w:val="center"/>
          </w:tcPr>
          <w:p w14:paraId="4CFB310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616" w:type="pct"/>
            <w:vMerge w:val="restart"/>
            <w:noWrap/>
            <w:vAlign w:val="center"/>
          </w:tcPr>
          <w:p w14:paraId="5160E124">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急诊管理</w:t>
            </w:r>
          </w:p>
        </w:tc>
        <w:tc>
          <w:tcPr>
            <w:tcW w:w="2531" w:type="pct"/>
            <w:noWrap/>
            <w:vAlign w:val="center"/>
          </w:tcPr>
          <w:p w14:paraId="4119CE2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急诊预检分诊系统</w:t>
            </w:r>
          </w:p>
        </w:tc>
        <w:tc>
          <w:tcPr>
            <w:tcW w:w="772" w:type="pct"/>
            <w:noWrap/>
            <w:vAlign w:val="center"/>
          </w:tcPr>
          <w:p w14:paraId="028D625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1套</w:t>
            </w:r>
          </w:p>
        </w:tc>
        <w:tc>
          <w:tcPr>
            <w:tcW w:w="772" w:type="pct"/>
            <w:vMerge w:val="restart"/>
            <w:noWrap/>
            <w:vAlign w:val="center"/>
          </w:tcPr>
          <w:p w14:paraId="66D770D2">
            <w:pPr>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详细需求请看</w:t>
            </w:r>
            <w:r>
              <w:rPr>
                <w:rFonts w:hint="eastAsia" w:ascii="仿宋" w:hAnsi="仿宋" w:eastAsia="仿宋" w:cs="仿宋"/>
                <w:b w:val="0"/>
                <w:bCs/>
                <w:sz w:val="24"/>
                <w:szCs w:val="24"/>
                <w:highlight w:val="none"/>
              </w:rPr>
              <w:t>系统功能需求</w:t>
            </w:r>
          </w:p>
        </w:tc>
      </w:tr>
      <w:tr w14:paraId="24D7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noWrap/>
            <w:vAlign w:val="center"/>
          </w:tcPr>
          <w:p w14:paraId="77B9644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616" w:type="pct"/>
            <w:vMerge w:val="continue"/>
            <w:vAlign w:val="center"/>
          </w:tcPr>
          <w:p w14:paraId="192BBACE">
            <w:pPr>
              <w:jc w:val="center"/>
              <w:rPr>
                <w:rFonts w:hint="eastAsia" w:ascii="仿宋" w:hAnsi="仿宋" w:eastAsia="仿宋" w:cs="仿宋"/>
                <w:sz w:val="24"/>
                <w:szCs w:val="24"/>
                <w:highlight w:val="none"/>
              </w:rPr>
            </w:pPr>
          </w:p>
        </w:tc>
        <w:tc>
          <w:tcPr>
            <w:tcW w:w="2531" w:type="pct"/>
            <w:noWrap/>
            <w:vAlign w:val="center"/>
          </w:tcPr>
          <w:p w14:paraId="5B727DD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急诊护理工作站</w:t>
            </w:r>
          </w:p>
        </w:tc>
        <w:tc>
          <w:tcPr>
            <w:tcW w:w="772" w:type="pct"/>
            <w:noWrap/>
            <w:vAlign w:val="center"/>
          </w:tcPr>
          <w:p w14:paraId="27EC3D0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1套</w:t>
            </w:r>
          </w:p>
        </w:tc>
        <w:tc>
          <w:tcPr>
            <w:tcW w:w="772" w:type="pct"/>
            <w:vMerge w:val="continue"/>
            <w:noWrap/>
            <w:vAlign w:val="center"/>
          </w:tcPr>
          <w:p w14:paraId="10E0BB4D">
            <w:pPr>
              <w:jc w:val="center"/>
              <w:rPr>
                <w:rFonts w:hint="eastAsia" w:ascii="仿宋" w:hAnsi="仿宋" w:eastAsia="仿宋" w:cs="仿宋"/>
                <w:sz w:val="24"/>
                <w:szCs w:val="24"/>
                <w:highlight w:val="none"/>
              </w:rPr>
            </w:pPr>
          </w:p>
        </w:tc>
      </w:tr>
      <w:tr w14:paraId="1B33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noWrap/>
            <w:vAlign w:val="center"/>
          </w:tcPr>
          <w:p w14:paraId="2308095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616" w:type="pct"/>
            <w:vMerge w:val="continue"/>
            <w:vAlign w:val="center"/>
          </w:tcPr>
          <w:p w14:paraId="4D16D8F2">
            <w:pPr>
              <w:jc w:val="center"/>
              <w:rPr>
                <w:rFonts w:hint="eastAsia" w:ascii="仿宋" w:hAnsi="仿宋" w:eastAsia="仿宋" w:cs="仿宋"/>
                <w:sz w:val="24"/>
                <w:szCs w:val="24"/>
                <w:highlight w:val="none"/>
              </w:rPr>
            </w:pPr>
          </w:p>
        </w:tc>
        <w:tc>
          <w:tcPr>
            <w:tcW w:w="2531" w:type="pct"/>
            <w:noWrap/>
            <w:vAlign w:val="center"/>
          </w:tcPr>
          <w:p w14:paraId="4E25F4D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急诊医生工作站</w:t>
            </w:r>
          </w:p>
        </w:tc>
        <w:tc>
          <w:tcPr>
            <w:tcW w:w="772" w:type="pct"/>
            <w:noWrap/>
            <w:vAlign w:val="center"/>
          </w:tcPr>
          <w:p w14:paraId="76A30DB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1套</w:t>
            </w:r>
          </w:p>
        </w:tc>
        <w:tc>
          <w:tcPr>
            <w:tcW w:w="772" w:type="pct"/>
            <w:vMerge w:val="continue"/>
            <w:noWrap/>
            <w:vAlign w:val="center"/>
          </w:tcPr>
          <w:p w14:paraId="38543969">
            <w:pPr>
              <w:jc w:val="center"/>
              <w:rPr>
                <w:rFonts w:hint="eastAsia" w:ascii="仿宋" w:hAnsi="仿宋" w:eastAsia="仿宋" w:cs="仿宋"/>
                <w:sz w:val="24"/>
                <w:szCs w:val="24"/>
                <w:highlight w:val="none"/>
              </w:rPr>
            </w:pPr>
          </w:p>
        </w:tc>
      </w:tr>
      <w:tr w14:paraId="7EFC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noWrap/>
            <w:vAlign w:val="center"/>
          </w:tcPr>
          <w:p w14:paraId="57A4387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616" w:type="pct"/>
            <w:vMerge w:val="continue"/>
            <w:vAlign w:val="center"/>
          </w:tcPr>
          <w:p w14:paraId="7BC5AAA0">
            <w:pPr>
              <w:jc w:val="center"/>
              <w:rPr>
                <w:rFonts w:hint="eastAsia" w:ascii="仿宋" w:hAnsi="仿宋" w:eastAsia="仿宋" w:cs="仿宋"/>
                <w:sz w:val="24"/>
                <w:szCs w:val="24"/>
                <w:highlight w:val="none"/>
              </w:rPr>
            </w:pPr>
          </w:p>
        </w:tc>
        <w:tc>
          <w:tcPr>
            <w:tcW w:w="2531" w:type="pct"/>
            <w:noWrap/>
            <w:vAlign w:val="center"/>
          </w:tcPr>
          <w:p w14:paraId="5366A98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急诊质量管理系统</w:t>
            </w:r>
          </w:p>
        </w:tc>
        <w:tc>
          <w:tcPr>
            <w:tcW w:w="772" w:type="pct"/>
            <w:noWrap/>
            <w:vAlign w:val="center"/>
          </w:tcPr>
          <w:p w14:paraId="78F29F3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1套</w:t>
            </w:r>
          </w:p>
        </w:tc>
        <w:tc>
          <w:tcPr>
            <w:tcW w:w="772" w:type="pct"/>
            <w:vMerge w:val="continue"/>
            <w:noWrap/>
            <w:vAlign w:val="center"/>
          </w:tcPr>
          <w:p w14:paraId="419A60D6">
            <w:pPr>
              <w:jc w:val="center"/>
              <w:rPr>
                <w:rFonts w:hint="eastAsia" w:ascii="仿宋" w:hAnsi="仿宋" w:eastAsia="仿宋" w:cs="仿宋"/>
                <w:sz w:val="24"/>
                <w:szCs w:val="24"/>
                <w:highlight w:val="none"/>
              </w:rPr>
            </w:pPr>
          </w:p>
        </w:tc>
      </w:tr>
      <w:tr w14:paraId="0E14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noWrap/>
            <w:vAlign w:val="center"/>
          </w:tcPr>
          <w:p w14:paraId="70CF8789">
            <w:pPr>
              <w:jc w:val="center"/>
              <w:rPr>
                <w:rFonts w:hint="eastAsia" w:ascii="仿宋" w:hAnsi="仿宋" w:eastAsia="仿宋" w:cs="仿宋"/>
                <w:sz w:val="24"/>
                <w:szCs w:val="24"/>
                <w:highlight w:val="none"/>
                <w:lang w:val="en-US"/>
              </w:rPr>
            </w:pPr>
            <w:r>
              <w:rPr>
                <w:rFonts w:hint="eastAsia" w:ascii="仿宋" w:hAnsi="仿宋" w:eastAsia="仿宋" w:cs="仿宋"/>
                <w:sz w:val="24"/>
                <w:szCs w:val="24"/>
                <w:highlight w:val="none"/>
                <w:lang w:val="en-US"/>
              </w:rPr>
              <w:t>5</w:t>
            </w:r>
          </w:p>
        </w:tc>
        <w:tc>
          <w:tcPr>
            <w:tcW w:w="616" w:type="pct"/>
            <w:vAlign w:val="center"/>
          </w:tcPr>
          <w:p w14:paraId="03CC138F">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系统接口</w:t>
            </w:r>
          </w:p>
        </w:tc>
        <w:tc>
          <w:tcPr>
            <w:tcW w:w="2531" w:type="pct"/>
            <w:noWrap/>
            <w:vAlign w:val="center"/>
          </w:tcPr>
          <w:p w14:paraId="5DDCAE90">
            <w:pPr>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系统接口（HIS、LIS、PACS、电子病历、心电等）</w:t>
            </w:r>
          </w:p>
        </w:tc>
        <w:tc>
          <w:tcPr>
            <w:tcW w:w="772" w:type="pct"/>
            <w:noWrap/>
            <w:vAlign w:val="center"/>
          </w:tcPr>
          <w:p w14:paraId="19CF16E8">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1套</w:t>
            </w:r>
          </w:p>
        </w:tc>
        <w:tc>
          <w:tcPr>
            <w:tcW w:w="772" w:type="pct"/>
            <w:noWrap/>
            <w:vAlign w:val="center"/>
          </w:tcPr>
          <w:p w14:paraId="4739BAE2">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根据医院现有系统实际情况进行定制化开发，确保数据实时交互与业务无缝对接。</w:t>
            </w:r>
          </w:p>
        </w:tc>
      </w:tr>
      <w:tr w14:paraId="07A6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306" w:type="pct"/>
            <w:shd w:val="clear" w:color="auto" w:fill="auto"/>
            <w:noWrap/>
            <w:vAlign w:val="center"/>
          </w:tcPr>
          <w:p w14:paraId="72CA5E76">
            <w:pPr>
              <w:jc w:val="center"/>
              <w:rPr>
                <w:rFonts w:hint="eastAsia" w:ascii="仿宋" w:hAnsi="仿宋" w:eastAsia="仿宋" w:cs="仿宋"/>
                <w:kern w:val="2"/>
                <w:sz w:val="24"/>
                <w:szCs w:val="24"/>
                <w:highlight w:val="none"/>
                <w:lang w:val="en-US" w:eastAsia="zh-CN" w:bidi="ar-SA"/>
                <w14:ligatures w14:val="standardContextual"/>
              </w:rPr>
            </w:pPr>
            <w:r>
              <w:rPr>
                <w:rFonts w:hint="eastAsia" w:ascii="仿宋" w:hAnsi="仿宋" w:eastAsia="仿宋" w:cs="仿宋"/>
                <w:sz w:val="24"/>
                <w:szCs w:val="24"/>
                <w:highlight w:val="none"/>
                <w:lang w:val="en-US" w:eastAsia="zh-CN"/>
              </w:rPr>
              <w:t>5</w:t>
            </w:r>
          </w:p>
        </w:tc>
        <w:tc>
          <w:tcPr>
            <w:tcW w:w="616" w:type="pct"/>
            <w:vMerge w:val="restart"/>
            <w:noWrap/>
            <w:vAlign w:val="center"/>
          </w:tcPr>
          <w:p w14:paraId="5896CFE7">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硬件</w:t>
            </w:r>
          </w:p>
        </w:tc>
        <w:tc>
          <w:tcPr>
            <w:tcW w:w="2531" w:type="pct"/>
            <w:noWrap/>
            <w:vAlign w:val="center"/>
          </w:tcPr>
          <w:p w14:paraId="01CC8E28">
            <w:pPr>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存储</w:t>
            </w:r>
          </w:p>
        </w:tc>
        <w:tc>
          <w:tcPr>
            <w:tcW w:w="772" w:type="pct"/>
            <w:noWrap/>
            <w:vAlign w:val="center"/>
          </w:tcPr>
          <w:p w14:paraId="4D7F2D6A">
            <w:pPr>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3台</w:t>
            </w:r>
          </w:p>
        </w:tc>
        <w:tc>
          <w:tcPr>
            <w:tcW w:w="772" w:type="pct"/>
            <w:vMerge w:val="restart"/>
            <w:noWrap/>
            <w:vAlign w:val="center"/>
          </w:tcPr>
          <w:p w14:paraId="0685CDC1">
            <w:pPr>
              <w:pStyle w:val="4"/>
              <w:numPr>
                <w:ilvl w:val="1"/>
                <w:numId w:val="0"/>
              </w:numPr>
              <w:autoSpaceDE w:val="0"/>
              <w:autoSpaceDN w:val="0"/>
              <w:adjustRightInd w:val="0"/>
              <w:snapToGrid w:val="0"/>
              <w:spacing w:before="120" w:after="120" w:line="360" w:lineRule="auto"/>
              <w:ind w:leftChars="0" w:right="-34" w:rightChars="0"/>
              <w:jc w:val="left"/>
              <w:rPr>
                <w:rFonts w:hint="eastAsia" w:ascii="仿宋" w:hAnsi="仿宋" w:eastAsia="仿宋" w:cs="仿宋"/>
                <w:b w:val="0"/>
                <w:kern w:val="2"/>
                <w:sz w:val="24"/>
                <w:szCs w:val="24"/>
                <w:highlight w:val="none"/>
                <w:lang w:val="en-US" w:eastAsia="zh-CN" w:bidi="ar-SA"/>
                <w14:ligatures w14:val="standardContextual"/>
              </w:rPr>
            </w:pPr>
            <w:r>
              <w:rPr>
                <w:rFonts w:hint="eastAsia" w:ascii="仿宋" w:hAnsi="仿宋" w:eastAsia="仿宋" w:cs="仿宋"/>
                <w:b w:val="0"/>
                <w:kern w:val="2"/>
                <w:sz w:val="24"/>
                <w:szCs w:val="24"/>
                <w:highlight w:val="none"/>
                <w:lang w:val="en-US" w:eastAsia="zh-CN" w:bidi="ar-SA"/>
                <w14:ligatures w14:val="standardContextual"/>
              </w:rPr>
              <w:t>详细参数请看下面附件硬件参数硬件</w:t>
            </w:r>
          </w:p>
          <w:p w14:paraId="6E266931">
            <w:pPr>
              <w:jc w:val="both"/>
              <w:rPr>
                <w:rFonts w:hint="eastAsia" w:ascii="仿宋" w:hAnsi="仿宋" w:eastAsia="仿宋" w:cs="仿宋"/>
                <w:i w:val="0"/>
                <w:iCs w:val="0"/>
                <w:color w:val="auto"/>
                <w:kern w:val="0"/>
                <w:sz w:val="24"/>
                <w:szCs w:val="24"/>
                <w:highlight w:val="none"/>
                <w:u w:val="none"/>
                <w:lang w:val="en-US" w:eastAsia="zh-CN" w:bidi="ar"/>
              </w:rPr>
            </w:pPr>
          </w:p>
        </w:tc>
      </w:tr>
      <w:tr w14:paraId="2975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shd w:val="clear" w:color="auto" w:fill="auto"/>
            <w:noWrap/>
            <w:vAlign w:val="center"/>
          </w:tcPr>
          <w:p w14:paraId="6ECDC9C2">
            <w:pPr>
              <w:jc w:val="center"/>
              <w:rPr>
                <w:rFonts w:hint="eastAsia" w:ascii="仿宋" w:hAnsi="仿宋" w:eastAsia="仿宋" w:cs="仿宋"/>
                <w:kern w:val="2"/>
                <w:sz w:val="24"/>
                <w:szCs w:val="24"/>
                <w:highlight w:val="none"/>
                <w:lang w:val="en-US" w:eastAsia="zh-CN" w:bidi="ar-SA"/>
                <w14:ligatures w14:val="standardContextual"/>
              </w:rPr>
            </w:pPr>
            <w:r>
              <w:rPr>
                <w:rFonts w:hint="eastAsia" w:ascii="仿宋" w:hAnsi="仿宋" w:eastAsia="仿宋" w:cs="仿宋"/>
                <w:sz w:val="24"/>
                <w:szCs w:val="24"/>
                <w:highlight w:val="none"/>
                <w:lang w:val="en-US" w:eastAsia="zh-CN"/>
              </w:rPr>
              <w:t>6</w:t>
            </w:r>
          </w:p>
        </w:tc>
        <w:tc>
          <w:tcPr>
            <w:tcW w:w="616" w:type="pct"/>
            <w:vMerge w:val="continue"/>
            <w:vAlign w:val="center"/>
          </w:tcPr>
          <w:p w14:paraId="67C21102">
            <w:pPr>
              <w:jc w:val="center"/>
              <w:rPr>
                <w:rFonts w:hint="eastAsia" w:ascii="仿宋" w:hAnsi="仿宋" w:eastAsia="仿宋" w:cs="仿宋"/>
                <w:sz w:val="24"/>
                <w:szCs w:val="24"/>
                <w:highlight w:val="none"/>
              </w:rPr>
            </w:pPr>
          </w:p>
        </w:tc>
        <w:tc>
          <w:tcPr>
            <w:tcW w:w="2531" w:type="pct"/>
            <w:noWrap/>
            <w:vAlign w:val="center"/>
          </w:tcPr>
          <w:p w14:paraId="1B136B8C">
            <w:pPr>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业务交换机</w:t>
            </w:r>
          </w:p>
        </w:tc>
        <w:tc>
          <w:tcPr>
            <w:tcW w:w="772" w:type="pct"/>
            <w:noWrap/>
            <w:vAlign w:val="center"/>
          </w:tcPr>
          <w:p w14:paraId="0AA056F1">
            <w:pPr>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2台</w:t>
            </w:r>
          </w:p>
        </w:tc>
        <w:tc>
          <w:tcPr>
            <w:tcW w:w="772" w:type="pct"/>
            <w:vMerge w:val="continue"/>
            <w:noWrap/>
            <w:vAlign w:val="center"/>
          </w:tcPr>
          <w:p w14:paraId="50FB4C08">
            <w:pPr>
              <w:jc w:val="center"/>
              <w:rPr>
                <w:rFonts w:hint="eastAsia" w:ascii="仿宋" w:hAnsi="仿宋" w:eastAsia="仿宋" w:cs="仿宋"/>
                <w:i w:val="0"/>
                <w:iCs w:val="0"/>
                <w:color w:val="auto"/>
                <w:kern w:val="0"/>
                <w:sz w:val="24"/>
                <w:szCs w:val="24"/>
                <w:highlight w:val="none"/>
                <w:u w:val="none"/>
                <w:lang w:val="en-US" w:eastAsia="zh-CN" w:bidi="ar"/>
              </w:rPr>
            </w:pPr>
          </w:p>
        </w:tc>
      </w:tr>
      <w:tr w14:paraId="601E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shd w:val="clear" w:color="auto" w:fill="auto"/>
            <w:noWrap/>
            <w:vAlign w:val="center"/>
          </w:tcPr>
          <w:p w14:paraId="114BDD52">
            <w:pPr>
              <w:jc w:val="center"/>
              <w:rPr>
                <w:rFonts w:hint="eastAsia" w:ascii="仿宋" w:hAnsi="仿宋" w:eastAsia="仿宋" w:cs="仿宋"/>
                <w:kern w:val="2"/>
                <w:sz w:val="24"/>
                <w:szCs w:val="24"/>
                <w:highlight w:val="none"/>
                <w:lang w:val="en-US" w:eastAsia="zh-CN" w:bidi="ar-SA"/>
                <w14:ligatures w14:val="standardContextual"/>
              </w:rPr>
            </w:pPr>
            <w:r>
              <w:rPr>
                <w:rFonts w:hint="eastAsia" w:ascii="仿宋" w:hAnsi="仿宋" w:eastAsia="仿宋" w:cs="仿宋"/>
                <w:sz w:val="24"/>
                <w:szCs w:val="24"/>
                <w:highlight w:val="none"/>
                <w:lang w:val="en-US" w:eastAsia="zh-CN"/>
              </w:rPr>
              <w:t>7</w:t>
            </w:r>
          </w:p>
        </w:tc>
        <w:tc>
          <w:tcPr>
            <w:tcW w:w="616" w:type="pct"/>
            <w:vMerge w:val="continue"/>
            <w:vAlign w:val="center"/>
          </w:tcPr>
          <w:p w14:paraId="37EAC43C">
            <w:pPr>
              <w:jc w:val="center"/>
              <w:rPr>
                <w:rFonts w:hint="eastAsia" w:ascii="仿宋" w:hAnsi="仿宋" w:eastAsia="仿宋" w:cs="仿宋"/>
                <w:sz w:val="24"/>
                <w:szCs w:val="24"/>
                <w:highlight w:val="none"/>
              </w:rPr>
            </w:pPr>
          </w:p>
        </w:tc>
        <w:tc>
          <w:tcPr>
            <w:tcW w:w="2531" w:type="pct"/>
            <w:shd w:val="clear" w:color="auto" w:fill="auto"/>
            <w:noWrap/>
            <w:vAlign w:val="center"/>
          </w:tcPr>
          <w:p w14:paraId="48947D19">
            <w:pPr>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电脑</w:t>
            </w:r>
          </w:p>
        </w:tc>
        <w:tc>
          <w:tcPr>
            <w:tcW w:w="772" w:type="pct"/>
            <w:shd w:val="clear" w:color="auto" w:fill="auto"/>
            <w:noWrap/>
            <w:vAlign w:val="center"/>
          </w:tcPr>
          <w:p w14:paraId="0C529939">
            <w:pPr>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6台</w:t>
            </w:r>
          </w:p>
        </w:tc>
        <w:tc>
          <w:tcPr>
            <w:tcW w:w="772" w:type="pct"/>
            <w:vMerge w:val="continue"/>
            <w:shd w:val="clear" w:color="auto" w:fill="auto"/>
            <w:noWrap/>
            <w:vAlign w:val="center"/>
          </w:tcPr>
          <w:p w14:paraId="28EF3184">
            <w:pPr>
              <w:jc w:val="center"/>
              <w:rPr>
                <w:rFonts w:hint="eastAsia" w:ascii="仿宋" w:hAnsi="仿宋" w:eastAsia="仿宋" w:cs="仿宋"/>
                <w:i w:val="0"/>
                <w:iCs w:val="0"/>
                <w:color w:val="auto"/>
                <w:kern w:val="0"/>
                <w:sz w:val="24"/>
                <w:szCs w:val="24"/>
                <w:highlight w:val="none"/>
                <w:u w:val="none"/>
                <w:lang w:val="en-US" w:eastAsia="zh-CN" w:bidi="ar"/>
              </w:rPr>
            </w:pPr>
          </w:p>
        </w:tc>
      </w:tr>
      <w:tr w14:paraId="63F2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shd w:val="clear" w:color="auto" w:fill="auto"/>
            <w:noWrap/>
            <w:vAlign w:val="center"/>
          </w:tcPr>
          <w:p w14:paraId="3A496D97">
            <w:pPr>
              <w:jc w:val="center"/>
              <w:rPr>
                <w:rFonts w:hint="eastAsia" w:ascii="仿宋" w:hAnsi="仿宋" w:eastAsia="仿宋" w:cs="仿宋"/>
                <w:kern w:val="2"/>
                <w:sz w:val="24"/>
                <w:szCs w:val="24"/>
                <w:highlight w:val="none"/>
                <w:lang w:val="en-US" w:eastAsia="zh-CN" w:bidi="ar-SA"/>
                <w14:ligatures w14:val="standardContextual"/>
              </w:rPr>
            </w:pPr>
            <w:r>
              <w:rPr>
                <w:rFonts w:hint="eastAsia" w:ascii="仿宋" w:hAnsi="仿宋" w:eastAsia="仿宋" w:cs="仿宋"/>
                <w:sz w:val="24"/>
                <w:szCs w:val="24"/>
                <w:highlight w:val="none"/>
                <w:lang w:val="en-US" w:eastAsia="zh-CN"/>
              </w:rPr>
              <w:t>8</w:t>
            </w:r>
          </w:p>
        </w:tc>
        <w:tc>
          <w:tcPr>
            <w:tcW w:w="616" w:type="pct"/>
            <w:vMerge w:val="continue"/>
            <w:vAlign w:val="center"/>
          </w:tcPr>
          <w:p w14:paraId="64ABAEC1">
            <w:pPr>
              <w:jc w:val="center"/>
              <w:rPr>
                <w:rFonts w:hint="eastAsia" w:ascii="仿宋" w:hAnsi="仿宋" w:eastAsia="仿宋" w:cs="仿宋"/>
                <w:sz w:val="24"/>
                <w:szCs w:val="24"/>
                <w:highlight w:val="none"/>
              </w:rPr>
            </w:pPr>
          </w:p>
        </w:tc>
        <w:tc>
          <w:tcPr>
            <w:tcW w:w="2531" w:type="pct"/>
            <w:shd w:val="clear" w:color="auto" w:fill="auto"/>
            <w:noWrap/>
            <w:vAlign w:val="center"/>
          </w:tcPr>
          <w:p w14:paraId="60448817">
            <w:pPr>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笔记本电脑</w:t>
            </w:r>
          </w:p>
        </w:tc>
        <w:tc>
          <w:tcPr>
            <w:tcW w:w="772" w:type="pct"/>
            <w:shd w:val="clear" w:color="auto" w:fill="auto"/>
            <w:noWrap/>
            <w:vAlign w:val="center"/>
          </w:tcPr>
          <w:p w14:paraId="1DED4354">
            <w:pPr>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2台</w:t>
            </w:r>
          </w:p>
        </w:tc>
        <w:tc>
          <w:tcPr>
            <w:tcW w:w="772" w:type="pct"/>
            <w:vMerge w:val="continue"/>
            <w:shd w:val="clear" w:color="auto" w:fill="auto"/>
            <w:noWrap/>
            <w:vAlign w:val="center"/>
          </w:tcPr>
          <w:p w14:paraId="41A48F57">
            <w:pPr>
              <w:jc w:val="center"/>
              <w:rPr>
                <w:rFonts w:hint="eastAsia" w:ascii="仿宋" w:hAnsi="仿宋" w:eastAsia="仿宋" w:cs="仿宋"/>
                <w:i w:val="0"/>
                <w:iCs w:val="0"/>
                <w:color w:val="auto"/>
                <w:kern w:val="0"/>
                <w:sz w:val="24"/>
                <w:szCs w:val="24"/>
                <w:highlight w:val="none"/>
                <w:u w:val="none"/>
                <w:lang w:val="en-US" w:eastAsia="zh-CN" w:bidi="ar"/>
              </w:rPr>
            </w:pPr>
          </w:p>
        </w:tc>
      </w:tr>
      <w:tr w14:paraId="090B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shd w:val="clear" w:color="auto" w:fill="auto"/>
            <w:noWrap/>
            <w:vAlign w:val="center"/>
          </w:tcPr>
          <w:p w14:paraId="10FBC887">
            <w:pPr>
              <w:jc w:val="center"/>
              <w:rPr>
                <w:rFonts w:hint="eastAsia" w:ascii="仿宋" w:hAnsi="仿宋" w:eastAsia="仿宋" w:cs="仿宋"/>
                <w:kern w:val="2"/>
                <w:sz w:val="24"/>
                <w:szCs w:val="24"/>
                <w:highlight w:val="none"/>
                <w:lang w:val="en-US" w:eastAsia="zh-CN" w:bidi="ar-SA"/>
                <w14:ligatures w14:val="standardContextual"/>
              </w:rPr>
            </w:pPr>
            <w:r>
              <w:rPr>
                <w:rFonts w:hint="eastAsia" w:ascii="仿宋" w:hAnsi="仿宋" w:eastAsia="仿宋" w:cs="仿宋"/>
                <w:kern w:val="2"/>
                <w:sz w:val="24"/>
                <w:szCs w:val="24"/>
                <w:highlight w:val="none"/>
                <w:lang w:val="en-US" w:eastAsia="zh-CN" w:bidi="ar-SA"/>
                <w14:ligatures w14:val="standardContextual"/>
              </w:rPr>
              <w:t>9</w:t>
            </w:r>
          </w:p>
        </w:tc>
        <w:tc>
          <w:tcPr>
            <w:tcW w:w="616" w:type="pct"/>
            <w:vMerge w:val="continue"/>
            <w:vAlign w:val="center"/>
          </w:tcPr>
          <w:p w14:paraId="54B472DC">
            <w:pPr>
              <w:jc w:val="center"/>
              <w:rPr>
                <w:rFonts w:hint="eastAsia" w:ascii="仿宋" w:hAnsi="仿宋" w:eastAsia="仿宋" w:cs="仿宋"/>
                <w:sz w:val="24"/>
                <w:szCs w:val="24"/>
                <w:highlight w:val="none"/>
              </w:rPr>
            </w:pPr>
          </w:p>
        </w:tc>
        <w:tc>
          <w:tcPr>
            <w:tcW w:w="2531" w:type="pct"/>
            <w:shd w:val="clear" w:color="auto" w:fill="auto"/>
            <w:noWrap/>
            <w:vAlign w:val="center"/>
          </w:tcPr>
          <w:p w14:paraId="2A32F1EE">
            <w:pPr>
              <w:keepNext w:val="0"/>
              <w:keepLines w:val="0"/>
              <w:widowControl/>
              <w:suppressLineNumbers w:val="0"/>
              <w:jc w:val="center"/>
              <w:textAlignment w:val="center"/>
              <w:rPr>
                <w:rFonts w:hint="eastAsia" w:ascii="仿宋" w:hAnsi="仿宋" w:eastAsia="仿宋" w:cs="仿宋"/>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腕带打印机</w:t>
            </w:r>
          </w:p>
        </w:tc>
        <w:tc>
          <w:tcPr>
            <w:tcW w:w="772" w:type="pct"/>
            <w:shd w:val="clear" w:color="auto" w:fill="auto"/>
            <w:noWrap/>
            <w:vAlign w:val="center"/>
          </w:tcPr>
          <w:p w14:paraId="3CCB8C8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3台</w:t>
            </w:r>
          </w:p>
        </w:tc>
        <w:tc>
          <w:tcPr>
            <w:tcW w:w="772" w:type="pct"/>
            <w:vMerge w:val="continue"/>
            <w:shd w:val="clear" w:color="auto" w:fill="auto"/>
            <w:noWrap/>
            <w:vAlign w:val="center"/>
          </w:tcPr>
          <w:p w14:paraId="3295248C">
            <w:pPr>
              <w:jc w:val="center"/>
              <w:rPr>
                <w:rFonts w:hint="eastAsia" w:ascii="仿宋" w:hAnsi="仿宋" w:eastAsia="仿宋" w:cs="仿宋"/>
                <w:sz w:val="24"/>
                <w:szCs w:val="24"/>
                <w:highlight w:val="none"/>
                <w:lang w:val="en-US" w:eastAsia="zh-CN"/>
              </w:rPr>
            </w:pPr>
          </w:p>
        </w:tc>
      </w:tr>
      <w:tr w14:paraId="47DC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shd w:val="clear" w:color="auto" w:fill="auto"/>
            <w:noWrap/>
            <w:vAlign w:val="center"/>
          </w:tcPr>
          <w:p w14:paraId="29A462DC">
            <w:pPr>
              <w:jc w:val="center"/>
              <w:rPr>
                <w:rFonts w:hint="eastAsia" w:ascii="仿宋" w:hAnsi="仿宋" w:eastAsia="仿宋" w:cs="仿宋"/>
                <w:kern w:val="2"/>
                <w:sz w:val="24"/>
                <w:szCs w:val="24"/>
                <w:highlight w:val="none"/>
                <w:lang w:val="en-US" w:eastAsia="zh-CN" w:bidi="ar-SA"/>
                <w14:ligatures w14:val="standardContextual"/>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0</w:t>
            </w:r>
          </w:p>
        </w:tc>
        <w:tc>
          <w:tcPr>
            <w:tcW w:w="616" w:type="pct"/>
            <w:vMerge w:val="continue"/>
            <w:vAlign w:val="center"/>
          </w:tcPr>
          <w:p w14:paraId="29AD605F">
            <w:pPr>
              <w:jc w:val="center"/>
              <w:rPr>
                <w:rFonts w:hint="eastAsia" w:ascii="仿宋" w:hAnsi="仿宋" w:eastAsia="仿宋" w:cs="仿宋"/>
                <w:sz w:val="24"/>
                <w:szCs w:val="24"/>
                <w:highlight w:val="none"/>
              </w:rPr>
            </w:pPr>
          </w:p>
        </w:tc>
        <w:tc>
          <w:tcPr>
            <w:tcW w:w="2531" w:type="pct"/>
            <w:shd w:val="clear" w:color="auto" w:fill="auto"/>
            <w:noWrap/>
            <w:vAlign w:val="center"/>
          </w:tcPr>
          <w:p w14:paraId="7750C585">
            <w:pPr>
              <w:keepNext w:val="0"/>
              <w:keepLines w:val="0"/>
              <w:widowControl/>
              <w:suppressLineNumbers w:val="0"/>
              <w:jc w:val="center"/>
              <w:textAlignment w:val="center"/>
              <w:rPr>
                <w:rFonts w:hint="eastAsia" w:ascii="仿宋" w:hAnsi="仿宋" w:eastAsia="仿宋" w:cs="仿宋"/>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标签打印机（热敏纸张）</w:t>
            </w:r>
          </w:p>
        </w:tc>
        <w:tc>
          <w:tcPr>
            <w:tcW w:w="772" w:type="pct"/>
            <w:shd w:val="clear" w:color="auto" w:fill="auto"/>
            <w:noWrap/>
            <w:vAlign w:val="center"/>
          </w:tcPr>
          <w:p w14:paraId="0BB5A5BF">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2台</w:t>
            </w:r>
          </w:p>
        </w:tc>
        <w:tc>
          <w:tcPr>
            <w:tcW w:w="772" w:type="pct"/>
            <w:vMerge w:val="continue"/>
            <w:shd w:val="clear" w:color="auto" w:fill="auto"/>
            <w:noWrap/>
            <w:vAlign w:val="center"/>
          </w:tcPr>
          <w:p w14:paraId="69D80CD2">
            <w:pPr>
              <w:jc w:val="center"/>
              <w:rPr>
                <w:rFonts w:hint="eastAsia" w:ascii="仿宋" w:hAnsi="仿宋" w:eastAsia="仿宋" w:cs="仿宋"/>
                <w:sz w:val="24"/>
                <w:szCs w:val="24"/>
                <w:highlight w:val="none"/>
                <w:lang w:val="en-US" w:eastAsia="zh-CN"/>
              </w:rPr>
            </w:pPr>
          </w:p>
        </w:tc>
      </w:tr>
      <w:tr w14:paraId="3713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shd w:val="clear" w:color="auto" w:fill="auto"/>
            <w:noWrap/>
            <w:vAlign w:val="center"/>
          </w:tcPr>
          <w:p w14:paraId="1C57F738">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w:t>
            </w:r>
          </w:p>
        </w:tc>
        <w:tc>
          <w:tcPr>
            <w:tcW w:w="616" w:type="pct"/>
            <w:vMerge w:val="continue"/>
            <w:vAlign w:val="center"/>
          </w:tcPr>
          <w:p w14:paraId="47506693">
            <w:pPr>
              <w:jc w:val="center"/>
              <w:rPr>
                <w:rFonts w:hint="eastAsia" w:ascii="仿宋" w:hAnsi="仿宋" w:eastAsia="仿宋" w:cs="仿宋"/>
                <w:sz w:val="24"/>
                <w:szCs w:val="24"/>
                <w:highlight w:val="none"/>
              </w:rPr>
            </w:pPr>
          </w:p>
        </w:tc>
        <w:tc>
          <w:tcPr>
            <w:tcW w:w="2531" w:type="pct"/>
            <w:shd w:val="clear" w:color="auto" w:fill="auto"/>
            <w:noWrap/>
            <w:vAlign w:val="center"/>
          </w:tcPr>
          <w:p w14:paraId="5D1F9591">
            <w:pPr>
              <w:keepNext w:val="0"/>
              <w:keepLines w:val="0"/>
              <w:widowControl/>
              <w:suppressLineNumbers w:val="0"/>
              <w:jc w:val="center"/>
              <w:textAlignment w:val="center"/>
              <w:rPr>
                <w:rFonts w:hint="eastAsia" w:ascii="仿宋" w:hAnsi="仿宋" w:eastAsia="仿宋" w:cs="仿宋"/>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输液标签打印机</w:t>
            </w:r>
          </w:p>
        </w:tc>
        <w:tc>
          <w:tcPr>
            <w:tcW w:w="772" w:type="pct"/>
            <w:shd w:val="clear" w:color="auto" w:fill="auto"/>
            <w:noWrap/>
            <w:vAlign w:val="center"/>
          </w:tcPr>
          <w:p w14:paraId="1FD9AD3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台</w:t>
            </w:r>
          </w:p>
        </w:tc>
        <w:tc>
          <w:tcPr>
            <w:tcW w:w="772" w:type="pct"/>
            <w:vMerge w:val="continue"/>
            <w:shd w:val="clear" w:color="auto" w:fill="auto"/>
            <w:noWrap/>
            <w:vAlign w:val="center"/>
          </w:tcPr>
          <w:p w14:paraId="7B4452FA">
            <w:pPr>
              <w:jc w:val="center"/>
              <w:rPr>
                <w:rFonts w:hint="eastAsia" w:ascii="仿宋" w:hAnsi="仿宋" w:eastAsia="仿宋" w:cs="仿宋"/>
                <w:sz w:val="24"/>
                <w:szCs w:val="24"/>
                <w:highlight w:val="none"/>
                <w:lang w:val="en-US" w:eastAsia="zh-CN"/>
              </w:rPr>
            </w:pPr>
          </w:p>
        </w:tc>
      </w:tr>
      <w:tr w14:paraId="0B88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shd w:val="clear" w:color="auto" w:fill="auto"/>
            <w:noWrap/>
            <w:vAlign w:val="center"/>
          </w:tcPr>
          <w:p w14:paraId="049B37C6">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w:t>
            </w:r>
          </w:p>
        </w:tc>
        <w:tc>
          <w:tcPr>
            <w:tcW w:w="616" w:type="pct"/>
            <w:vMerge w:val="continue"/>
            <w:vAlign w:val="center"/>
          </w:tcPr>
          <w:p w14:paraId="3EBABFA6">
            <w:pPr>
              <w:jc w:val="center"/>
              <w:rPr>
                <w:rFonts w:hint="eastAsia" w:ascii="仿宋" w:hAnsi="仿宋" w:eastAsia="仿宋" w:cs="仿宋"/>
                <w:sz w:val="24"/>
                <w:szCs w:val="24"/>
                <w:highlight w:val="none"/>
              </w:rPr>
            </w:pPr>
          </w:p>
        </w:tc>
        <w:tc>
          <w:tcPr>
            <w:tcW w:w="2531" w:type="pct"/>
            <w:shd w:val="clear" w:color="auto" w:fill="auto"/>
            <w:noWrap/>
            <w:vAlign w:val="center"/>
          </w:tcPr>
          <w:p w14:paraId="2B702449">
            <w:pPr>
              <w:keepNext w:val="0"/>
              <w:keepLines w:val="0"/>
              <w:widowControl/>
              <w:suppressLineNumbers w:val="0"/>
              <w:jc w:val="center"/>
              <w:textAlignment w:val="center"/>
              <w:rPr>
                <w:rFonts w:hint="eastAsia" w:ascii="仿宋" w:hAnsi="仿宋" w:eastAsia="仿宋" w:cs="仿宋"/>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身份证读卡器</w:t>
            </w:r>
          </w:p>
        </w:tc>
        <w:tc>
          <w:tcPr>
            <w:tcW w:w="772" w:type="pct"/>
            <w:shd w:val="clear" w:color="auto" w:fill="auto"/>
            <w:noWrap/>
            <w:vAlign w:val="center"/>
          </w:tcPr>
          <w:p w14:paraId="18F468C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台</w:t>
            </w:r>
          </w:p>
        </w:tc>
        <w:tc>
          <w:tcPr>
            <w:tcW w:w="772" w:type="pct"/>
            <w:vMerge w:val="continue"/>
            <w:shd w:val="clear" w:color="auto" w:fill="auto"/>
            <w:noWrap/>
            <w:vAlign w:val="center"/>
          </w:tcPr>
          <w:p w14:paraId="1B79DB11">
            <w:pPr>
              <w:jc w:val="center"/>
              <w:rPr>
                <w:rFonts w:hint="eastAsia" w:ascii="仿宋" w:hAnsi="仿宋" w:eastAsia="仿宋" w:cs="仿宋"/>
                <w:sz w:val="24"/>
                <w:szCs w:val="24"/>
                <w:highlight w:val="none"/>
                <w:lang w:val="en-US" w:eastAsia="zh-CN"/>
              </w:rPr>
            </w:pPr>
          </w:p>
        </w:tc>
      </w:tr>
      <w:tr w14:paraId="27EE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shd w:val="clear" w:color="auto" w:fill="auto"/>
            <w:noWrap/>
            <w:vAlign w:val="center"/>
          </w:tcPr>
          <w:p w14:paraId="5CA7FADF">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w:t>
            </w:r>
          </w:p>
        </w:tc>
        <w:tc>
          <w:tcPr>
            <w:tcW w:w="616" w:type="pct"/>
            <w:vMerge w:val="continue"/>
            <w:vAlign w:val="center"/>
          </w:tcPr>
          <w:p w14:paraId="36EE0F9B">
            <w:pPr>
              <w:jc w:val="center"/>
              <w:rPr>
                <w:rFonts w:hint="eastAsia" w:ascii="仿宋" w:hAnsi="仿宋" w:eastAsia="仿宋" w:cs="仿宋"/>
                <w:sz w:val="24"/>
                <w:szCs w:val="24"/>
                <w:highlight w:val="none"/>
              </w:rPr>
            </w:pPr>
          </w:p>
        </w:tc>
        <w:tc>
          <w:tcPr>
            <w:tcW w:w="2531" w:type="pct"/>
            <w:shd w:val="clear" w:color="auto" w:fill="auto"/>
            <w:noWrap/>
            <w:vAlign w:val="center"/>
          </w:tcPr>
          <w:p w14:paraId="00526686">
            <w:pPr>
              <w:keepNext w:val="0"/>
              <w:keepLines w:val="0"/>
              <w:widowControl/>
              <w:suppressLineNumbers w:val="0"/>
              <w:jc w:val="center"/>
              <w:textAlignment w:val="center"/>
              <w:rPr>
                <w:rFonts w:hint="eastAsia" w:ascii="仿宋" w:hAnsi="仿宋" w:eastAsia="仿宋" w:cs="仿宋"/>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扫描枪</w:t>
            </w:r>
          </w:p>
        </w:tc>
        <w:tc>
          <w:tcPr>
            <w:tcW w:w="772" w:type="pct"/>
            <w:shd w:val="clear" w:color="auto" w:fill="auto"/>
            <w:noWrap/>
            <w:vAlign w:val="center"/>
          </w:tcPr>
          <w:p w14:paraId="7215F81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台</w:t>
            </w:r>
          </w:p>
        </w:tc>
        <w:tc>
          <w:tcPr>
            <w:tcW w:w="772" w:type="pct"/>
            <w:vMerge w:val="continue"/>
            <w:shd w:val="clear" w:color="auto" w:fill="auto"/>
            <w:noWrap/>
            <w:vAlign w:val="center"/>
          </w:tcPr>
          <w:p w14:paraId="29D73004">
            <w:pPr>
              <w:jc w:val="center"/>
              <w:rPr>
                <w:rFonts w:hint="eastAsia" w:ascii="仿宋" w:hAnsi="仿宋" w:eastAsia="仿宋" w:cs="仿宋"/>
                <w:sz w:val="24"/>
                <w:szCs w:val="24"/>
                <w:highlight w:val="none"/>
                <w:lang w:val="en-US" w:eastAsia="zh-CN"/>
              </w:rPr>
            </w:pPr>
          </w:p>
        </w:tc>
      </w:tr>
      <w:tr w14:paraId="2FBB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shd w:val="clear" w:color="auto" w:fill="auto"/>
            <w:noWrap/>
            <w:vAlign w:val="center"/>
          </w:tcPr>
          <w:p w14:paraId="24FD2DF6">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w:t>
            </w:r>
          </w:p>
        </w:tc>
        <w:tc>
          <w:tcPr>
            <w:tcW w:w="616" w:type="pct"/>
            <w:vMerge w:val="continue"/>
            <w:vAlign w:val="center"/>
          </w:tcPr>
          <w:p w14:paraId="09BA53A5">
            <w:pPr>
              <w:jc w:val="center"/>
              <w:rPr>
                <w:rFonts w:hint="eastAsia" w:ascii="仿宋" w:hAnsi="仿宋" w:eastAsia="仿宋" w:cs="仿宋"/>
                <w:sz w:val="24"/>
                <w:szCs w:val="24"/>
                <w:highlight w:val="none"/>
              </w:rPr>
            </w:pPr>
          </w:p>
        </w:tc>
        <w:tc>
          <w:tcPr>
            <w:tcW w:w="2531" w:type="pct"/>
            <w:shd w:val="clear" w:color="auto" w:fill="auto"/>
            <w:noWrap/>
            <w:vAlign w:val="center"/>
          </w:tcPr>
          <w:p w14:paraId="061AF4B3">
            <w:pPr>
              <w:keepNext w:val="0"/>
              <w:keepLines w:val="0"/>
              <w:widowControl/>
              <w:suppressLineNumbers w:val="0"/>
              <w:jc w:val="center"/>
              <w:textAlignment w:val="center"/>
              <w:rPr>
                <w:rFonts w:hint="eastAsia" w:ascii="仿宋" w:hAnsi="仿宋" w:eastAsia="仿宋" w:cs="仿宋"/>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移动PDA</w:t>
            </w:r>
          </w:p>
        </w:tc>
        <w:tc>
          <w:tcPr>
            <w:tcW w:w="772" w:type="pct"/>
            <w:shd w:val="clear" w:color="auto" w:fill="auto"/>
            <w:noWrap/>
            <w:vAlign w:val="center"/>
          </w:tcPr>
          <w:p w14:paraId="0EEA438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台</w:t>
            </w:r>
          </w:p>
        </w:tc>
        <w:tc>
          <w:tcPr>
            <w:tcW w:w="772" w:type="pct"/>
            <w:vMerge w:val="continue"/>
            <w:shd w:val="clear" w:color="auto" w:fill="auto"/>
            <w:noWrap/>
            <w:vAlign w:val="center"/>
          </w:tcPr>
          <w:p w14:paraId="624CA586">
            <w:pPr>
              <w:jc w:val="center"/>
              <w:rPr>
                <w:rFonts w:hint="eastAsia" w:ascii="仿宋" w:hAnsi="仿宋" w:eastAsia="仿宋" w:cs="仿宋"/>
                <w:sz w:val="24"/>
                <w:szCs w:val="24"/>
                <w:highlight w:val="none"/>
                <w:lang w:val="en-US" w:eastAsia="zh-CN"/>
              </w:rPr>
            </w:pPr>
          </w:p>
        </w:tc>
      </w:tr>
      <w:tr w14:paraId="37FD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shd w:val="clear" w:color="auto" w:fill="auto"/>
            <w:noWrap/>
            <w:vAlign w:val="center"/>
          </w:tcPr>
          <w:p w14:paraId="431BA627">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w:t>
            </w:r>
          </w:p>
        </w:tc>
        <w:tc>
          <w:tcPr>
            <w:tcW w:w="616" w:type="pct"/>
            <w:vMerge w:val="continue"/>
            <w:vAlign w:val="center"/>
          </w:tcPr>
          <w:p w14:paraId="0A55005C">
            <w:pPr>
              <w:jc w:val="center"/>
              <w:rPr>
                <w:rFonts w:hint="eastAsia" w:ascii="仿宋" w:hAnsi="仿宋" w:eastAsia="仿宋" w:cs="仿宋"/>
                <w:sz w:val="24"/>
                <w:szCs w:val="24"/>
                <w:highlight w:val="none"/>
              </w:rPr>
            </w:pPr>
          </w:p>
        </w:tc>
        <w:tc>
          <w:tcPr>
            <w:tcW w:w="2531" w:type="pct"/>
            <w:shd w:val="clear" w:color="auto" w:fill="auto"/>
            <w:noWrap/>
            <w:vAlign w:val="center"/>
          </w:tcPr>
          <w:p w14:paraId="1B1472B9">
            <w:pPr>
              <w:keepNext w:val="0"/>
              <w:keepLines w:val="0"/>
              <w:widowControl/>
              <w:suppressLineNumbers w:val="0"/>
              <w:jc w:val="center"/>
              <w:textAlignment w:val="center"/>
              <w:rPr>
                <w:rFonts w:hint="eastAsia" w:ascii="仿宋" w:hAnsi="仿宋" w:eastAsia="仿宋" w:cs="仿宋"/>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RFID发卡器</w:t>
            </w:r>
          </w:p>
        </w:tc>
        <w:tc>
          <w:tcPr>
            <w:tcW w:w="772" w:type="pct"/>
            <w:shd w:val="clear" w:color="auto" w:fill="auto"/>
            <w:noWrap/>
            <w:vAlign w:val="center"/>
          </w:tcPr>
          <w:p w14:paraId="37113BE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1台</w:t>
            </w:r>
          </w:p>
        </w:tc>
        <w:tc>
          <w:tcPr>
            <w:tcW w:w="772" w:type="pct"/>
            <w:vMerge w:val="continue"/>
            <w:shd w:val="clear" w:color="auto" w:fill="auto"/>
            <w:noWrap/>
            <w:vAlign w:val="center"/>
          </w:tcPr>
          <w:p w14:paraId="22ACF119">
            <w:pPr>
              <w:jc w:val="center"/>
              <w:rPr>
                <w:rFonts w:hint="eastAsia" w:ascii="仿宋" w:hAnsi="仿宋" w:eastAsia="仿宋" w:cs="仿宋"/>
                <w:sz w:val="24"/>
                <w:szCs w:val="24"/>
                <w:highlight w:val="none"/>
                <w:lang w:val="en-US" w:eastAsia="zh-CN"/>
              </w:rPr>
            </w:pPr>
          </w:p>
        </w:tc>
      </w:tr>
      <w:tr w14:paraId="61AE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06" w:type="pct"/>
            <w:shd w:val="clear" w:color="auto" w:fill="auto"/>
            <w:noWrap/>
            <w:vAlign w:val="center"/>
          </w:tcPr>
          <w:p w14:paraId="32573D16">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w:t>
            </w:r>
          </w:p>
        </w:tc>
        <w:tc>
          <w:tcPr>
            <w:tcW w:w="616" w:type="pct"/>
            <w:vMerge w:val="continue"/>
            <w:vAlign w:val="center"/>
          </w:tcPr>
          <w:p w14:paraId="17F30505">
            <w:pPr>
              <w:jc w:val="center"/>
              <w:rPr>
                <w:rFonts w:hint="eastAsia" w:ascii="仿宋" w:hAnsi="仿宋" w:eastAsia="仿宋" w:cs="仿宋"/>
                <w:sz w:val="24"/>
                <w:szCs w:val="24"/>
                <w:highlight w:val="none"/>
              </w:rPr>
            </w:pPr>
          </w:p>
        </w:tc>
        <w:tc>
          <w:tcPr>
            <w:tcW w:w="2531" w:type="pct"/>
            <w:shd w:val="clear" w:color="auto" w:fill="auto"/>
            <w:noWrap/>
            <w:vAlign w:val="center"/>
          </w:tcPr>
          <w:p w14:paraId="541A336D">
            <w:pPr>
              <w:keepNext w:val="0"/>
              <w:keepLines w:val="0"/>
              <w:widowControl/>
              <w:suppressLineNumbers w:val="0"/>
              <w:jc w:val="center"/>
              <w:textAlignment w:val="center"/>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智慧屏</w:t>
            </w:r>
          </w:p>
        </w:tc>
        <w:tc>
          <w:tcPr>
            <w:tcW w:w="772" w:type="pct"/>
            <w:shd w:val="clear" w:color="auto" w:fill="auto"/>
            <w:noWrap/>
            <w:vAlign w:val="center"/>
          </w:tcPr>
          <w:p w14:paraId="15FD5BB6">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 台</w:t>
            </w:r>
          </w:p>
        </w:tc>
        <w:tc>
          <w:tcPr>
            <w:tcW w:w="772" w:type="pct"/>
            <w:vMerge w:val="continue"/>
            <w:shd w:val="clear" w:color="auto" w:fill="auto"/>
            <w:noWrap/>
            <w:vAlign w:val="center"/>
          </w:tcPr>
          <w:p w14:paraId="0266B41D">
            <w:pPr>
              <w:jc w:val="center"/>
              <w:rPr>
                <w:rFonts w:hint="eastAsia" w:ascii="仿宋" w:hAnsi="仿宋" w:eastAsia="仿宋" w:cs="仿宋"/>
                <w:sz w:val="24"/>
                <w:szCs w:val="24"/>
                <w:highlight w:val="none"/>
                <w:lang w:val="en-US" w:eastAsia="zh-CN"/>
              </w:rPr>
            </w:pPr>
          </w:p>
        </w:tc>
      </w:tr>
    </w:tbl>
    <w:p w14:paraId="2D9A0DCD">
      <w:pPr>
        <w:ind w:firstLine="480"/>
        <w:rPr>
          <w:rFonts w:hint="eastAsia" w:ascii="仿宋" w:hAnsi="仿宋" w:eastAsia="仿宋" w:cs="仿宋"/>
          <w:sz w:val="24"/>
          <w:szCs w:val="24"/>
          <w:highlight w:val="none"/>
        </w:rPr>
      </w:pPr>
    </w:p>
    <w:p w14:paraId="4F0723F6">
      <w:pPr>
        <w:widowControl/>
        <w:spacing w:line="240" w:lineRule="auto"/>
        <w:ind w:firstLine="480"/>
        <w:jc w:val="left"/>
        <w:rPr>
          <w:rFonts w:hint="eastAsia" w:ascii="仿宋" w:hAnsi="仿宋" w:eastAsia="仿宋" w:cs="仿宋"/>
          <w:b/>
          <w:sz w:val="24"/>
          <w:szCs w:val="24"/>
          <w:highlight w:val="none"/>
        </w:rPr>
      </w:pPr>
      <w:r>
        <w:rPr>
          <w:rFonts w:hint="eastAsia" w:ascii="仿宋" w:hAnsi="仿宋" w:eastAsia="仿宋" w:cs="仿宋"/>
          <w:sz w:val="24"/>
          <w:szCs w:val="24"/>
          <w:highlight w:val="none"/>
        </w:rPr>
        <w:br w:type="page"/>
      </w:r>
    </w:p>
    <w:p w14:paraId="4222FE9F">
      <w:pPr>
        <w:pStyle w:val="3"/>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建设目标</w:t>
      </w:r>
    </w:p>
    <w:p w14:paraId="36FC7F06">
      <w:pPr>
        <w:keepNext w:val="0"/>
        <w:keepLines w:val="0"/>
        <w:widowControl/>
        <w:suppressLineNumbers w:val="0"/>
        <w:ind w:firstLine="480" w:firstLineChars="200"/>
        <w:jc w:val="left"/>
        <w:rPr>
          <w:rFonts w:hint="eastAsia"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
          <w14:ligatures w14:val="standardContextual"/>
        </w:rPr>
        <w:t>为全面规范医院急诊诊疗流程、提升急诊救治效率、强化急诊质量安全管控、打通院内急救协同壁垒，依托信息化、智能化技术搭建标准化、一体化、精细化的</w:t>
      </w:r>
      <w:r>
        <w:rPr>
          <w:rStyle w:val="28"/>
          <w:rFonts w:hint="eastAsia" w:ascii="仿宋" w:hAnsi="仿宋" w:eastAsia="仿宋" w:cs="仿宋"/>
          <w:kern w:val="0"/>
          <w:sz w:val="24"/>
          <w:szCs w:val="24"/>
          <w:highlight w:val="none"/>
          <w:lang w:val="en-US" w:eastAsia="zh-CN" w:bidi="ar"/>
          <w14:ligatures w14:val="standardContextual"/>
        </w:rPr>
        <w:t>医院急诊管理系统</w:t>
      </w:r>
      <w:r>
        <w:rPr>
          <w:rFonts w:hint="eastAsia" w:ascii="仿宋" w:hAnsi="仿宋" w:eastAsia="仿宋" w:cs="仿宋"/>
          <w:kern w:val="0"/>
          <w:sz w:val="24"/>
          <w:szCs w:val="24"/>
          <w:highlight w:val="none"/>
          <w:lang w:val="en-US" w:eastAsia="zh-CN" w:bidi="ar"/>
          <w14:ligatures w14:val="standardContextual"/>
        </w:rPr>
        <w:t>。系统围绕“急危重症快速救治、全流程闭环管理、数据精准质控、多科室高效协同”的核心建设思路，贴合《急诊医学科建设与管理指南》《三级医院评审标准》等国家及行业规范要求，全面覆盖急诊预检分诊、接诊诊疗、抢救监护、留观住院、转诊转运、费用结算、质控统计等全业务场景，实现急诊业务数字化、管理标准化、决策智能化，整体提升医院急诊救治能力、应急处置水平与患者就医体验，具体建设目标如下：</w:t>
      </w:r>
    </w:p>
    <w:p w14:paraId="3329CAE8">
      <w:pPr>
        <w:bidi w:val="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一、构建全流程闭环诊疗体系，规范急诊业务标准</w:t>
      </w:r>
    </w:p>
    <w:p w14:paraId="1A72D871">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
          <w14:ligatures w14:val="standardContextual"/>
        </w:rPr>
        <w:t>依托系统搭建急诊患者</w:t>
      </w:r>
      <w:r>
        <w:rPr>
          <w:rStyle w:val="28"/>
          <w:rFonts w:hint="eastAsia" w:ascii="仿宋" w:hAnsi="仿宋" w:eastAsia="仿宋" w:cs="仿宋"/>
          <w:kern w:val="0"/>
          <w:sz w:val="24"/>
          <w:szCs w:val="24"/>
          <w:highlight w:val="none"/>
          <w:lang w:val="en-US" w:eastAsia="zh-CN" w:bidi="ar"/>
          <w14:ligatures w14:val="standardContextual"/>
        </w:rPr>
        <w:t>从入院分诊、接诊、检查、检验、用药、抢救、留观、收治住院、转诊、离院</w:t>
      </w:r>
      <w:r>
        <w:rPr>
          <w:rFonts w:hint="eastAsia" w:ascii="仿宋" w:hAnsi="仿宋" w:eastAsia="仿宋" w:cs="仿宋"/>
          <w:kern w:val="0"/>
          <w:sz w:val="24"/>
          <w:szCs w:val="24"/>
          <w:highlight w:val="none"/>
          <w:lang w:val="en-US" w:eastAsia="zh-CN" w:bidi="ar"/>
          <w14:ligatures w14:val="standardContextual"/>
        </w:rPr>
        <w:t>的全生命周期闭环管理体系，彻底打通急诊业务各环节信息断层。统一全院急诊诊疗业务标准、操作流程与文书规范，标准化急诊病历、抢救记录、分诊评估、知情同意书等各类医疗文书，杜绝手工登记、信息错漏、流程不规范等问题。实现患者就诊轨迹可追溯、诊疗行为可监管、业务流程可溯源，全面规范急诊医护人员执业行为，保障急诊诊疗工作有序、合规开展，满足医院等级评审、医疗质控检查的硬性要求。</w:t>
      </w:r>
    </w:p>
    <w:p w14:paraId="6D942253">
      <w:pPr>
        <w:bidi w:val="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二、提升急危重症救治效率，优化急诊就医体验</w:t>
      </w:r>
    </w:p>
    <w:p w14:paraId="2396ADCC">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
          <w14:ligatures w14:val="standardContextual"/>
        </w:rPr>
        <w:t>聚焦急诊“快、准、高效”的核心业务需求，通过信息化手段简化就诊流程、压缩救治时长。优化急诊预检分诊机制，支持智能分级分诊，精准区分濒危、危重、急症、非急症患者，实现急危重症患者优先救治，杜绝候诊延误问题。系统自动联动检验、检查、药房、手术室等相关科室，实现申请快速推送、结果实时回传、资源快速调配，大幅缩短患者检查等待、报告出具、药品调配时长。同时简化急诊登记、缴费、结算流程，支持便捷化信息录入与批量操作，降低医护人员重复工作压力，有效缩短急诊患者平均就诊时长、救治周转时间，大幅提升急危重症抢救成功率与患者就医满意度。</w:t>
      </w:r>
    </w:p>
    <w:p w14:paraId="09347626">
      <w:pPr>
        <w:bidi w:val="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三、实现精细化质控管理，筑牢医疗安全防线</w:t>
      </w:r>
    </w:p>
    <w:p w14:paraId="3ECB97B9">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
          <w14:ligatures w14:val="standardContextual"/>
        </w:rPr>
        <w:t>搭建智能化急诊质量控制与安全管理模块，建立全方位、常态化的急诊质控监管体系。系统可对分诊准确率、急诊等待时长、抢救时效、30分钟溶栓率、疑难危重病例处置、文书书写合格率等</w:t>
      </w:r>
      <w:r>
        <w:rPr>
          <w:rStyle w:val="28"/>
          <w:rFonts w:hint="eastAsia" w:ascii="仿宋" w:hAnsi="仿宋" w:eastAsia="仿宋" w:cs="仿宋"/>
          <w:kern w:val="0"/>
          <w:sz w:val="24"/>
          <w:szCs w:val="24"/>
          <w:highlight w:val="none"/>
          <w:lang w:val="en-US" w:eastAsia="zh-CN" w:bidi="ar"/>
          <w14:ligatures w14:val="standardContextual"/>
        </w:rPr>
        <w:t>核心质控指标</w:t>
      </w:r>
      <w:r>
        <w:rPr>
          <w:rFonts w:hint="eastAsia" w:ascii="仿宋" w:hAnsi="仿宋" w:eastAsia="仿宋" w:cs="仿宋"/>
          <w:kern w:val="0"/>
          <w:sz w:val="24"/>
          <w:szCs w:val="24"/>
          <w:highlight w:val="none"/>
          <w:lang w:val="en-US" w:eastAsia="zh-CN" w:bidi="ar"/>
          <w14:ligatures w14:val="standardContextual"/>
        </w:rPr>
        <w:t>进行实时监测、自动统计、异常预警。针对急诊高危操作、超时处置、文书缺失、分级不当等问题实现智能提醒，及时规避医疗风险。同时完整留存所有急诊诊疗数据、操作记录、抢救轨迹，形成可量化、可分析、可整改的质控数据台账，为医院急诊质量持续改进、医疗风险防控、医疗纠纷溯源提供精准的数据支撑，全面提升急诊医疗安全管理水平。</w:t>
      </w:r>
    </w:p>
    <w:p w14:paraId="10926EF5">
      <w:pPr>
        <w:bidi w:val="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四</w:t>
      </w:r>
      <w:r>
        <w:rPr>
          <w:rFonts w:hint="eastAsia" w:ascii="仿宋" w:hAnsi="仿宋" w:eastAsia="仿宋" w:cs="仿宋"/>
          <w:b/>
          <w:bCs/>
          <w:sz w:val="24"/>
          <w:szCs w:val="24"/>
          <w:highlight w:val="none"/>
        </w:rPr>
        <w:t>、减负增效提质，提升急诊运营效能</w:t>
      </w:r>
    </w:p>
    <w:p w14:paraId="01E1FB1E">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
          <w14:ligatures w14:val="standardContextual"/>
        </w:rPr>
        <w:t>通过系统自动化、智能化功能替代传统人工手工登记、统计、录入、整理等重复性工作，大幅降低急诊医护、行政管理人员的工作负荷，减少人工操作误差。优化急诊床位、设备、人员等医疗资源配置，提升急诊科室床位周转率、设备利用率与人员工作效率，有效降低科室运营成本。通过标准化、信息化管理全面提升急诊科室规范化运营水平，树立医院急诊专科服务品牌，整体提升医院应急救治与公共卫生服务能力。</w:t>
      </w:r>
    </w:p>
    <w:p w14:paraId="1BF13F1C">
      <w:pPr>
        <w:pStyle w:val="3"/>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系统功能需求</w:t>
      </w:r>
    </w:p>
    <w:p w14:paraId="31FFD549">
      <w:pPr>
        <w:pStyle w:val="4"/>
        <w:rPr>
          <w:rFonts w:hint="eastAsia" w:ascii="仿宋" w:hAnsi="仿宋" w:eastAsia="仿宋" w:cs="仿宋"/>
          <w:sz w:val="24"/>
          <w:szCs w:val="24"/>
          <w:highlight w:val="none"/>
        </w:rPr>
      </w:pPr>
      <w:bookmarkStart w:id="70" w:name="_Toc191644297"/>
      <w:r>
        <w:rPr>
          <w:rFonts w:hint="eastAsia" w:ascii="仿宋" w:hAnsi="仿宋" w:eastAsia="仿宋" w:cs="仿宋"/>
          <w:sz w:val="24"/>
          <w:szCs w:val="24"/>
          <w:highlight w:val="none"/>
        </w:rPr>
        <w:t>急诊管理</w:t>
      </w:r>
      <w:bookmarkEnd w:id="70"/>
    </w:p>
    <w:p w14:paraId="3EA61435">
      <w:pPr>
        <w:pStyle w:val="5"/>
        <w:widowControl/>
        <w:tabs>
          <w:tab w:val="left" w:pos="312"/>
        </w:tabs>
        <w:spacing w:line="15" w:lineRule="atLeast"/>
        <w:ind w:left="248" w:leftChars="118"/>
        <w:rPr>
          <w:rFonts w:hint="eastAsia" w:ascii="仿宋" w:hAnsi="仿宋" w:eastAsia="仿宋" w:cs="仿宋"/>
          <w:sz w:val="24"/>
          <w:szCs w:val="24"/>
          <w:highlight w:val="none"/>
        </w:rPr>
      </w:pPr>
      <w:bookmarkStart w:id="71" w:name="_Toc191644298"/>
      <w:r>
        <w:rPr>
          <w:rFonts w:hint="eastAsia" w:ascii="仿宋" w:hAnsi="仿宋" w:eastAsia="仿宋" w:cs="仿宋"/>
          <w:color w:val="333333"/>
          <w:sz w:val="24"/>
          <w:szCs w:val="24"/>
          <w:highlight w:val="none"/>
        </w:rPr>
        <w:t>急诊预检分诊系统</w:t>
      </w:r>
      <w:bookmarkEnd w:id="71"/>
    </w:p>
    <w:p w14:paraId="0462020F">
      <w:pPr>
        <w:pStyle w:val="6"/>
        <w:widowControl/>
        <w:spacing w:line="15" w:lineRule="atLeast"/>
        <w:ind w:left="854" w:leftChars="177"/>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系统概述</w:t>
      </w:r>
    </w:p>
    <w:p w14:paraId="3EF5B3E5">
      <w:pPr>
        <w:pStyle w:val="22"/>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急诊预检分诊系统遵照《急诊病人病情分级试点指导原则（征求意见稿）》（卫计委2011年）的相关规范，需包含分级分诊、预检评估等，并参考业内研究标准和业内专家共识，在系统中支持按主诉症状、生命体征、MEWS评分等数据智能自动分级，供分诊护士参考，并实现病人信息自动获取、评分评估单（GCS、NRS、RTS、MEWS等）自动按体征值计算总分等功能。</w:t>
      </w:r>
    </w:p>
    <w:p w14:paraId="730325BD">
      <w:pPr>
        <w:pStyle w:val="6"/>
        <w:widowControl/>
        <w:spacing w:line="15" w:lineRule="atLeast"/>
        <w:ind w:left="854" w:leftChars="177"/>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基本功能说明</w:t>
      </w:r>
    </w:p>
    <w:tbl>
      <w:tblPr>
        <w:tblStyle w:val="25"/>
        <w:tblW w:w="0" w:type="auto"/>
        <w:tblInd w:w="0" w:type="dxa"/>
        <w:tblLayout w:type="fixed"/>
        <w:tblCellMar>
          <w:top w:w="15" w:type="dxa"/>
          <w:left w:w="15" w:type="dxa"/>
          <w:bottom w:w="15" w:type="dxa"/>
          <w:right w:w="15" w:type="dxa"/>
        </w:tblCellMar>
      </w:tblPr>
      <w:tblGrid>
        <w:gridCol w:w="659"/>
        <w:gridCol w:w="1134"/>
        <w:gridCol w:w="6417"/>
      </w:tblGrid>
      <w:tr w14:paraId="71943A7E">
        <w:tblPrEx>
          <w:tblCellMar>
            <w:top w:w="15" w:type="dxa"/>
            <w:left w:w="15" w:type="dxa"/>
            <w:bottom w:w="15" w:type="dxa"/>
            <w:right w:w="15" w:type="dxa"/>
          </w:tblCellMar>
        </w:tblPrEx>
        <w:trPr>
          <w:trHeight w:val="270"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ACBC3C9">
            <w:pPr>
              <w:pStyle w:val="50"/>
              <w:jc w:val="cente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序号</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622E73C">
            <w:pPr>
              <w:pStyle w:val="50"/>
              <w:ind w:firstLine="55" w:firstLineChars="23"/>
              <w:jc w:val="cente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系统模块</w:t>
            </w:r>
          </w:p>
        </w:tc>
        <w:tc>
          <w:tcPr>
            <w:tcW w:w="641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40DD43F">
            <w:pPr>
              <w:pStyle w:val="50"/>
              <w:ind w:firstLine="422"/>
              <w:jc w:val="cente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功能要求</w:t>
            </w:r>
          </w:p>
        </w:tc>
      </w:tr>
      <w:tr w14:paraId="130EDEE8">
        <w:tblPrEx>
          <w:tblCellMar>
            <w:top w:w="15" w:type="dxa"/>
            <w:left w:w="15" w:type="dxa"/>
            <w:bottom w:w="15" w:type="dxa"/>
            <w:right w:w="15" w:type="dxa"/>
          </w:tblCellMar>
        </w:tblPrEx>
        <w:trPr>
          <w:trHeight w:val="270"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E94EA29">
            <w:pPr>
              <w:pStyle w:val="22"/>
              <w:numPr>
                <w:ilvl w:val="255"/>
                <w:numId w:val="0"/>
              </w:numPr>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1 </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1E80070">
            <w:pPr>
              <w:pStyle w:val="22"/>
              <w:spacing w:line="15" w:lineRule="atLeast"/>
              <w:ind w:firstLine="55" w:firstLineChars="23"/>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预检分诊登记</w:t>
            </w:r>
          </w:p>
        </w:tc>
        <w:tc>
          <w:tcPr>
            <w:tcW w:w="641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C657E7D">
            <w:pPr>
              <w:pStyle w:val="50"/>
              <w:numPr>
                <w:ilvl w:val="0"/>
                <w:numId w:val="9"/>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预检分诊接诊，支持与院前急救120系统的对接，实现患者院前急救数据的关联和导入，支持120入院的病人从院前急救系统中自动获取最近一次生命体征和评分数据，避免重复录入，支持对外院转运送入的患者可登记患者来源；</w:t>
            </w:r>
          </w:p>
          <w:p w14:paraId="2CB244EC">
            <w:pPr>
              <w:pStyle w:val="50"/>
              <w:numPr>
                <w:ilvl w:val="0"/>
                <w:numId w:val="9"/>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支持对自行入急诊的患者，预检分诊可与院内HIS对接，在读卡设备对接的前提下，提供急诊病人、信息调取功能；并支持通过医保卡、院内卡等直接刷卡获取病人档案信息，进行快速预检分诊；</w:t>
            </w:r>
          </w:p>
          <w:p w14:paraId="4E0ADE76">
            <w:pPr>
              <w:pStyle w:val="50"/>
              <w:numPr>
                <w:ilvl w:val="0"/>
                <w:numId w:val="9"/>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提供患者来源方式的登记，对于外院转运送入的患者可登记患者来源；</w:t>
            </w:r>
          </w:p>
          <w:p w14:paraId="12052EB6">
            <w:pPr>
              <w:pStyle w:val="50"/>
              <w:numPr>
                <w:ilvl w:val="0"/>
                <w:numId w:val="9"/>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在患者体征采集时，可利用体征测量仪器设备采集，如心率、收缩压、舒张压、血氧饱和度等，分诊系统需支持自动从设备中获取生命体征数据，摒除分诊护士手动采集、录入，体征数据可用于分诊分级、病情评估；</w:t>
            </w:r>
          </w:p>
          <w:p w14:paraId="6BDDA76C">
            <w:pPr>
              <w:pStyle w:val="50"/>
              <w:numPr>
                <w:ilvl w:val="0"/>
                <w:numId w:val="9"/>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预检分诊评估，支持常用急诊病人病情评估评分表，如GCS、NRS、RTS、MEWS等，其中RTS、MEWS涉及上述生命体征、意识清醒程度的应能自动根据已有的、必须的数据自动计算评分值，免去分诊护士的二次填写评分；</w:t>
            </w:r>
          </w:p>
          <w:p w14:paraId="316CD9FD">
            <w:pPr>
              <w:pStyle w:val="50"/>
              <w:numPr>
                <w:ilvl w:val="0"/>
                <w:numId w:val="9"/>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根据患者评分评估情况，提供自动分级分诊功能，并支持人工修正分级，系统自动分级判断依据：评分表、意识清醒程度、分诊知识库症状、单项客观指标，以最高级别（1级最高）为准，按各项指标中最高的作为患者自动分级；</w:t>
            </w:r>
          </w:p>
          <w:p w14:paraId="37F38D36">
            <w:pPr>
              <w:pStyle w:val="50"/>
              <w:numPr>
                <w:ilvl w:val="0"/>
                <w:numId w:val="9"/>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支持对患者的分区分级内容，提供分诊知识库功能，遵循卫生部的《急诊病人病情分级试点指导原则（征求意见稿）》，支持三区四级的分诊模式；</w:t>
            </w:r>
          </w:p>
          <w:p w14:paraId="157D2357">
            <w:pPr>
              <w:pStyle w:val="50"/>
              <w:numPr>
                <w:ilvl w:val="0"/>
                <w:numId w:val="9"/>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基于预检分诊知识规则库，以不同的维度划分不同的急诊病情类型，按照不同病情类型有分类明确的病情症状，并能结合病人生命体征、病情评估实现自动分诊分级，用于协助急诊分诊护士快速有效分诊，并允许修正分级及录入修正原因；</w:t>
            </w:r>
          </w:p>
          <w:p w14:paraId="7CC18875">
            <w:pPr>
              <w:pStyle w:val="50"/>
              <w:numPr>
                <w:ilvl w:val="0"/>
                <w:numId w:val="9"/>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预检分诊管理，对分诊全流程进行整体管理，提供预检分诊登记功能，提供急诊预检分诊单打印功能，支持与热敏打印机对接，预检分诊结束时能为病人提供急诊预检分诊单单据打印，包含病人主要基本信息、联系人及电话、生命体征、分诊科室、预检分级、当前序号等内容，支持后续可根据需要扩展，如二维码、条形码等；</w:t>
            </w:r>
          </w:p>
          <w:p w14:paraId="279CF820">
            <w:pPr>
              <w:pStyle w:val="50"/>
              <w:numPr>
                <w:ilvl w:val="0"/>
                <w:numId w:val="9"/>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支持提供急诊病人去向，系统应能记录急诊病人分诊去向，主要有急诊诊室、急诊抢救室、急诊留观室，支持根据系统自动分级自动选择病人去向，同时可记录具体的分诊科室及首诊医生、床位分配；</w:t>
            </w:r>
          </w:p>
          <w:p w14:paraId="4BE7B4C6">
            <w:pPr>
              <w:pStyle w:val="50"/>
              <w:numPr>
                <w:ilvl w:val="0"/>
                <w:numId w:val="9"/>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支持与院内排队叫号系统集成，实现急诊诊室有序就诊，在抢救室的PC端，系统应支持急诊病人的分诊信息补录入，包含急诊首诊医生、急诊床位分配，完成对急诊患者全流程质管闭环。</w:t>
            </w:r>
          </w:p>
        </w:tc>
      </w:tr>
      <w:tr w14:paraId="5ED01616">
        <w:tblPrEx>
          <w:tblCellMar>
            <w:top w:w="15" w:type="dxa"/>
            <w:left w:w="15" w:type="dxa"/>
            <w:bottom w:w="15" w:type="dxa"/>
            <w:right w:w="15" w:type="dxa"/>
          </w:tblCellMar>
        </w:tblPrEx>
        <w:trPr>
          <w:trHeight w:val="270"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C8A2EFE">
            <w:pPr>
              <w:pStyle w:val="22"/>
              <w:numPr>
                <w:ilvl w:val="255"/>
                <w:numId w:val="0"/>
              </w:numPr>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2</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C398F68">
            <w:pPr>
              <w:pStyle w:val="22"/>
              <w:spacing w:line="15" w:lineRule="atLeast"/>
              <w:ind w:firstLine="55" w:firstLineChars="23"/>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群体事件</w:t>
            </w:r>
          </w:p>
        </w:tc>
        <w:tc>
          <w:tcPr>
            <w:tcW w:w="641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73F470B">
            <w:pPr>
              <w:pStyle w:val="50"/>
              <w:numPr>
                <w:ilvl w:val="0"/>
                <w:numId w:val="10"/>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支持群体事件流程管理，对群体事件内容进行登记，包括事件名称、时间、患者、原因、措施等进行记录上报；</w:t>
            </w:r>
          </w:p>
          <w:p w14:paraId="01956F08">
            <w:pPr>
              <w:pStyle w:val="50"/>
              <w:numPr>
                <w:ilvl w:val="0"/>
                <w:numId w:val="10"/>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支持批量将患者关联到群体事件中；</w:t>
            </w:r>
          </w:p>
          <w:p w14:paraId="5CD126F3">
            <w:pPr>
              <w:pStyle w:val="50"/>
              <w:numPr>
                <w:ilvl w:val="0"/>
                <w:numId w:val="10"/>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支持快速进行预检分诊患者登记，提供批量分诊模式，对未分诊病人进行集中处理。</w:t>
            </w:r>
          </w:p>
        </w:tc>
      </w:tr>
      <w:tr w14:paraId="12294241">
        <w:tblPrEx>
          <w:tblCellMar>
            <w:top w:w="15" w:type="dxa"/>
            <w:left w:w="15" w:type="dxa"/>
            <w:bottom w:w="15" w:type="dxa"/>
            <w:right w:w="15" w:type="dxa"/>
          </w:tblCellMar>
        </w:tblPrEx>
        <w:trPr>
          <w:trHeight w:val="270"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FEC3F2D">
            <w:pPr>
              <w:pStyle w:val="22"/>
              <w:numPr>
                <w:ilvl w:val="255"/>
                <w:numId w:val="0"/>
              </w:numPr>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3 </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540A4D9">
            <w:pPr>
              <w:pStyle w:val="22"/>
              <w:spacing w:line="15" w:lineRule="atLeast"/>
              <w:ind w:firstLine="55" w:firstLineChars="23"/>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特殊病人管理</w:t>
            </w:r>
          </w:p>
        </w:tc>
        <w:tc>
          <w:tcPr>
            <w:tcW w:w="641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C00EA48">
            <w:pPr>
              <w:pStyle w:val="50"/>
              <w:numPr>
                <w:ilvl w:val="0"/>
                <w:numId w:val="11"/>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支持通过预检分诊对特殊病人进行区分管理，特殊病人的类别管理有且不限于：三无、绿通、各急救中心病人；</w:t>
            </w:r>
          </w:p>
          <w:p w14:paraId="3A2890A4">
            <w:pPr>
              <w:pStyle w:val="50"/>
              <w:numPr>
                <w:ilvl w:val="0"/>
                <w:numId w:val="11"/>
              </w:numPr>
              <w:ind w:firstLine="42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支持绿色通道、胸痛、卒中、创伤等特殊患者的标记功能，并可进行统计查询；</w:t>
            </w:r>
          </w:p>
          <w:p w14:paraId="4141BE2B">
            <w:pPr>
              <w:pStyle w:val="50"/>
              <w:numPr>
                <w:ilvl w:val="0"/>
                <w:numId w:val="11"/>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具备患者绿通授信管理，为有需要的患者继续治疗提供费用保障，提供院前绿色通道申请、绿色通道审批操作，支持患者基本信息、进入绿色通道原因、绿色通道授信额度等信息登记。支持自动生成绿通授信额度。</w:t>
            </w:r>
          </w:p>
        </w:tc>
      </w:tr>
      <w:tr w14:paraId="4C0B8221">
        <w:tblPrEx>
          <w:tblCellMar>
            <w:top w:w="15" w:type="dxa"/>
            <w:left w:w="15" w:type="dxa"/>
            <w:bottom w:w="15" w:type="dxa"/>
            <w:right w:w="15" w:type="dxa"/>
          </w:tblCellMar>
        </w:tblPrEx>
        <w:trPr>
          <w:trHeight w:val="270"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3DF67CB">
            <w:pPr>
              <w:pStyle w:val="22"/>
              <w:numPr>
                <w:ilvl w:val="255"/>
                <w:numId w:val="0"/>
              </w:numPr>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C9DA8B8">
            <w:pPr>
              <w:pStyle w:val="22"/>
              <w:spacing w:line="15" w:lineRule="atLeast"/>
              <w:ind w:firstLine="55" w:firstLineChars="23"/>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预检分诊查询</w:t>
            </w:r>
          </w:p>
        </w:tc>
        <w:tc>
          <w:tcPr>
            <w:tcW w:w="641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75E69BF">
            <w:pPr>
              <w:pStyle w:val="50"/>
              <w:numPr>
                <w:ilvl w:val="0"/>
                <w:numId w:val="12"/>
              </w:numPr>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支持对急诊预检分诊登记的病人数据进行统计分析查询，包含急诊预检分诊病人登记查询、急诊预检分诊病人分时/分科统计，能按照预检时间、预检分级、病人去向、科室等条件进行检索查询。</w:t>
            </w:r>
          </w:p>
        </w:tc>
      </w:tr>
    </w:tbl>
    <w:p w14:paraId="708BF93D">
      <w:pPr>
        <w:pStyle w:val="5"/>
        <w:widowControl/>
        <w:tabs>
          <w:tab w:val="left" w:pos="312"/>
        </w:tabs>
        <w:spacing w:line="15" w:lineRule="atLeast"/>
        <w:ind w:left="248" w:leftChars="118"/>
        <w:rPr>
          <w:rFonts w:hint="eastAsia" w:ascii="仿宋" w:hAnsi="仿宋" w:eastAsia="仿宋" w:cs="仿宋"/>
          <w:sz w:val="24"/>
          <w:szCs w:val="24"/>
          <w:highlight w:val="none"/>
        </w:rPr>
      </w:pPr>
      <w:bookmarkStart w:id="72" w:name="_Toc191644299"/>
      <w:r>
        <w:rPr>
          <w:rFonts w:hint="eastAsia" w:ascii="仿宋" w:hAnsi="仿宋" w:eastAsia="仿宋" w:cs="仿宋"/>
          <w:color w:val="333333"/>
          <w:sz w:val="24"/>
          <w:szCs w:val="24"/>
          <w:highlight w:val="none"/>
        </w:rPr>
        <w:t>急诊护理工作站</w:t>
      </w:r>
      <w:bookmarkEnd w:id="72"/>
    </w:p>
    <w:p w14:paraId="44E57D6A">
      <w:pPr>
        <w:pStyle w:val="6"/>
        <w:widowControl/>
        <w:spacing w:line="15" w:lineRule="atLeast"/>
        <w:ind w:left="854" w:leftChars="177"/>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系统概述</w:t>
      </w:r>
    </w:p>
    <w:p w14:paraId="330926D9">
      <w:pPr>
        <w:pStyle w:val="22"/>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急诊护士工作站可将急诊护理相关工作集成在一个界面中完成，对急诊病人进行集中管理，分为抢救和留观护士工作站，功能包括病人列表，出入室登记、换床转区以及提供各类护理病历文书记录单，可支持护理记录单自动采集数据，快速点选录入观察项，模板化录入病情记录，按需提供各种护理评分，能够生成各类护理评估表单；提供护理助手，支持快速导入医嘱、检验、检查、护理评估单等数据。</w:t>
      </w:r>
    </w:p>
    <w:p w14:paraId="0124166C">
      <w:pPr>
        <w:pStyle w:val="6"/>
        <w:widowControl/>
        <w:spacing w:line="15" w:lineRule="atLeast"/>
        <w:ind w:left="854" w:leftChars="177"/>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基本功能说明</w:t>
      </w:r>
    </w:p>
    <w:tbl>
      <w:tblPr>
        <w:tblStyle w:val="25"/>
        <w:tblW w:w="0" w:type="auto"/>
        <w:tblInd w:w="0" w:type="dxa"/>
        <w:tblLayout w:type="fixed"/>
        <w:tblCellMar>
          <w:top w:w="15" w:type="dxa"/>
          <w:left w:w="15" w:type="dxa"/>
          <w:bottom w:w="15" w:type="dxa"/>
          <w:right w:w="15" w:type="dxa"/>
        </w:tblCellMar>
      </w:tblPr>
      <w:tblGrid>
        <w:gridCol w:w="659"/>
        <w:gridCol w:w="1134"/>
        <w:gridCol w:w="6477"/>
      </w:tblGrid>
      <w:tr w14:paraId="7973EABD">
        <w:tblPrEx>
          <w:tblCellMar>
            <w:top w:w="15" w:type="dxa"/>
            <w:left w:w="15" w:type="dxa"/>
            <w:bottom w:w="15" w:type="dxa"/>
            <w:right w:w="15" w:type="dxa"/>
          </w:tblCellMar>
        </w:tblPrEx>
        <w:trPr>
          <w:trHeight w:val="270"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07CDA90">
            <w:pPr>
              <w:pStyle w:val="50"/>
              <w:ind w:firstLine="142"/>
              <w:jc w:val="center"/>
              <w:rPr>
                <w:rFonts w:hint="eastAsia" w:ascii="仿宋" w:hAnsi="仿宋" w:eastAsia="仿宋" w:cs="仿宋"/>
                <w:sz w:val="24"/>
                <w:szCs w:val="24"/>
                <w:highlight w:val="none"/>
              </w:rPr>
            </w:pPr>
            <w:r>
              <w:rPr>
                <w:rFonts w:hint="eastAsia" w:ascii="仿宋" w:hAnsi="仿宋" w:eastAsia="仿宋" w:cs="仿宋"/>
                <w:b/>
                <w:bCs/>
                <w:color w:val="000000" w:themeColor="text1"/>
                <w:sz w:val="24"/>
                <w:szCs w:val="24"/>
                <w:highlight w:val="none"/>
                <w14:textFill>
                  <w14:solidFill>
                    <w14:schemeClr w14:val="tx1"/>
                  </w14:solidFill>
                </w14:textFill>
              </w:rPr>
              <w:t>序号</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0D9C265">
            <w:pPr>
              <w:pStyle w:val="22"/>
              <w:spacing w:line="15" w:lineRule="atLeast"/>
              <w:ind w:firstLine="0" w:firstLineChars="0"/>
              <w:jc w:val="both"/>
              <w:rPr>
                <w:rFonts w:hint="eastAsia" w:ascii="仿宋" w:hAnsi="仿宋" w:eastAsia="仿宋" w:cs="仿宋"/>
                <w:sz w:val="24"/>
                <w:szCs w:val="24"/>
                <w:highlight w:val="none"/>
              </w:rPr>
            </w:pPr>
            <w:r>
              <w:rPr>
                <w:rFonts w:hint="eastAsia" w:ascii="仿宋" w:hAnsi="仿宋" w:eastAsia="仿宋" w:cs="仿宋"/>
                <w:b/>
                <w:bCs/>
                <w:color w:val="000000"/>
                <w:sz w:val="24"/>
                <w:szCs w:val="24"/>
                <w:highlight w:val="none"/>
              </w:rPr>
              <w:t>系统模块</w:t>
            </w:r>
          </w:p>
        </w:tc>
        <w:tc>
          <w:tcPr>
            <w:tcW w:w="647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D037A34">
            <w:pPr>
              <w:pStyle w:val="22"/>
              <w:spacing w:before="0" w:beforeAutospacing="0" w:after="0" w:afterAutospacing="0" w:line="15" w:lineRule="atLeast"/>
              <w:ind w:firstLine="482"/>
              <w:jc w:val="center"/>
              <w:rPr>
                <w:rFonts w:hint="eastAsia" w:ascii="仿宋" w:hAnsi="仿宋" w:eastAsia="仿宋" w:cs="仿宋"/>
                <w:sz w:val="24"/>
                <w:szCs w:val="24"/>
                <w:highlight w:val="none"/>
              </w:rPr>
            </w:pPr>
            <w:r>
              <w:rPr>
                <w:rFonts w:hint="eastAsia" w:ascii="仿宋" w:hAnsi="仿宋" w:eastAsia="仿宋" w:cs="仿宋"/>
                <w:b/>
                <w:bCs/>
                <w:color w:val="000000"/>
                <w:sz w:val="24"/>
                <w:szCs w:val="24"/>
                <w:highlight w:val="none"/>
              </w:rPr>
              <w:t>功能要求</w:t>
            </w:r>
          </w:p>
        </w:tc>
      </w:tr>
      <w:tr w14:paraId="6A8E230B">
        <w:tblPrEx>
          <w:tblCellMar>
            <w:top w:w="15" w:type="dxa"/>
            <w:left w:w="15" w:type="dxa"/>
            <w:bottom w:w="15" w:type="dxa"/>
            <w:right w:w="15" w:type="dxa"/>
          </w:tblCellMar>
        </w:tblPrEx>
        <w:trPr>
          <w:trHeight w:val="270"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F014A4C">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1</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F8C2658">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患者管理</w:t>
            </w:r>
          </w:p>
        </w:tc>
        <w:tc>
          <w:tcPr>
            <w:tcW w:w="647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EA7C4A0">
            <w:pPr>
              <w:pStyle w:val="50"/>
              <w:numPr>
                <w:ilvl w:val="0"/>
                <w:numId w:val="13"/>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在急诊留抢护士站中提供集成一体化主界面，界面中应包含急诊病人列表、病人业务操作平台两个模块，其中病人列表需支持卡片模式展现病人主要信息，默认卡片模式，急诊医护人员可自由切换卡片模式或列表模式；</w:t>
            </w:r>
          </w:p>
          <w:p w14:paraId="652F12FA">
            <w:pPr>
              <w:pStyle w:val="50"/>
              <w:numPr>
                <w:ilvl w:val="0"/>
                <w:numId w:val="13"/>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支持在床卡模式下对当前诊区的病人进行集中展现，展现信息应包含以下内容：病人床号、姓名、性别、年龄、分级、诊断、病情、绿色通道、创伤标记等，并可有相关的检索过滤功能，方便急诊护士工作；</w:t>
            </w:r>
          </w:p>
          <w:p w14:paraId="59F7ED64">
            <w:pPr>
              <w:pStyle w:val="50"/>
              <w:numPr>
                <w:ilvl w:val="0"/>
                <w:numId w:val="13"/>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支持在集成界面中，支持对患者快捷功能操作，包含出入室登记、换床、转区、腕带打印、费用查看、医嘱查看、病历查看等；</w:t>
            </w:r>
          </w:p>
          <w:p w14:paraId="175AF6BD">
            <w:pPr>
              <w:pStyle w:val="50"/>
              <w:numPr>
                <w:ilvl w:val="0"/>
                <w:numId w:val="13"/>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支持患者业务管理，在留抢护士站患者业务模式下，提供多病人多业务操作模式，可同时打开多个病人的业务操作平台，方便医护人员可以在多个病人之间互相切换；</w:t>
            </w:r>
          </w:p>
          <w:p w14:paraId="17B8693C">
            <w:pPr>
              <w:pStyle w:val="50"/>
              <w:numPr>
                <w:ilvl w:val="0"/>
                <w:numId w:val="13"/>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支持在留抢护士站系统中操作护理体征管理、护理记录单、评估评分单管理、病历报告查看、体征监测、补录费用等功能；</w:t>
            </w:r>
          </w:p>
          <w:p w14:paraId="18A9DB98">
            <w:pPr>
              <w:pStyle w:val="50"/>
              <w:numPr>
                <w:ilvl w:val="0"/>
                <w:numId w:val="13"/>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支持通过数据同步完成门诊、住院、急诊数据集成并互通；</w:t>
            </w:r>
          </w:p>
          <w:p w14:paraId="475A23EB">
            <w:pPr>
              <w:pStyle w:val="50"/>
              <w:numPr>
                <w:ilvl w:val="0"/>
                <w:numId w:val="13"/>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▲支持自动汇总抢救期间从床边设备采集到的呼吸、监护等数据并展示在护理记录单中，实现护理体征数据精细化管理；</w:t>
            </w:r>
          </w:p>
          <w:p w14:paraId="6820D612">
            <w:pPr>
              <w:pStyle w:val="50"/>
              <w:numPr>
                <w:ilvl w:val="0"/>
                <w:numId w:val="13"/>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支持在患者管理中，急诊护士站集成护理日常管理业务，包含批量体征、批量医嘱执行、批量数据管理、交接班管理等，将日常管理项目扁平化、清晰化呈现；</w:t>
            </w:r>
          </w:p>
          <w:p w14:paraId="4EC1595D">
            <w:pPr>
              <w:pStyle w:val="50"/>
              <w:numPr>
                <w:ilvl w:val="0"/>
                <w:numId w:val="13"/>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支持对护理记录历史操作痕迹查询。</w:t>
            </w:r>
          </w:p>
        </w:tc>
      </w:tr>
      <w:tr w14:paraId="01BD3AC3">
        <w:tblPrEx>
          <w:tblCellMar>
            <w:top w:w="15" w:type="dxa"/>
            <w:left w:w="15" w:type="dxa"/>
            <w:bottom w:w="15" w:type="dxa"/>
            <w:right w:w="15" w:type="dxa"/>
          </w:tblCellMar>
        </w:tblPrEx>
        <w:trPr>
          <w:trHeight w:val="270"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9E34A2A">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2</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FA1200C">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患者查询</w:t>
            </w:r>
          </w:p>
        </w:tc>
        <w:tc>
          <w:tcPr>
            <w:tcW w:w="647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5750B0">
            <w:pPr>
              <w:pStyle w:val="50"/>
              <w:numPr>
                <w:ilvl w:val="0"/>
                <w:numId w:val="14"/>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支持对入室及出室病人进行汇总查询，内容包括流转病人查询、患者出室查询、患者交接班查询等；</w:t>
            </w:r>
          </w:p>
          <w:p w14:paraId="77BF5217">
            <w:pPr>
              <w:pStyle w:val="50"/>
              <w:numPr>
                <w:ilvl w:val="0"/>
                <w:numId w:val="14"/>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支持通过动态监测与静态报表对急诊护理业务进行整体汇总。</w:t>
            </w:r>
          </w:p>
        </w:tc>
      </w:tr>
      <w:tr w14:paraId="35C86F88">
        <w:tblPrEx>
          <w:tblCellMar>
            <w:top w:w="15" w:type="dxa"/>
            <w:left w:w="15" w:type="dxa"/>
            <w:bottom w:w="15" w:type="dxa"/>
            <w:right w:w="15" w:type="dxa"/>
          </w:tblCellMar>
        </w:tblPrEx>
        <w:trPr>
          <w:trHeight w:val="270"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3840ECD">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3</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C389EA7">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医嘱执行</w:t>
            </w:r>
          </w:p>
        </w:tc>
        <w:tc>
          <w:tcPr>
            <w:tcW w:w="647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2B1E6B">
            <w:pPr>
              <w:pStyle w:val="50"/>
              <w:numPr>
                <w:ilvl w:val="0"/>
                <w:numId w:val="15"/>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支持对医嘱计划的核对、执行及取消执行操作，其中取消执行功能支持权限配置；</w:t>
            </w:r>
          </w:p>
          <w:p w14:paraId="583AE016">
            <w:pPr>
              <w:pStyle w:val="50"/>
              <w:numPr>
                <w:ilvl w:val="0"/>
                <w:numId w:val="15"/>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支持医嘱输液贴打印，支持移动护理PDA设备扫描输液贴执行医嘱，包括医嘱核对、配药、执行以及皮试执行；</w:t>
            </w:r>
          </w:p>
          <w:p w14:paraId="65B39783">
            <w:pPr>
              <w:pStyle w:val="50"/>
              <w:numPr>
                <w:ilvl w:val="0"/>
                <w:numId w:val="15"/>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支持查看医嘱单及医嘱执行情况。</w:t>
            </w:r>
          </w:p>
        </w:tc>
      </w:tr>
      <w:tr w14:paraId="09C4A5E1">
        <w:tblPrEx>
          <w:tblCellMar>
            <w:top w:w="15" w:type="dxa"/>
            <w:left w:w="15" w:type="dxa"/>
            <w:bottom w:w="15" w:type="dxa"/>
            <w:right w:w="15" w:type="dxa"/>
          </w:tblCellMar>
        </w:tblPrEx>
        <w:trPr>
          <w:trHeight w:val="302"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56B804F">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4</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826309C">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护理表单</w:t>
            </w:r>
          </w:p>
        </w:tc>
        <w:tc>
          <w:tcPr>
            <w:tcW w:w="647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C23CFAE">
            <w:pPr>
              <w:pStyle w:val="50"/>
              <w:numPr>
                <w:ilvl w:val="0"/>
                <w:numId w:val="16"/>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支持提供各类护理评估单，如疼痛评估、导管滑脱风险评估、创伤评估等，具体评估单格式可根据科室实际需求定制；</w:t>
            </w:r>
          </w:p>
          <w:p w14:paraId="24E2F51E">
            <w:pPr>
              <w:pStyle w:val="50"/>
              <w:numPr>
                <w:ilvl w:val="0"/>
                <w:numId w:val="16"/>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提供急诊护理记录单结构化模板,支持自定义配置模板；</w:t>
            </w:r>
          </w:p>
          <w:p w14:paraId="31E24E80">
            <w:pPr>
              <w:pStyle w:val="50"/>
              <w:numPr>
                <w:ilvl w:val="0"/>
                <w:numId w:val="16"/>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color w:val="000000" w:themeColor="text1"/>
                <w:sz w:val="24"/>
                <w:szCs w:val="24"/>
                <w:highlight w:val="none"/>
                <w14:textFill>
                  <w14:solidFill>
                    <w14:schemeClr w14:val="tx1"/>
                  </w14:solidFill>
                </w14:textFill>
              </w:rPr>
              <w:t>具备急诊护理记录书写时，提供医嘱信息、文书模板、检验、检查、评估评分单等信息引入，支持动态结构化病情录入。快速录入护理记录和交班记录，用户可以维护模板内容，减少护士书写护理记录的时间，规范医疗文书。</w:t>
            </w:r>
          </w:p>
          <w:p w14:paraId="51EA4CBB">
            <w:pPr>
              <w:pStyle w:val="50"/>
              <w:numPr>
                <w:ilvl w:val="0"/>
                <w:numId w:val="16"/>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支持移动护理端执行医嘱后，自动回写药品详情、入量项目、入量值到护理记录单。</w:t>
            </w:r>
          </w:p>
          <w:p w14:paraId="248E7FAC">
            <w:pPr>
              <w:pStyle w:val="50"/>
              <w:numPr>
                <w:ilvl w:val="0"/>
                <w:numId w:val="16"/>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支持体温单的显示和打印功能，支持体温单数据同步护理记录单或记录单数据同步体温单。</w:t>
            </w:r>
          </w:p>
        </w:tc>
      </w:tr>
      <w:tr w14:paraId="73838A71">
        <w:tblPrEx>
          <w:tblCellMar>
            <w:top w:w="15" w:type="dxa"/>
            <w:left w:w="15" w:type="dxa"/>
            <w:bottom w:w="15" w:type="dxa"/>
            <w:right w:w="15" w:type="dxa"/>
          </w:tblCellMar>
        </w:tblPrEx>
        <w:trPr>
          <w:trHeight w:val="302"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81C6BA6">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5</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55AA103">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监护仪器对接</w:t>
            </w:r>
          </w:p>
        </w:tc>
        <w:tc>
          <w:tcPr>
            <w:tcW w:w="647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0DFC48A">
            <w:pPr>
              <w:pStyle w:val="50"/>
              <w:numPr>
                <w:ilvl w:val="0"/>
                <w:numId w:val="17"/>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支持自动汇总抢救期间从床边设备采集到的呼吸、体温等体征数据并写回到护理记录单和体温单中。</w:t>
            </w:r>
          </w:p>
        </w:tc>
      </w:tr>
      <w:tr w14:paraId="141C46F8">
        <w:tblPrEx>
          <w:tblCellMar>
            <w:top w:w="15" w:type="dxa"/>
            <w:left w:w="15" w:type="dxa"/>
            <w:bottom w:w="15" w:type="dxa"/>
            <w:right w:w="15" w:type="dxa"/>
          </w:tblCellMar>
        </w:tblPrEx>
        <w:trPr>
          <w:trHeight w:val="302"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863069E">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6</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A018EBA">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费用补录</w:t>
            </w:r>
          </w:p>
        </w:tc>
        <w:tc>
          <w:tcPr>
            <w:tcW w:w="647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8CD394F">
            <w:pPr>
              <w:pStyle w:val="50"/>
              <w:numPr>
                <w:ilvl w:val="0"/>
                <w:numId w:val="18"/>
              </w:numPr>
              <w:ind w:left="0" w:firstLine="33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支持护士补录患者在治疗和处置时产生的费用，支持使用费用套餐功能，快速补录费用。</w:t>
            </w:r>
          </w:p>
        </w:tc>
      </w:tr>
    </w:tbl>
    <w:p w14:paraId="0470B41E">
      <w:pPr>
        <w:pStyle w:val="5"/>
        <w:rPr>
          <w:rFonts w:hint="eastAsia" w:ascii="仿宋" w:hAnsi="仿宋" w:eastAsia="仿宋" w:cs="仿宋"/>
          <w:sz w:val="24"/>
          <w:szCs w:val="24"/>
          <w:highlight w:val="none"/>
          <w:lang w:bidi="ar"/>
        </w:rPr>
      </w:pPr>
      <w:bookmarkStart w:id="73" w:name="_Toc191644300"/>
      <w:r>
        <w:rPr>
          <w:rFonts w:hint="eastAsia" w:ascii="仿宋" w:hAnsi="仿宋" w:eastAsia="仿宋" w:cs="仿宋"/>
          <w:sz w:val="24"/>
          <w:szCs w:val="24"/>
          <w:highlight w:val="none"/>
          <w:lang w:bidi="ar"/>
        </w:rPr>
        <w:t>急诊医生工作站</w:t>
      </w:r>
      <w:bookmarkEnd w:id="73"/>
    </w:p>
    <w:p w14:paraId="72BA9147">
      <w:pPr>
        <w:pStyle w:val="6"/>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A643B56">
      <w:pPr>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急诊医生站主要是为满足急诊医生处理日常急诊诊疗工作，主要包含诊断录入、急诊病历书写等，并采用一体化业务界面，提供多点业务助手并与业务处理相联动，提高诊疗效率。</w:t>
      </w:r>
    </w:p>
    <w:p w14:paraId="72455DD5">
      <w:pPr>
        <w:pStyle w:val="6"/>
        <w:rPr>
          <w:rFonts w:hint="eastAsia" w:ascii="仿宋" w:hAnsi="仿宋" w:eastAsia="仿宋" w:cs="仿宋"/>
          <w:sz w:val="24"/>
          <w:szCs w:val="24"/>
          <w:highlight w:val="none"/>
        </w:rPr>
      </w:pPr>
      <w:r>
        <w:rPr>
          <w:rFonts w:hint="eastAsia" w:ascii="仿宋" w:hAnsi="仿宋" w:eastAsia="仿宋" w:cs="仿宋"/>
          <w:sz w:val="24"/>
          <w:szCs w:val="24"/>
          <w:highlight w:val="none"/>
        </w:rPr>
        <w:t>基本功能说明</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695"/>
        <w:gridCol w:w="5595"/>
      </w:tblGrid>
      <w:tr w14:paraId="676B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A2D9D80">
            <w:pPr>
              <w:ind w:firstLine="0" w:firstLineChars="0"/>
              <w:jc w:val="center"/>
              <w:rPr>
                <w:rFonts w:hint="eastAsia" w:ascii="仿宋" w:hAnsi="仿宋" w:eastAsia="仿宋" w:cs="仿宋"/>
                <w:kern w:val="0"/>
                <w:sz w:val="24"/>
                <w:szCs w:val="24"/>
                <w:highlight w:val="none"/>
              </w:rPr>
            </w:pPr>
            <w:r>
              <w:rPr>
                <w:rFonts w:hint="eastAsia" w:ascii="仿宋" w:hAnsi="仿宋" w:eastAsia="仿宋" w:cs="仿宋"/>
                <w:b/>
                <w:color w:val="000000"/>
                <w:kern w:val="0"/>
                <w:sz w:val="24"/>
                <w:szCs w:val="24"/>
                <w:highlight w:val="none"/>
              </w:rPr>
              <w:t>序号</w:t>
            </w:r>
          </w:p>
        </w:tc>
        <w:tc>
          <w:tcPr>
            <w:tcW w:w="169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30031B5">
            <w:pPr>
              <w:ind w:firstLine="0" w:firstLineChars="0"/>
              <w:jc w:val="center"/>
              <w:rPr>
                <w:rFonts w:hint="eastAsia" w:ascii="仿宋" w:hAnsi="仿宋" w:eastAsia="仿宋" w:cs="仿宋"/>
                <w:kern w:val="0"/>
                <w:sz w:val="24"/>
                <w:szCs w:val="24"/>
                <w:highlight w:val="none"/>
              </w:rPr>
            </w:pPr>
            <w:r>
              <w:rPr>
                <w:rFonts w:hint="eastAsia" w:ascii="仿宋" w:hAnsi="仿宋" w:eastAsia="仿宋" w:cs="仿宋"/>
                <w:b/>
                <w:color w:val="000000"/>
                <w:kern w:val="0"/>
                <w:sz w:val="24"/>
                <w:szCs w:val="24"/>
                <w:highlight w:val="none"/>
              </w:rPr>
              <w:t>系统模块</w:t>
            </w:r>
          </w:p>
        </w:tc>
        <w:tc>
          <w:tcPr>
            <w:tcW w:w="559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97FD068">
            <w:pPr>
              <w:ind w:firstLine="0" w:firstLineChars="0"/>
              <w:jc w:val="center"/>
              <w:rPr>
                <w:rFonts w:hint="eastAsia" w:ascii="仿宋" w:hAnsi="仿宋" w:eastAsia="仿宋" w:cs="仿宋"/>
                <w:kern w:val="0"/>
                <w:sz w:val="24"/>
                <w:szCs w:val="24"/>
                <w:highlight w:val="none"/>
              </w:rPr>
            </w:pPr>
            <w:r>
              <w:rPr>
                <w:rFonts w:hint="eastAsia" w:ascii="仿宋" w:hAnsi="仿宋" w:eastAsia="仿宋" w:cs="仿宋"/>
                <w:b/>
                <w:color w:val="000000"/>
                <w:kern w:val="0"/>
                <w:sz w:val="24"/>
                <w:szCs w:val="24"/>
                <w:highlight w:val="none"/>
              </w:rPr>
              <w:t>功能要求</w:t>
            </w:r>
          </w:p>
        </w:tc>
      </w:tr>
      <w:tr w14:paraId="5B6F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23BA1A4">
            <w:pPr>
              <w:ind w:left="440" w:hanging="440" w:firstLineChars="0"/>
              <w:jc w:val="center"/>
              <w:rPr>
                <w:rFonts w:hint="eastAsia"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1.</w:t>
            </w:r>
          </w:p>
        </w:tc>
        <w:tc>
          <w:tcPr>
            <w:tcW w:w="169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4B4BAEA">
            <w:pPr>
              <w:ind w:firstLine="0" w:firstLineChars="0"/>
              <w:jc w:val="center"/>
              <w:rPr>
                <w:rFonts w:hint="eastAsia"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患者管理</w:t>
            </w:r>
          </w:p>
        </w:tc>
        <w:tc>
          <w:tcPr>
            <w:tcW w:w="559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4736E88">
            <w:pPr>
              <w:ind w:firstLine="0" w:firstLineChars="0"/>
              <w:rPr>
                <w:rFonts w:hint="eastAsia"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1.支持在急诊留抢医生站中提供集成一体化主界面，界面中应包含急诊病人列表、病人业务操作平台两个模块，其中病人列表需支持卡片模式展现病人主要信息，默认卡片模式，急诊医护人员可自由切换卡片模式或列表模式；</w:t>
            </w:r>
          </w:p>
          <w:p w14:paraId="0B645B35">
            <w:pPr>
              <w:ind w:firstLine="0" w:firstLineChars="0"/>
              <w:rPr>
                <w:rFonts w:hint="eastAsia"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2.支持在卡片模式中，可对当前诊区的病人进行集中展现，展现信息应包含以下内容：病人床号、姓名、性别、年龄、分级、诊断、病情、绿色通道、创伤标记等，并可有相关的检索过滤功能，方便急诊医生工作；</w:t>
            </w:r>
          </w:p>
          <w:p w14:paraId="240BC737">
            <w:pPr>
              <w:ind w:firstLine="0" w:firstLineChars="0"/>
              <w:rPr>
                <w:rFonts w:hint="eastAsia"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3.支持在集成界面中，对患者进行部分简易操作，包含病人信息、费用清单、护理资料等；</w:t>
            </w:r>
          </w:p>
          <w:p w14:paraId="72E63CFA">
            <w:pPr>
              <w:ind w:firstLine="0" w:firstLineChars="0"/>
              <w:rPr>
                <w:rFonts w:hint="eastAsia"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▲4.</w:t>
            </w:r>
            <w:r>
              <w:rPr>
                <w:rFonts w:hint="eastAsia" w:ascii="仿宋" w:hAnsi="仿宋" w:eastAsia="仿宋" w:cs="仿宋"/>
                <w:color w:val="1A1A1A"/>
                <w:sz w:val="24"/>
                <w:szCs w:val="24"/>
                <w:highlight w:val="none"/>
              </w:rPr>
              <w:t xml:space="preserve"> </w:t>
            </w:r>
            <w:r>
              <w:rPr>
                <w:rFonts w:hint="eastAsia" w:ascii="仿宋" w:hAnsi="仿宋" w:eastAsia="仿宋" w:cs="仿宋"/>
                <w:color w:val="000000"/>
                <w:kern w:val="0"/>
                <w:sz w:val="24"/>
                <w:szCs w:val="24"/>
                <w:highlight w:val="none"/>
              </w:rPr>
              <w:t>支持患者业务管理，在留抢医生站患者业务模式下，提供多病人多业务操作模式，可同时打开多个病人的业务操作平台，方便医护人员可以在多个病人之间互相切换；</w:t>
            </w:r>
          </w:p>
          <w:p w14:paraId="05BE4546">
            <w:pPr>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提供急诊病历书写功能，支持急诊病历、留观病程文书记录书写功能；</w:t>
            </w:r>
          </w:p>
          <w:p w14:paraId="6F744B0B">
            <w:pPr>
              <w:ind w:firstLine="0" w:firstLineChars="0"/>
              <w:rPr>
                <w:rFonts w:hint="eastAsia" w:ascii="仿宋" w:hAnsi="仿宋" w:eastAsia="仿宋" w:cs="仿宋"/>
                <w:kern w:val="0"/>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5.</w:t>
            </w:r>
            <w:r>
              <w:rPr>
                <w:rFonts w:hint="eastAsia" w:ascii="仿宋" w:hAnsi="仿宋" w:eastAsia="仿宋" w:cs="仿宋"/>
                <w:color w:val="1A1A1A"/>
                <w:sz w:val="24"/>
                <w:szCs w:val="24"/>
                <w:highlight w:val="none"/>
              </w:rPr>
              <w:t xml:space="preserve"> </w:t>
            </w:r>
            <w:r>
              <w:rPr>
                <w:rFonts w:hint="eastAsia" w:ascii="仿宋" w:hAnsi="仿宋" w:eastAsia="仿宋" w:cs="仿宋"/>
                <w:color w:val="000000" w:themeColor="text1"/>
                <w:sz w:val="24"/>
                <w:szCs w:val="24"/>
                <w:highlight w:val="none"/>
                <w14:textFill>
                  <w14:solidFill>
                    <w14:schemeClr w14:val="tx1"/>
                  </w14:solidFill>
                </w14:textFill>
              </w:rPr>
              <w:t>支持医生查看留抢患者护理资料；</w:t>
            </w:r>
          </w:p>
        </w:tc>
      </w:tr>
      <w:tr w14:paraId="257F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E6B0AB0">
            <w:pPr>
              <w:ind w:left="440" w:hanging="440" w:firstLineChars="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w:t>
            </w:r>
          </w:p>
        </w:tc>
        <w:tc>
          <w:tcPr>
            <w:tcW w:w="169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B85FDDF">
            <w:pPr>
              <w:ind w:firstLine="0" w:firstLineChars="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诊断管理</w:t>
            </w:r>
          </w:p>
        </w:tc>
        <w:tc>
          <w:tcPr>
            <w:tcW w:w="559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E691845">
            <w:pPr>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1.提供诊断开立功能，医生通过对患者的问诊后为患者开立本次就诊的急诊诊断。</w:t>
            </w:r>
          </w:p>
          <w:p w14:paraId="20D4FB1E">
            <w:pPr>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2.支持患者历史诊断引用，可调用当前患者近期就诊的历史诊断；</w:t>
            </w:r>
          </w:p>
          <w:p w14:paraId="25B25EAE">
            <w:pPr>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3.支持科室/个人常用诊断引用，可调用科室/个人已收藏的常用诊断；</w:t>
            </w:r>
          </w:p>
          <w:p w14:paraId="46E6F634">
            <w:pPr>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4.支持高频诊断引用，可调用本科室/医生近期内的高频次诊断；</w:t>
            </w:r>
          </w:p>
        </w:tc>
      </w:tr>
      <w:tr w14:paraId="5D45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75" w:type="dxa"/>
            <w:tcBorders>
              <w:top w:val="single" w:color="000000" w:sz="6" w:space="0"/>
              <w:left w:val="single" w:color="000000" w:sz="6" w:space="0"/>
              <w:bottom w:val="single" w:color="auto" w:sz="4" w:space="0"/>
              <w:right w:val="single" w:color="000000" w:sz="6" w:space="0"/>
            </w:tcBorders>
            <w:tcMar>
              <w:top w:w="0" w:type="dxa"/>
              <w:left w:w="108" w:type="dxa"/>
              <w:bottom w:w="0" w:type="dxa"/>
              <w:right w:w="108" w:type="dxa"/>
            </w:tcMar>
            <w:vAlign w:val="center"/>
          </w:tcPr>
          <w:p w14:paraId="3A20DB2D">
            <w:pPr>
              <w:ind w:left="440" w:hanging="440" w:firstLineChars="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w:t>
            </w:r>
          </w:p>
        </w:tc>
        <w:tc>
          <w:tcPr>
            <w:tcW w:w="1695" w:type="dxa"/>
            <w:tcBorders>
              <w:top w:val="single" w:color="CBCDD1" w:sz="6" w:space="0"/>
              <w:left w:val="single" w:color="000000" w:sz="6" w:space="0"/>
              <w:bottom w:val="single" w:color="auto" w:sz="4" w:space="0"/>
              <w:right w:val="single" w:color="000000" w:sz="6" w:space="0"/>
            </w:tcBorders>
            <w:tcMar>
              <w:top w:w="0" w:type="dxa"/>
              <w:left w:w="108" w:type="dxa"/>
              <w:bottom w:w="0" w:type="dxa"/>
              <w:right w:w="108" w:type="dxa"/>
            </w:tcMar>
            <w:vAlign w:val="center"/>
          </w:tcPr>
          <w:p w14:paraId="198524CB">
            <w:pPr>
              <w:ind w:firstLine="0" w:firstLineChars="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急诊医嘱开立</w:t>
            </w:r>
          </w:p>
        </w:tc>
        <w:tc>
          <w:tcPr>
            <w:tcW w:w="5595" w:type="dxa"/>
            <w:tcBorders>
              <w:top w:val="single" w:color="CBCDD1" w:sz="6" w:space="0"/>
              <w:left w:val="single" w:color="000000" w:sz="6" w:space="0"/>
              <w:bottom w:val="single" w:color="auto" w:sz="4" w:space="0"/>
              <w:right w:val="single" w:color="000000" w:sz="6" w:space="0"/>
            </w:tcBorders>
            <w:tcMar>
              <w:top w:w="0" w:type="dxa"/>
              <w:left w:w="108" w:type="dxa"/>
              <w:bottom w:w="0" w:type="dxa"/>
              <w:right w:w="108" w:type="dxa"/>
            </w:tcMar>
            <w:vAlign w:val="center"/>
          </w:tcPr>
          <w:p w14:paraId="23E13240">
            <w:pPr>
              <w:ind w:firstLine="0" w:firstLineChars="0"/>
              <w:rPr>
                <w:rFonts w:hint="eastAsia"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1.提供各类医嘱的开立，如药品、检查、检验、处置治疗等。</w:t>
            </w:r>
          </w:p>
          <w:p w14:paraId="11518510">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2.支持医嘱开立时，支持科室过滤、校验库存和开药提醒，药品数量可自动计算。</w:t>
            </w:r>
          </w:p>
          <w:p w14:paraId="7F6A790C">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3.提供医嘱的药物成组功能。</w:t>
            </w:r>
          </w:p>
          <w:p w14:paraId="32B2B114">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4.支持医嘱模板引用，根据患者主/副诊断、年龄、性别调用最佳医嘱模板；</w:t>
            </w:r>
          </w:p>
          <w:p w14:paraId="0C401F84">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▲5.支持患者历史医嘱引用，根据患者主/副诊断调用本科室当前病人就诊的历史医嘱；</w:t>
            </w:r>
          </w:p>
          <w:p w14:paraId="1305B6DD">
            <w:pPr>
              <w:ind w:firstLine="0" w:firstLineChars="0"/>
              <w:rPr>
                <w:rFonts w:hint="eastAsia" w:ascii="仿宋" w:hAnsi="仿宋" w:eastAsia="仿宋" w:cs="仿宋"/>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实现电子病历段落为空时无法开立医嘱的部门限定配置；</w:t>
            </w:r>
          </w:p>
        </w:tc>
      </w:tr>
      <w:tr w14:paraId="4356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7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B388049">
            <w:pPr>
              <w:ind w:left="440" w:hanging="440" w:firstLineChars="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w:t>
            </w:r>
          </w:p>
        </w:tc>
        <w:tc>
          <w:tcPr>
            <w:tcW w:w="16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19E3F46">
            <w:pPr>
              <w:ind w:firstLine="0" w:firstLineChars="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急诊病历文书</w:t>
            </w:r>
          </w:p>
        </w:tc>
        <w:tc>
          <w:tcPr>
            <w:tcW w:w="55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EEE103C">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1.提供急诊病历书写功能，支持急诊病历、留观病程文书记录书写功能。</w:t>
            </w:r>
          </w:p>
          <w:p w14:paraId="7DF1A34A">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2.提供常用的急诊病历模板维护功能。</w:t>
            </w:r>
          </w:p>
          <w:p w14:paraId="3A123CE4">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3.急诊病历书写时可自动引入患者的基本信息，并可根据关联设置自动展开或隐藏书写内容；提供部分病历内容自动校验功能，对于不合法的数据（如体温50度）在录入时能自动提示。</w:t>
            </w:r>
          </w:p>
          <w:p w14:paraId="68B6C161">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4.提供医疗文书常用的特殊符号集写回病历文书的功能，如：℃，℉，‰，㎡，mmol 等；提供上、下标功能，支持对文字的上下标功能；在病历录入中，能在任意位置插入图形图像，实现病历内容图文混编的格式。</w:t>
            </w:r>
          </w:p>
          <w:p w14:paraId="46259C2D">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▲5.提供将患者的诊疗信息引入到本次就诊病历中任意位置功能。 </w:t>
            </w:r>
          </w:p>
          <w:p w14:paraId="2BE54071">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6.提供医嘱、检验、检查数据插入到病历文书的功能，在病历录入中，医生可根据病情描述需要，自主选择检查、检验报告数据直接将准确的数据插入到病历中任意位置。</w:t>
            </w:r>
          </w:p>
          <w:p w14:paraId="14E5FD94">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7.提供处方信息医生选择后写回病历任意位置功能。</w:t>
            </w:r>
          </w:p>
          <w:p w14:paraId="563DD807">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8.提供自动将患者的处置处方等信息写回急诊病历。</w:t>
            </w:r>
          </w:p>
          <w:p w14:paraId="1D956667">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9.提供自动将患者的急诊诊断信息写回急诊病历。</w:t>
            </w:r>
          </w:p>
          <w:p w14:paraId="07863970">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10.支持病人离院时病程记录合并打印。</w:t>
            </w:r>
          </w:p>
        </w:tc>
      </w:tr>
      <w:tr w14:paraId="21DE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7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F802935">
            <w:pPr>
              <w:ind w:left="440" w:hanging="440" w:firstLineChars="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w:t>
            </w:r>
          </w:p>
        </w:tc>
        <w:tc>
          <w:tcPr>
            <w:tcW w:w="16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2B9CF30">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急诊会诊</w:t>
            </w:r>
          </w:p>
        </w:tc>
        <w:tc>
          <w:tcPr>
            <w:tcW w:w="55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4E44B9">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1.实现急诊会诊管理，包括急诊会诊申请，急诊会诊接收，急诊会诊意见单填写。</w:t>
            </w:r>
          </w:p>
          <w:p w14:paraId="7EAF3057">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2.支持配置会诊意见模板。</w:t>
            </w:r>
          </w:p>
        </w:tc>
      </w:tr>
      <w:tr w14:paraId="2387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7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D83DC7F">
            <w:pPr>
              <w:ind w:left="440" w:hanging="440" w:firstLineChars="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w:t>
            </w:r>
          </w:p>
        </w:tc>
        <w:tc>
          <w:tcPr>
            <w:tcW w:w="16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6AEF144">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过敏信息管理</w:t>
            </w:r>
          </w:p>
        </w:tc>
        <w:tc>
          <w:tcPr>
            <w:tcW w:w="55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6AA4BB">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1.支持手工录入患者过敏史，选择过敏原、过敏类型。</w:t>
            </w:r>
          </w:p>
          <w:p w14:paraId="063E6A7C">
            <w:pPr>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2.支持获取皮试结果，更新对应过敏信息</w:t>
            </w:r>
          </w:p>
        </w:tc>
      </w:tr>
    </w:tbl>
    <w:p w14:paraId="1BDB6592">
      <w:pPr>
        <w:pStyle w:val="5"/>
        <w:widowControl/>
        <w:tabs>
          <w:tab w:val="left" w:pos="312"/>
        </w:tabs>
        <w:spacing w:line="15" w:lineRule="atLeast"/>
        <w:ind w:left="248" w:leftChars="118"/>
        <w:rPr>
          <w:rFonts w:hint="eastAsia" w:ascii="仿宋" w:hAnsi="仿宋" w:eastAsia="仿宋" w:cs="仿宋"/>
          <w:sz w:val="24"/>
          <w:szCs w:val="24"/>
          <w:highlight w:val="none"/>
        </w:rPr>
      </w:pPr>
      <w:bookmarkStart w:id="74" w:name="_Toc191644301"/>
      <w:r>
        <w:rPr>
          <w:rFonts w:hint="eastAsia" w:ascii="仿宋" w:hAnsi="仿宋" w:eastAsia="仿宋" w:cs="仿宋"/>
          <w:color w:val="333333"/>
          <w:sz w:val="24"/>
          <w:szCs w:val="24"/>
          <w:highlight w:val="none"/>
        </w:rPr>
        <w:t>急诊质量管理系统</w:t>
      </w:r>
      <w:bookmarkEnd w:id="74"/>
    </w:p>
    <w:p w14:paraId="4AD464D6">
      <w:pPr>
        <w:pStyle w:val="6"/>
        <w:widowControl/>
        <w:spacing w:line="15" w:lineRule="atLeast"/>
        <w:ind w:left="854" w:leftChars="177"/>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系统概述</w:t>
      </w:r>
    </w:p>
    <w:p w14:paraId="512D3491">
      <w:pPr>
        <w:pStyle w:val="22"/>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根据卫计委2015年的《急诊专业医疗质量控制指标》要求，精细化急诊医疗质量控制，全面覆盖环节质量和终末质量，提供医院急诊科业务指标所需的统计分析，并能够基于可视化视图方式提供院内急诊管理者直观的数据展现。</w:t>
      </w:r>
    </w:p>
    <w:p w14:paraId="1AB04499">
      <w:pPr>
        <w:pStyle w:val="22"/>
        <w:jc w:val="both"/>
        <w:rPr>
          <w:rFonts w:hint="eastAsia" w:ascii="仿宋" w:hAnsi="仿宋" w:eastAsia="仿宋" w:cs="仿宋"/>
          <w:kern w:val="2"/>
          <w:sz w:val="24"/>
          <w:szCs w:val="24"/>
          <w:highlight w:val="none"/>
        </w:rPr>
      </w:pPr>
    </w:p>
    <w:p w14:paraId="2891505E">
      <w:pPr>
        <w:pStyle w:val="22"/>
        <w:jc w:val="both"/>
        <w:rPr>
          <w:rFonts w:hint="eastAsia" w:ascii="仿宋" w:hAnsi="仿宋" w:eastAsia="仿宋" w:cs="仿宋"/>
          <w:kern w:val="2"/>
          <w:sz w:val="24"/>
          <w:szCs w:val="24"/>
          <w:highlight w:val="none"/>
        </w:rPr>
      </w:pPr>
    </w:p>
    <w:p w14:paraId="4E467BD0">
      <w:pPr>
        <w:pStyle w:val="6"/>
        <w:widowControl/>
        <w:spacing w:line="15" w:lineRule="atLeast"/>
        <w:ind w:left="854" w:leftChars="177"/>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基本功能说明</w:t>
      </w:r>
    </w:p>
    <w:tbl>
      <w:tblPr>
        <w:tblStyle w:val="25"/>
        <w:tblW w:w="0" w:type="auto"/>
        <w:tblInd w:w="0" w:type="dxa"/>
        <w:tblLayout w:type="fixed"/>
        <w:tblCellMar>
          <w:top w:w="15" w:type="dxa"/>
          <w:left w:w="15" w:type="dxa"/>
          <w:bottom w:w="15" w:type="dxa"/>
          <w:right w:w="15" w:type="dxa"/>
        </w:tblCellMar>
      </w:tblPr>
      <w:tblGrid>
        <w:gridCol w:w="659"/>
        <w:gridCol w:w="1134"/>
        <w:gridCol w:w="6597"/>
      </w:tblGrid>
      <w:tr w14:paraId="387EDE2A">
        <w:tblPrEx>
          <w:tblCellMar>
            <w:top w:w="15" w:type="dxa"/>
            <w:left w:w="15" w:type="dxa"/>
            <w:bottom w:w="15" w:type="dxa"/>
            <w:right w:w="15" w:type="dxa"/>
          </w:tblCellMar>
        </w:tblPrEx>
        <w:trPr>
          <w:trHeight w:val="270"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108ABF0">
            <w:pPr>
              <w:pStyle w:val="22"/>
              <w:spacing w:line="15" w:lineRule="atLeast"/>
              <w:ind w:firstLine="0" w:firstLineChars="0"/>
              <w:jc w:val="both"/>
              <w:rPr>
                <w:rFonts w:hint="eastAsia" w:ascii="仿宋" w:hAnsi="仿宋" w:eastAsia="仿宋" w:cs="仿宋"/>
                <w:sz w:val="24"/>
                <w:szCs w:val="24"/>
                <w:highlight w:val="none"/>
              </w:rPr>
            </w:pPr>
            <w:r>
              <w:rPr>
                <w:rFonts w:hint="eastAsia" w:ascii="仿宋" w:hAnsi="仿宋" w:eastAsia="仿宋" w:cs="仿宋"/>
                <w:b/>
                <w:bCs/>
                <w:color w:val="000000"/>
                <w:sz w:val="24"/>
                <w:szCs w:val="24"/>
                <w:highlight w:val="none"/>
              </w:rPr>
              <w:t>序号</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B8D3B4">
            <w:pPr>
              <w:pStyle w:val="22"/>
              <w:spacing w:line="15" w:lineRule="atLeast"/>
              <w:ind w:firstLine="0" w:firstLineChars="0"/>
              <w:jc w:val="both"/>
              <w:rPr>
                <w:rFonts w:hint="eastAsia" w:ascii="仿宋" w:hAnsi="仿宋" w:eastAsia="仿宋" w:cs="仿宋"/>
                <w:sz w:val="24"/>
                <w:szCs w:val="24"/>
                <w:highlight w:val="none"/>
              </w:rPr>
            </w:pPr>
            <w:r>
              <w:rPr>
                <w:rFonts w:hint="eastAsia" w:ascii="仿宋" w:hAnsi="仿宋" w:eastAsia="仿宋" w:cs="仿宋"/>
                <w:b/>
                <w:bCs/>
                <w:color w:val="000000"/>
                <w:sz w:val="24"/>
                <w:szCs w:val="24"/>
                <w:highlight w:val="none"/>
              </w:rPr>
              <w:t>系统模块</w:t>
            </w:r>
          </w:p>
        </w:tc>
        <w:tc>
          <w:tcPr>
            <w:tcW w:w="659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19E7F1B">
            <w:pPr>
              <w:pStyle w:val="22"/>
              <w:spacing w:before="0" w:beforeAutospacing="0" w:after="0" w:afterAutospacing="0" w:line="15" w:lineRule="atLeast"/>
              <w:ind w:firstLine="482"/>
              <w:jc w:val="center"/>
              <w:rPr>
                <w:rFonts w:hint="eastAsia" w:ascii="仿宋" w:hAnsi="仿宋" w:eastAsia="仿宋" w:cs="仿宋"/>
                <w:sz w:val="24"/>
                <w:szCs w:val="24"/>
                <w:highlight w:val="none"/>
              </w:rPr>
            </w:pPr>
            <w:r>
              <w:rPr>
                <w:rFonts w:hint="eastAsia" w:ascii="仿宋" w:hAnsi="仿宋" w:eastAsia="仿宋" w:cs="仿宋"/>
                <w:b/>
                <w:bCs/>
                <w:color w:val="000000"/>
                <w:sz w:val="24"/>
                <w:szCs w:val="24"/>
                <w:highlight w:val="none"/>
              </w:rPr>
              <w:t>功能要求</w:t>
            </w:r>
          </w:p>
        </w:tc>
      </w:tr>
      <w:tr w14:paraId="088BE785">
        <w:tblPrEx>
          <w:tblCellMar>
            <w:top w:w="15" w:type="dxa"/>
            <w:left w:w="15" w:type="dxa"/>
            <w:bottom w:w="15" w:type="dxa"/>
            <w:right w:w="15" w:type="dxa"/>
          </w:tblCellMar>
        </w:tblPrEx>
        <w:trPr>
          <w:trHeight w:val="270"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61DC34D">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1 </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EDA68AA">
            <w:pPr>
              <w:pStyle w:val="22"/>
              <w:ind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急诊数据动态监管</w:t>
            </w:r>
          </w:p>
        </w:tc>
        <w:tc>
          <w:tcPr>
            <w:tcW w:w="659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BEE4029">
            <w:pPr>
              <w:pStyle w:val="22"/>
              <w:numPr>
                <w:ilvl w:val="0"/>
                <w:numId w:val="19"/>
              </w:numPr>
              <w:spacing w:before="0" w:beforeAutospacing="0" w:after="0" w:afterAutospacing="0"/>
              <w:ind w:firstLine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▲支持根据急诊实时数据分析，将急诊日常数据进行集成，并通过时间、内容维度将急诊指标项以图形化展现为急诊日报及急诊月报；</w:t>
            </w:r>
          </w:p>
          <w:p w14:paraId="0E204F39">
            <w:pPr>
              <w:pStyle w:val="22"/>
              <w:numPr>
                <w:ilvl w:val="0"/>
                <w:numId w:val="19"/>
              </w:numPr>
              <w:spacing w:before="0" w:beforeAutospacing="0" w:after="0" w:afterAutospacing="0"/>
              <w:ind w:firstLine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支持在日报及月报内，动态对日常数据进行更新，包括急诊人数、急诊会诊、急诊信息概览、急诊流转提醒等，并通过环比体现急诊整体数据变化。</w:t>
            </w:r>
          </w:p>
        </w:tc>
      </w:tr>
      <w:tr w14:paraId="6D730A95">
        <w:tblPrEx>
          <w:tblCellMar>
            <w:top w:w="15" w:type="dxa"/>
            <w:left w:w="15" w:type="dxa"/>
            <w:bottom w:w="15" w:type="dxa"/>
            <w:right w:w="15" w:type="dxa"/>
          </w:tblCellMar>
        </w:tblPrEx>
        <w:trPr>
          <w:trHeight w:val="270" w:hRule="atLeast"/>
        </w:trPr>
        <w:tc>
          <w:tcPr>
            <w:tcW w:w="65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A3D9A6D">
            <w:pPr>
              <w:pStyle w:val="22"/>
              <w:spacing w:line="15" w:lineRule="atLeast"/>
              <w:ind w:left="63" w:leftChars="-100" w:hanging="273" w:hangingChars="114"/>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2 </w:t>
            </w:r>
          </w:p>
        </w:tc>
        <w:tc>
          <w:tcPr>
            <w:tcW w:w="113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85A41E2">
            <w:pPr>
              <w:pStyle w:val="22"/>
              <w:ind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急诊报表统计</w:t>
            </w:r>
          </w:p>
        </w:tc>
        <w:tc>
          <w:tcPr>
            <w:tcW w:w="659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99E3F5D">
            <w:pPr>
              <w:pStyle w:val="22"/>
              <w:numPr>
                <w:ilvl w:val="0"/>
                <w:numId w:val="20"/>
              </w:numPr>
              <w:spacing w:before="0" w:beforeAutospacing="0" w:after="0" w:afterAutospacing="0"/>
              <w:ind w:firstLine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color w:val="000000" w:themeColor="text1"/>
                <w:sz w:val="24"/>
                <w:szCs w:val="24"/>
                <w:highlight w:val="none"/>
                <w14:textFill>
                  <w14:solidFill>
                    <w14:schemeClr w14:val="tx1"/>
                  </w14:solidFill>
                </w14:textFill>
              </w:rPr>
              <w:t>支持按照急诊质控指标规定，提供包含抢救室滞留时间中位数、急诊抢救室患者死亡率等10项指标，并采用驾驶舱的模式，直观明了的展示各个指标数据；</w:t>
            </w:r>
          </w:p>
          <w:p w14:paraId="36F19878">
            <w:pPr>
              <w:pStyle w:val="22"/>
              <w:numPr>
                <w:ilvl w:val="0"/>
                <w:numId w:val="20"/>
              </w:numPr>
              <w:spacing w:before="0" w:beforeAutospacing="0" w:after="0" w:afterAutospacing="0"/>
              <w:ind w:firstLine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支持根据急诊日常数据提供业务相关的统计分析报表，包括分诊流量分析、抢救业务统计分析、留观业务统计分析、急诊收住院记录等。</w:t>
            </w:r>
          </w:p>
        </w:tc>
      </w:tr>
    </w:tbl>
    <w:p w14:paraId="669906D2">
      <w:pPr>
        <w:pStyle w:val="4"/>
        <w:autoSpaceDE w:val="0"/>
        <w:autoSpaceDN w:val="0"/>
        <w:adjustRightInd w:val="0"/>
        <w:snapToGrid w:val="0"/>
        <w:spacing w:before="120" w:after="120" w:line="360" w:lineRule="auto"/>
        <w:ind w:right="-34"/>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硬件</w:t>
      </w:r>
    </w:p>
    <w:tbl>
      <w:tblPr>
        <w:tblStyle w:val="25"/>
        <w:tblW w:w="8359" w:type="dxa"/>
        <w:tblInd w:w="2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0"/>
        <w:gridCol w:w="897"/>
        <w:gridCol w:w="6952"/>
      </w:tblGrid>
      <w:tr w14:paraId="6A0A6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2"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F99D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序号</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4C16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设备名称</w:t>
            </w:r>
          </w:p>
        </w:tc>
        <w:tc>
          <w:tcPr>
            <w:tcW w:w="6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0E6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招标参数</w:t>
            </w:r>
          </w:p>
        </w:tc>
      </w:tr>
      <w:tr w14:paraId="120AE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77B9B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2A4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存储</w:t>
            </w:r>
          </w:p>
        </w:tc>
        <w:tc>
          <w:tcPr>
            <w:tcW w:w="6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C8D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1、单节点硬件参数：2U机架式服务器，内存≥2*32GB，系统盘≥1*240GB SATA SSD，缓存盘≥2* 1.92T-SATA-SSD，数据盘≥6*8TB HDD。电源：冗余电源，接口≥2*千兆电口+4*万兆光口。总计提供≥180TB存储空间授权。提供三年软件升级、产品质保。</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2、使用3个存储节点组建一个存储集群提供存储服务。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3、在不停机情况下，既能够通过向集群中添加存储节点，也能够向节点内添加硬盘的方式，在业务不中断情况下实现灵活扩容。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4、采用全对称分布式架构，元数据和数据都融合部署在存储节点上，不需要使用独立管理节点（元数据节点或索引节点）；元数据、数据均采用集群方式部署，任何一个节点出现故障，不影响数据的正常访问。</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支持为文件夹开启WORM保护功能，文件进入被保护状态后只能被读取，无法被修改或删除，对关键数据实行写保护，杜绝病毒破坏，非法篡改。内置WORM独立时钟系统，被保护文件不会因系统时间变化而提前退出保护状态。（提供产品功能相关证明材料，并加盖厂商公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为降低数据长期保存成本，文件存储应提供数据缩减的能力，支持无损压缩，支持对文件目录为单位配置数据压缩策略，可选择节省容量优先和性能优先两种策略，并支持查看压缩的数据量与压缩率。（提供第三方检测报告首页及结论所在页，并加盖厂商公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7、基于业务安全考虑，为避免产生额外的经济损失，存储产品应具备勒索病毒的防护能力，内置免费病毒防护引擎，支持中毒前的勒索病毒防护、中毒时自动打快照、中毒后进行文件的安全恢复，能有效抵御勒索病毒。（提供产品功能界面配置截图证明，并加盖厂商公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8、存储策略，支持以LUN为粒度配置副本数、分层QOS、条带数等存储策略，以实现在性能、成本，可靠性等指标上的平衡兼顾。（提供产品功能界面相关证明材料，并加盖厂商公章）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9、为保证运维人员方便管理，本次存储能够兼容超融合平台，通过云计算管理平台纳管，方便管理员能够通过云管平台管理分配存储资源（提供证明资料，并加盖厂商公章）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10、提供原厂家的项目管理、现场安装、配置及实施服务，设备原厂商提供至少三年质保和三年7*24小时现场保修服务, 包括硬件保修电话支持、现场支持、软件升级。存储集群自身：无需独立数据库，用Ceph内置RocksDB</w:t>
            </w:r>
          </w:p>
        </w:tc>
      </w:tr>
      <w:tr w14:paraId="334DD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1"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C1D4F">
            <w:pPr>
              <w:jc w:val="center"/>
              <w:rPr>
                <w:rFonts w:hint="eastAsia" w:ascii="仿宋" w:hAnsi="仿宋" w:eastAsia="仿宋" w:cs="仿宋"/>
                <w:i w:val="0"/>
                <w:iCs w:val="0"/>
                <w:color w:val="000000"/>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45F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业务交换机</w:t>
            </w:r>
          </w:p>
        </w:tc>
        <w:tc>
          <w:tcPr>
            <w:tcW w:w="6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7D7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1.交换容量≥2Tbps，包转发率≥800Mpps。</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2.提供≥24个万兆光口，≥2个40G光口QSFP+。</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3.支持堆叠，将两台设备虚拟为一台设备简化管理提升转发性能。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4.配置22个万兆多模光模块及光纤跳线。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5.内置及图形化操作的方式，实现对网络的统一运维及管理，包括网口配置、系统升级、故障告警等功能。</w:t>
            </w:r>
          </w:p>
        </w:tc>
      </w:tr>
      <w:tr w14:paraId="76444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05025">
            <w:pPr>
              <w:jc w:val="center"/>
              <w:rPr>
                <w:rFonts w:hint="eastAsia" w:ascii="仿宋" w:hAnsi="仿宋" w:eastAsia="仿宋" w:cs="仿宋"/>
                <w:i w:val="0"/>
                <w:iCs w:val="0"/>
                <w:color w:val="000000"/>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BCF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电脑</w:t>
            </w:r>
          </w:p>
        </w:tc>
        <w:tc>
          <w:tcPr>
            <w:tcW w:w="6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F036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1.</w:t>
            </w:r>
            <w:r>
              <w:rPr>
                <w:rFonts w:hint="eastAsia" w:ascii="仿宋" w:hAnsi="仿宋" w:eastAsia="仿宋" w:cs="仿宋"/>
                <w:i w:val="0"/>
                <w:iCs w:val="0"/>
                <w:color w:val="auto"/>
                <w:sz w:val="24"/>
                <w:szCs w:val="24"/>
                <w:highlight w:val="none"/>
                <w:u w:val="none"/>
              </w:rPr>
              <w:t xml:space="preserve">CPU≥4核，主频≥2.0Ghz   内存≥8G，硬盘≥512G SSD/集显/PCI/主流操作系统， ≥23寸显示器  </w:t>
            </w:r>
          </w:p>
        </w:tc>
      </w:tr>
      <w:tr w14:paraId="22AB6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A6094">
            <w:pPr>
              <w:jc w:val="center"/>
              <w:rPr>
                <w:rFonts w:hint="eastAsia" w:ascii="仿宋" w:hAnsi="仿宋" w:eastAsia="仿宋" w:cs="仿宋"/>
                <w:i w:val="0"/>
                <w:iCs w:val="0"/>
                <w:color w:val="000000"/>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1F3BB">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笔记本电脑</w:t>
            </w:r>
          </w:p>
        </w:tc>
        <w:tc>
          <w:tcPr>
            <w:tcW w:w="6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C68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2.</w:t>
            </w:r>
            <w:r>
              <w:rPr>
                <w:rFonts w:hint="eastAsia" w:ascii="仿宋" w:hAnsi="仿宋" w:eastAsia="仿宋" w:cs="仿宋"/>
                <w:i w:val="0"/>
                <w:iCs w:val="0"/>
                <w:color w:val="auto"/>
                <w:sz w:val="24"/>
                <w:szCs w:val="24"/>
                <w:highlight w:val="none"/>
                <w:u w:val="none"/>
              </w:rPr>
              <w:t>处理器：兆芯开先 KX-6000G 或 KX-6000G 系列。</w:t>
            </w:r>
          </w:p>
          <w:p w14:paraId="5E1C3F1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核心/频率：4核心 / 最高频率 3.3GHz。</w:t>
            </w:r>
          </w:p>
          <w:p w14:paraId="37D0885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内存：16GB DDR4（频率 3200MHz，通常为板载单根，但主板提供2个插槽支持后续升级）。</w:t>
            </w:r>
          </w:p>
          <w:p w14:paraId="548C61B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存储：512GB M.2 NVMe 固态硬盘。</w:t>
            </w:r>
          </w:p>
          <w:p w14:paraId="398E6A4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显卡：集成显卡（通常为兆芯C1080，支持4K 60Hz输出）。</w:t>
            </w:r>
          </w:p>
          <w:p w14:paraId="105A1EC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显示屏：14英寸（分辨率 1920x1080，支持180度开合）。</w:t>
            </w:r>
          </w:p>
          <w:p w14:paraId="0434ED5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电池：60Wh。</w:t>
            </w:r>
          </w:p>
          <w:p w14:paraId="0AC6FAE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重量：约1.45kg。</w:t>
            </w:r>
          </w:p>
          <w:p w14:paraId="1D97D2C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厚度：约17.9mm。</w:t>
            </w:r>
          </w:p>
          <w:p w14:paraId="0B2D735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3.</w:t>
            </w:r>
            <w:r>
              <w:rPr>
                <w:rFonts w:hint="eastAsia" w:ascii="仿宋" w:hAnsi="仿宋" w:eastAsia="仿宋" w:cs="仿宋"/>
                <w:i w:val="0"/>
                <w:iCs w:val="0"/>
                <w:color w:val="auto"/>
                <w:sz w:val="24"/>
                <w:szCs w:val="24"/>
                <w:highlight w:val="none"/>
                <w:u w:val="none"/>
              </w:rPr>
              <w:t>操作系统：支持预装银河麒麟 V10 SP1 等国产正式版系统。</w:t>
            </w:r>
          </w:p>
          <w:p w14:paraId="14F60CA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接口：总4个USB（含4个USB 3.0或2个Type-C）；此外还有1个HDMI 和1个音频接口。</w:t>
            </w:r>
          </w:p>
          <w:p w14:paraId="1ECF531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4</w:t>
            </w:r>
            <w:r>
              <w:rPr>
                <w:rFonts w:hint="eastAsia" w:ascii="仿宋" w:hAnsi="仿宋" w:eastAsia="仿宋" w:cs="仿宋"/>
                <w:i w:val="0"/>
                <w:iCs w:val="0"/>
                <w:color w:val="auto"/>
                <w:sz w:val="24"/>
                <w:szCs w:val="24"/>
                <w:highlight w:val="none"/>
                <w:u w:val="none"/>
              </w:rPr>
              <w:t>· 网络与蓝牙：支持Wi-Fi 6 和蓝牙 5.2。</w:t>
            </w:r>
          </w:p>
        </w:tc>
      </w:tr>
      <w:tr w14:paraId="511A5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5"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F8CA5">
            <w:pPr>
              <w:jc w:val="center"/>
              <w:rPr>
                <w:rFonts w:hint="eastAsia" w:ascii="仿宋" w:hAnsi="仿宋" w:eastAsia="仿宋" w:cs="仿宋"/>
                <w:i w:val="0"/>
                <w:iCs w:val="0"/>
                <w:color w:val="000000"/>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C495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腕带打印机</w:t>
            </w:r>
          </w:p>
        </w:tc>
        <w:tc>
          <w:tcPr>
            <w:tcW w:w="6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066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1. 基本规格</w:t>
            </w:r>
          </w:p>
          <w:p w14:paraId="46B022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产品类型：桌面型条码打印机</w:t>
            </w:r>
          </w:p>
          <w:p w14:paraId="06D065D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打印方式：热转印及热敏（或仅热敏，根据实际需求选择）</w:t>
            </w:r>
          </w:p>
          <w:p w14:paraId="1CC3F27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外壳颜色：灰色</w:t>
            </w:r>
          </w:p>
          <w:p w14:paraId="4D3D22F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外形尺寸：</w:t>
            </w:r>
          </w:p>
          <w:p w14:paraId="01451CB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热转印型号：长≤267mm，宽≤202mm，高≤192mm</w:t>
            </w:r>
          </w:p>
          <w:p w14:paraId="4EE849B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热敏型号：长≤220mm，宽≤180mm，高≤150mm</w:t>
            </w:r>
          </w:p>
          <w:p w14:paraId="558DD6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重量：</w:t>
            </w:r>
          </w:p>
          <w:p w14:paraId="019A4DA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热转印型号：≤1.8kg</w:t>
            </w:r>
          </w:p>
          <w:p w14:paraId="50555BD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热敏型号：≤1.2kg</w:t>
            </w:r>
          </w:p>
          <w:p w14:paraId="050DFFE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2. 打印机规格</w:t>
            </w:r>
          </w:p>
          <w:p w14:paraId="29B4DC5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分辨率：203dpi（8点/mm），可选300dpi（12点/mm）</w:t>
            </w:r>
          </w:p>
          <w:p w14:paraId="23F8F3E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内存：闪存≥8MB，SDRAM≥16MB</w:t>
            </w:r>
          </w:p>
          <w:p w14:paraId="3B127DA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最大打印宽度：</w:t>
            </w:r>
          </w:p>
          <w:p w14:paraId="762C3E7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203dpi分辨率下：≥104mm</w:t>
            </w:r>
          </w:p>
          <w:p w14:paraId="4114795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300dpi分辨率下：≥106mm</w:t>
            </w:r>
          </w:p>
          <w:p w14:paraId="3AE52E5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最快打印速度：</w:t>
            </w:r>
          </w:p>
          <w:p w14:paraId="370941C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203dpi分辨率下：≥152mm/s</w:t>
            </w:r>
          </w:p>
          <w:p w14:paraId="5D6062D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300dpi分辨率下：≥127mm/s</w:t>
            </w:r>
          </w:p>
          <w:p w14:paraId="51B4973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介质传感器：包含可移动黑标传感器（从中心到左侧有限范围）、固定偏离中心间隙传感器、碳带传感器、打印头打开传感器</w:t>
            </w:r>
          </w:p>
          <w:p w14:paraId="74A034C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3. 编程语言</w:t>
            </w:r>
          </w:p>
          <w:p w14:paraId="1BF6CBC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支持ZPL II、EPL 2、XML，且兼容TSPL子集</w:t>
            </w:r>
          </w:p>
          <w:p w14:paraId="3807252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4. 介质特性</w:t>
            </w:r>
          </w:p>
          <w:p w14:paraId="2B4F36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标签长度：最小≤25.4mm，最大≥990mm</w:t>
            </w:r>
          </w:p>
          <w:p w14:paraId="2E484FA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介质宽度：25.4mm ~ 112mm</w:t>
            </w:r>
          </w:p>
          <w:p w14:paraId="3A5167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介质卷尺寸：最大外径≤127mm；支持内径12.7mm、25.4mm，可选适配器支持38.1mm</w:t>
            </w:r>
          </w:p>
          <w:p w14:paraId="0B2DF4A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介质厚度：0.06mm ~ 0.1905mm</w:t>
            </w:r>
          </w:p>
          <w:p w14:paraId="37EDC11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介质类型：卷筒纸或折叠纸、模切或连续带/不带黑标介质、吊牌、连续收据纸、腕带</w:t>
            </w:r>
          </w:p>
          <w:p w14:paraId="2E31D2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5. 碳带特性（热转印型号适用）</w:t>
            </w:r>
          </w:p>
          <w:p w14:paraId="632E266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碳带类型：蜡基、蜡/树脂混合基、树脂基</w:t>
            </w:r>
          </w:p>
          <w:p w14:paraId="59768EE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碳带外径：≤66mm（300m规格）；≤34mm（74m规格）</w:t>
            </w:r>
          </w:p>
        </w:tc>
      </w:tr>
      <w:tr w14:paraId="21923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7"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944A6">
            <w:pPr>
              <w:jc w:val="center"/>
              <w:rPr>
                <w:rFonts w:hint="eastAsia" w:ascii="仿宋" w:hAnsi="仿宋" w:eastAsia="仿宋" w:cs="仿宋"/>
                <w:i w:val="0"/>
                <w:iCs w:val="0"/>
                <w:color w:val="000000"/>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818C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标签打印机（热敏纸张）</w:t>
            </w:r>
          </w:p>
        </w:tc>
        <w:tc>
          <w:tcPr>
            <w:tcW w:w="6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7A8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1.</w:t>
            </w:r>
            <w:r>
              <w:rPr>
                <w:rFonts w:hint="eastAsia" w:ascii="仿宋" w:hAnsi="仿宋" w:eastAsia="仿宋" w:cs="仿宋"/>
                <w:i w:val="0"/>
                <w:iCs w:val="0"/>
                <w:color w:val="auto"/>
                <w:sz w:val="24"/>
                <w:szCs w:val="24"/>
                <w:highlight w:val="none"/>
                <w:u w:val="none"/>
              </w:rPr>
              <w:t>打印 打印方式</w:t>
            </w:r>
            <w:r>
              <w:rPr>
                <w:rFonts w:hint="eastAsia" w:ascii="仿宋" w:hAnsi="仿宋" w:eastAsia="仿宋" w:cs="仿宋"/>
                <w:i w:val="0"/>
                <w:iCs w:val="0"/>
                <w:color w:val="auto"/>
                <w:sz w:val="24"/>
                <w:szCs w:val="24"/>
                <w:highlight w:val="none"/>
                <w:u w:val="none"/>
                <w:lang w:val="en-US" w:eastAsia="zh-CN"/>
              </w:rPr>
              <w:t>:</w:t>
            </w:r>
            <w:r>
              <w:rPr>
                <w:rFonts w:hint="eastAsia" w:ascii="仿宋" w:hAnsi="仿宋" w:eastAsia="仿宋" w:cs="仿宋"/>
                <w:i w:val="0"/>
                <w:iCs w:val="0"/>
                <w:color w:val="auto"/>
                <w:sz w:val="24"/>
                <w:szCs w:val="24"/>
                <w:highlight w:val="none"/>
                <w:u w:val="none"/>
              </w:rPr>
              <w:t xml:space="preserve"> 热敏打印</w:t>
            </w:r>
          </w:p>
          <w:p w14:paraId="5CAF860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分辨率 203 DPI</w:t>
            </w:r>
          </w:p>
          <w:p w14:paraId="2AA90EB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打印速度 152 mm/s</w:t>
            </w:r>
          </w:p>
          <w:p w14:paraId="4AD70EF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xml:space="preserve">打印宽度 108 mm </w:t>
            </w:r>
          </w:p>
          <w:p w14:paraId="5D79E77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xml:space="preserve">打印长度 </w:t>
            </w:r>
          </w:p>
          <w:p w14:paraId="0673E79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10-1778 mm (0.39-"70")</w:t>
            </w:r>
          </w:p>
          <w:p w14:paraId="073DAB9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2.</w:t>
            </w:r>
            <w:r>
              <w:rPr>
                <w:rFonts w:hint="eastAsia" w:ascii="仿宋" w:hAnsi="仿宋" w:eastAsia="仿宋" w:cs="仿宋"/>
                <w:i w:val="0"/>
                <w:iCs w:val="0"/>
                <w:color w:val="auto"/>
                <w:sz w:val="24"/>
                <w:szCs w:val="24"/>
                <w:highlight w:val="none"/>
                <w:u w:val="none"/>
              </w:rPr>
              <w:t>中央处理器 32位 RISC CPU</w:t>
            </w:r>
          </w:p>
          <w:p w14:paraId="6B1EBFA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内存 存储器 8MB Flash Memory / 8MB SDRAM / MicroSD闪存读卡器可扩展内存至4GB</w:t>
            </w:r>
          </w:p>
          <w:p w14:paraId="3B1212B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通讯接口 通讯接口 标配：USB2.0    选配：WIFI /蓝牙、 网口、 串口、TF Card</w:t>
            </w:r>
          </w:p>
          <w:p w14:paraId="0A00357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电源规格 电源规格 外置通用开关电源/ 输入：AC 100-240V,1A, 50-60Hz / 输出：DC 24V, 2.5A, 60W</w:t>
            </w:r>
          </w:p>
          <w:p w14:paraId="2BA49FA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3.</w:t>
            </w:r>
            <w:r>
              <w:rPr>
                <w:rFonts w:hint="eastAsia" w:ascii="仿宋" w:hAnsi="仿宋" w:eastAsia="仿宋" w:cs="仿宋"/>
                <w:i w:val="0"/>
                <w:iCs w:val="0"/>
                <w:color w:val="auto"/>
                <w:sz w:val="24"/>
                <w:szCs w:val="24"/>
                <w:highlight w:val="none"/>
                <w:u w:val="none"/>
              </w:rPr>
              <w:t>用户界 用户界面 标准机型</w:t>
            </w:r>
          </w:p>
          <w:p w14:paraId="0D9FD7C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1按键双色LED 指示灯</w:t>
            </w:r>
          </w:p>
          <w:p w14:paraId="2419B9D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传感器 传感器 间隙传感器/开盖传感器/黑标传感器</w:t>
            </w:r>
          </w:p>
          <w:p w14:paraId="7EA9114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内建字型 内建字型 八种位图字体/可通过软件下载 Windows 字型使用</w:t>
            </w:r>
          </w:p>
          <w:p w14:paraId="50B672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条码字符图形 条码 1D bar code： Code128 subsets A.B.C,Code128UCC, EAN128,Interleave 2 of 5,Code 39,Code 93, EAN-13,EAN-8, Codabar, POSTNET, UPC-A, UPC-E, EAN andUPC 2(5) digits, MSI, PLESSEY, China Post,ITF14, EAN14, Code 11, TELPEN, PLANET, Code 49,Deutsche Post Identcode, Deutsche PostLeitcode, LOGMARS</w:t>
            </w:r>
          </w:p>
          <w:p w14:paraId="421DA1B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二维条码 2D bar code： CODABLOCK F mode, DataMatrix, Maxicode,PDF-417, Aztec, MicroPDF417, QR code, RSSBarcode (GS1 Databar)</w:t>
            </w:r>
          </w:p>
          <w:p w14:paraId="00289F0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字型及条形码旋转 0°、90°、180°、270°</w:t>
            </w:r>
          </w:p>
          <w:p w14:paraId="5E07334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打印机语言 打印机语言 TSPL、EPL、ZPL、DPL</w:t>
            </w:r>
          </w:p>
          <w:p w14:paraId="1F973AE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4.</w:t>
            </w:r>
            <w:r>
              <w:rPr>
                <w:rFonts w:hint="eastAsia" w:ascii="仿宋" w:hAnsi="仿宋" w:eastAsia="仿宋" w:cs="仿宋"/>
                <w:i w:val="0"/>
                <w:iCs w:val="0"/>
                <w:color w:val="auto"/>
                <w:sz w:val="24"/>
                <w:szCs w:val="24"/>
                <w:highlight w:val="none"/>
                <w:u w:val="none"/>
              </w:rPr>
              <w:t>介质 介质类型 连续纸、间隙纸、折叠纸、穿孔纸、黑标纸</w:t>
            </w:r>
          </w:p>
          <w:p w14:paraId="4EBF571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xml:space="preserve">介质宽度 25.4 ~ 116mm </w:t>
            </w:r>
          </w:p>
          <w:p w14:paraId="38C54C5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xml:space="preserve">介质厚度 0.06 ~ 0.25 mm </w:t>
            </w:r>
          </w:p>
          <w:p w14:paraId="4FF94F0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介质核心直径 25.4 ~ 76.2 mm (1 "~ 3 ")</w:t>
            </w:r>
          </w:p>
          <w:p w14:paraId="0F18F75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xml:space="preserve">标签长度 10 ~1778 mm (0.39 " ~ 70 ") </w:t>
            </w:r>
          </w:p>
          <w:p w14:paraId="40DB306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5.</w:t>
            </w:r>
            <w:r>
              <w:rPr>
                <w:rFonts w:hint="eastAsia" w:ascii="仿宋" w:hAnsi="仿宋" w:eastAsia="仿宋" w:cs="仿宋"/>
                <w:i w:val="0"/>
                <w:iCs w:val="0"/>
                <w:color w:val="auto"/>
                <w:sz w:val="24"/>
                <w:szCs w:val="24"/>
                <w:highlight w:val="none"/>
                <w:u w:val="none"/>
              </w:rPr>
              <w:t>配件 配件  ①纸卷轴、纸卷固定板 ×2； ②用户手册； ③USB 传输线； ④电源线； ⑤外接式电压自动切换 电源供应器</w:t>
            </w:r>
          </w:p>
          <w:p w14:paraId="4E4D37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工厂选配 工厂选配  ①蓝牙；②RTC;  ③WIFI;  ④串口 ; ⑤TF Card(SD)；⑥网口</w:t>
            </w:r>
          </w:p>
          <w:p w14:paraId="6FC8331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经销商选配 经销商选配 ① 外部纸卷架和 1"纸卷轴；② 外部支架延伸板; ③纸卷轴</w:t>
            </w:r>
          </w:p>
          <w:p w14:paraId="2FE4513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安全认证 安全认证 CCC；FCC；CE；CB</w:t>
            </w:r>
          </w:p>
          <w:p w14:paraId="1F6A95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物理特性 重量 1.40kg</w:t>
            </w:r>
          </w:p>
          <w:p w14:paraId="4263A30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外观尺寸 219.03(D) x189.62(W) x178.5(H)mm</w:t>
            </w:r>
          </w:p>
          <w:p w14:paraId="1604AD3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环境要求 工作环境 5 ~ 40°C（41~104°F），湿度(非凝结) 25 ~ 85%</w:t>
            </w:r>
          </w:p>
          <w:p w14:paraId="6C469BB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存储环境 -40 ~ 60°C（-40~140°F），湿度(非凝结) 10 ~ 90%</w:t>
            </w:r>
          </w:p>
        </w:tc>
      </w:tr>
      <w:tr w14:paraId="3E957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C1C71">
            <w:pPr>
              <w:jc w:val="center"/>
              <w:rPr>
                <w:rFonts w:hint="eastAsia" w:ascii="仿宋" w:hAnsi="仿宋" w:eastAsia="仿宋" w:cs="仿宋"/>
                <w:i w:val="0"/>
                <w:iCs w:val="0"/>
                <w:color w:val="000000"/>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4F0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输液标签打印机</w:t>
            </w:r>
          </w:p>
        </w:tc>
        <w:tc>
          <w:tcPr>
            <w:tcW w:w="6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2BD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1.</w:t>
            </w:r>
            <w:r>
              <w:rPr>
                <w:rFonts w:hint="eastAsia" w:ascii="仿宋" w:hAnsi="仿宋" w:eastAsia="仿宋" w:cs="仿宋"/>
                <w:i w:val="0"/>
                <w:iCs w:val="0"/>
                <w:color w:val="auto"/>
                <w:sz w:val="24"/>
                <w:szCs w:val="24"/>
                <w:highlight w:val="none"/>
                <w:u w:val="none"/>
              </w:rPr>
              <w:t>打印 打印方式</w:t>
            </w:r>
            <w:r>
              <w:rPr>
                <w:rFonts w:hint="eastAsia" w:ascii="仿宋" w:hAnsi="仿宋" w:eastAsia="仿宋" w:cs="仿宋"/>
                <w:i w:val="0"/>
                <w:iCs w:val="0"/>
                <w:color w:val="auto"/>
                <w:sz w:val="24"/>
                <w:szCs w:val="24"/>
                <w:highlight w:val="none"/>
                <w:u w:val="none"/>
                <w:lang w:val="en-US" w:eastAsia="zh-CN"/>
              </w:rPr>
              <w:t>:</w:t>
            </w:r>
            <w:r>
              <w:rPr>
                <w:rFonts w:hint="eastAsia" w:ascii="仿宋" w:hAnsi="仿宋" w:eastAsia="仿宋" w:cs="仿宋"/>
                <w:i w:val="0"/>
                <w:iCs w:val="0"/>
                <w:color w:val="auto"/>
                <w:sz w:val="24"/>
                <w:szCs w:val="24"/>
                <w:highlight w:val="none"/>
                <w:u w:val="none"/>
              </w:rPr>
              <w:t xml:space="preserve"> </w:t>
            </w:r>
            <w:r>
              <w:rPr>
                <w:rFonts w:hint="eastAsia" w:ascii="仿宋" w:hAnsi="仿宋" w:eastAsia="仿宋" w:cs="仿宋"/>
                <w:i w:val="0"/>
                <w:iCs w:val="0"/>
                <w:color w:val="auto"/>
                <w:kern w:val="0"/>
                <w:sz w:val="24"/>
                <w:szCs w:val="24"/>
                <w:highlight w:val="none"/>
                <w:u w:val="none"/>
                <w:lang w:val="en-US" w:eastAsia="zh-CN" w:bidi="ar"/>
              </w:rPr>
              <w:t>输液标签打印机</w:t>
            </w:r>
          </w:p>
          <w:p w14:paraId="0AD6B2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分辨率 203 DPI</w:t>
            </w:r>
          </w:p>
          <w:p w14:paraId="2FA811C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打印速度 152 mm/s</w:t>
            </w:r>
          </w:p>
          <w:p w14:paraId="4C9A36A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xml:space="preserve">打印宽度 108 mm </w:t>
            </w:r>
          </w:p>
          <w:p w14:paraId="6EDB5AE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xml:space="preserve">打印长度 </w:t>
            </w:r>
          </w:p>
          <w:p w14:paraId="1244DB3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10-1778 mm (0.39-"70")</w:t>
            </w:r>
          </w:p>
          <w:p w14:paraId="16C4525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2.</w:t>
            </w:r>
            <w:r>
              <w:rPr>
                <w:rFonts w:hint="eastAsia" w:ascii="仿宋" w:hAnsi="仿宋" w:eastAsia="仿宋" w:cs="仿宋"/>
                <w:i w:val="0"/>
                <w:iCs w:val="0"/>
                <w:color w:val="auto"/>
                <w:sz w:val="24"/>
                <w:szCs w:val="24"/>
                <w:highlight w:val="none"/>
                <w:u w:val="none"/>
              </w:rPr>
              <w:t>中央处理器 32位 RISC CPU</w:t>
            </w:r>
          </w:p>
          <w:p w14:paraId="010CED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内存 存储器 8MB Flash Memory / 8MB SDRAM / MicroSD闪存读卡器可扩展内存至4GB</w:t>
            </w:r>
          </w:p>
          <w:p w14:paraId="6820128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通讯接口 通讯接口 标配：USB2.0    选配：WIFI /蓝牙、 网口、 串口、TF Card</w:t>
            </w:r>
          </w:p>
          <w:p w14:paraId="2DF7538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电源规格 电源规格 外置通用开关电源/ 输入：AC 100-240V,1A, 50-60Hz / 输出：DC 24V, 2.5A, 60W</w:t>
            </w:r>
          </w:p>
          <w:p w14:paraId="28AB65F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3.</w:t>
            </w:r>
            <w:r>
              <w:rPr>
                <w:rFonts w:hint="eastAsia" w:ascii="仿宋" w:hAnsi="仿宋" w:eastAsia="仿宋" w:cs="仿宋"/>
                <w:i w:val="0"/>
                <w:iCs w:val="0"/>
                <w:color w:val="auto"/>
                <w:sz w:val="24"/>
                <w:szCs w:val="24"/>
                <w:highlight w:val="none"/>
                <w:u w:val="none"/>
              </w:rPr>
              <w:t>用户界 用户界面 标准机型</w:t>
            </w:r>
          </w:p>
          <w:p w14:paraId="16F9169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1按键双色LED 指示灯</w:t>
            </w:r>
          </w:p>
          <w:p w14:paraId="6729C61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传感器 传感器 间隙传感器/开盖传感器/黑标传感器</w:t>
            </w:r>
          </w:p>
          <w:p w14:paraId="7B1A3EA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内建字型 内建字型 八种位图字体/可通过软件下载 Windows 字型使用</w:t>
            </w:r>
          </w:p>
          <w:p w14:paraId="64A75E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条码字符图形 条码 1D bar code： Code128 subsets A.B.C,Code128UCC, EAN128,Interleave 2 of 5,Code 39,Code 93, EAN-13,EAN-8, Codabar, POSTNET, UPC-A, UPC-E, EAN andUPC 2(5) digits, MSI, PLESSEY, China Post,ITF14, EAN14, Code 11, TELPEN, PLANET, Code 49,Deutsche Post Identcode, Deutsche PostLeitcode, LOGMARS</w:t>
            </w:r>
          </w:p>
          <w:p w14:paraId="0BE9EFD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二维条码 2D bar code： CODABLOCK F mode, DataMatrix, Maxicode,PDF-417, Aztec, MicroPDF417, QR code, RSSBarcode (GS1 Databar)</w:t>
            </w:r>
          </w:p>
          <w:p w14:paraId="20701BB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字型及条形码旋转 0°、90°、180°、270°</w:t>
            </w:r>
          </w:p>
          <w:p w14:paraId="2016830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打印机语言 打印机语言 TSPL、EPL、ZPL、DPL</w:t>
            </w:r>
          </w:p>
          <w:p w14:paraId="69BF2F8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4.</w:t>
            </w:r>
            <w:r>
              <w:rPr>
                <w:rFonts w:hint="eastAsia" w:ascii="仿宋" w:hAnsi="仿宋" w:eastAsia="仿宋" w:cs="仿宋"/>
                <w:i w:val="0"/>
                <w:iCs w:val="0"/>
                <w:color w:val="auto"/>
                <w:sz w:val="24"/>
                <w:szCs w:val="24"/>
                <w:highlight w:val="none"/>
                <w:u w:val="none"/>
              </w:rPr>
              <w:t>介质 介质类型 连续纸、间隙纸、折叠纸、穿孔纸、黑标纸</w:t>
            </w:r>
          </w:p>
          <w:p w14:paraId="225C6B2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xml:space="preserve">介质宽度 25.4 ~ 116mm </w:t>
            </w:r>
          </w:p>
          <w:p w14:paraId="39C8BC8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xml:space="preserve">介质厚度 0.06 ~ 0.25 mm </w:t>
            </w:r>
          </w:p>
          <w:p w14:paraId="674C0E8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介质核心直径 25.4 ~ 76.2 mm (1 "~ 3 ")</w:t>
            </w:r>
          </w:p>
          <w:p w14:paraId="4E812F6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 xml:space="preserve">标签长度 10 ~1778 mm (0.39 " ~ 70 ") </w:t>
            </w:r>
          </w:p>
          <w:p w14:paraId="796B49B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5.</w:t>
            </w:r>
            <w:r>
              <w:rPr>
                <w:rFonts w:hint="eastAsia" w:ascii="仿宋" w:hAnsi="仿宋" w:eastAsia="仿宋" w:cs="仿宋"/>
                <w:i w:val="0"/>
                <w:iCs w:val="0"/>
                <w:color w:val="auto"/>
                <w:sz w:val="24"/>
                <w:szCs w:val="24"/>
                <w:highlight w:val="none"/>
                <w:u w:val="none"/>
              </w:rPr>
              <w:t>配件 配件  ①纸卷轴、纸卷固定板 ×2； ②用户手册； ③USB 传输线； ④电源线； ⑤外接式电压自动切换 电源供应器</w:t>
            </w:r>
          </w:p>
          <w:p w14:paraId="02545DD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工厂选配 工厂选配  ①蓝牙；②RTC;  ③WIFI;  ④串口 ; ⑤TF Card(SD)；⑥网口</w:t>
            </w:r>
          </w:p>
          <w:p w14:paraId="49AB847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经销商选配 经销商选配 ① 外部纸卷架和 1"纸卷轴；② 外部支架延伸板; ③纸卷轴</w:t>
            </w:r>
          </w:p>
          <w:p w14:paraId="38657C0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安全认证 安全认证 CCC；FCC；CE；CB</w:t>
            </w:r>
          </w:p>
          <w:p w14:paraId="420C864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物理特性 重量 1.40kg</w:t>
            </w:r>
          </w:p>
          <w:p w14:paraId="0025667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外观尺寸 219.03(D) x189.62(W) x178.5(H)mm</w:t>
            </w:r>
          </w:p>
          <w:p w14:paraId="58F0AAC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环境要求 工作环境 5 ~ 40°C（41~104°F），湿度(非凝结) 25 ~ 85%</w:t>
            </w:r>
          </w:p>
          <w:p w14:paraId="0CDA8B5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存储环境 -40 ~ 60°C（-40~140°F），湿度(非凝结) 10 ~ 90%</w:t>
            </w:r>
          </w:p>
        </w:tc>
      </w:tr>
      <w:tr w14:paraId="16BC7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B425D">
            <w:pPr>
              <w:jc w:val="center"/>
              <w:rPr>
                <w:rFonts w:hint="eastAsia" w:ascii="仿宋" w:hAnsi="仿宋" w:eastAsia="仿宋" w:cs="仿宋"/>
                <w:i w:val="0"/>
                <w:iCs w:val="0"/>
                <w:color w:val="000000"/>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4F6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身份证读卡器</w:t>
            </w:r>
          </w:p>
        </w:tc>
        <w:tc>
          <w:tcPr>
            <w:tcW w:w="6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D069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1</w:t>
            </w:r>
            <w:r>
              <w:rPr>
                <w:rFonts w:hint="eastAsia" w:ascii="仿宋" w:hAnsi="仿宋" w:eastAsia="仿宋" w:cs="仿宋"/>
                <w:i w:val="0"/>
                <w:iCs w:val="0"/>
                <w:color w:val="auto"/>
                <w:sz w:val="24"/>
                <w:szCs w:val="24"/>
                <w:highlight w:val="none"/>
                <w:u w:val="none"/>
              </w:rPr>
              <w:t>. 执行标准与认证</w:t>
            </w:r>
          </w:p>
          <w:p w14:paraId="41DBC16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符合《GA450-2013 台式居民身份证阅读器通用技术要求》</w:t>
            </w:r>
          </w:p>
          <w:p w14:paraId="6B606AB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符合《GA467-2013 居民身份证验证安全控制模块接口技术规范》</w:t>
            </w:r>
          </w:p>
          <w:p w14:paraId="6BFD7D7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内置公安部认可的居民身份证验证安全控制模块（SAM模块）</w:t>
            </w:r>
          </w:p>
          <w:p w14:paraId="7CD2F2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2. 射频技术</w:t>
            </w:r>
          </w:p>
          <w:p w14:paraId="475D222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工作频率：13.56 MHz</w:t>
            </w:r>
          </w:p>
          <w:p w14:paraId="00FAB69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射频技术：符合 ISO 14443 Type B 标准</w:t>
            </w:r>
          </w:p>
          <w:p w14:paraId="51EFE3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读卡距离：0 ~ 5 cm（或要求 ≥ 3 cm / ≥ 30 mm）</w:t>
            </w:r>
          </w:p>
          <w:p w14:paraId="6A6FFC5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3. 读卡性能</w:t>
            </w:r>
          </w:p>
          <w:p w14:paraId="3CE0676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阅读时间：&lt; 1 秒（部分高性能型号要求 &lt; 0.25 秒）</w:t>
            </w:r>
          </w:p>
          <w:p w14:paraId="0BFFB52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4. 接口与供电</w:t>
            </w:r>
          </w:p>
          <w:p w14:paraId="3D83603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通讯接口：USB 2.0（高速）；可选支持 RS232 串口</w:t>
            </w:r>
          </w:p>
          <w:p w14:paraId="70A18C0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供电方式：USB 总线供电（支持外置5V电源的型号可特别说明）</w:t>
            </w:r>
          </w:p>
          <w:p w14:paraId="068C739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5. 软件开发支持</w:t>
            </w:r>
          </w:p>
          <w:p w14:paraId="3AC945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提供SDK开发包</w:t>
            </w:r>
          </w:p>
          <w:p w14:paraId="60C0DD1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支持开发语言：VC、Delphi、VB、PB 等</w:t>
            </w:r>
          </w:p>
          <w:p w14:paraId="76CC7BD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支持操作系统：Windows、Linux、Android</w:t>
            </w:r>
          </w:p>
          <w:p w14:paraId="5999C95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6. 环境适应性</w:t>
            </w:r>
          </w:p>
          <w:p w14:paraId="0F27531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工作温度：0℃ ~ +50℃</w:t>
            </w:r>
          </w:p>
          <w:p w14:paraId="769AC7C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贮运温度：-40℃ ~ +60℃</w:t>
            </w:r>
          </w:p>
          <w:p w14:paraId="0014EFD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工作湿度：&lt; 90% RH</w:t>
            </w:r>
          </w:p>
          <w:p w14:paraId="6DAEA94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7. 物理规格</w:t>
            </w:r>
          </w:p>
          <w:p w14:paraId="0676160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外形尺寸：≤ 212 × 120 × 40 mm（或根据具体型号明确，如155×96×26 mm）</w:t>
            </w:r>
          </w:p>
          <w:p w14:paraId="4F0A11E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重量：≤ 0.8 kg</w:t>
            </w:r>
          </w:p>
        </w:tc>
      </w:tr>
      <w:tr w14:paraId="1DB0E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6"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E3AB4">
            <w:pPr>
              <w:jc w:val="center"/>
              <w:rPr>
                <w:rFonts w:hint="eastAsia" w:ascii="仿宋" w:hAnsi="仿宋" w:eastAsia="仿宋" w:cs="仿宋"/>
                <w:i w:val="0"/>
                <w:iCs w:val="0"/>
                <w:color w:val="000000"/>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2F11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扫描枪</w:t>
            </w:r>
          </w:p>
        </w:tc>
        <w:tc>
          <w:tcPr>
            <w:tcW w:w="6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1F8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1. 物理参数</w:t>
            </w:r>
          </w:p>
          <w:p w14:paraId="1E136C2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项目</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参数要求</w:t>
            </w:r>
          </w:p>
          <w:p w14:paraId="661AE71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扫描器尺寸</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 165 × 84 × 70 mm</w:t>
            </w:r>
          </w:p>
          <w:p w14:paraId="45CF8D3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材质</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ABS+PC</w:t>
            </w:r>
          </w:p>
          <w:p w14:paraId="3D9BFE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电缆线长度</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 0.8米</w:t>
            </w:r>
          </w:p>
          <w:p w14:paraId="4FEF51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2. 环境参数</w:t>
            </w:r>
          </w:p>
          <w:p w14:paraId="4437DE9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项目</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参数要求</w:t>
            </w:r>
          </w:p>
          <w:p w14:paraId="7A15030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工作温度</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-20℃ ~ 50℃</w:t>
            </w:r>
          </w:p>
          <w:p w14:paraId="13E868A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存储温度</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-40℃ ~ 70℃</w:t>
            </w:r>
          </w:p>
          <w:p w14:paraId="51E22CF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相对湿度</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5% ~ 95%（无冷凝）</w:t>
            </w:r>
          </w:p>
          <w:p w14:paraId="3898C71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环境光照</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0 ~ 100000 LUX</w:t>
            </w:r>
          </w:p>
          <w:p w14:paraId="6F97AEE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抗摔强度</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可承受多次1.5米自由落体跌落</w:t>
            </w:r>
          </w:p>
          <w:p w14:paraId="3DB12E7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3. 电学参数</w:t>
            </w:r>
          </w:p>
          <w:p w14:paraId="535CA50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项目</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参数要求</w:t>
            </w:r>
          </w:p>
          <w:p w14:paraId="1D6B4F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工作电压</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DC 5V ± 5%</w:t>
            </w:r>
          </w:p>
          <w:p w14:paraId="1838CF4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工作电流</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 225mA</w:t>
            </w:r>
          </w:p>
          <w:p w14:paraId="568D4BD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待机电流</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0mA（待机时切断电源供电）</w:t>
            </w:r>
          </w:p>
          <w:p w14:paraId="06B7FF2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锂电池容量</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 2200mAh，可拆卸电池</w:t>
            </w:r>
          </w:p>
          <w:p w14:paraId="197E101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电池持续工作时长</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 6小时</w:t>
            </w:r>
          </w:p>
          <w:p w14:paraId="7B42FE6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电池充电时长</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 3小时</w:t>
            </w:r>
          </w:p>
          <w:p w14:paraId="3C634F5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充电接口</w:t>
            </w:r>
            <w:r>
              <w:rPr>
                <w:rFonts w:hint="eastAsia" w:ascii="仿宋" w:hAnsi="仿宋" w:eastAsia="仿宋" w:cs="仿宋"/>
                <w:i w:val="0"/>
                <w:iCs w:val="0"/>
                <w:color w:val="auto"/>
                <w:sz w:val="24"/>
                <w:szCs w:val="24"/>
                <w:highlight w:val="none"/>
                <w:u w:val="none"/>
              </w:rPr>
              <w:tab/>
            </w:r>
            <w:r>
              <w:rPr>
                <w:rFonts w:hint="eastAsia" w:ascii="仿宋" w:hAnsi="仿宋" w:eastAsia="仿宋" w:cs="仿宋"/>
                <w:i w:val="0"/>
                <w:iCs w:val="0"/>
                <w:color w:val="auto"/>
                <w:sz w:val="24"/>
                <w:szCs w:val="24"/>
                <w:highlight w:val="none"/>
                <w:u w:val="none"/>
              </w:rPr>
              <w:t>Type-C</w:t>
            </w:r>
          </w:p>
        </w:tc>
      </w:tr>
      <w:tr w14:paraId="5C8A2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64411">
            <w:pPr>
              <w:jc w:val="center"/>
              <w:rPr>
                <w:rFonts w:hint="eastAsia" w:ascii="仿宋" w:hAnsi="仿宋" w:eastAsia="仿宋" w:cs="仿宋"/>
                <w:i w:val="0"/>
                <w:iCs w:val="0"/>
                <w:color w:val="000000"/>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612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移动PDA</w:t>
            </w:r>
          </w:p>
        </w:tc>
        <w:tc>
          <w:tcPr>
            <w:tcW w:w="6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FB1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 性能参数 CPU处理器，8核处理器，频率≥2.2GHZ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运行内存≥4GB RAM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  储存内存≥64GB ROM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操作系统，Android 11或以上操作系统，专用移动医疗操作系统，提供软件著作权证书，并加盖厂商公章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 基础参数 电池，标配容量≥4500mAh（可充电的锂离子电池，电池不借助工具可徒手拆卸），提供图片证明。电池符合GB31241-2022要求，并获得认证证书，提供复印件并加盖生产厂商公章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  续航能力，待机续航时间不低于300 小时，连续使用时长不低于10小时，并提供第三方检测报告加盖生产厂商公章。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7  卡槽，1个nano sim+1个nano sim/TF Card(最大支持256G)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8  摄像头，前置摄像头500万像素；后置摄像头1300万像素，自动对焦，支持手电筒模式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9  屏幕大小：≥5.5英寸并且≤5.9英寸，分辨率≥1440*720；电容式触控，支持湿手或戴手套输入；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10  提醒模式，提示音;多颜色LED;振动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11  重量≤260g 含标准电池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12  防摔抗震，可承受1.5m高处到混凝土地面的多次跌落，至少500次0.5米滚动；IP防护等级低于IP67</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13  机身，医用机身，具备抑菌涂层，可耐受消毒剂擦拭。（提供抑菌检测报告及酒精擦拭报告）</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14  按键，正面无实体按键，两个扫描键、一个电源键、音量+-键，一个自定义键分别位于机子两侧。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15  通讯接口，Type-C  支持OTG</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16 网络参数 支持802.11a/b/g/n/ac/r协议，支持2.4G/5G双频，支持快速漫游，提供WIFI联盟认证证书及WiFi快速漫游软著复印件并加盖厂商工厂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17  3G/4G网络，支持2G/3G/4G全网通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18  蓝牙网络，Bluetooth 5.0，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19  定位，支持GPS，Beidou，Glonass，Galileo定位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20 数据采集 连续扫描，使用品牌扫描头；支持多种一维、二维条码扫描；并支持快速模式、慢速模式、广播模式、快速+广播模式四种扫描数据传输方式，提供功能截图并加盖生产厂商公章。</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21  扫描拣选，扫码需具备十字光线瞄准定位，便于条码定位，并具有中心扫描或拣选功能设置（提供设置功能截图）</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22 系统功能 应用软件管理，支持隐藏或冻结不常用的应用软件，通过管理员权限可限制使用该应用软件，限制操作人员工作外的不安全操作。安装卸载软件需要管理员密码验证并支持设置安装卸载白名单；设备极速配置，通过扫描二维码及无线热点快速实现1对多，复制其他设备参数设置，如条码扫描、密码、WiFi等设置；一键清理，设备缓存垃圾，提高设备运行速度，提升续航时间；时间同步，不借助第三方软件可实现局域网时间同步，可在PDA中绑定时间服务器；电池管理，支持系统级充电管理设置，包含最高电量功能和复充电量功能，通过设置延长电池使用寿命。（提供功能截图）</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23 认证要求 CCC 认证、入网许可证、无线电发射设备型号核准证</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24  职业健康体系认证（ISO45001）、环境管理体系认证（ISO14001）、质量管理体系认证（ISO9001）、医用质量管理体系认证（ISO13485）、信息安全管理体系认证（ISO27001）。</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25  安规检测:投标产品通过 GB9706.1-2020 安规检测；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26  医用电气安全:投标产品通过 YY 9706-2021医用电气安全检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27  设备符合 YD/T 1644.1-2020 手持和身体佩戴使用的无线通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信设备对人体的电磁照射要求；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28  电子安全使用规范：设备符合CQC标准电子产品有害物限制使用的要求；并获得认证证书。</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29  平均无故障时间不低于40000小时，并提供第三方检测报告；</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30 PDA管理平台 支持移动设备管理系统，可支持公有云和局域网私有化部署方案，要求PDA远程管理系统与PDA同一品牌（提供系统软件著作权）；具有分组管理功能，快速查看设备基础数据和动态数据；具有策略管控能力，可对WIFI、移动数据、系统设置和功能配置等进行策略下发管控；支持PDA远程桌面功能；完成部署后PDA桌面直接显示使用科室信息（提供功能截图）</w:t>
            </w:r>
          </w:p>
        </w:tc>
      </w:tr>
      <w:tr w14:paraId="44747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2"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9FBC9">
            <w:pPr>
              <w:jc w:val="center"/>
              <w:rPr>
                <w:rFonts w:hint="eastAsia" w:ascii="仿宋" w:hAnsi="仿宋" w:eastAsia="仿宋" w:cs="仿宋"/>
                <w:i w:val="0"/>
                <w:iCs w:val="0"/>
                <w:color w:val="000000"/>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4866E">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RFID发卡器</w:t>
            </w:r>
          </w:p>
        </w:tc>
        <w:tc>
          <w:tcPr>
            <w:tcW w:w="6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9D4CF">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w:t>
            </w:r>
          </w:p>
        </w:tc>
      </w:tr>
      <w:tr w14:paraId="71816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65A14">
            <w:pPr>
              <w:jc w:val="center"/>
              <w:rPr>
                <w:rFonts w:hint="eastAsia" w:ascii="仿宋" w:hAnsi="仿宋" w:eastAsia="仿宋" w:cs="仿宋"/>
                <w:i w:val="0"/>
                <w:iCs w:val="0"/>
                <w:color w:val="000000"/>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F1DD">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智慧屏</w:t>
            </w:r>
          </w:p>
        </w:tc>
        <w:tc>
          <w:tcPr>
            <w:tcW w:w="6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362C2">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1.显示参数：尺寸≥110英寸、屏类型：IPS、响应时间≤8ms、画面比例：16:9、显示尺寸≥H*V 2438.3x1371.3 mm、分辨率≥3840(H) ×2160(V)、刷新频率：60Hz、色彩度≥1.07B(10bit)、色域  NTSC(Typ) 72%、对比度(Typ)≥1200:1、可视角度≥178°(H/V)、钢化玻璃≥AG防眩光，硬度7H、背光类型:DLED、屏亮度(Typ)≥350cd/m² ± 10%、寿命≥30000小时</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2.主板参数：系统版本≥Android 11.0、芯片型号T982、RAM≥4G、ROM≥32 G、CPU 四核 A55、GPU Mali-G52、</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通讯传输：频段≥2.4GHz/5GHzWI FI 标准:802.11a/b/g/n/ac</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后置接口HDMI IN 2、USB 2.0 1、USB 3.0 1、TOUCH OUT 2.0 1、(Mini) LINE OUT 1、OPTICAL OUT 1、RS232 1、RJ45 IN 1、(Mini) MIC IN 1</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前置接口HDMI IN 1、USB 3.0 2、USB Type-C 1、TOUCH 2.0 1</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OPS 模块负载输出OPS供电电压 17-21V DC、额定负载功率：最大 133W（19V-7A）、支持接口类型：中国 OPS-C 标准 80 针接口、兼容机箱尺寸：L196*W180*H33~42mm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OPS图像分辨率：最大支持 3840*2160p@60Hz 输出</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电气参数电源输入：AC 180-240V   50/60Hz、整机功耗≤650W、待机功耗≤0.5W</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3.触控参数识别原理：红外识别、输入方式：被动红外笔、触摸精度：±1mm（90％以上触摸区域）、触摸点数：Windows20点；安卓10点书写、最小识别物：D ≥2.5mm、输出坐标：32768(W)×32768(D)、响应时间≤9ms、支持系统Windows10/Windows8/Windows7/Android</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投屏参数投屏软件：支持软件投屏、支持系统：Windows7/8/10、iOS、Mac OS、Android5.0 以上、Chrome、传输分辨率：1920 X 1080、帧率：30fps 及以下、触控回传：10 点@Windows/Mac OS</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4.摄像头摄像头像素≥4800万、镜头视场角≥102°（对角线）；、图像传感器：三星 GM1 (1/2.0 inch)</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5.阵列麦克拾音距离≤ 12米 ，8阵列收音：正前方178°,支持3A降噪、声道2.0、喇叭≥2×10W</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6.运行环境工作温度：0℃~40℃、工作湿度：20%~80%RH、存储温度：-10℃~60℃、存储湿度：10%~90%RH、工作高度：5000 米以下</w:t>
            </w:r>
          </w:p>
        </w:tc>
      </w:tr>
    </w:tbl>
    <w:p w14:paraId="445754B1">
      <w:pPr>
        <w:rPr>
          <w:rFonts w:hint="eastAsia" w:ascii="仿宋" w:hAnsi="仿宋" w:eastAsia="仿宋" w:cs="仿宋"/>
          <w:sz w:val="24"/>
          <w:szCs w:val="24"/>
          <w:highlight w:val="none"/>
        </w:rPr>
      </w:pPr>
    </w:p>
    <w:p w14:paraId="453C1C5B">
      <w:pPr>
        <w:pStyle w:val="3"/>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商务需求</w:t>
      </w:r>
    </w:p>
    <w:p w14:paraId="2E18992A">
      <w:pPr>
        <w:pStyle w:val="4"/>
        <w:spacing w:before="260" w:after="260" w:line="416" w:lineRule="auto"/>
        <w:rPr>
          <w:rFonts w:hint="eastAsia" w:ascii="仿宋" w:hAnsi="仿宋" w:eastAsia="仿宋" w:cs="仿宋"/>
          <w:sz w:val="24"/>
          <w:szCs w:val="24"/>
          <w:highlight w:val="none"/>
        </w:rPr>
      </w:pPr>
      <w:bookmarkStart w:id="75" w:name="_Toc89960987"/>
      <w:r>
        <w:rPr>
          <w:rFonts w:hint="eastAsia" w:ascii="仿宋" w:hAnsi="仿宋" w:eastAsia="仿宋" w:cs="仿宋"/>
          <w:sz w:val="24"/>
          <w:szCs w:val="24"/>
          <w:highlight w:val="none"/>
        </w:rPr>
        <w:t>实施需求</w:t>
      </w:r>
      <w:bookmarkEnd w:id="75"/>
    </w:p>
    <w:p w14:paraId="00B8AC64">
      <w:pPr>
        <w:widowControl/>
        <w:shd w:val="clear" w:color="auto" w:fill="FFFFFF"/>
        <w:ind w:firstLine="480"/>
        <w:rPr>
          <w:rFonts w:hint="eastAsia" w:ascii="仿宋" w:hAnsi="仿宋" w:eastAsia="仿宋" w:cs="仿宋"/>
          <w:kern w:val="0"/>
          <w:sz w:val="24"/>
          <w:szCs w:val="24"/>
        </w:rPr>
      </w:pPr>
      <w:r>
        <w:rPr>
          <w:rFonts w:hint="eastAsia" w:ascii="仿宋" w:hAnsi="仿宋" w:eastAsia="仿宋" w:cs="仿宋"/>
          <w:kern w:val="0"/>
          <w:sz w:val="24"/>
          <w:szCs w:val="24"/>
        </w:rPr>
        <w:t>本项目的建设是一</w:t>
      </w:r>
      <w:r>
        <w:rPr>
          <w:rFonts w:hint="eastAsia" w:ascii="仿宋" w:hAnsi="仿宋" w:eastAsia="仿宋" w:cs="仿宋"/>
          <w:kern w:val="0"/>
          <w:sz w:val="24"/>
          <w:szCs w:val="24"/>
          <w:lang w:val="en-US" w:eastAsia="zh-CN"/>
        </w:rPr>
        <w:t>项</w:t>
      </w:r>
      <w:r>
        <w:rPr>
          <w:rFonts w:hint="eastAsia" w:ascii="仿宋" w:hAnsi="仿宋" w:eastAsia="仿宋" w:cs="仿宋"/>
          <w:kern w:val="0"/>
          <w:sz w:val="24"/>
          <w:szCs w:val="24"/>
        </w:rPr>
        <w:t>系统工程，不可能一蹴而就，其是一个复杂的过程，是医疗机构从传统模式走向数字化，信息化，智能化，现代化的磨合过程。医疗卫生信息化建设的过程是一个不会结束的过程，它将随着医疗机构的发展，医学技术的发展，医疗管理的发展而不断发展。</w:t>
      </w:r>
    </w:p>
    <w:p w14:paraId="49946D83">
      <w:pPr>
        <w:ind w:firstLine="480" w:firstLineChars="200"/>
        <w:rPr>
          <w:rFonts w:hint="eastAsia" w:ascii="仿宋" w:hAnsi="仿宋" w:eastAsia="仿宋" w:cs="仿宋"/>
          <w:sz w:val="24"/>
          <w:szCs w:val="24"/>
        </w:rPr>
      </w:pPr>
      <w:r>
        <w:rPr>
          <w:rFonts w:hint="eastAsia" w:ascii="仿宋" w:hAnsi="仿宋" w:eastAsia="仿宋" w:cs="仿宋"/>
          <w:sz w:val="24"/>
          <w:szCs w:val="24"/>
        </w:rPr>
        <w:t>投标人应具备较强的行业经验，能够根据项目建设内容和进度需要，派驻具有一定资质能力水平的成员组成项目小组对信息系统进行实施及服务。</w:t>
      </w:r>
    </w:p>
    <w:p w14:paraId="46F07742">
      <w:pPr>
        <w:ind w:firstLine="480" w:firstLineChars="200"/>
        <w:rPr>
          <w:rFonts w:hint="eastAsia" w:ascii="仿宋" w:hAnsi="仿宋" w:eastAsia="仿宋" w:cs="仿宋"/>
          <w:sz w:val="24"/>
          <w:szCs w:val="24"/>
        </w:rPr>
      </w:pPr>
      <w:r>
        <w:rPr>
          <w:rFonts w:hint="eastAsia" w:ascii="仿宋" w:hAnsi="仿宋" w:eastAsia="仿宋" w:cs="仿宋"/>
          <w:sz w:val="24"/>
          <w:szCs w:val="24"/>
        </w:rPr>
        <w:t>本次建设周期合计</w:t>
      </w:r>
      <w:r>
        <w:rPr>
          <w:rFonts w:hint="eastAsia" w:ascii="仿宋" w:hAnsi="仿宋" w:eastAsia="仿宋" w:cs="仿宋"/>
          <w:sz w:val="24"/>
          <w:szCs w:val="24"/>
          <w:lang w:val="en-US" w:eastAsia="zh-CN"/>
        </w:rPr>
        <w:t>3</w:t>
      </w:r>
      <w:r>
        <w:rPr>
          <w:rFonts w:hint="eastAsia" w:ascii="仿宋" w:hAnsi="仿宋" w:eastAsia="仿宋" w:cs="仿宋"/>
          <w:sz w:val="24"/>
          <w:szCs w:val="24"/>
        </w:rPr>
        <w:t>个月,完成本项目实施、部署、培训及上线工作。</w:t>
      </w:r>
    </w:p>
    <w:p w14:paraId="121BE6FC">
      <w:pPr>
        <w:pStyle w:val="4"/>
        <w:spacing w:before="260" w:after="260" w:line="416" w:lineRule="auto"/>
        <w:rPr>
          <w:rFonts w:hint="eastAsia" w:ascii="仿宋" w:hAnsi="仿宋" w:eastAsia="仿宋" w:cs="仿宋"/>
          <w:sz w:val="24"/>
          <w:szCs w:val="24"/>
        </w:rPr>
      </w:pPr>
      <w:bookmarkStart w:id="76" w:name="_Toc89960988"/>
      <w:r>
        <w:rPr>
          <w:rFonts w:hint="eastAsia" w:ascii="仿宋" w:hAnsi="仿宋" w:eastAsia="仿宋" w:cs="仿宋"/>
          <w:sz w:val="24"/>
          <w:szCs w:val="24"/>
        </w:rPr>
        <w:t>培训</w:t>
      </w:r>
      <w:bookmarkEnd w:id="76"/>
      <w:r>
        <w:rPr>
          <w:rFonts w:hint="eastAsia" w:ascii="仿宋" w:hAnsi="仿宋" w:eastAsia="仿宋" w:cs="仿宋"/>
          <w:sz w:val="24"/>
          <w:szCs w:val="24"/>
        </w:rPr>
        <w:t>需求</w:t>
      </w:r>
    </w:p>
    <w:p w14:paraId="53791A60">
      <w:pPr>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培训是项目顺利进行的保证。在项目的不同阶段要求提供相关的培训课程，面向系统开发和管理员、各级领导、系统操作人员等不同群体提供系统化、定制化和有针对性的培训。</w:t>
      </w:r>
    </w:p>
    <w:p w14:paraId="67F5C3FE">
      <w:pPr>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(1)培训内容要求分为运行与维护管理培训和用户使用培训。通过培训应使各类用户能独立进行相应应用与管理、故障处理、日常维护等工作，确保系统能正常安全运行；</w:t>
      </w:r>
    </w:p>
    <w:p w14:paraId="5A6CCF6C">
      <w:pPr>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(2) 投标人应在投标文件中提出培训计划，计划包括培训项目、人数、地点等详细内容；</w:t>
      </w:r>
    </w:p>
    <w:p w14:paraId="1B5E4E82">
      <w:pPr>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(3)培训人员必须是投标人的正式雇员或专业的授权培训机构雇员。如果使用第三方培训机构，投标单位应在投标文件中提供培训机构的名称，并能根据情况调整。</w:t>
      </w:r>
    </w:p>
    <w:p w14:paraId="0BF696C3">
      <w:pPr>
        <w:ind w:firstLine="480" w:firstLineChars="200"/>
        <w:rPr>
          <w:rFonts w:hint="eastAsia" w:ascii="仿宋" w:hAnsi="仿宋" w:eastAsia="仿宋" w:cs="仿宋"/>
          <w:sz w:val="24"/>
          <w:szCs w:val="24"/>
          <w:shd w:val="clear" w:color="auto" w:fill="FFFFFF" w:themeFill="background1"/>
        </w:rPr>
      </w:pPr>
      <w:r>
        <w:rPr>
          <w:rFonts w:hint="eastAsia" w:ascii="仿宋" w:hAnsi="仿宋" w:eastAsia="仿宋" w:cs="仿宋"/>
          <w:sz w:val="24"/>
          <w:szCs w:val="24"/>
          <w:shd w:val="clear" w:color="auto" w:fill="FFFFFF" w:themeFill="background1"/>
        </w:rPr>
        <w:t>(4)其中要求对系统管理员进行充分的技术培训和教育，保证管理人员掌握必要的管理工具，通晓管理规范。</w:t>
      </w:r>
    </w:p>
    <w:p w14:paraId="0E027FE6">
      <w:pPr>
        <w:pStyle w:val="4"/>
        <w:spacing w:before="260" w:after="260" w:line="416" w:lineRule="auto"/>
        <w:rPr>
          <w:rFonts w:hint="eastAsia" w:ascii="仿宋" w:hAnsi="仿宋" w:eastAsia="仿宋" w:cs="仿宋"/>
          <w:sz w:val="24"/>
          <w:szCs w:val="24"/>
          <w:highlight w:val="none"/>
        </w:rPr>
      </w:pPr>
      <w:bookmarkStart w:id="77" w:name="_Toc89960989"/>
      <w:r>
        <w:rPr>
          <w:rFonts w:hint="eastAsia" w:ascii="仿宋" w:hAnsi="仿宋" w:eastAsia="仿宋" w:cs="仿宋"/>
          <w:sz w:val="24"/>
          <w:szCs w:val="24"/>
        </w:rPr>
        <w:t>售</w:t>
      </w:r>
      <w:r>
        <w:rPr>
          <w:rFonts w:hint="eastAsia" w:ascii="仿宋" w:hAnsi="仿宋" w:eastAsia="仿宋" w:cs="仿宋"/>
          <w:sz w:val="24"/>
          <w:szCs w:val="24"/>
          <w:highlight w:val="none"/>
        </w:rPr>
        <w:t>后服务</w:t>
      </w:r>
      <w:bookmarkEnd w:id="77"/>
    </w:p>
    <w:p w14:paraId="491EC6D9">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（1）投标人应具有完善的质保期内及质保期外的售后服务方案。</w:t>
      </w:r>
    </w:p>
    <w:p w14:paraId="3D632276">
      <w:pPr>
        <w:pStyle w:val="11"/>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（2）项目质保期为</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年，质保期自项目终验之日起算。质保期内提供相应售后服务，相关费用已包含在合同价款中。</w:t>
      </w:r>
    </w:p>
    <w:p w14:paraId="12043320">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（3）所提供的技术服务至少为7×24小时支持维护服务，包括邮件、电话、远程维护、现场服务等方式。必须保证1小时之内响应、2小时内派工程师到达现场、3小时之内解决问题。</w:t>
      </w:r>
    </w:p>
    <w:p w14:paraId="3FDE66A4">
      <w:pPr>
        <w:ind w:firstLine="480" w:firstLineChars="200"/>
        <w:rPr>
          <w:rFonts w:hint="eastAsia" w:ascii="仿宋" w:hAnsi="仿宋" w:eastAsia="仿宋" w:cs="仿宋"/>
          <w:sz w:val="24"/>
          <w:szCs w:val="24"/>
        </w:rPr>
      </w:pPr>
      <w:r>
        <w:rPr>
          <w:rFonts w:hint="eastAsia" w:ascii="仿宋" w:hAnsi="仿宋" w:eastAsia="仿宋" w:cs="仿宋"/>
          <w:sz w:val="24"/>
          <w:szCs w:val="24"/>
          <w:highlight w:val="none"/>
        </w:rPr>
        <w:t>（4）投标人必须在本地设有专门的维护网点与固定的维护人员，在全系统生命周期内提供应用系统</w:t>
      </w:r>
      <w:r>
        <w:rPr>
          <w:rFonts w:hint="eastAsia" w:ascii="仿宋" w:hAnsi="仿宋" w:eastAsia="仿宋" w:cs="仿宋"/>
          <w:sz w:val="24"/>
          <w:szCs w:val="24"/>
        </w:rPr>
        <w:t>软件等各方面的维护，满足用户方所需的与应用软件相关的各类技术服务；</w:t>
      </w:r>
    </w:p>
    <w:p w14:paraId="0879D4D2">
      <w:pPr>
        <w:pStyle w:val="4"/>
        <w:rPr>
          <w:rFonts w:hint="eastAsia" w:ascii="仿宋" w:hAnsi="仿宋" w:eastAsia="仿宋" w:cs="仿宋"/>
          <w:sz w:val="24"/>
          <w:szCs w:val="24"/>
        </w:rPr>
      </w:pPr>
      <w:r>
        <w:rPr>
          <w:rFonts w:hint="eastAsia" w:ascii="仿宋" w:hAnsi="仿宋" w:eastAsia="仿宋" w:cs="仿宋"/>
          <w:sz w:val="24"/>
          <w:szCs w:val="24"/>
        </w:rPr>
        <w:t>验收需求</w:t>
      </w:r>
    </w:p>
    <w:p w14:paraId="44E6329D">
      <w:pPr>
        <w:ind w:firstLine="480" w:firstLineChars="200"/>
        <w:rPr>
          <w:rFonts w:hint="eastAsia" w:ascii="仿宋" w:hAnsi="仿宋" w:eastAsia="仿宋" w:cs="仿宋"/>
          <w:sz w:val="24"/>
          <w:szCs w:val="24"/>
        </w:rPr>
      </w:pPr>
      <w:r>
        <w:rPr>
          <w:rFonts w:hint="eastAsia" w:ascii="仿宋" w:hAnsi="仿宋" w:eastAsia="仿宋" w:cs="仿宋"/>
          <w:sz w:val="24"/>
          <w:szCs w:val="24"/>
        </w:rPr>
        <w:t>1、验收方法</w:t>
      </w:r>
    </w:p>
    <w:p w14:paraId="4E307EF6">
      <w:pPr>
        <w:ind w:firstLine="480" w:firstLineChars="200"/>
        <w:rPr>
          <w:rFonts w:hint="eastAsia" w:ascii="仿宋" w:hAnsi="仿宋" w:eastAsia="仿宋" w:cs="仿宋"/>
          <w:sz w:val="24"/>
          <w:szCs w:val="24"/>
        </w:rPr>
      </w:pPr>
      <w:r>
        <w:rPr>
          <w:rFonts w:hint="eastAsia" w:ascii="仿宋" w:hAnsi="仿宋" w:eastAsia="仿宋" w:cs="仿宋"/>
          <w:sz w:val="24"/>
          <w:szCs w:val="24"/>
        </w:rPr>
        <w:t>正常运行后组织专家进行初验；</w:t>
      </w:r>
    </w:p>
    <w:p w14:paraId="3583799C">
      <w:pPr>
        <w:ind w:firstLine="480" w:firstLineChars="200"/>
        <w:rPr>
          <w:rFonts w:hint="eastAsia" w:ascii="仿宋" w:hAnsi="仿宋" w:eastAsia="仿宋" w:cs="仿宋"/>
          <w:sz w:val="24"/>
          <w:szCs w:val="24"/>
        </w:rPr>
      </w:pPr>
      <w:r>
        <w:rPr>
          <w:rFonts w:hint="eastAsia" w:ascii="仿宋" w:hAnsi="仿宋" w:eastAsia="仿宋" w:cs="仿宋"/>
          <w:sz w:val="24"/>
          <w:szCs w:val="24"/>
        </w:rPr>
        <w:t>2、验收内容：按照招标文件、响应文件、合同、相关承诺和相关补充文件的内容进行。</w:t>
      </w:r>
    </w:p>
    <w:p w14:paraId="0FDD3223">
      <w:pPr>
        <w:ind w:firstLine="480" w:firstLineChars="200"/>
        <w:rPr>
          <w:rFonts w:hint="eastAsia" w:ascii="仿宋" w:hAnsi="仿宋" w:eastAsia="仿宋" w:cs="仿宋"/>
          <w:sz w:val="24"/>
          <w:szCs w:val="24"/>
        </w:rPr>
      </w:pPr>
      <w:r>
        <w:rPr>
          <w:rFonts w:hint="eastAsia" w:ascii="仿宋" w:hAnsi="仿宋" w:eastAsia="仿宋" w:cs="仿宋"/>
          <w:sz w:val="24"/>
          <w:szCs w:val="24"/>
        </w:rPr>
        <w:t>3、验收标准：</w:t>
      </w:r>
    </w:p>
    <w:p w14:paraId="33D921BD">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rPr>
        <w:t>①项目服务所有技术性能规格及参数：应符合招标文件和中标方投标文件所</w:t>
      </w:r>
      <w:r>
        <w:rPr>
          <w:rFonts w:hint="eastAsia" w:ascii="仿宋" w:hAnsi="仿宋" w:eastAsia="仿宋" w:cs="仿宋"/>
          <w:sz w:val="24"/>
          <w:szCs w:val="24"/>
          <w:highlight w:val="none"/>
        </w:rPr>
        <w:t>要求的技术标准及服务标准。系统运行稳定，无故障，数据无错误。</w:t>
      </w:r>
    </w:p>
    <w:p w14:paraId="2BF00BE7">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②验收工作由招标方和中标方共同进行。在验收时，中标方应向招标方提供货物的相关资料，按招标方提出的方式验收。由招标方对货物的质量、规格和数量其他进行检验。如发现质量、规格和数量等任何一项与采购要求规定不符，招标方有权拒绝接受。</w:t>
      </w:r>
    </w:p>
    <w:p w14:paraId="33057842">
      <w:pPr>
        <w:numPr>
          <w:ilvl w:val="0"/>
          <w:numId w:val="21"/>
        </w:num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验收文件的签署：由中标方撰写服务完成报告，由招标方委派的负责人在审核后签署。</w:t>
      </w:r>
    </w:p>
    <w:p w14:paraId="28B85587">
      <w:pPr>
        <w:jc w:val="center"/>
        <w:rPr>
          <w:rFonts w:hint="eastAsia" w:ascii="仿宋" w:hAnsi="仿宋" w:eastAsia="仿宋" w:cs="仿宋"/>
          <w:b/>
          <w:bCs/>
          <w:kern w:val="2"/>
          <w:sz w:val="24"/>
          <w:szCs w:val="24"/>
          <w:highlight w:val="none"/>
          <w:lang w:val="en-US" w:eastAsia="zh-CN" w:bidi="ar-SA"/>
        </w:rPr>
      </w:pPr>
    </w:p>
    <w:p w14:paraId="3E50808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三、其他相关要求</w:t>
      </w:r>
    </w:p>
    <w:p w14:paraId="32E892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1.付款方式：合同签订后支付50%的预付款，验收合格后支付40%，剩余款项验收合格满1年后支付。</w:t>
      </w:r>
    </w:p>
    <w:p w14:paraId="7B245E73">
      <w:pPr>
        <w:pStyle w:val="2"/>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2.供应商验收合格以后提供叁年运维服务</w:t>
      </w:r>
    </w:p>
    <w:p w14:paraId="631B78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val="0"/>
          <w:color w:val="auto"/>
          <w:sz w:val="24"/>
          <w:szCs w:val="24"/>
          <w:highlight w:val="yellow"/>
          <w:lang w:val="en-US" w:eastAsia="zh-CN"/>
        </w:rPr>
      </w:pPr>
    </w:p>
    <w:p w14:paraId="64A0EBB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仿宋_GB2312" w:hAnsi="仿宋_GB2312" w:eastAsia="仿宋_GB2312" w:cs="仿宋_GB2312"/>
          <w:b/>
          <w:bCs/>
          <w:sz w:val="24"/>
          <w:szCs w:val="24"/>
          <w:highlight w:val="none"/>
          <w:lang w:val="en-US" w:eastAsia="zh-CN"/>
        </w:rPr>
      </w:pPr>
    </w:p>
    <w:p w14:paraId="032E9B7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6EBD8531">
      <w:pPr>
        <w:pStyle w:val="23"/>
        <w:rPr>
          <w:rFonts w:hint="eastAsia"/>
          <w:lang w:val="en-US" w:eastAsia="zh-CN"/>
        </w:rPr>
      </w:pPr>
    </w:p>
    <w:p w14:paraId="2E9583C0">
      <w:pPr>
        <w:pStyle w:val="3"/>
        <w:pageBreakBefore w:val="0"/>
        <w:widowControl w:val="0"/>
        <w:numPr>
          <w:ilvl w:val="0"/>
          <w:numId w:val="2"/>
        </w:numPr>
        <w:kinsoku/>
        <w:wordWrap/>
        <w:overflowPunct/>
        <w:topLinePunct w:val="0"/>
        <w:autoSpaceDE/>
        <w:autoSpaceDN/>
        <w:bidi w:val="0"/>
        <w:adjustRightInd/>
        <w:snapToGrid/>
        <w:spacing w:line="420" w:lineRule="exact"/>
        <w:jc w:val="center"/>
        <w:textAlignment w:val="auto"/>
        <w:rPr>
          <w:rFonts w:hint="eastAsia" w:ascii="方正小标宋简体" w:hAnsi="方正小标宋简体" w:eastAsia="方正小标宋简体" w:cs="方正小标宋简体"/>
          <w:sz w:val="32"/>
          <w:szCs w:val="32"/>
          <w:lang w:val="en-US" w:eastAsia="zh-CN"/>
        </w:rPr>
      </w:pPr>
      <w:bookmarkStart w:id="78" w:name="_Toc21893"/>
      <w:r>
        <w:rPr>
          <w:rFonts w:hint="eastAsia" w:ascii="方正小标宋简体" w:hAnsi="方正小标宋简体" w:eastAsia="方正小标宋简体" w:cs="方正小标宋简体"/>
          <w:sz w:val="32"/>
          <w:szCs w:val="32"/>
          <w:lang w:val="en-US" w:eastAsia="zh-CN"/>
        </w:rPr>
        <w:t>评标程序、评标方法和评标标准</w:t>
      </w:r>
      <w:bookmarkEnd w:id="78"/>
    </w:p>
    <w:p w14:paraId="5461BD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p>
    <w:p w14:paraId="047B6ABF">
      <w:pPr>
        <w:keepNext w:val="0"/>
        <w:keepLines w:val="0"/>
        <w:pageBreakBefore w:val="0"/>
        <w:widowControl w:val="0"/>
        <w:numPr>
          <w:ilvl w:val="0"/>
          <w:numId w:val="22"/>
        </w:numPr>
        <w:kinsoku/>
        <w:wordWrap/>
        <w:overflowPunct/>
        <w:topLinePunct w:val="0"/>
        <w:autoSpaceDE/>
        <w:autoSpaceDN/>
        <w:bidi w:val="0"/>
        <w:adjustRightInd/>
        <w:snapToGrid/>
        <w:spacing w:line="420" w:lineRule="exact"/>
        <w:jc w:val="both"/>
        <w:textAlignment w:val="auto"/>
        <w:outlineLvl w:val="1"/>
        <w:rPr>
          <w:rFonts w:hint="eastAsia" w:ascii="仿宋_GB2312" w:hAnsi="仿宋_GB2312" w:eastAsia="仿宋_GB2312" w:cs="仿宋_GB2312"/>
          <w:b/>
          <w:bCs/>
          <w:sz w:val="24"/>
          <w:szCs w:val="24"/>
          <w:lang w:val="en-US" w:eastAsia="zh-CN"/>
        </w:rPr>
      </w:pPr>
      <w:bookmarkStart w:id="79" w:name="_Toc27440"/>
      <w:r>
        <w:rPr>
          <w:rFonts w:hint="eastAsia" w:ascii="仿宋_GB2312" w:hAnsi="仿宋_GB2312" w:eastAsia="仿宋_GB2312" w:cs="仿宋_GB2312"/>
          <w:b/>
          <w:bCs/>
          <w:sz w:val="24"/>
          <w:szCs w:val="24"/>
          <w:lang w:val="en-US" w:eastAsia="zh-CN"/>
        </w:rPr>
        <w:t>评标方法</w:t>
      </w:r>
      <w:bookmarkEnd w:id="79"/>
      <w:r>
        <w:rPr>
          <w:rFonts w:hint="eastAsia" w:ascii="仿宋_GB2312" w:hAnsi="仿宋_GB2312" w:eastAsia="仿宋_GB2312" w:cs="仿宋_GB2312"/>
          <w:b/>
          <w:bCs/>
          <w:sz w:val="24"/>
          <w:szCs w:val="24"/>
          <w:lang w:val="en-US" w:eastAsia="zh-CN"/>
        </w:rPr>
        <w:t xml:space="preserve"> </w:t>
      </w:r>
    </w:p>
    <w:p w14:paraId="5BD63F6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本项目采用综合评分法，是指投标文件满足招标文件全部实质性要求，且按照评审因素的量化指标评审得分最高的投标人为中标候选人的评标方法。（最低报价不是中标的唯一依据）</w:t>
      </w:r>
    </w:p>
    <w:p w14:paraId="1393023D">
      <w:pPr>
        <w:keepNext w:val="0"/>
        <w:keepLines w:val="0"/>
        <w:pageBreakBefore w:val="0"/>
        <w:widowControl w:val="0"/>
        <w:numPr>
          <w:ilvl w:val="0"/>
          <w:numId w:val="2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80" w:name="_Toc12617"/>
      <w:r>
        <w:rPr>
          <w:rFonts w:hint="eastAsia" w:ascii="仿宋_GB2312" w:hAnsi="仿宋_GB2312" w:eastAsia="仿宋_GB2312" w:cs="仿宋_GB2312"/>
          <w:b/>
          <w:bCs/>
          <w:sz w:val="24"/>
          <w:szCs w:val="24"/>
          <w:lang w:val="en-US" w:eastAsia="zh-CN"/>
        </w:rPr>
        <w:t>评标原则</w:t>
      </w:r>
      <w:bookmarkEnd w:id="80"/>
    </w:p>
    <w:p w14:paraId="13FA93AF">
      <w:pPr>
        <w:keepNext w:val="0"/>
        <w:keepLines w:val="0"/>
        <w:pageBreakBefore w:val="0"/>
        <w:widowControl w:val="0"/>
        <w:numPr>
          <w:ilvl w:val="1"/>
          <w:numId w:val="22"/>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评标活动遵循公平、公正、科学和择优的原则，以招标文件和投标文件为评标的基本依据，并按照招标文件规定的评标方法和评标标准进行评标。</w:t>
      </w:r>
    </w:p>
    <w:p w14:paraId="56EB0837">
      <w:pPr>
        <w:keepNext w:val="0"/>
        <w:keepLines w:val="0"/>
        <w:pageBreakBefore w:val="0"/>
        <w:widowControl w:val="0"/>
        <w:numPr>
          <w:ilvl w:val="1"/>
          <w:numId w:val="22"/>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505876BC">
      <w:pPr>
        <w:keepNext w:val="0"/>
        <w:keepLines w:val="0"/>
        <w:pageBreakBefore w:val="0"/>
        <w:widowControl w:val="0"/>
        <w:numPr>
          <w:ilvl w:val="1"/>
          <w:numId w:val="22"/>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（4）全体评委应按照招标文件规定进行评标，一切认定事项应查有实据且不得弄虚作假。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（6）法律法规及招标文件规定的其他情形。</w:t>
      </w:r>
    </w:p>
    <w:p w14:paraId="69CE86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对违反评标纪律的评委，将取消其评委资格，对评标工作造成严重损失者将予以通报批评乃至追究法律责任。</w:t>
      </w:r>
    </w:p>
    <w:p w14:paraId="1F9A0ABB">
      <w:pPr>
        <w:keepNext w:val="0"/>
        <w:keepLines w:val="0"/>
        <w:pageBreakBefore w:val="0"/>
        <w:widowControl w:val="0"/>
        <w:numPr>
          <w:ilvl w:val="0"/>
          <w:numId w:val="2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81" w:name="_Toc6046"/>
      <w:r>
        <w:rPr>
          <w:rFonts w:hint="eastAsia" w:ascii="仿宋_GB2312" w:hAnsi="仿宋_GB2312" w:eastAsia="仿宋_GB2312" w:cs="仿宋_GB2312"/>
          <w:b/>
          <w:bCs/>
          <w:sz w:val="24"/>
          <w:szCs w:val="24"/>
          <w:lang w:val="en-US" w:eastAsia="zh-CN"/>
        </w:rPr>
        <w:t>资格审查</w:t>
      </w:r>
      <w:bookmarkEnd w:id="81"/>
    </w:p>
    <w:p w14:paraId="3FC4CCC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处理，不进入符合性审查。资格审查要求如下：</w:t>
      </w: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资格审查要求</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序号</w:t>
            </w:r>
          </w:p>
        </w:tc>
        <w:tc>
          <w:tcPr>
            <w:tcW w:w="2536"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审查因素</w:t>
            </w:r>
          </w:p>
        </w:tc>
        <w:tc>
          <w:tcPr>
            <w:tcW w:w="5228"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5" w:hRule="atLeast"/>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w:t>
            </w:r>
          </w:p>
        </w:tc>
        <w:tc>
          <w:tcPr>
            <w:tcW w:w="2536"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具有独立承担民事责任的能力</w:t>
            </w:r>
          </w:p>
        </w:tc>
        <w:tc>
          <w:tcPr>
            <w:tcW w:w="5228"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lang w:val="en-US" w:eastAsia="zh-CN"/>
              </w:rPr>
            </w:pPr>
            <w:r>
              <w:rPr>
                <w:rFonts w:hint="eastAsia" w:ascii="仿宋_GB2312" w:hAnsi="仿宋_GB2312" w:eastAsia="仿宋_GB2312" w:cs="仿宋_GB2312"/>
                <w:b w:val="0"/>
                <w:bCs w:val="0"/>
                <w:sz w:val="21"/>
                <w:szCs w:val="21"/>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w:t>
            </w:r>
          </w:p>
        </w:tc>
        <w:tc>
          <w:tcPr>
            <w:tcW w:w="2536"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具有良好的商业信誉和健全的财务会计制度</w:t>
            </w:r>
          </w:p>
        </w:tc>
        <w:tc>
          <w:tcPr>
            <w:tcW w:w="5228"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具有良好的商业信誉和健全的财务会计制度：须提供下列任意一项证明材料：（1）提供本单位2024年度或2025年度由依法设立的会计师事务所出具的财务审计报告扫描件加盖电子公章（</w:t>
            </w:r>
            <w:r>
              <w:rPr>
                <w:rFonts w:hint="eastAsia" w:ascii="仿宋_GB2312" w:hAnsi="仿宋_GB2312" w:eastAsia="仿宋_GB2312" w:cs="仿宋_GB2312"/>
                <w:b/>
                <w:bCs/>
                <w:sz w:val="21"/>
                <w:szCs w:val="21"/>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仿宋_GB2312" w:hAnsi="仿宋_GB2312" w:eastAsia="仿宋_GB2312" w:cs="仿宋_GB2312"/>
                <w:b w:val="0"/>
                <w:bCs w:val="0"/>
                <w:sz w:val="21"/>
                <w:szCs w:val="21"/>
                <w:vertAlign w:val="baseline"/>
                <w:lang w:val="en-US" w:eastAsia="zh-CN"/>
              </w:rPr>
              <w:t>），财务审计报告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一年的则提供投标人资格声明书作为证明材料。</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w:t>
            </w:r>
          </w:p>
        </w:tc>
        <w:tc>
          <w:tcPr>
            <w:tcW w:w="2536"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具有履行合同所必需的设备和专业技术能力</w:t>
            </w:r>
          </w:p>
        </w:tc>
        <w:tc>
          <w:tcPr>
            <w:tcW w:w="5228"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须提供具备履行合同所必需的设备和专业技术能力的资格声明书加盖电子公章</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w:t>
            </w:r>
          </w:p>
        </w:tc>
        <w:tc>
          <w:tcPr>
            <w:tcW w:w="2536"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有依法缴纳税收和依法缴纳社会保障资金的记录</w:t>
            </w:r>
          </w:p>
        </w:tc>
        <w:tc>
          <w:tcPr>
            <w:tcW w:w="5228"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8" w:hRule="atLeast"/>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5</w:t>
            </w:r>
          </w:p>
        </w:tc>
        <w:tc>
          <w:tcPr>
            <w:tcW w:w="2536"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参加政府采购活动前三年内，在经营活动中没有重大违法记录</w:t>
            </w:r>
          </w:p>
        </w:tc>
        <w:tc>
          <w:tcPr>
            <w:tcW w:w="5228"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参加采购活动前3年内，在经营活动中没有重大违法记录，提供投标人资格声明书。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D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vAlign w:val="center"/>
          </w:tcPr>
          <w:p w14:paraId="7126B6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w:t>
            </w:r>
          </w:p>
        </w:tc>
        <w:tc>
          <w:tcPr>
            <w:tcW w:w="2536" w:type="dxa"/>
            <w:vAlign w:val="center"/>
          </w:tcPr>
          <w:p w14:paraId="47A7E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法律、行政法规规定的其他条件</w:t>
            </w:r>
          </w:p>
        </w:tc>
        <w:tc>
          <w:tcPr>
            <w:tcW w:w="5228" w:type="dxa"/>
            <w:vAlign w:val="center"/>
          </w:tcPr>
          <w:p w14:paraId="520CCBE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不存在违反国家法律、法规规定的其他情形（提供承诺函格式自拟）</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w:t>
            </w:r>
          </w:p>
        </w:tc>
        <w:tc>
          <w:tcPr>
            <w:tcW w:w="2536"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投标保证金</w:t>
            </w:r>
          </w:p>
        </w:tc>
        <w:tc>
          <w:tcPr>
            <w:tcW w:w="5228"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b w:val="0"/>
                <w:bCs w:val="0"/>
                <w:kern w:val="2"/>
                <w:sz w:val="21"/>
                <w:szCs w:val="21"/>
                <w:vertAlign w:val="baseline"/>
                <w:lang w:val="en-US" w:eastAsia="zh-CN" w:bidi="ar-SA"/>
              </w:rPr>
              <w:t>按照招标文件的规定提交投标保证金</w:t>
            </w:r>
          </w:p>
        </w:tc>
      </w:tr>
      <w:tr w14:paraId="0C56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758" w:type="dxa"/>
            <w:vAlign w:val="center"/>
          </w:tcPr>
          <w:p w14:paraId="4BE2CEB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8</w:t>
            </w:r>
          </w:p>
        </w:tc>
        <w:tc>
          <w:tcPr>
            <w:tcW w:w="2536" w:type="dxa"/>
            <w:vAlign w:val="center"/>
          </w:tcPr>
          <w:p w14:paraId="797D4EC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落实政府采购政策</w:t>
            </w:r>
          </w:p>
          <w:p w14:paraId="700F02F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的资格要求</w:t>
            </w:r>
          </w:p>
        </w:tc>
        <w:tc>
          <w:tcPr>
            <w:tcW w:w="5228" w:type="dxa"/>
            <w:vAlign w:val="center"/>
          </w:tcPr>
          <w:p w14:paraId="5A4D01E9">
            <w:pPr>
              <w:pStyle w:val="24"/>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default" w:ascii="仿宋_GB2312" w:hAnsi="仿宋_GB2312" w:eastAsia="仿宋_GB2312" w:cs="仿宋_GB2312"/>
                <w:b w:val="0"/>
                <w:bCs w:val="0"/>
                <w:kern w:val="2"/>
                <w:sz w:val="21"/>
                <w:szCs w:val="21"/>
                <w:highlight w:val="none"/>
                <w:vertAlign w:val="baseline"/>
                <w:lang w:val="en-US" w:eastAsia="zh-CN" w:bidi="ar-SA"/>
              </w:rPr>
            </w:pPr>
            <w:r>
              <w:rPr>
                <w:rFonts w:hint="default" w:ascii="仿宋_GB2312" w:hAnsi="仿宋_GB2312" w:eastAsia="仿宋_GB2312" w:cs="仿宋_GB2312"/>
                <w:b w:val="0"/>
                <w:bCs w:val="0"/>
                <w:kern w:val="2"/>
                <w:sz w:val="21"/>
                <w:szCs w:val="21"/>
                <w:highlight w:val="none"/>
                <w:vertAlign w:val="baseline"/>
                <w:lang w:val="en-US" w:eastAsia="zh-CN" w:bidi="ar-SA"/>
              </w:rPr>
              <w:t>本项目专门面向中小企业，提供</w:t>
            </w:r>
            <w:r>
              <w:rPr>
                <w:rFonts w:hint="eastAsia" w:ascii="仿宋_GB2312" w:hAnsi="仿宋_GB2312" w:eastAsia="仿宋_GB2312" w:cs="仿宋_GB2312"/>
                <w:b w:val="0"/>
                <w:bCs w:val="0"/>
                <w:kern w:val="2"/>
                <w:sz w:val="21"/>
                <w:szCs w:val="21"/>
                <w:highlight w:val="none"/>
                <w:vertAlign w:val="baseline"/>
                <w:lang w:val="en-US" w:eastAsia="zh-CN" w:bidi="ar-SA"/>
              </w:rPr>
              <w:t>货物</w:t>
            </w:r>
            <w:r>
              <w:rPr>
                <w:rFonts w:hint="default" w:ascii="仿宋_GB2312" w:hAnsi="仿宋_GB2312" w:eastAsia="仿宋_GB2312" w:cs="仿宋_GB2312"/>
                <w:b w:val="0"/>
                <w:bCs w:val="0"/>
                <w:kern w:val="2"/>
                <w:sz w:val="21"/>
                <w:szCs w:val="21"/>
                <w:highlight w:val="none"/>
                <w:vertAlign w:val="baseline"/>
                <w:lang w:val="en-US" w:eastAsia="zh-CN" w:bidi="ar-SA"/>
              </w:rPr>
              <w:t>的</w:t>
            </w:r>
            <w:r>
              <w:rPr>
                <w:rFonts w:hint="eastAsia" w:ascii="仿宋_GB2312" w:hAnsi="仿宋_GB2312" w:eastAsia="仿宋_GB2312" w:cs="仿宋_GB2312"/>
                <w:b w:val="0"/>
                <w:bCs w:val="0"/>
                <w:kern w:val="2"/>
                <w:sz w:val="21"/>
                <w:szCs w:val="21"/>
                <w:highlight w:val="none"/>
                <w:vertAlign w:val="baseline"/>
                <w:lang w:val="en-US" w:eastAsia="zh-CN" w:bidi="ar-SA"/>
              </w:rPr>
              <w:t>制造商</w:t>
            </w:r>
            <w:r>
              <w:rPr>
                <w:rFonts w:hint="default" w:ascii="仿宋_GB2312" w:hAnsi="仿宋_GB2312" w:eastAsia="仿宋_GB2312" w:cs="仿宋_GB2312"/>
                <w:b w:val="0"/>
                <w:bCs w:val="0"/>
                <w:kern w:val="2"/>
                <w:sz w:val="21"/>
                <w:szCs w:val="21"/>
                <w:highlight w:val="none"/>
                <w:vertAlign w:val="baseline"/>
                <w:lang w:val="en-US" w:eastAsia="zh-CN" w:bidi="ar-SA"/>
              </w:rPr>
              <w:t>应符合《政府采购促进中小企业发展管理办法》(财库〔2020〕46号) 第四条规定的情形，且应当提供《政府采购促进中小企业发展管理办法》(财库〔2020〕46号)规定的《中小企业声明函》。</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Merge w:val="restart"/>
            <w:vAlign w:val="center"/>
          </w:tcPr>
          <w:p w14:paraId="1B045CB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9</w:t>
            </w:r>
          </w:p>
        </w:tc>
        <w:tc>
          <w:tcPr>
            <w:tcW w:w="2536" w:type="dxa"/>
            <w:vAlign w:val="center"/>
          </w:tcPr>
          <w:p w14:paraId="2E3B53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本项目的特定资格要求（1）</w:t>
            </w:r>
          </w:p>
        </w:tc>
        <w:tc>
          <w:tcPr>
            <w:tcW w:w="5228" w:type="dxa"/>
            <w:vAlign w:val="center"/>
          </w:tcPr>
          <w:p w14:paraId="0C05B07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仿宋_GB2312" w:hAnsi="仿宋_GB2312" w:eastAsia="仿宋_GB2312" w:cs="仿宋_GB2312"/>
                <w:b/>
                <w:bCs/>
                <w:color w:val="auto"/>
                <w:sz w:val="21"/>
                <w:szCs w:val="21"/>
                <w:highlight w:val="none"/>
                <w:vertAlign w:val="baseline"/>
                <w:lang w:val="en-US" w:eastAsia="zh-CN"/>
              </w:rPr>
              <w:t>查询结果网页截图或信用报告</w:t>
            </w:r>
            <w:r>
              <w:rPr>
                <w:rFonts w:hint="eastAsia" w:ascii="仿宋_GB2312" w:hAnsi="仿宋_GB2312" w:eastAsia="仿宋_GB2312" w:cs="仿宋_GB2312"/>
                <w:b w:val="0"/>
                <w:bCs w:val="0"/>
                <w:sz w:val="21"/>
                <w:szCs w:val="21"/>
                <w:highlight w:val="none"/>
                <w:vertAlign w:val="baseline"/>
                <w:lang w:val="en-US" w:eastAsia="zh-CN"/>
              </w:rPr>
              <w:t>等。如相关失信记录已失效，供应商需提供相关证明资料）。</w:t>
            </w:r>
          </w:p>
          <w:p w14:paraId="10B2DFF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1E76595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highlight w:val="none"/>
                <w:lang w:val="en-US" w:eastAsia="zh-CN"/>
              </w:rPr>
            </w:pPr>
            <w:r>
              <w:rPr>
                <w:rFonts w:hint="eastAsia" w:ascii="仿宋_GB2312" w:hAnsi="仿宋_GB2312" w:eastAsia="仿宋_GB2312" w:cs="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1202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Merge w:val="continue"/>
            <w:vAlign w:val="center"/>
          </w:tcPr>
          <w:p w14:paraId="2868873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vertAlign w:val="baseline"/>
                <w:lang w:val="en-US" w:eastAsia="zh-CN"/>
              </w:rPr>
            </w:pPr>
          </w:p>
        </w:tc>
        <w:tc>
          <w:tcPr>
            <w:tcW w:w="2536" w:type="dxa"/>
            <w:vAlign w:val="center"/>
          </w:tcPr>
          <w:p w14:paraId="71F4B8E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本项目的特定资格要求（2）</w:t>
            </w:r>
          </w:p>
        </w:tc>
        <w:tc>
          <w:tcPr>
            <w:tcW w:w="5228" w:type="dxa"/>
            <w:vAlign w:val="center"/>
          </w:tcPr>
          <w:p w14:paraId="23700A6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bl>
    <w:p w14:paraId="0A29572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p>
    <w:p w14:paraId="7C4E364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p>
    <w:p w14:paraId="07BFD200">
      <w:pPr>
        <w:keepNext w:val="0"/>
        <w:keepLines w:val="0"/>
        <w:pageBreakBefore w:val="0"/>
        <w:widowControl w:val="0"/>
        <w:numPr>
          <w:ilvl w:val="0"/>
          <w:numId w:val="2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82" w:name="_Toc4337"/>
      <w:r>
        <w:rPr>
          <w:rFonts w:hint="eastAsia" w:ascii="仿宋_GB2312" w:hAnsi="仿宋_GB2312" w:eastAsia="仿宋_GB2312" w:cs="仿宋_GB2312"/>
          <w:b/>
          <w:bCs/>
          <w:sz w:val="24"/>
          <w:szCs w:val="24"/>
          <w:lang w:val="en-US" w:eastAsia="zh-CN"/>
        </w:rPr>
        <w:t>符合性审查</w:t>
      </w:r>
      <w:bookmarkEnd w:id="82"/>
    </w:p>
    <w:p w14:paraId="48B3A56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符合性审查要求</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投标报价未超过招标文件中规定的采购品目单价预算金额/单价最高限价或项目/采购包预算金额或者项目/采购包最高限价；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投标文件未出现可选择性或可调整的报价（招标文件另有规定的除外）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投标文件中承诺的投标有效期满足招标文件中载明的投标有效期的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按照招标文件要求签署、盖章的</w:t>
            </w:r>
          </w:p>
        </w:tc>
      </w:tr>
      <w:tr w14:paraId="377E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17" w:type="dxa"/>
            <w:vAlign w:val="center"/>
          </w:tcPr>
          <w:p w14:paraId="539A993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w:t>
            </w:r>
          </w:p>
        </w:tc>
        <w:tc>
          <w:tcPr>
            <w:tcW w:w="2132" w:type="dxa"/>
            <w:vAlign w:val="center"/>
          </w:tcPr>
          <w:p w14:paraId="6D674A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报价合理性</w:t>
            </w:r>
          </w:p>
        </w:tc>
        <w:tc>
          <w:tcPr>
            <w:tcW w:w="5573" w:type="dxa"/>
            <w:vAlign w:val="center"/>
          </w:tcPr>
          <w:p w14:paraId="05FF653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报价合理，或报价通过评标委员会异常低价投标(响应)审查</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8</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9</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投标文件中不存在违反国家法律、法规和招标文件规定的其他无效情形</w:t>
            </w:r>
          </w:p>
        </w:tc>
      </w:tr>
    </w:tbl>
    <w:p w14:paraId="5CA2148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p>
    <w:p w14:paraId="296CAACD">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83" w:name="_Toc23924"/>
      <w:r>
        <w:rPr>
          <w:rFonts w:hint="eastAsia" w:ascii="仿宋_GB2312" w:hAnsi="仿宋_GB2312" w:eastAsia="仿宋_GB2312" w:cs="仿宋_GB2312"/>
          <w:b/>
          <w:bCs/>
          <w:sz w:val="24"/>
          <w:szCs w:val="24"/>
          <w:lang w:val="en-US" w:eastAsia="zh-CN"/>
        </w:rPr>
        <w:t>投标文件有关事项的澄清或者说明</w:t>
      </w:r>
      <w:bookmarkEnd w:id="83"/>
    </w:p>
    <w:p w14:paraId="2C61505F">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F2ADD0">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异常低价审查：依据《关于推动解决政府采购异常低价问题的通知》（财库〔2026〕2号）政府采购评审中出现下列情形之一的，评审委员会应当启动异常低价投标（响应）审查程序：</w:t>
      </w:r>
    </w:p>
    <w:p w14:paraId="1F238F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（1）投标（响应）报价低于全部通过符合性审查供应商投标（响应）报价平均值50%的，即投标（响应）报价＜全部通过符合性审查供应商投标（响应）报价平均值×50%；</w:t>
      </w:r>
    </w:p>
    <w:p w14:paraId="2C37F2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（2）投标（响应）报价低于通过符合性审查的次低报价供应商投标（响应）报价50%的，即投标（响应）报价＜通过符合性审查的次低报价供应商投标（响应）报价×50%；</w:t>
      </w:r>
    </w:p>
    <w:p w14:paraId="19916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（3）投标（响应）报价低于采购项目最高限价45%的，即投标（响应）报价＜采购项目最高限价×45%；</w:t>
      </w:r>
    </w:p>
    <w:p w14:paraId="79AF48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（4）评审委员会基于专业判断，认为供应商报价过低，有可能影响产品质量或者不能诚信履约的其他情形。</w:t>
      </w:r>
    </w:p>
    <w:p w14:paraId="12FC9E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69FC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3E5BA0">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BCD98DA">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评标委员会不接受投标人主动提出的澄清、说明或补正。</w:t>
      </w:r>
    </w:p>
    <w:p w14:paraId="13931DCC">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对报价的计算错误按以下原则修正：</w:t>
      </w:r>
    </w:p>
    <w:p w14:paraId="6BA9F2A8">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中开标一览表内容与投标文件中相应内容不一致的，以开标一览表为准；（电子开评标系统中公布的开标记录（开标一览表）与投标文件中开标一览表（报价表）内容不一致的，以电子开评标系统中公布的开标记录内容为准）</w:t>
      </w:r>
    </w:p>
    <w:p w14:paraId="309BF24D">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大写金额和小写金额不一致的，以大写金额为准；</w:t>
      </w:r>
    </w:p>
    <w:p w14:paraId="100B9D68">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单价金额小数点或者百分比有明显错位的，以开标一览表的总价为准，并修改单价。</w:t>
      </w:r>
    </w:p>
    <w:p w14:paraId="716C239D">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总价金额与按单价汇总金额不一致的，以单价金额计算结果为准。但是单价金额计算结果超过预算金额/最高限价的，对其按</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 xml:space="preserve">处理。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65C9E84">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84" w:name="_Toc22049"/>
      <w:r>
        <w:rPr>
          <w:rFonts w:hint="eastAsia" w:ascii="仿宋_GB2312" w:hAnsi="仿宋_GB2312" w:eastAsia="仿宋_GB2312" w:cs="仿宋_GB2312"/>
          <w:b/>
          <w:bCs/>
          <w:sz w:val="24"/>
          <w:szCs w:val="24"/>
          <w:lang w:val="en-US" w:eastAsia="zh-CN"/>
        </w:rPr>
        <w:t>详细评审</w:t>
      </w:r>
      <w:bookmarkEnd w:id="84"/>
    </w:p>
    <w:p w14:paraId="65F94E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经资格审查和符合性审查合格的投标文件，评标委员会将根据《详细评审标准》，对其技术部分、商务部分及报价部分作进一步的综合比较和评价。详细评审标准如下：</w:t>
      </w:r>
    </w:p>
    <w:p w14:paraId="23A391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3A74984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46BF41B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69306BE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180158B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3CDA8EE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115DFB2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50BAAA2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p>
    <w:p w14:paraId="41F92E12">
      <w:p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br w:type="page"/>
      </w:r>
    </w:p>
    <w:p w14:paraId="35E89D6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详细评审标准</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975"/>
        <w:gridCol w:w="828"/>
        <w:gridCol w:w="5434"/>
      </w:tblGrid>
      <w:tr w14:paraId="4EEA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34" w:type="dxa"/>
            <w:gridSpan w:val="2"/>
            <w:vAlign w:val="center"/>
          </w:tcPr>
          <w:p w14:paraId="69136A7F">
            <w:pPr>
              <w:spacing w:line="240" w:lineRule="auto"/>
              <w:ind w:left="0" w:leftChars="0" w:right="638" w:rightChars="304"/>
              <w:jc w:val="center"/>
              <w:rPr>
                <w:rFonts w:hint="eastAsia" w:ascii="仿宋" w:hAnsi="仿宋" w:eastAsia="仿宋" w:cs="仿宋"/>
                <w:b/>
                <w:bCs w:val="0"/>
                <w:color w:val="auto"/>
                <w:sz w:val="24"/>
                <w:szCs w:val="24"/>
                <w:vertAlign w:val="baseline"/>
              </w:rPr>
            </w:pPr>
            <w:r>
              <w:rPr>
                <w:rFonts w:hint="eastAsia" w:ascii="仿宋" w:hAnsi="仿宋" w:eastAsia="仿宋" w:cs="仿宋"/>
                <w:b/>
                <w:bCs w:val="0"/>
                <w:color w:val="auto"/>
                <w:kern w:val="0"/>
                <w:sz w:val="24"/>
                <w:szCs w:val="24"/>
              </w:rPr>
              <w:t>评分因素</w:t>
            </w:r>
          </w:p>
        </w:tc>
        <w:tc>
          <w:tcPr>
            <w:tcW w:w="828" w:type="dxa"/>
            <w:vAlign w:val="center"/>
          </w:tcPr>
          <w:p w14:paraId="04D76D3B">
            <w:pPr>
              <w:spacing w:line="240" w:lineRule="auto"/>
              <w:ind w:left="0" w:leftChars="0" w:right="0" w:rightChars="0"/>
              <w:jc w:val="center"/>
              <w:rPr>
                <w:rFonts w:hint="eastAsia" w:ascii="仿宋" w:hAnsi="仿宋" w:eastAsia="仿宋" w:cs="仿宋"/>
                <w:b/>
                <w:bCs w:val="0"/>
                <w:color w:val="auto"/>
                <w:sz w:val="24"/>
                <w:szCs w:val="24"/>
                <w:vertAlign w:val="baseline"/>
              </w:rPr>
            </w:pPr>
            <w:r>
              <w:rPr>
                <w:rFonts w:hint="eastAsia" w:ascii="仿宋" w:hAnsi="仿宋" w:eastAsia="仿宋" w:cs="仿宋"/>
                <w:b/>
                <w:bCs w:val="0"/>
                <w:color w:val="auto"/>
                <w:kern w:val="0"/>
                <w:sz w:val="24"/>
                <w:szCs w:val="24"/>
              </w:rPr>
              <w:t>分值</w:t>
            </w:r>
          </w:p>
        </w:tc>
        <w:tc>
          <w:tcPr>
            <w:tcW w:w="5434" w:type="dxa"/>
            <w:vAlign w:val="center"/>
          </w:tcPr>
          <w:p w14:paraId="206E6583">
            <w:pPr>
              <w:spacing w:line="240" w:lineRule="auto"/>
              <w:ind w:left="0" w:leftChars="0" w:right="-31" w:rightChars="-15"/>
              <w:jc w:val="center"/>
              <w:rPr>
                <w:rFonts w:hint="eastAsia" w:ascii="仿宋" w:hAnsi="仿宋" w:eastAsia="仿宋" w:cs="仿宋"/>
                <w:b/>
                <w:bCs w:val="0"/>
                <w:color w:val="auto"/>
                <w:sz w:val="24"/>
                <w:szCs w:val="24"/>
                <w:vertAlign w:val="baseline"/>
              </w:rPr>
            </w:pPr>
            <w:r>
              <w:rPr>
                <w:rFonts w:hint="eastAsia" w:ascii="仿宋" w:hAnsi="仿宋" w:eastAsia="仿宋" w:cs="仿宋"/>
                <w:b/>
                <w:bCs w:val="0"/>
                <w:color w:val="auto"/>
                <w:kern w:val="0"/>
                <w:sz w:val="24"/>
                <w:szCs w:val="24"/>
              </w:rPr>
              <w:t>评分细则</w:t>
            </w:r>
          </w:p>
        </w:tc>
      </w:tr>
      <w:tr w14:paraId="371F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34" w:type="dxa"/>
            <w:gridSpan w:val="2"/>
            <w:vAlign w:val="center"/>
          </w:tcPr>
          <w:p w14:paraId="789455AA">
            <w:pPr>
              <w:spacing w:line="240" w:lineRule="auto"/>
              <w:ind w:left="0" w:leftChars="0" w:right="638" w:rightChars="304"/>
              <w:jc w:val="center"/>
              <w:rPr>
                <w:rFonts w:hint="eastAsia" w:ascii="仿宋" w:hAnsi="仿宋" w:eastAsia="仿宋" w:cs="仿宋"/>
                <w:b/>
                <w:bCs w:val="0"/>
                <w:color w:val="auto"/>
                <w:kern w:val="0"/>
                <w:sz w:val="24"/>
                <w:szCs w:val="24"/>
                <w:lang w:val="en-US" w:eastAsia="zh-CN"/>
              </w:rPr>
            </w:pPr>
            <w:r>
              <w:rPr>
                <w:rFonts w:hint="eastAsia" w:ascii="仿宋" w:hAnsi="仿宋" w:eastAsia="仿宋" w:cs="仿宋"/>
                <w:b w:val="0"/>
                <w:bCs/>
                <w:color w:val="auto"/>
                <w:kern w:val="0"/>
                <w:sz w:val="24"/>
                <w:szCs w:val="24"/>
                <w:lang w:val="en-US" w:eastAsia="zh-CN"/>
              </w:rPr>
              <w:t>分值构成</w:t>
            </w:r>
          </w:p>
        </w:tc>
        <w:tc>
          <w:tcPr>
            <w:tcW w:w="6262" w:type="dxa"/>
            <w:gridSpan w:val="2"/>
            <w:vAlign w:val="center"/>
          </w:tcPr>
          <w:p w14:paraId="6B700B18">
            <w:pPr>
              <w:spacing w:line="240" w:lineRule="auto"/>
              <w:ind w:left="0" w:leftChars="0" w:right="-31" w:rightChars="-15"/>
              <w:jc w:val="left"/>
              <w:rPr>
                <w:rFonts w:hint="eastAsia" w:ascii="仿宋" w:hAnsi="仿宋" w:eastAsia="仿宋" w:cs="仿宋"/>
                <w:b w:val="0"/>
                <w:bCs/>
                <w:color w:val="auto"/>
                <w:kern w:val="0"/>
                <w:sz w:val="24"/>
                <w:szCs w:val="24"/>
              </w:rPr>
            </w:pPr>
            <w:r>
              <w:rPr>
                <w:rFonts w:hint="eastAsia" w:ascii="仿宋" w:hAnsi="仿宋" w:eastAsia="仿宋" w:cs="仿宋"/>
                <w:b w:val="0"/>
                <w:bCs/>
                <w:color w:val="auto"/>
                <w:kern w:val="0"/>
                <w:sz w:val="24"/>
                <w:szCs w:val="24"/>
              </w:rPr>
              <w:t>商务技术部分</w:t>
            </w:r>
            <w:r>
              <w:rPr>
                <w:rFonts w:hint="eastAsia" w:ascii="仿宋" w:hAnsi="仿宋" w:eastAsia="仿宋" w:cs="仿宋"/>
                <w:b w:val="0"/>
                <w:bCs/>
                <w:color w:val="auto"/>
                <w:kern w:val="0"/>
                <w:sz w:val="24"/>
                <w:szCs w:val="24"/>
                <w:lang w:val="en-US" w:eastAsia="zh-CN"/>
              </w:rPr>
              <w:t>70</w:t>
            </w:r>
            <w:r>
              <w:rPr>
                <w:rFonts w:hint="eastAsia" w:ascii="仿宋" w:hAnsi="仿宋" w:eastAsia="仿宋" w:cs="仿宋"/>
                <w:b w:val="0"/>
                <w:bCs/>
                <w:color w:val="auto"/>
                <w:kern w:val="0"/>
                <w:sz w:val="24"/>
                <w:szCs w:val="24"/>
              </w:rPr>
              <w:t>.0分</w:t>
            </w:r>
          </w:p>
          <w:p w14:paraId="51D76E3E">
            <w:pPr>
              <w:spacing w:line="240" w:lineRule="auto"/>
              <w:ind w:left="0" w:leftChars="0" w:right="-31" w:rightChars="-15"/>
              <w:jc w:val="left"/>
              <w:rPr>
                <w:rFonts w:hint="eastAsia" w:ascii="仿宋" w:hAnsi="仿宋" w:eastAsia="仿宋" w:cs="仿宋"/>
                <w:b/>
                <w:bCs w:val="0"/>
                <w:color w:val="auto"/>
                <w:kern w:val="0"/>
                <w:sz w:val="24"/>
                <w:szCs w:val="24"/>
              </w:rPr>
            </w:pPr>
            <w:r>
              <w:rPr>
                <w:rFonts w:hint="eastAsia" w:ascii="仿宋" w:hAnsi="仿宋" w:eastAsia="仿宋" w:cs="仿宋"/>
                <w:b w:val="0"/>
                <w:bCs/>
                <w:color w:val="auto"/>
                <w:kern w:val="0"/>
                <w:sz w:val="24"/>
                <w:szCs w:val="24"/>
              </w:rPr>
              <w:t>报价得分</w:t>
            </w:r>
            <w:r>
              <w:rPr>
                <w:rFonts w:hint="eastAsia" w:ascii="仿宋" w:hAnsi="仿宋" w:eastAsia="仿宋" w:cs="仿宋"/>
                <w:b w:val="0"/>
                <w:bCs/>
                <w:color w:val="auto"/>
                <w:kern w:val="0"/>
                <w:sz w:val="24"/>
                <w:szCs w:val="24"/>
                <w:lang w:val="en-US" w:eastAsia="zh-CN"/>
              </w:rPr>
              <w:t>3</w:t>
            </w:r>
            <w:r>
              <w:rPr>
                <w:rFonts w:hint="eastAsia" w:ascii="仿宋" w:hAnsi="仿宋" w:eastAsia="仿宋" w:cs="仿宋"/>
                <w:b w:val="0"/>
                <w:bCs/>
                <w:color w:val="auto"/>
                <w:kern w:val="0"/>
                <w:sz w:val="24"/>
                <w:szCs w:val="24"/>
              </w:rPr>
              <w:t>0.0分</w:t>
            </w:r>
          </w:p>
        </w:tc>
      </w:tr>
      <w:tr w14:paraId="1702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34" w:type="dxa"/>
            <w:gridSpan w:val="2"/>
            <w:vAlign w:val="center"/>
          </w:tcPr>
          <w:p w14:paraId="2EA44A5E">
            <w:pPr>
              <w:pStyle w:val="18"/>
              <w:spacing w:line="240" w:lineRule="auto"/>
              <w:ind w:right="8" w:rightChars="0"/>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报价</w:t>
            </w:r>
            <w:r>
              <w:rPr>
                <w:rFonts w:hint="eastAsia" w:ascii="仿宋" w:hAnsi="仿宋" w:eastAsia="仿宋" w:cs="仿宋"/>
                <w:sz w:val="24"/>
                <w:szCs w:val="24"/>
                <w:vertAlign w:val="baseline"/>
              </w:rPr>
              <w:t>部分（30 分）</w:t>
            </w:r>
          </w:p>
        </w:tc>
        <w:tc>
          <w:tcPr>
            <w:tcW w:w="828" w:type="dxa"/>
            <w:vAlign w:val="center"/>
          </w:tcPr>
          <w:p w14:paraId="0FF4C9BE">
            <w:pPr>
              <w:pStyle w:val="18"/>
              <w:spacing w:line="240" w:lineRule="auto"/>
              <w:ind w:right="0" w:right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30</w:t>
            </w:r>
          </w:p>
        </w:tc>
        <w:tc>
          <w:tcPr>
            <w:tcW w:w="5434" w:type="dxa"/>
          </w:tcPr>
          <w:p w14:paraId="4148AAA9">
            <w:pPr>
              <w:pStyle w:val="18"/>
              <w:spacing w:line="240" w:lineRule="auto"/>
              <w:ind w:right="-31" w:rightChars="-15"/>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满足招</w:t>
            </w:r>
            <w:r>
              <w:rPr>
                <w:rFonts w:hint="eastAsia" w:ascii="仿宋" w:hAnsi="仿宋" w:eastAsia="仿宋" w:cs="仿宋"/>
                <w:sz w:val="24"/>
                <w:szCs w:val="24"/>
                <w:vertAlign w:val="baseline"/>
              </w:rPr>
              <w:t>标文件要求且投标价格最低的有效投标报价（即除低于成本报价以外的报价）为评标基准价。其他</w:t>
            </w:r>
            <w:r>
              <w:rPr>
                <w:rFonts w:hint="eastAsia" w:ascii="仿宋" w:hAnsi="仿宋" w:eastAsia="仿宋" w:cs="仿宋"/>
                <w:sz w:val="24"/>
                <w:szCs w:val="24"/>
                <w:vertAlign w:val="baseline"/>
                <w:lang w:val="en-US" w:eastAsia="zh-CN"/>
              </w:rPr>
              <w:t>投标人</w:t>
            </w:r>
            <w:r>
              <w:rPr>
                <w:rFonts w:hint="eastAsia" w:ascii="仿宋" w:hAnsi="仿宋" w:eastAsia="仿宋" w:cs="仿宋"/>
                <w:sz w:val="24"/>
                <w:szCs w:val="24"/>
                <w:vertAlign w:val="baseline"/>
              </w:rPr>
              <w:t>的价格分统一按照下列公式计算：</w:t>
            </w:r>
          </w:p>
          <w:p w14:paraId="22B6165A">
            <w:pPr>
              <w:pStyle w:val="18"/>
              <w:spacing w:line="240" w:lineRule="auto"/>
              <w:ind w:right="-31" w:rightChars="-15"/>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投标报价得分=（评标基准价/投标报价）×</w:t>
            </w:r>
            <w:r>
              <w:rPr>
                <w:rFonts w:hint="eastAsia" w:ascii="仿宋" w:hAnsi="仿宋" w:eastAsia="仿宋" w:cs="仿宋"/>
                <w:sz w:val="24"/>
                <w:szCs w:val="24"/>
                <w:vertAlign w:val="baseline"/>
                <w:lang w:val="en-US" w:eastAsia="zh-CN"/>
              </w:rPr>
              <w:t>价格满分分值</w:t>
            </w:r>
          </w:p>
        </w:tc>
      </w:tr>
      <w:tr w14:paraId="0A76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jc w:val="center"/>
        </w:trPr>
        <w:tc>
          <w:tcPr>
            <w:tcW w:w="1059" w:type="dxa"/>
            <w:vMerge w:val="restart"/>
            <w:tcBorders>
              <w:right w:val="single" w:color="000000" w:sz="4" w:space="0"/>
            </w:tcBorders>
            <w:vAlign w:val="center"/>
          </w:tcPr>
          <w:p w14:paraId="4E8F83DF">
            <w:pPr>
              <w:pStyle w:val="18"/>
              <w:spacing w:line="240" w:lineRule="auto"/>
              <w:ind w:right="-19" w:rightChars="-9"/>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商务技术部分</w:t>
            </w:r>
          </w:p>
          <w:p w14:paraId="181535D4">
            <w:pPr>
              <w:pStyle w:val="18"/>
              <w:spacing w:line="240" w:lineRule="auto"/>
              <w:ind w:right="-19" w:rightChars="-9"/>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（70分）</w:t>
            </w:r>
          </w:p>
        </w:tc>
        <w:tc>
          <w:tcPr>
            <w:tcW w:w="975" w:type="dxa"/>
            <w:tcBorders>
              <w:left w:val="single" w:color="000000" w:sz="4" w:space="0"/>
            </w:tcBorders>
            <w:vAlign w:val="center"/>
          </w:tcPr>
          <w:p w14:paraId="1AD8AA2F">
            <w:pPr>
              <w:pStyle w:val="18"/>
              <w:spacing w:line="240" w:lineRule="auto"/>
              <w:ind w:right="31" w:rightChars="15"/>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项目</w:t>
            </w:r>
          </w:p>
          <w:p w14:paraId="0BC59EE3">
            <w:pPr>
              <w:pStyle w:val="18"/>
              <w:spacing w:line="240" w:lineRule="auto"/>
              <w:ind w:right="31" w:rightChars="15"/>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业绩</w:t>
            </w:r>
          </w:p>
        </w:tc>
        <w:tc>
          <w:tcPr>
            <w:tcW w:w="828" w:type="dxa"/>
            <w:vAlign w:val="center"/>
          </w:tcPr>
          <w:p w14:paraId="738624EC">
            <w:pPr>
              <w:pStyle w:val="18"/>
              <w:spacing w:line="240" w:lineRule="auto"/>
              <w:ind w:right="0" w:right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6</w:t>
            </w:r>
          </w:p>
        </w:tc>
        <w:tc>
          <w:tcPr>
            <w:tcW w:w="5434" w:type="dxa"/>
          </w:tcPr>
          <w:p w14:paraId="5990DC30">
            <w:pPr>
              <w:pStyle w:val="18"/>
              <w:spacing w:line="240" w:lineRule="auto"/>
              <w:ind w:right="-31" w:rightChars="-15"/>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近三年（以合同签订时间为准）类似项目业绩（原厂业绩或供应商业绩均可），每提供一项得2分，本项最高得6分。证明材料：须提供合同关键页（仅限合同首页、项目内容页、签字盖章页）扫描件，并加盖供应商公章，未提供或不符合要求不得分。</w:t>
            </w:r>
          </w:p>
        </w:tc>
      </w:tr>
      <w:tr w14:paraId="4FC8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059" w:type="dxa"/>
            <w:vMerge w:val="continue"/>
            <w:tcBorders>
              <w:right w:val="single" w:color="000000" w:sz="4" w:space="0"/>
            </w:tcBorders>
            <w:vAlign w:val="center"/>
          </w:tcPr>
          <w:p w14:paraId="1D14FEEC">
            <w:pPr>
              <w:pStyle w:val="18"/>
              <w:spacing w:line="240" w:lineRule="auto"/>
              <w:ind w:right="638" w:rightChars="304"/>
              <w:jc w:val="center"/>
              <w:rPr>
                <w:rFonts w:hint="eastAsia" w:ascii="仿宋" w:hAnsi="仿宋" w:eastAsia="仿宋" w:cs="仿宋"/>
                <w:sz w:val="24"/>
                <w:szCs w:val="24"/>
                <w:vertAlign w:val="baseline"/>
              </w:rPr>
            </w:pPr>
          </w:p>
        </w:tc>
        <w:tc>
          <w:tcPr>
            <w:tcW w:w="975" w:type="dxa"/>
            <w:tcBorders>
              <w:left w:val="single" w:color="000000" w:sz="4" w:space="0"/>
            </w:tcBorders>
            <w:vAlign w:val="center"/>
          </w:tcPr>
          <w:p w14:paraId="27070398">
            <w:pPr>
              <w:pStyle w:val="18"/>
              <w:spacing w:line="240" w:lineRule="auto"/>
              <w:ind w:right="31" w:rightChars="15"/>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技术参数响应</w:t>
            </w:r>
          </w:p>
        </w:tc>
        <w:tc>
          <w:tcPr>
            <w:tcW w:w="828" w:type="dxa"/>
            <w:vAlign w:val="center"/>
          </w:tcPr>
          <w:p w14:paraId="0458BF68">
            <w:pPr>
              <w:pStyle w:val="18"/>
              <w:spacing w:line="240" w:lineRule="auto"/>
              <w:ind w:right="0" w:right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c>
          <w:tcPr>
            <w:tcW w:w="5434" w:type="dxa"/>
          </w:tcPr>
          <w:p w14:paraId="3ED2E5C2">
            <w:pPr>
              <w:pStyle w:val="18"/>
              <w:spacing w:line="240" w:lineRule="auto"/>
              <w:ind w:right="-31" w:rightChars="-15"/>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 xml:space="preserve">投标人针对本招标文件第五章采购需求二、技术要求的响应得分规则如下： </w:t>
            </w:r>
          </w:p>
          <w:p w14:paraId="2468F0E5">
            <w:pPr>
              <w:pStyle w:val="18"/>
              <w:spacing w:line="240" w:lineRule="auto"/>
              <w:ind w:right="-31" w:rightChars="-15"/>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投标文件技术规格响应全部满足招标要求的为30分，总分扣完为止。</w:t>
            </w:r>
          </w:p>
          <w:p w14:paraId="49F1CE98">
            <w:pPr>
              <w:pStyle w:val="18"/>
              <w:spacing w:line="240" w:lineRule="auto"/>
              <w:ind w:right="-31" w:rightChars="-15"/>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1.一般技术参数（非“▲”条款）偏离在30项以内(含30项)，每出现一条负偏离扣0.5分，满分30分，扣完为止。一般技术参数偏离超过30项，得0分。</w:t>
            </w:r>
          </w:p>
          <w:p w14:paraId="1E92FF84">
            <w:pPr>
              <w:pStyle w:val="18"/>
              <w:spacing w:line="240" w:lineRule="auto"/>
              <w:ind w:right="-31" w:rightChars="-15"/>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2.针对▲重要条款需提交功能截图或其他能证明参数真实、合规且可落地实现，确保投标参数无虚假响应等相关证明材料。其中有一项▲重要条款不满足的扣2分。</w:t>
            </w:r>
          </w:p>
          <w:p w14:paraId="2BDC657D">
            <w:pPr>
              <w:pStyle w:val="18"/>
              <w:spacing w:line="240" w:lineRule="auto"/>
              <w:ind w:right="-31" w:rightChars="-15"/>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 xml:space="preserve">注：投标人须对本招标文件技术要求进行点对点应答，必须 在引用本采购文件的基础上,进行逐条逐项答复、说明和解 释,特别对有具体参数要求的指标，投标人必须提供所投货 物的具体参数值。注：投标人须对本招标文件技术要求进行点对点应答，必须在引用本采购文件的基础上,进行逐条逐项答复、说明和解释,特别对有具体参数要求的指标，投标人必须提供所投货物的具体参数值。投标人需要提供所投产品的技术支持资料（或证明材料）不提供或不清楚或不准确，不予认可。 </w:t>
            </w:r>
          </w:p>
          <w:p w14:paraId="4DA2068D">
            <w:pPr>
              <w:pStyle w:val="18"/>
              <w:spacing w:line="240" w:lineRule="auto"/>
              <w:ind w:right="-31" w:rightChars="-15"/>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注：1.采购需求中如有要求提供相关证明材料的，需按要求提供相关证明材料（证明材料位置请用红框等标识作明显圈记），未提供或未按要求提供证明材料的视为负偏离；需求中如未要求提供证明材料的技术参数或条款以《采购需求偏离表》响应情况为准。 2.凡是标有序号的技术参数条款均以一项单独的条款计算，无论是否隶属于上一级编号。</w:t>
            </w:r>
          </w:p>
        </w:tc>
      </w:tr>
      <w:tr w14:paraId="5B3D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1059" w:type="dxa"/>
            <w:vMerge w:val="continue"/>
            <w:tcBorders>
              <w:right w:val="single" w:color="000000" w:sz="4" w:space="0"/>
            </w:tcBorders>
            <w:vAlign w:val="center"/>
          </w:tcPr>
          <w:p w14:paraId="1D9F881E">
            <w:pPr>
              <w:pStyle w:val="18"/>
              <w:spacing w:line="240" w:lineRule="auto"/>
              <w:ind w:right="638" w:rightChars="304"/>
              <w:jc w:val="center"/>
              <w:rPr>
                <w:rFonts w:hint="eastAsia" w:ascii="仿宋" w:hAnsi="仿宋" w:eastAsia="仿宋" w:cs="仿宋"/>
                <w:sz w:val="24"/>
                <w:szCs w:val="24"/>
                <w:vertAlign w:val="baseline"/>
              </w:rPr>
            </w:pPr>
          </w:p>
        </w:tc>
        <w:tc>
          <w:tcPr>
            <w:tcW w:w="975" w:type="dxa"/>
            <w:tcBorders>
              <w:left w:val="single" w:color="000000" w:sz="4" w:space="0"/>
            </w:tcBorders>
            <w:vAlign w:val="center"/>
          </w:tcPr>
          <w:p w14:paraId="133BB8B8">
            <w:pPr>
              <w:pStyle w:val="18"/>
              <w:spacing w:line="240" w:lineRule="auto"/>
              <w:ind w:right="31" w:rightChars="15"/>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项目实施方案</w:t>
            </w:r>
          </w:p>
        </w:tc>
        <w:tc>
          <w:tcPr>
            <w:tcW w:w="828" w:type="dxa"/>
            <w:vAlign w:val="center"/>
          </w:tcPr>
          <w:p w14:paraId="261AF3F0">
            <w:pPr>
              <w:pStyle w:val="18"/>
              <w:spacing w:line="240" w:lineRule="auto"/>
              <w:ind w:right="0" w:right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w:t>
            </w:r>
          </w:p>
        </w:tc>
        <w:tc>
          <w:tcPr>
            <w:tcW w:w="5434" w:type="dxa"/>
          </w:tcPr>
          <w:p w14:paraId="264281AD">
            <w:pPr>
              <w:pStyle w:val="18"/>
              <w:spacing w:line="240" w:lineRule="auto"/>
              <w:ind w:right="-31" w:rightChars="-15"/>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投标人提供项目实施方案，内容包括：①实施技术路线；②实施计划与保障；③质量保障措施；④风险管理与沟通机制；⑤设备配置保障。以上5项内容齐全得10分，每缺少一项扣2分，每项内容有缺陷扣0.5分。(缺陷是指：存在不适用项目实际情况的情形、凭空编造、内容前后不一致、前后逻辑错误、涉及的规范及标准错误、地点区域错误、内容遗漏、不符合采购需求等)</w:t>
            </w:r>
          </w:p>
        </w:tc>
      </w:tr>
      <w:tr w14:paraId="6B99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059" w:type="dxa"/>
            <w:vMerge w:val="continue"/>
            <w:tcBorders>
              <w:right w:val="single" w:color="000000" w:sz="4" w:space="0"/>
            </w:tcBorders>
            <w:vAlign w:val="center"/>
          </w:tcPr>
          <w:p w14:paraId="5C314D3F">
            <w:pPr>
              <w:pStyle w:val="18"/>
              <w:spacing w:line="240" w:lineRule="auto"/>
              <w:ind w:right="638" w:rightChars="304"/>
              <w:jc w:val="center"/>
              <w:rPr>
                <w:rFonts w:hint="eastAsia" w:ascii="仿宋" w:hAnsi="仿宋" w:eastAsia="仿宋" w:cs="仿宋"/>
                <w:sz w:val="24"/>
                <w:szCs w:val="24"/>
                <w:vertAlign w:val="baseline"/>
              </w:rPr>
            </w:pPr>
          </w:p>
        </w:tc>
        <w:tc>
          <w:tcPr>
            <w:tcW w:w="975" w:type="dxa"/>
            <w:tcBorders>
              <w:left w:val="single" w:color="000000" w:sz="4" w:space="0"/>
            </w:tcBorders>
            <w:vAlign w:val="center"/>
          </w:tcPr>
          <w:p w14:paraId="3C507ECE">
            <w:pPr>
              <w:pStyle w:val="18"/>
              <w:spacing w:line="240" w:lineRule="auto"/>
              <w:ind w:right="31" w:rightChars="15"/>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售后服务方案</w:t>
            </w:r>
          </w:p>
        </w:tc>
        <w:tc>
          <w:tcPr>
            <w:tcW w:w="828" w:type="dxa"/>
            <w:vAlign w:val="center"/>
          </w:tcPr>
          <w:p w14:paraId="5A03C4EB">
            <w:pPr>
              <w:pStyle w:val="18"/>
              <w:spacing w:line="240" w:lineRule="auto"/>
              <w:ind w:right="0" w:right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highlight w:val="none"/>
                <w:vertAlign w:val="baseline"/>
                <w:lang w:val="en-US" w:eastAsia="zh-CN"/>
              </w:rPr>
              <w:t>8</w:t>
            </w:r>
          </w:p>
        </w:tc>
        <w:tc>
          <w:tcPr>
            <w:tcW w:w="5434" w:type="dxa"/>
            <w:vAlign w:val="top"/>
          </w:tcPr>
          <w:p w14:paraId="1BE5F335">
            <w:pPr>
              <w:pStyle w:val="18"/>
              <w:spacing w:line="240" w:lineRule="auto"/>
              <w:ind w:right="-31" w:rightChars="-15"/>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投标人提供售后服务方案，内容包括：①服务体系与团队；②服务响应承诺（质保期不少于3年，7×24小时，1小时响应，2小时到场，3小时解决）；③服务方式与流程；④技术支持与升级。以上4项内容齐全得8分，每缺少一项扣2分，每项内容有缺陷扣0.5分。</w:t>
            </w:r>
            <w:r>
              <w:rPr>
                <w:rFonts w:hint="eastAsia" w:ascii="仿宋" w:hAnsi="仿宋" w:eastAsia="仿宋" w:cs="仿宋"/>
                <w:color w:val="auto"/>
                <w:sz w:val="24"/>
                <w:szCs w:val="24"/>
                <w:highlight w:val="none"/>
                <w:vertAlign w:val="baseline"/>
                <w:lang w:val="en-US" w:eastAsia="zh-CN"/>
              </w:rPr>
              <w:t>(缺陷是指：存在不适用项目实际情况的情形、凭空编造、内容前后不一致、前后逻辑错误、涉及的规范及标准错误、地点区域错误、内容遗漏、不符合采购需求等)</w:t>
            </w:r>
          </w:p>
        </w:tc>
      </w:tr>
      <w:tr w14:paraId="539F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059" w:type="dxa"/>
            <w:vMerge w:val="restart"/>
            <w:tcBorders>
              <w:right w:val="single" w:color="000000" w:sz="4" w:space="0"/>
            </w:tcBorders>
            <w:vAlign w:val="center"/>
          </w:tcPr>
          <w:p w14:paraId="4ECCBD18">
            <w:pPr>
              <w:pStyle w:val="18"/>
              <w:spacing w:line="240" w:lineRule="auto"/>
              <w:ind w:right="638" w:rightChars="304"/>
              <w:jc w:val="center"/>
              <w:rPr>
                <w:rFonts w:hint="eastAsia" w:ascii="仿宋" w:hAnsi="仿宋" w:eastAsia="仿宋" w:cs="仿宋"/>
                <w:sz w:val="24"/>
                <w:szCs w:val="24"/>
                <w:vertAlign w:val="baseline"/>
              </w:rPr>
            </w:pPr>
          </w:p>
        </w:tc>
        <w:tc>
          <w:tcPr>
            <w:tcW w:w="975" w:type="dxa"/>
            <w:tcBorders>
              <w:left w:val="single" w:color="000000" w:sz="4" w:space="0"/>
            </w:tcBorders>
            <w:vAlign w:val="center"/>
          </w:tcPr>
          <w:p w14:paraId="65CFA621">
            <w:pPr>
              <w:pStyle w:val="18"/>
              <w:spacing w:line="240" w:lineRule="auto"/>
              <w:ind w:right="31" w:rightChars="15"/>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培训方案</w:t>
            </w:r>
          </w:p>
        </w:tc>
        <w:tc>
          <w:tcPr>
            <w:tcW w:w="828" w:type="dxa"/>
            <w:vAlign w:val="center"/>
          </w:tcPr>
          <w:p w14:paraId="40104A06">
            <w:pPr>
              <w:pStyle w:val="18"/>
              <w:spacing w:line="240" w:lineRule="auto"/>
              <w:ind w:right="0" w:right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w:t>
            </w:r>
          </w:p>
        </w:tc>
        <w:tc>
          <w:tcPr>
            <w:tcW w:w="5434" w:type="dxa"/>
            <w:vAlign w:val="top"/>
          </w:tcPr>
          <w:p w14:paraId="3DCD1519">
            <w:pPr>
              <w:pStyle w:val="18"/>
              <w:spacing w:line="240" w:lineRule="auto"/>
              <w:ind w:right="-31" w:rightChars="-15"/>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投标人提供培训方案，内容包括：①培训对象与目标；②培训内容与计划；③培训方式与资料；④培训效果保障。以上4项内容齐全得4分，每缺少一项扣1分，每项内容有缺陷扣0.5分。</w:t>
            </w:r>
            <w:r>
              <w:rPr>
                <w:rFonts w:hint="eastAsia" w:ascii="仿宋" w:hAnsi="仿宋" w:eastAsia="仿宋" w:cs="仿宋"/>
                <w:color w:val="auto"/>
                <w:sz w:val="24"/>
                <w:szCs w:val="24"/>
                <w:highlight w:val="none"/>
                <w:vertAlign w:val="baseline"/>
                <w:lang w:val="en-US" w:eastAsia="zh-CN"/>
              </w:rPr>
              <w:t>(缺陷是指：存在不适用项目实际情况的情形、凭空编造、内容前后不一致、前后逻辑错误、涉及的规范及标准错误、地点区域错误、内容遗漏、不符合采购需求等)</w:t>
            </w:r>
          </w:p>
        </w:tc>
      </w:tr>
      <w:tr w14:paraId="2BDB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59" w:type="dxa"/>
            <w:vMerge w:val="continue"/>
            <w:tcBorders>
              <w:right w:val="single" w:color="000000" w:sz="4" w:space="0"/>
            </w:tcBorders>
            <w:vAlign w:val="center"/>
          </w:tcPr>
          <w:p w14:paraId="163E03FE">
            <w:pPr>
              <w:pStyle w:val="18"/>
              <w:spacing w:line="240" w:lineRule="auto"/>
              <w:ind w:right="638" w:rightChars="304"/>
              <w:jc w:val="center"/>
              <w:rPr>
                <w:rFonts w:hint="eastAsia" w:ascii="仿宋" w:hAnsi="仿宋" w:eastAsia="仿宋" w:cs="仿宋"/>
                <w:sz w:val="24"/>
                <w:szCs w:val="24"/>
                <w:vertAlign w:val="baseline"/>
              </w:rPr>
            </w:pPr>
          </w:p>
        </w:tc>
        <w:tc>
          <w:tcPr>
            <w:tcW w:w="975" w:type="dxa"/>
            <w:tcBorders>
              <w:left w:val="single" w:color="000000" w:sz="4" w:space="0"/>
            </w:tcBorders>
            <w:vAlign w:val="center"/>
          </w:tcPr>
          <w:p w14:paraId="7A176738">
            <w:pPr>
              <w:pStyle w:val="18"/>
              <w:spacing w:line="240" w:lineRule="auto"/>
              <w:ind w:right="31" w:rightChars="15"/>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项目投入人员情况</w:t>
            </w:r>
          </w:p>
        </w:tc>
        <w:tc>
          <w:tcPr>
            <w:tcW w:w="828" w:type="dxa"/>
            <w:vAlign w:val="center"/>
          </w:tcPr>
          <w:p w14:paraId="22CC6396">
            <w:pPr>
              <w:pStyle w:val="18"/>
              <w:spacing w:line="240" w:lineRule="auto"/>
              <w:ind w:right="0" w:rightChars="0"/>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9</w:t>
            </w:r>
          </w:p>
        </w:tc>
        <w:tc>
          <w:tcPr>
            <w:tcW w:w="5434" w:type="dxa"/>
            <w:vAlign w:val="top"/>
          </w:tcPr>
          <w:p w14:paraId="5D88EBDE">
            <w:pPr>
              <w:pStyle w:val="18"/>
              <w:spacing w:line="240" w:lineRule="auto"/>
              <w:ind w:right="-31" w:rightChars="-15"/>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项目投入人员情况（9分）：</w:t>
            </w:r>
          </w:p>
          <w:p w14:paraId="7091D080">
            <w:pPr>
              <w:pStyle w:val="18"/>
              <w:spacing w:line="240" w:lineRule="auto"/>
              <w:ind w:right="-31" w:rightChars="-15"/>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（1）投标人或所投生产厂商拟派项目经理1名：同</w:t>
            </w:r>
            <w:r>
              <w:rPr>
                <w:rFonts w:hint="eastAsia" w:ascii="仿宋" w:hAnsi="仿宋" w:eastAsia="仿宋" w:cs="仿宋"/>
                <w:color w:val="auto"/>
                <w:sz w:val="24"/>
                <w:szCs w:val="24"/>
                <w:highlight w:val="none"/>
                <w:vertAlign w:val="baseline"/>
                <w:lang w:val="en-US" w:eastAsia="zh-CN"/>
              </w:rPr>
              <w:t>时具备信息系统项目管理师证书（高级）、系统架构设计师证书（高级）。满足得3分，不满足不得分。</w:t>
            </w:r>
          </w:p>
          <w:p w14:paraId="6CC4AA30">
            <w:pPr>
              <w:pStyle w:val="18"/>
              <w:spacing w:line="240" w:lineRule="auto"/>
              <w:ind w:right="-31" w:rightChars="-15"/>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（2）投标人或所投生产厂家拟派项目技术负责人1名：同时具备系统架构设计师证书（高级）、系统分析师（高级）。满足得2分，不满足不得分。</w:t>
            </w:r>
          </w:p>
          <w:p w14:paraId="2B617371">
            <w:pPr>
              <w:pStyle w:val="18"/>
              <w:spacing w:line="240" w:lineRule="auto"/>
              <w:ind w:right="-31" w:rightChars="-15"/>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（3）投标人或所投产品生产厂商拟投入项目团队成员如</w:t>
            </w:r>
            <w:r>
              <w:rPr>
                <w:rFonts w:hint="eastAsia" w:ascii="仿宋" w:hAnsi="仿宋" w:eastAsia="仿宋" w:cs="仿宋"/>
                <w:color w:val="auto"/>
                <w:sz w:val="24"/>
                <w:szCs w:val="24"/>
                <w:highlight w:val="none"/>
                <w:vertAlign w:val="baseline"/>
                <w:lang w:val="en-US" w:eastAsia="zh-CN"/>
              </w:rPr>
              <w:t>具有计算机技术与软件专业技术资格中的以下证书（系统集成项目管理工程师、网络工程师、软件评测师、系统分析师），每提供1个证书得1分，同人员多本证书不重复计分，此项最多得4分。</w:t>
            </w:r>
          </w:p>
          <w:p w14:paraId="71E01F58">
            <w:pPr>
              <w:pStyle w:val="18"/>
              <w:spacing w:line="240" w:lineRule="auto"/>
              <w:ind w:right="-31" w:rightChars="-15"/>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注；以上人员需提供人员证件、近期社保缴纳证明或劳务合同。</w:t>
            </w:r>
          </w:p>
        </w:tc>
      </w:tr>
      <w:tr w14:paraId="1619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59" w:type="dxa"/>
            <w:vMerge w:val="continue"/>
            <w:tcBorders>
              <w:right w:val="single" w:color="000000" w:sz="4" w:space="0"/>
            </w:tcBorders>
            <w:vAlign w:val="center"/>
          </w:tcPr>
          <w:p w14:paraId="0AF469FF">
            <w:pPr>
              <w:pStyle w:val="18"/>
              <w:spacing w:line="240" w:lineRule="auto"/>
              <w:ind w:right="638" w:rightChars="304"/>
              <w:jc w:val="center"/>
              <w:rPr>
                <w:rFonts w:hint="eastAsia" w:ascii="仿宋" w:hAnsi="仿宋" w:eastAsia="仿宋" w:cs="仿宋"/>
                <w:sz w:val="24"/>
                <w:szCs w:val="24"/>
                <w:vertAlign w:val="baseline"/>
              </w:rPr>
            </w:pPr>
          </w:p>
        </w:tc>
        <w:tc>
          <w:tcPr>
            <w:tcW w:w="975" w:type="dxa"/>
            <w:tcBorders>
              <w:left w:val="single" w:color="000000" w:sz="4" w:space="0"/>
            </w:tcBorders>
            <w:vAlign w:val="center"/>
          </w:tcPr>
          <w:p w14:paraId="34130447">
            <w:pPr>
              <w:pStyle w:val="18"/>
              <w:spacing w:line="240" w:lineRule="auto"/>
              <w:ind w:right="31" w:rightChars="15"/>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投标人实力</w:t>
            </w:r>
          </w:p>
        </w:tc>
        <w:tc>
          <w:tcPr>
            <w:tcW w:w="828" w:type="dxa"/>
            <w:vAlign w:val="center"/>
          </w:tcPr>
          <w:p w14:paraId="7E1D1D7E">
            <w:pPr>
              <w:pStyle w:val="18"/>
              <w:spacing w:line="240" w:lineRule="auto"/>
              <w:ind w:right="0" w:rightChars="0"/>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w:t>
            </w:r>
          </w:p>
        </w:tc>
        <w:tc>
          <w:tcPr>
            <w:tcW w:w="5434" w:type="dxa"/>
            <w:vAlign w:val="top"/>
          </w:tcPr>
          <w:p w14:paraId="0DADE19E">
            <w:pPr>
              <w:pStyle w:val="18"/>
              <w:spacing w:line="240" w:lineRule="auto"/>
              <w:ind w:right="-31" w:rightChars="-15"/>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投标人具有①ISO9001质量管理体系认证证书、②ISO45001职业健康安全管理体系认证证书、③ISO27001信息安全管理体系认证；以上证书每提供一项有效证书得1分，满分3分，未提供不得分。需提供有效期内的清晰的证书复印件或扫描件加盖公章，并可在国家市场监督管理总局-全国认证认可信息公共服务平台查询。否则评审时不予认可。</w:t>
            </w:r>
          </w:p>
        </w:tc>
      </w:tr>
    </w:tbl>
    <w:p w14:paraId="4C4FCD2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39CD6B7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267FC55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0EF41E3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087D391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0FA8259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1631077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2ED9319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29124F0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4C69C43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56AB8AF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04FF14B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0B7E259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1FC05F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5A8E7E0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2FF9D66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235FDE3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6F99405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44E167E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44ED287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4F90630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4D14D1A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7C2B988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60226BF3">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落实中小企业政府采购政策的价格调整：</w:t>
      </w:r>
    </w:p>
    <w:p w14:paraId="7D9D5DE8">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_GB2312" w:hAnsi="仿宋_GB2312" w:eastAsia="仿宋_GB2312" w:cs="仿宋_GB2312"/>
          <w:b w:val="0"/>
          <w:bCs w:val="0"/>
          <w:sz w:val="24"/>
          <w:szCs w:val="24"/>
          <w:u w:val="single"/>
          <w:lang w:val="en-US" w:eastAsia="zh-CN"/>
        </w:rPr>
        <w:t xml:space="preserve"> 10 % </w:t>
      </w:r>
      <w:r>
        <w:rPr>
          <w:rFonts w:hint="eastAsia" w:ascii="仿宋_GB2312" w:hAnsi="仿宋_GB2312" w:eastAsia="仿宋_GB2312" w:cs="仿宋_GB2312"/>
          <w:b w:val="0"/>
          <w:bCs w:val="0"/>
          <w:sz w:val="24"/>
          <w:szCs w:val="24"/>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_GB2312" w:hAnsi="仿宋_GB2312" w:eastAsia="仿宋_GB2312" w:cs="仿宋_GB2312"/>
          <w:b w:val="0"/>
          <w:bCs w:val="0"/>
          <w:sz w:val="24"/>
          <w:szCs w:val="24"/>
          <w:u w:val="single"/>
          <w:lang w:val="en-US" w:eastAsia="zh-CN"/>
        </w:rPr>
        <w:t xml:space="preserve"> 30 %</w:t>
      </w:r>
      <w:r>
        <w:rPr>
          <w:rFonts w:hint="eastAsia" w:ascii="仿宋_GB2312" w:hAnsi="仿宋_GB2312" w:eastAsia="仿宋_GB2312" w:cs="仿宋_GB2312"/>
          <w:b w:val="0"/>
          <w:bCs w:val="0"/>
          <w:sz w:val="24"/>
          <w:szCs w:val="24"/>
          <w:lang w:val="en-US" w:eastAsia="zh-CN"/>
        </w:rPr>
        <w:t>以上的联合体或者大中型企业的报价给予</w:t>
      </w:r>
      <w:r>
        <w:rPr>
          <w:rFonts w:hint="eastAsia" w:ascii="仿宋_GB2312" w:hAnsi="仿宋_GB2312" w:eastAsia="仿宋_GB2312" w:cs="仿宋_GB2312"/>
          <w:b w:val="0"/>
          <w:bCs w:val="0"/>
          <w:sz w:val="24"/>
          <w:szCs w:val="24"/>
          <w:u w:val="single"/>
          <w:lang w:val="en-US" w:eastAsia="zh-CN"/>
        </w:rPr>
        <w:t xml:space="preserve"> 4% </w:t>
      </w:r>
      <w:r>
        <w:rPr>
          <w:rFonts w:hint="eastAsia" w:ascii="仿宋_GB2312" w:hAnsi="仿宋_GB2312" w:eastAsia="仿宋_GB2312" w:cs="仿宋_GB2312"/>
          <w:b w:val="0"/>
          <w:bCs w:val="0"/>
          <w:sz w:val="24"/>
          <w:szCs w:val="24"/>
          <w:lang w:val="en-US" w:eastAsia="zh-CN"/>
        </w:rPr>
        <w:t>的扣除，用扣除后的价格参加评审。</w:t>
      </w:r>
    </w:p>
    <w:p w14:paraId="3D4C67C0">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价格扣除比例对小型企业和微型企业同等对待，不作区分。</w:t>
      </w:r>
    </w:p>
    <w:p w14:paraId="57811A6C">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中小企业参加政府采购活动，应当按照招标文件给定的格式出具《中小企业声明函》，否则不得享受相关中小企业扶持政策。</w:t>
      </w:r>
    </w:p>
    <w:p w14:paraId="739A9E1E">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残疾人福利性单位按招标文件要求提供了《残疾人福利性单位声明函》（见附件）的，视同小微企业。</w:t>
      </w:r>
    </w:p>
    <w:p w14:paraId="0795C402">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若投标人同时属于小型或微型企业、监狱企业、残疾人福利性单位中的两种及以上，将不重复享受小微企业价格扣减的优惠政策。</w:t>
      </w:r>
    </w:p>
    <w:p w14:paraId="5679033D">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落实对本国产品的支持政策的价格调整：</w:t>
      </w:r>
    </w:p>
    <w:p w14:paraId="1A3F2D66">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7BC98C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E70E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C5D8A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0951FE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7A5F5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D0100ED">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single"/>
          <w:lang w:val="en-US" w:eastAsia="zh-CN"/>
        </w:rPr>
      </w:pPr>
      <w:r>
        <w:rPr>
          <w:rFonts w:hint="eastAsia" w:ascii="仿宋_GB2312" w:hAnsi="仿宋_GB2312" w:eastAsia="仿宋_GB2312" w:cs="仿宋_GB2312"/>
          <w:b w:val="0"/>
          <w:bCs w:val="0"/>
          <w:sz w:val="24"/>
          <w:szCs w:val="24"/>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仿宋_GB2312" w:hAnsi="仿宋_GB2312" w:eastAsia="仿宋_GB2312" w:cs="仿宋_GB2312"/>
          <w:b w:val="0"/>
          <w:bCs w:val="0"/>
          <w:sz w:val="24"/>
          <w:szCs w:val="24"/>
          <w:u w:val="single"/>
          <w:lang w:val="en-US" w:eastAsia="zh-CN"/>
        </w:rPr>
        <w:t>见详细评审标准。</w:t>
      </w:r>
    </w:p>
    <w:p w14:paraId="425BBF6C">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single"/>
          <w:lang w:val="en-US" w:eastAsia="zh-CN"/>
        </w:rPr>
      </w:pPr>
      <w:r>
        <w:rPr>
          <w:rFonts w:hint="eastAsia" w:ascii="仿宋_GB2312" w:hAnsi="仿宋_GB2312" w:eastAsia="仿宋_GB2312" w:cs="仿宋_GB2312"/>
          <w:b w:val="0"/>
          <w:bCs w:val="0"/>
          <w:sz w:val="24"/>
          <w:szCs w:val="24"/>
          <w:u w:val="none"/>
          <w:lang w:val="en-US" w:eastAsia="zh-CN"/>
        </w:rPr>
        <w:t>如采购人所采购产品为政府强制采购的节能产品，投标人所投产品的品牌及型号必须为清单中有效期内产品并提供证明文件，否则其投标将作为</w:t>
      </w:r>
      <w:r>
        <w:rPr>
          <w:rFonts w:hint="eastAsia" w:ascii="仿宋_GB2312" w:hAnsi="仿宋_GB2312" w:eastAsia="仿宋_GB2312" w:cs="仿宋_GB2312"/>
          <w:b/>
          <w:bCs/>
          <w:sz w:val="24"/>
          <w:szCs w:val="24"/>
          <w:u w:val="none"/>
          <w:lang w:val="en-US" w:eastAsia="zh-CN"/>
        </w:rPr>
        <w:t>无效投标</w:t>
      </w:r>
      <w:r>
        <w:rPr>
          <w:rFonts w:hint="eastAsia" w:ascii="仿宋_GB2312" w:hAnsi="仿宋_GB2312" w:eastAsia="仿宋_GB2312" w:cs="仿宋_GB2312"/>
          <w:b w:val="0"/>
          <w:bCs w:val="0"/>
          <w:sz w:val="24"/>
          <w:szCs w:val="24"/>
          <w:u w:val="none"/>
          <w:lang w:val="en-US" w:eastAsia="zh-CN"/>
        </w:rPr>
        <w:t>被拒绝。</w:t>
      </w:r>
    </w:p>
    <w:p w14:paraId="5CFA5CF8">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投标人所投产品列入无线局域网产品清单，应提供相关证明，在评标时予以优先采购，具体优惠措施为：</w:t>
      </w:r>
      <w:r>
        <w:rPr>
          <w:rFonts w:hint="eastAsia" w:ascii="仿宋_GB2312" w:hAnsi="仿宋_GB2312" w:eastAsia="仿宋_GB2312" w:cs="仿宋_GB2312"/>
          <w:b w:val="0"/>
          <w:bCs w:val="0"/>
          <w:sz w:val="24"/>
          <w:szCs w:val="24"/>
          <w:u w:val="single"/>
          <w:lang w:val="en-US" w:eastAsia="zh-CN"/>
        </w:rPr>
        <w:t>综合得分相同时排名优先 。</w:t>
      </w:r>
    </w:p>
    <w:p w14:paraId="545FE18F">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同品牌处理办法：</w:t>
      </w:r>
    </w:p>
    <w:p w14:paraId="733A9E77">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如采用最低评标办法，则：</w:t>
      </w:r>
      <w:r>
        <w:rPr>
          <w:rFonts w:hint="eastAsia" w:ascii="仿宋_GB2312" w:hAnsi="仿宋_GB2312" w:eastAsia="仿宋_GB2312" w:cs="仿宋_GB2312"/>
          <w:b w:val="0"/>
          <w:bCs w:val="0"/>
          <w:sz w:val="24"/>
          <w:szCs w:val="24"/>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如采用综合评标法，则：</w:t>
      </w:r>
      <w:r>
        <w:rPr>
          <w:rFonts w:hint="eastAsia" w:ascii="仿宋_GB2312" w:hAnsi="仿宋_GB2312" w:eastAsia="仿宋_GB2312" w:cs="仿宋_GB2312"/>
          <w:b w:val="0"/>
          <w:bCs w:val="0"/>
          <w:sz w:val="24"/>
          <w:szCs w:val="24"/>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如一个分包内包含多种产品的，采购人或采购代理机构将在</w:t>
      </w:r>
      <w:r>
        <w:rPr>
          <w:rFonts w:hint="eastAsia" w:ascii="仿宋_GB2312" w:hAnsi="仿宋_GB2312" w:eastAsia="仿宋_GB2312" w:cs="仿宋_GB2312"/>
          <w:b w:val="0"/>
          <w:bCs w:val="0"/>
          <w:sz w:val="24"/>
          <w:szCs w:val="24"/>
          <w:u w:val="single"/>
          <w:lang w:val="en-US" w:eastAsia="zh-CN"/>
        </w:rPr>
        <w:t>投标人须知前附表</w:t>
      </w:r>
      <w:r>
        <w:rPr>
          <w:rFonts w:hint="eastAsia" w:ascii="仿宋_GB2312" w:hAnsi="仿宋_GB2312" w:eastAsia="仿宋_GB2312" w:cs="仿宋_GB2312"/>
          <w:b w:val="0"/>
          <w:bCs w:val="0"/>
          <w:sz w:val="24"/>
          <w:szCs w:val="24"/>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确定中标候选人名单</w:t>
      </w:r>
    </w:p>
    <w:p w14:paraId="06C28066">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采用最低评标价法的，评标结果按投标报价由低到高顺序排列。投标报价相同的并列。投标文件满足招标文件全部实质性要求且投标报价最低的投标人为排名第一的中标候选人。</w:t>
      </w:r>
    </w:p>
    <w:p w14:paraId="6EA84E28">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仿宋_GB2312" w:hAnsi="仿宋_GB2312" w:eastAsia="仿宋_GB2312" w:cs="仿宋_GB2312"/>
          <w:b w:val="0"/>
          <w:bCs w:val="0"/>
          <w:sz w:val="24"/>
          <w:szCs w:val="24"/>
          <w:u w:val="single"/>
          <w:lang w:val="en-US" w:eastAsia="zh-CN"/>
        </w:rPr>
        <w:t xml:space="preserve"> 3 </w:t>
      </w:r>
      <w:r>
        <w:rPr>
          <w:rFonts w:hint="eastAsia" w:ascii="仿宋_GB2312" w:hAnsi="仿宋_GB2312" w:eastAsia="仿宋_GB2312" w:cs="仿宋_GB2312"/>
          <w:b w:val="0"/>
          <w:bCs w:val="0"/>
          <w:sz w:val="24"/>
          <w:szCs w:val="24"/>
          <w:u w:val="none"/>
          <w:lang w:val="en-US" w:eastAsia="zh-CN"/>
        </w:rPr>
        <w:t>名中标候选人。</w:t>
      </w:r>
    </w:p>
    <w:p w14:paraId="5E1D7ED9">
      <w:pPr>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br w:type="page"/>
      </w:r>
    </w:p>
    <w:p w14:paraId="3F71ADC6">
      <w:pPr>
        <w:pStyle w:val="3"/>
        <w:numPr>
          <w:ilvl w:val="0"/>
          <w:numId w:val="2"/>
        </w:numPr>
        <w:bidi w:val="0"/>
        <w:jc w:val="center"/>
        <w:rPr>
          <w:rFonts w:hint="eastAsia" w:ascii="方正小标宋简体" w:hAnsi="方正小标宋简体" w:eastAsia="方正小标宋简体" w:cs="方正小标宋简体"/>
          <w:sz w:val="32"/>
          <w:szCs w:val="32"/>
          <w:lang w:val="en-US" w:eastAsia="zh-CN"/>
        </w:rPr>
      </w:pPr>
      <w:bookmarkStart w:id="85" w:name="_Toc31337"/>
      <w:r>
        <w:rPr>
          <w:rFonts w:hint="eastAsia" w:ascii="方正小标宋简体" w:hAnsi="方正小标宋简体" w:eastAsia="方正小标宋简体" w:cs="方正小标宋简体"/>
          <w:sz w:val="32"/>
          <w:szCs w:val="32"/>
          <w:lang w:val="en-US" w:eastAsia="zh-CN"/>
        </w:rPr>
        <w:t>投标文件格式</w:t>
      </w:r>
      <w:bookmarkEnd w:id="85"/>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u w:val="none"/>
          <w:lang w:val="en-US" w:eastAsia="zh-CN"/>
        </w:rPr>
      </w:pPr>
      <w:r>
        <w:rPr>
          <w:rFonts w:hint="eastAsia" w:ascii="仿宋_GB2312" w:hAnsi="仿宋_GB2312" w:eastAsia="仿宋_GB2312" w:cs="仿宋_GB2312"/>
          <w:b/>
          <w:bCs/>
          <w:sz w:val="24"/>
          <w:szCs w:val="24"/>
          <w:u w:val="none"/>
          <w:lang w:val="en-US" w:eastAsia="zh-CN"/>
        </w:rPr>
        <w:t>投标人编制文件须知</w:t>
      </w:r>
    </w:p>
    <w:p w14:paraId="6B0A964B">
      <w:pPr>
        <w:keepNext w:val="0"/>
        <w:keepLines w:val="0"/>
        <w:pageBreakBefore w:val="0"/>
        <w:widowControl w:val="0"/>
        <w:numPr>
          <w:ilvl w:val="0"/>
          <w:numId w:val="23"/>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2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2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全部声明和问题的回答及所附材料必须是真实的、准确的和完整的。</w:t>
      </w:r>
    </w:p>
    <w:p w14:paraId="119B645E">
      <w:pPr>
        <w:keepNext w:val="0"/>
        <w:keepLines w:val="0"/>
        <w:pageBreakBefore w:val="0"/>
        <w:widowControl w:val="0"/>
        <w:numPr>
          <w:ilvl w:val="0"/>
          <w:numId w:val="2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2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2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br w:type="page"/>
      </w:r>
    </w:p>
    <w:p w14:paraId="539DD172">
      <w:pPr>
        <w:keepNext w:val="0"/>
        <w:keepLines w:val="0"/>
        <w:widowControl/>
        <w:suppressLineNumbers w:val="0"/>
        <w:jc w:val="left"/>
        <w:rPr>
          <w:rFonts w:hint="eastAsia" w:ascii="仿宋_GB2312" w:hAnsi="仿宋_GB2312" w:eastAsia="仿宋_GB2312" w:cs="仿宋_GB2312"/>
          <w:b/>
          <w:bCs/>
          <w:color w:val="000000"/>
          <w:kern w:val="0"/>
          <w:sz w:val="24"/>
          <w:szCs w:val="24"/>
          <w:lang w:val="en-US" w:eastAsia="zh-CN" w:bidi="ar"/>
        </w:rPr>
      </w:pPr>
    </w:p>
    <w:p w14:paraId="3E596A6C">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lang w:val="en-US" w:eastAsia="zh-CN" w:bidi="ar"/>
        </w:rPr>
      </w:pPr>
      <w:bookmarkStart w:id="86" w:name="_Toc10196"/>
      <w:r>
        <w:rPr>
          <w:rFonts w:hint="eastAsia" w:ascii="仿宋_GB2312" w:hAnsi="仿宋_GB2312" w:eastAsia="仿宋_GB2312" w:cs="仿宋_GB2312"/>
          <w:b/>
          <w:bCs/>
          <w:color w:val="000000"/>
          <w:kern w:val="0"/>
          <w:sz w:val="24"/>
          <w:szCs w:val="24"/>
          <w:lang w:val="en-US" w:eastAsia="zh-CN" w:bidi="ar"/>
        </w:rPr>
        <w:t>投标文件封面（参考格式）</w:t>
      </w:r>
      <w:bookmarkEnd w:id="86"/>
    </w:p>
    <w:p w14:paraId="1F3CB066">
      <w:pPr>
        <w:keepNext w:val="0"/>
        <w:keepLines w:val="0"/>
        <w:widowControl/>
        <w:suppressLineNumbers w:val="0"/>
        <w:jc w:val="left"/>
        <w:rPr>
          <w:rFonts w:hint="eastAsia" w:ascii="仿宋_GB2312" w:hAnsi="仿宋_GB2312" w:eastAsia="仿宋_GB2312" w:cs="仿宋_GB2312"/>
          <w:b/>
          <w:bCs/>
          <w:color w:val="000000"/>
          <w:kern w:val="0"/>
          <w:sz w:val="84"/>
          <w:szCs w:val="84"/>
          <w:lang w:val="en-US" w:eastAsia="zh-CN" w:bidi="ar"/>
        </w:rPr>
      </w:pPr>
    </w:p>
    <w:p w14:paraId="629957EA">
      <w:pPr>
        <w:keepNext w:val="0"/>
        <w:keepLines w:val="0"/>
        <w:widowControl/>
        <w:suppressLineNumbers w:val="0"/>
        <w:jc w:val="left"/>
        <w:rPr>
          <w:rFonts w:hint="eastAsia" w:ascii="仿宋_GB2312" w:hAnsi="仿宋_GB2312" w:eastAsia="仿宋_GB2312" w:cs="仿宋_GB2312"/>
          <w:b/>
          <w:bCs/>
          <w:color w:val="000000"/>
          <w:kern w:val="0"/>
          <w:sz w:val="84"/>
          <w:szCs w:val="84"/>
          <w:lang w:val="en-US" w:eastAsia="zh-CN" w:bidi="ar"/>
        </w:rPr>
      </w:pPr>
    </w:p>
    <w:p w14:paraId="341A2660">
      <w:pPr>
        <w:keepNext w:val="0"/>
        <w:keepLines w:val="0"/>
        <w:widowControl/>
        <w:suppressLineNumbers w:val="0"/>
        <w:jc w:val="center"/>
        <w:rPr>
          <w:rFonts w:hint="eastAsia" w:ascii="仿宋_GB2312" w:hAnsi="仿宋_GB2312" w:eastAsia="仿宋_GB2312" w:cs="仿宋_GB2312"/>
        </w:rPr>
      </w:pPr>
      <w:r>
        <w:rPr>
          <w:rFonts w:hint="eastAsia" w:ascii="仿宋_GB2312" w:hAnsi="仿宋_GB2312" w:eastAsia="仿宋_GB2312" w:cs="仿宋_GB2312"/>
          <w:b/>
          <w:bCs/>
          <w:color w:val="000000"/>
          <w:kern w:val="0"/>
          <w:sz w:val="84"/>
          <w:szCs w:val="84"/>
          <w:lang w:val="en-US" w:eastAsia="zh-CN" w:bidi="ar"/>
        </w:rPr>
        <w:t>投标文件</w:t>
      </w:r>
    </w:p>
    <w:p w14:paraId="0ABCB782">
      <w:pPr>
        <w:keepNext w:val="0"/>
        <w:keepLines w:val="0"/>
        <w:widowControl/>
        <w:suppressLineNumbers w:val="0"/>
        <w:jc w:val="left"/>
        <w:rPr>
          <w:rFonts w:hint="eastAsia" w:ascii="仿宋_GB2312" w:hAnsi="仿宋_GB2312" w:eastAsia="仿宋_GB2312" w:cs="仿宋_GB2312"/>
          <w:b/>
          <w:bCs/>
          <w:color w:val="000000"/>
          <w:kern w:val="0"/>
          <w:sz w:val="52"/>
          <w:szCs w:val="52"/>
          <w:lang w:val="en-US" w:eastAsia="zh-CN" w:bidi="ar"/>
        </w:rPr>
      </w:pPr>
    </w:p>
    <w:p w14:paraId="106C9206">
      <w:pPr>
        <w:keepNext w:val="0"/>
        <w:keepLines w:val="0"/>
        <w:widowControl/>
        <w:suppressLineNumbers w:val="0"/>
        <w:jc w:val="left"/>
        <w:rPr>
          <w:rFonts w:hint="eastAsia" w:ascii="仿宋_GB2312" w:hAnsi="仿宋_GB2312" w:eastAsia="仿宋_GB2312" w:cs="仿宋_GB2312"/>
          <w:b/>
          <w:bCs/>
          <w:color w:val="000000"/>
          <w:kern w:val="0"/>
          <w:sz w:val="52"/>
          <w:szCs w:val="52"/>
          <w:lang w:val="en-US" w:eastAsia="zh-CN" w:bidi="ar"/>
        </w:rPr>
      </w:pPr>
    </w:p>
    <w:p w14:paraId="536E4C12">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52"/>
          <w:szCs w:val="52"/>
          <w:lang w:val="en-US" w:eastAsia="zh-CN" w:bidi="ar"/>
        </w:rPr>
        <w:t xml:space="preserve"> </w:t>
      </w:r>
    </w:p>
    <w:p w14:paraId="6BB60FED">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3648D93C">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6964451D">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11C3C2D5">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lang w:val="en-US" w:eastAsia="zh-CN" w:bidi="ar"/>
        </w:rPr>
        <w:t xml:space="preserve">项目名称: </w:t>
      </w:r>
    </w:p>
    <w:p w14:paraId="0C5B87C0">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lang w:val="en-US" w:eastAsia="zh-CN" w:bidi="ar"/>
        </w:rPr>
        <w:t xml:space="preserve">项目编号/包号： </w:t>
      </w:r>
    </w:p>
    <w:p w14:paraId="0C7CFB0A">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3EE28D88">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558D7740">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56578063">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投标人名称（盖公章）：</w:t>
      </w:r>
    </w:p>
    <w:p w14:paraId="6DF6F501">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法定代表人或其授权代表（签字或印鉴）：</w:t>
      </w:r>
    </w:p>
    <w:p w14:paraId="774DD68A">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7925F7B8">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lang w:val="en-US" w:eastAsia="zh-CN" w:bidi="ar"/>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附件 1-1 法人或者其他组织的营业执照等证明文件或自然人的身份证明复印件;</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p>
    <w:p w14:paraId="2DAA4C01">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 xml:space="preserve">附件 </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2</w:t>
      </w:r>
      <w:r>
        <w:rPr>
          <w:rFonts w:hint="eastAsia" w:ascii="仿宋_GB2312" w:hAnsi="仿宋_GB2312" w:eastAsia="仿宋_GB2312" w:cs="仿宋_GB2312"/>
          <w:color w:val="000000"/>
          <w:kern w:val="0"/>
          <w:sz w:val="24"/>
          <w:u w:val="none"/>
          <w:lang w:bidi="ar"/>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87" w:name="_Toc16703"/>
      <w:r>
        <w:rPr>
          <w:rFonts w:hint="eastAsia" w:ascii="仿宋_GB2312" w:hAnsi="仿宋_GB2312" w:eastAsia="仿宋_GB2312" w:cs="仿宋_GB2312"/>
          <w:color w:val="000000"/>
          <w:kern w:val="0"/>
          <w:sz w:val="24"/>
          <w:u w:val="none"/>
          <w:lang w:bidi="ar"/>
        </w:rPr>
        <w:t>1、复印件并加盖本单位公章</w:t>
      </w:r>
      <w:bookmarkEnd w:id="87"/>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2、若提供的是复印件，采购人、采购代理机构保留审核原件的权利。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88" w:name="_Toc32425"/>
      <w:r>
        <w:rPr>
          <w:rFonts w:hint="eastAsia" w:ascii="仿宋_GB2312" w:hAnsi="仿宋_GB2312" w:eastAsia="仿宋_GB2312" w:cs="仿宋_GB2312"/>
          <w:color w:val="000000"/>
          <w:kern w:val="0"/>
          <w:sz w:val="24"/>
          <w:u w:val="none"/>
          <w:lang w:bidi="ar"/>
        </w:rPr>
        <w:t>3、如果是联合体投标，联合体各方均需提供上述证明。</w:t>
      </w:r>
      <w:bookmarkEnd w:id="88"/>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附件</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3</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val="en-US" w:eastAsia="zh-CN" w:bidi="ar"/>
        </w:rPr>
        <w:t xml:space="preserve"> </w:t>
      </w:r>
      <w:r>
        <w:rPr>
          <w:rFonts w:hint="eastAsia" w:ascii="仿宋_GB2312" w:hAnsi="仿宋_GB2312" w:eastAsia="仿宋_GB2312" w:cs="仿宋_GB2312"/>
          <w:color w:val="000000"/>
          <w:kern w:val="0"/>
          <w:sz w:val="24"/>
          <w:u w:val="none"/>
          <w:lang w:bidi="ar"/>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89" w:name="_Toc7512"/>
      <w:r>
        <w:rPr>
          <w:rFonts w:hint="eastAsia" w:ascii="仿宋_GB2312" w:hAnsi="仿宋_GB2312" w:eastAsia="仿宋_GB2312" w:cs="仿宋_GB2312"/>
          <w:color w:val="000000"/>
          <w:kern w:val="0"/>
          <w:sz w:val="24"/>
          <w:u w:val="none"/>
          <w:lang w:bidi="ar"/>
        </w:rPr>
        <w:t>1、复印件并加盖本单位公章</w:t>
      </w:r>
      <w:bookmarkEnd w:id="89"/>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2、若提供的是复印件，采购人、采购代理机构保留审核原件的权利。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90" w:name="_Toc8376"/>
      <w:r>
        <w:rPr>
          <w:rFonts w:hint="eastAsia" w:ascii="仿宋_GB2312" w:hAnsi="仿宋_GB2312" w:eastAsia="仿宋_GB2312" w:cs="仿宋_GB2312"/>
          <w:color w:val="000000"/>
          <w:kern w:val="0"/>
          <w:sz w:val="24"/>
          <w:u w:val="none"/>
          <w:lang w:bidi="ar"/>
        </w:rPr>
        <w:t>3、如果是联合体投标，联合体各方均需提供上述证明。</w:t>
      </w:r>
      <w:r>
        <w:rPr>
          <w:rFonts w:hint="eastAsia" w:ascii="仿宋_GB2312" w:hAnsi="仿宋_GB2312" w:eastAsia="仿宋_GB2312" w:cs="仿宋_GB2312"/>
          <w:color w:val="000000"/>
          <w:kern w:val="0"/>
          <w:sz w:val="24"/>
          <w:u w:val="none"/>
          <w:lang w:bidi="ar"/>
        </w:rPr>
        <w:br w:type="page"/>
      </w:r>
      <w:bookmarkEnd w:id="90"/>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附件</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4</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val="en-US" w:eastAsia="zh-CN" w:bidi="ar"/>
        </w:rPr>
        <w:t xml:space="preserve"> </w:t>
      </w:r>
      <w:r>
        <w:rPr>
          <w:rFonts w:hint="eastAsia" w:ascii="仿宋_GB2312" w:hAnsi="仿宋_GB2312" w:eastAsia="仿宋_GB2312" w:cs="仿宋_GB2312"/>
          <w:color w:val="000000"/>
          <w:kern w:val="0"/>
          <w:sz w:val="24"/>
          <w:u w:val="none"/>
          <w:lang w:bidi="ar"/>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91" w:name="_Toc3006"/>
      <w:r>
        <w:rPr>
          <w:rFonts w:hint="eastAsia" w:ascii="仿宋_GB2312" w:hAnsi="仿宋_GB2312" w:eastAsia="仿宋_GB2312" w:cs="仿宋_GB2312"/>
          <w:color w:val="000000"/>
          <w:kern w:val="0"/>
          <w:sz w:val="24"/>
          <w:u w:val="none"/>
          <w:lang w:bidi="ar"/>
        </w:rPr>
        <w:t>1、复印件并加盖本单位公章</w:t>
      </w:r>
      <w:bookmarkEnd w:id="91"/>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2、若提供的是复印件，采购人、采购代理机构保留审核原件的权利。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92" w:name="_Toc28907"/>
      <w:r>
        <w:rPr>
          <w:rFonts w:hint="eastAsia" w:ascii="仿宋_GB2312" w:hAnsi="仿宋_GB2312" w:eastAsia="仿宋_GB2312" w:cs="仿宋_GB2312"/>
          <w:color w:val="000000"/>
          <w:kern w:val="0"/>
          <w:sz w:val="24"/>
          <w:u w:val="none"/>
          <w:lang w:bidi="ar"/>
        </w:rPr>
        <w:t>3、如果是联合体投标，联合体各方均需提供上述证明。</w:t>
      </w:r>
      <w:bookmarkEnd w:id="92"/>
    </w:p>
    <w:p w14:paraId="3DC93A5A">
      <w:pPr>
        <w:rPr>
          <w:rFonts w:hint="eastAsia" w:ascii="仿宋_GB2312" w:hAnsi="仿宋_GB2312" w:eastAsia="仿宋_GB2312" w:cs="仿宋_GB2312"/>
          <w:color w:val="000000"/>
          <w:kern w:val="0"/>
          <w:sz w:val="24"/>
          <w:u w:val="none"/>
          <w:lang w:bidi="ar"/>
        </w:rPr>
      </w:pPr>
    </w:p>
    <w:p w14:paraId="17BAC0BF">
      <w:pP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br w:type="page"/>
      </w:r>
    </w:p>
    <w:p w14:paraId="6A0561F2">
      <w:pP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 xml:space="preserve">附件 </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5</w:t>
      </w:r>
      <w:r>
        <w:rPr>
          <w:rFonts w:hint="eastAsia" w:ascii="仿宋_GB2312" w:hAnsi="仿宋_GB2312" w:eastAsia="仿宋_GB2312" w:cs="仿宋_GB2312"/>
          <w:color w:val="000000"/>
          <w:kern w:val="0"/>
          <w:sz w:val="24"/>
          <w:u w:val="none"/>
          <w:lang w:bidi="ar"/>
        </w:rPr>
        <w:t xml:space="preserve"> 投标人资格声明书</w:t>
      </w:r>
    </w:p>
    <w:p w14:paraId="012E3139">
      <w:pPr>
        <w:rPr>
          <w:rFonts w:hint="eastAsia" w:ascii="仿宋_GB2312" w:hAnsi="仿宋_GB2312" w:eastAsia="仿宋_GB2312" w:cs="仿宋_GB2312"/>
          <w:color w:val="000000"/>
          <w:kern w:val="0"/>
          <w:sz w:val="24"/>
          <w:u w:val="none"/>
          <w:lang w:bidi="ar"/>
        </w:rPr>
      </w:pPr>
    </w:p>
    <w:p w14:paraId="5B9B0601">
      <w:pPr>
        <w:keepNext w:val="0"/>
        <w:keepLines w:val="0"/>
        <w:widowControl/>
        <w:suppressLineNumbers w:val="0"/>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color w:val="000000"/>
          <w:kern w:val="0"/>
          <w:sz w:val="24"/>
          <w:szCs w:val="24"/>
          <w:lang w:val="en-US" w:eastAsia="zh-CN" w:bidi="ar"/>
        </w:rPr>
        <w:t xml:space="preserve"> </w:t>
      </w:r>
      <w:r>
        <w:rPr>
          <w:rFonts w:hint="eastAsia" w:ascii="仿宋_GB2312" w:hAnsi="仿宋_GB2312" w:eastAsia="仿宋_GB2312" w:cs="仿宋_GB2312"/>
          <w:b w:val="0"/>
          <w:bCs w:val="0"/>
          <w:color w:val="000000"/>
          <w:kern w:val="0"/>
          <w:sz w:val="32"/>
          <w:szCs w:val="32"/>
          <w:lang w:val="en-US" w:eastAsia="zh-CN" w:bidi="ar"/>
        </w:rPr>
        <w:t>投标人资格声明书</w:t>
      </w:r>
    </w:p>
    <w:p w14:paraId="116E718F">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4D44D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 xml:space="preserve">采购人或采购代理机构 </w:t>
      </w:r>
    </w:p>
    <w:p w14:paraId="0594A9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在参与本次项目投标中，我单位承诺： </w:t>
      </w:r>
    </w:p>
    <w:p w14:paraId="0E3659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（一）具有良好的商业信誉和健全的财务会计制度； </w:t>
      </w:r>
    </w:p>
    <w:p w14:paraId="34F8D0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（二）具有履行合同所必需的设备和专业技术能力； </w:t>
      </w:r>
    </w:p>
    <w:p w14:paraId="20F7FF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（三）有依法缴纳税收和社会保障资金的良好记录； </w:t>
      </w:r>
    </w:p>
    <w:p w14:paraId="5195C0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8CEE8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（五）我单位不属于政府采购法律、行政法规规定的公益一类事业单位、或使用事业编制且由财政拨款保障的群团组织（仅适用于政府购买服务项目）； </w:t>
      </w:r>
    </w:p>
    <w:p w14:paraId="3549E1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（六）我单位不存在为采购项目提供整体设计、规范编制或者项目管理、监理、检测等服务后，再参加该采购项目的其他采购活动的情形（单一来源采购项目除外）； </w:t>
      </w:r>
    </w:p>
    <w:p w14:paraId="032BC6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上述声明真实有效，否则我方负全部责任。 </w:t>
      </w:r>
    </w:p>
    <w:p w14:paraId="0069E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投标人名称：  </w:t>
      </w:r>
      <w:r>
        <w:rPr>
          <w:rFonts w:hint="eastAsia" w:ascii="仿宋_GB2312" w:hAnsi="仿宋_GB2312" w:eastAsia="仿宋_GB2312" w:cs="仿宋_GB2312"/>
          <w:i w:val="0"/>
          <w:iCs w:val="0"/>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法定代表人或其授权代理人：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ab/>
      </w:r>
      <w:r>
        <w:rPr>
          <w:rFonts w:hint="eastAsia" w:ascii="仿宋_GB2312" w:hAnsi="仿宋_GB2312" w:eastAsia="仿宋_GB2312" w:cs="仿宋_GB2312"/>
          <w:color w:val="000000"/>
          <w:kern w:val="0"/>
          <w:sz w:val="24"/>
          <w:szCs w:val="24"/>
          <w:u w:val="single"/>
          <w:lang w:val="en-US" w:eastAsia="zh-CN" w:bidi="ar"/>
        </w:rPr>
        <w:t>（签字或印鉴）</w:t>
      </w:r>
      <w:r>
        <w:rPr>
          <w:rFonts w:hint="eastAsia" w:ascii="仿宋_GB2312" w:hAnsi="仿宋_GB2312" w:eastAsia="仿宋_GB2312" w:cs="仿宋_GB2312"/>
          <w:color w:val="000000"/>
          <w:kern w:val="0"/>
          <w:sz w:val="24"/>
          <w:szCs w:val="24"/>
          <w:lang w:val="en-US" w:eastAsia="zh-CN" w:bidi="ar"/>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p>
    <w:p w14:paraId="5D7F9198">
      <w:pPr>
        <w:rPr>
          <w:rFonts w:hint="eastAsia" w:ascii="仿宋_GB2312" w:hAnsi="仿宋_GB2312" w:eastAsia="仿宋_GB2312" w:cs="仿宋_GB2312"/>
          <w:color w:val="000000"/>
          <w:kern w:val="0"/>
          <w:sz w:val="24"/>
          <w:szCs w:val="24"/>
          <w:lang w:val="en-US" w:eastAsia="zh-CN" w:bidi="ar"/>
        </w:rPr>
      </w:pPr>
    </w:p>
    <w:p w14:paraId="07DD6F5E">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93" w:name="_Toc32152"/>
      <w:r>
        <w:rPr>
          <w:rFonts w:hint="eastAsia" w:ascii="仿宋_GB2312" w:hAnsi="仿宋_GB2312" w:eastAsia="仿宋_GB2312" w:cs="仿宋_GB2312"/>
          <w:color w:val="000000"/>
          <w:kern w:val="0"/>
          <w:sz w:val="24"/>
          <w:szCs w:val="24"/>
          <w:lang w:val="en-US" w:eastAsia="zh-CN" w:bidi="ar"/>
        </w:rPr>
        <w:t>2 落实政府采购政策需满足的资格要求（如有）</w:t>
      </w:r>
      <w:bookmarkEnd w:id="93"/>
      <w:r>
        <w:rPr>
          <w:rFonts w:hint="eastAsia" w:ascii="仿宋_GB2312" w:hAnsi="仿宋_GB2312" w:eastAsia="仿宋_GB2312" w:cs="仿宋_GB2312"/>
          <w:color w:val="000000"/>
          <w:kern w:val="0"/>
          <w:sz w:val="24"/>
          <w:szCs w:val="24"/>
          <w:lang w:val="en-US" w:eastAsia="zh-CN" w:bidi="ar"/>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（1）如本项目（包）不专门面向中小企业预留采购份额，资格证明文件部分无需提供《中小企业声明函》。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6156F9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563EBC2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级以上监狱管理局、戒毒管理局（含新疆生产建设兵团）出具的属于监狱企业</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 xml:space="preserve">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如本项目（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6）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E9893DA">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5B0137AA">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lang w:val="en-US" w:eastAsia="zh-CN"/>
        </w:rPr>
      </w:pPr>
      <w:r>
        <w:rPr>
          <w:rStyle w:val="28"/>
          <w:rFonts w:hint="eastAsia" w:ascii="仿宋_GB2312" w:hAnsi="仿宋_GB2312" w:eastAsia="仿宋_GB2312" w:cs="仿宋_GB2312"/>
          <w:i w:val="0"/>
          <w:iCs w:val="0"/>
          <w:caps w:val="0"/>
          <w:color w:val="000000"/>
          <w:spacing w:val="0"/>
          <w:sz w:val="32"/>
          <w:szCs w:val="32"/>
        </w:rPr>
        <w:t>中小企业声明函</w:t>
      </w:r>
      <w:r>
        <w:rPr>
          <w:rStyle w:val="28"/>
          <w:rFonts w:hint="eastAsia" w:ascii="仿宋_GB2312" w:hAnsi="仿宋_GB2312" w:eastAsia="仿宋_GB2312" w:cs="仿宋_GB2312"/>
          <w:i w:val="0"/>
          <w:iCs w:val="0"/>
          <w:caps w:val="0"/>
          <w:color w:val="000000"/>
          <w:spacing w:val="0"/>
          <w:sz w:val="32"/>
          <w:szCs w:val="32"/>
          <w:lang w:eastAsia="zh-CN"/>
        </w:rPr>
        <w:t>（</w:t>
      </w:r>
      <w:r>
        <w:rPr>
          <w:rStyle w:val="28"/>
          <w:rFonts w:hint="eastAsia" w:ascii="仿宋_GB2312" w:hAnsi="仿宋_GB2312" w:eastAsia="仿宋_GB2312" w:cs="仿宋_GB2312"/>
          <w:i w:val="0"/>
          <w:iCs w:val="0"/>
          <w:caps w:val="0"/>
          <w:color w:val="000000"/>
          <w:spacing w:val="0"/>
          <w:sz w:val="32"/>
          <w:szCs w:val="32"/>
        </w:rPr>
        <w:t>货物</w:t>
      </w:r>
      <w:r>
        <w:rPr>
          <w:rStyle w:val="28"/>
          <w:rFonts w:hint="eastAsia" w:ascii="仿宋_GB2312" w:hAnsi="仿宋_GB2312" w:eastAsia="仿宋_GB2312" w:cs="仿宋_GB2312"/>
          <w:i w:val="0"/>
          <w:iCs w:val="0"/>
          <w:caps w:val="0"/>
          <w:color w:val="000000"/>
          <w:spacing w:val="0"/>
          <w:sz w:val="32"/>
          <w:szCs w:val="32"/>
          <w:lang w:eastAsia="zh-CN"/>
        </w:rPr>
        <w:t>）</w:t>
      </w:r>
    </w:p>
    <w:p w14:paraId="4B1DA708">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rPr>
      </w:pPr>
      <w:r>
        <w:rPr>
          <w:rFonts w:hint="eastAsia" w:ascii="仿宋_GB2312" w:hAnsi="仿宋_GB2312" w:eastAsia="仿宋_GB2312" w:cs="仿宋_GB2312"/>
          <w:i w:val="0"/>
          <w:iCs w:val="0"/>
          <w:caps w:val="0"/>
          <w:color w:val="000000"/>
          <w:spacing w:val="0"/>
          <w:sz w:val="27"/>
          <w:szCs w:val="27"/>
        </w:rPr>
        <w:t> </w:t>
      </w:r>
    </w:p>
    <w:p w14:paraId="08DC606D">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u w:val="single"/>
        </w:rPr>
        <w:t>（单位名称）</w:t>
      </w:r>
      <w:r>
        <w:rPr>
          <w:rFonts w:hint="eastAsia" w:ascii="仿宋_GB2312" w:hAnsi="仿宋_GB2312" w:eastAsia="仿宋_GB2312" w:cs="仿宋_GB2312"/>
          <w:i w:val="0"/>
          <w:iCs w:val="0"/>
          <w:caps w:val="0"/>
          <w:color w:val="000000"/>
          <w:spacing w:val="0"/>
          <w:sz w:val="24"/>
          <w:szCs w:val="24"/>
        </w:rPr>
        <w:t>的</w:t>
      </w:r>
      <w:r>
        <w:rPr>
          <w:rFonts w:hint="eastAsia" w:ascii="仿宋_GB2312" w:hAnsi="仿宋_GB2312" w:eastAsia="仿宋_GB2312" w:cs="仿宋_GB2312"/>
          <w:i/>
          <w:iCs/>
          <w:caps w:val="0"/>
          <w:color w:val="000000"/>
          <w:spacing w:val="0"/>
          <w:sz w:val="24"/>
          <w:szCs w:val="24"/>
          <w:u w:val="single"/>
        </w:rPr>
        <w:t>（项目名称）</w:t>
      </w:r>
      <w:r>
        <w:rPr>
          <w:rFonts w:hint="eastAsia" w:ascii="仿宋_GB2312" w:hAnsi="仿宋_GB2312" w:eastAsia="仿宋_GB2312" w:cs="仿宋_GB2312"/>
          <w:i w:val="0"/>
          <w:iCs w:val="0"/>
          <w:caps w:val="0"/>
          <w:color w:val="000000"/>
          <w:spacing w:val="0"/>
          <w:sz w:val="24"/>
          <w:szCs w:val="24"/>
        </w:rPr>
        <w:t>采购活动，提供的货物全部由符合政策要求的中小企业制造。相关企业（含联合体中的中小企业、签订分包意向协议的中小企业）的具体情况如下：</w:t>
      </w:r>
    </w:p>
    <w:p w14:paraId="7A74E475">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1.</w:t>
      </w:r>
      <w:r>
        <w:rPr>
          <w:rFonts w:hint="eastAsia" w:ascii="仿宋_GB2312" w:hAnsi="仿宋_GB2312" w:eastAsia="仿宋_GB2312" w:cs="仿宋_GB2312"/>
          <w:i/>
          <w:iCs/>
          <w:caps w:val="0"/>
          <w:color w:val="000000"/>
          <w:spacing w:val="0"/>
          <w:sz w:val="24"/>
          <w:szCs w:val="24"/>
          <w:u w:val="single"/>
        </w:rPr>
        <w:t>（标的名称）</w:t>
      </w:r>
      <w:r>
        <w:rPr>
          <w:rFonts w:hint="eastAsia" w:ascii="仿宋_GB2312" w:hAnsi="仿宋_GB2312" w:eastAsia="仿宋_GB2312" w:cs="仿宋_GB2312"/>
          <w:i w:val="0"/>
          <w:iCs w:val="0"/>
          <w:caps w:val="0"/>
          <w:color w:val="000000"/>
          <w:spacing w:val="0"/>
          <w:sz w:val="24"/>
          <w:szCs w:val="24"/>
        </w:rPr>
        <w:t>，属于</w:t>
      </w:r>
      <w:r>
        <w:rPr>
          <w:rFonts w:hint="eastAsia" w:ascii="仿宋_GB2312" w:hAnsi="仿宋_GB2312" w:eastAsia="仿宋_GB2312" w:cs="仿宋_GB2312"/>
          <w:i/>
          <w:iCs/>
          <w:caps w:val="0"/>
          <w:color w:val="000000"/>
          <w:spacing w:val="0"/>
          <w:sz w:val="24"/>
          <w:szCs w:val="24"/>
          <w:u w:val="single"/>
        </w:rPr>
        <w:t>（采购文件中明确的所属行业）</w:t>
      </w:r>
      <w:r>
        <w:rPr>
          <w:rFonts w:hint="eastAsia" w:ascii="仿宋_GB2312" w:hAnsi="仿宋_GB2312" w:eastAsia="仿宋_GB2312" w:cs="仿宋_GB2312"/>
          <w:i w:val="0"/>
          <w:iCs w:val="0"/>
          <w:caps w:val="0"/>
          <w:color w:val="000000"/>
          <w:spacing w:val="0"/>
          <w:sz w:val="24"/>
          <w:szCs w:val="24"/>
        </w:rPr>
        <w:t>；制造商为</w:t>
      </w:r>
      <w:r>
        <w:rPr>
          <w:rFonts w:hint="eastAsia" w:ascii="仿宋_GB2312" w:hAnsi="仿宋_GB2312" w:eastAsia="仿宋_GB2312" w:cs="仿宋_GB2312"/>
          <w:i/>
          <w:iCs/>
          <w:caps w:val="0"/>
          <w:color w:val="000000"/>
          <w:spacing w:val="0"/>
          <w:sz w:val="24"/>
          <w:szCs w:val="24"/>
          <w:u w:val="single"/>
        </w:rPr>
        <w:t>（企业名称）</w:t>
      </w:r>
      <w:r>
        <w:rPr>
          <w:rFonts w:hint="eastAsia" w:ascii="仿宋_GB2312" w:hAnsi="仿宋_GB2312" w:eastAsia="仿宋_GB2312" w:cs="仿宋_GB2312"/>
          <w:i w:val="0"/>
          <w:iCs w:val="0"/>
          <w:caps w:val="0"/>
          <w:color w:val="000000"/>
          <w:spacing w:val="0"/>
          <w:sz w:val="24"/>
          <w:szCs w:val="24"/>
        </w:rPr>
        <w:t>，从业人员</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人，营业收入为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万元，资产总额为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万元，属于</w:t>
      </w:r>
      <w:r>
        <w:rPr>
          <w:rFonts w:hint="eastAsia" w:ascii="仿宋_GB2312" w:hAnsi="仿宋_GB2312" w:eastAsia="仿宋_GB2312" w:cs="仿宋_GB2312"/>
          <w:i/>
          <w:iCs/>
          <w:caps w:val="0"/>
          <w:color w:val="000000"/>
          <w:spacing w:val="0"/>
          <w:sz w:val="24"/>
          <w:szCs w:val="24"/>
          <w:u w:val="single"/>
        </w:rPr>
        <w:t>（中型企业、小型企业、微型企业）</w:t>
      </w:r>
      <w:r>
        <w:rPr>
          <w:rFonts w:hint="eastAsia" w:ascii="仿宋_GB2312" w:hAnsi="仿宋_GB2312" w:eastAsia="仿宋_GB2312" w:cs="仿宋_GB2312"/>
          <w:i w:val="0"/>
          <w:iCs w:val="0"/>
          <w:caps w:val="0"/>
          <w:color w:val="000000"/>
          <w:spacing w:val="0"/>
          <w:sz w:val="24"/>
          <w:szCs w:val="24"/>
        </w:rPr>
        <w:t>；</w:t>
      </w:r>
    </w:p>
    <w:p w14:paraId="1CA98128">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2.</w:t>
      </w:r>
      <w:r>
        <w:rPr>
          <w:rFonts w:hint="eastAsia" w:ascii="仿宋_GB2312" w:hAnsi="仿宋_GB2312" w:eastAsia="仿宋_GB2312" w:cs="仿宋_GB2312"/>
          <w:i/>
          <w:iCs/>
          <w:caps w:val="0"/>
          <w:color w:val="000000"/>
          <w:spacing w:val="0"/>
          <w:sz w:val="24"/>
          <w:szCs w:val="24"/>
          <w:u w:val="single"/>
        </w:rPr>
        <w:t>（标的名称）</w:t>
      </w:r>
      <w:r>
        <w:rPr>
          <w:rFonts w:hint="eastAsia" w:ascii="仿宋_GB2312" w:hAnsi="仿宋_GB2312" w:eastAsia="仿宋_GB2312" w:cs="仿宋_GB2312"/>
          <w:i w:val="0"/>
          <w:iCs w:val="0"/>
          <w:caps w:val="0"/>
          <w:color w:val="000000"/>
          <w:spacing w:val="0"/>
          <w:sz w:val="24"/>
          <w:szCs w:val="24"/>
        </w:rPr>
        <w:t>，属于</w:t>
      </w:r>
      <w:r>
        <w:rPr>
          <w:rFonts w:hint="eastAsia" w:ascii="仿宋_GB2312" w:hAnsi="仿宋_GB2312" w:eastAsia="仿宋_GB2312" w:cs="仿宋_GB2312"/>
          <w:i/>
          <w:iCs/>
          <w:caps w:val="0"/>
          <w:color w:val="000000"/>
          <w:spacing w:val="0"/>
          <w:sz w:val="24"/>
          <w:szCs w:val="24"/>
          <w:u w:val="single"/>
        </w:rPr>
        <w:t>（采购文件中明确的所属行业）</w:t>
      </w:r>
      <w:r>
        <w:rPr>
          <w:rFonts w:hint="eastAsia" w:ascii="仿宋_GB2312" w:hAnsi="仿宋_GB2312" w:eastAsia="仿宋_GB2312" w:cs="仿宋_GB2312"/>
          <w:i w:val="0"/>
          <w:iCs w:val="0"/>
          <w:caps w:val="0"/>
          <w:color w:val="000000"/>
          <w:spacing w:val="0"/>
          <w:sz w:val="24"/>
          <w:szCs w:val="24"/>
        </w:rPr>
        <w:t>；制造商为</w:t>
      </w:r>
      <w:r>
        <w:rPr>
          <w:rFonts w:hint="eastAsia" w:ascii="仿宋_GB2312" w:hAnsi="仿宋_GB2312" w:eastAsia="仿宋_GB2312" w:cs="仿宋_GB2312"/>
          <w:i/>
          <w:iCs/>
          <w:caps w:val="0"/>
          <w:color w:val="000000"/>
          <w:spacing w:val="0"/>
          <w:sz w:val="24"/>
          <w:szCs w:val="24"/>
          <w:u w:val="single"/>
        </w:rPr>
        <w:t>（企业名称）</w:t>
      </w:r>
      <w:r>
        <w:rPr>
          <w:rFonts w:hint="eastAsia" w:ascii="仿宋_GB2312" w:hAnsi="仿宋_GB2312" w:eastAsia="仿宋_GB2312" w:cs="仿宋_GB2312"/>
          <w:i w:val="0"/>
          <w:iCs w:val="0"/>
          <w:caps w:val="0"/>
          <w:color w:val="000000"/>
          <w:spacing w:val="0"/>
          <w:sz w:val="24"/>
          <w:szCs w:val="24"/>
        </w:rPr>
        <w:t>，从业人员</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人，营业收入为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万元，资产总额为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万元，属于</w:t>
      </w:r>
      <w:r>
        <w:rPr>
          <w:rFonts w:hint="eastAsia" w:ascii="仿宋_GB2312" w:hAnsi="仿宋_GB2312" w:eastAsia="仿宋_GB2312" w:cs="仿宋_GB2312"/>
          <w:i/>
          <w:iCs/>
          <w:caps w:val="0"/>
          <w:color w:val="000000"/>
          <w:spacing w:val="0"/>
          <w:sz w:val="24"/>
          <w:szCs w:val="24"/>
          <w:u w:val="single"/>
        </w:rPr>
        <w:t>（中型企业、小型企业、微型企业）</w:t>
      </w:r>
      <w:r>
        <w:rPr>
          <w:rFonts w:hint="eastAsia" w:ascii="仿宋_GB2312" w:hAnsi="仿宋_GB2312" w:eastAsia="仿宋_GB2312" w:cs="仿宋_GB2312"/>
          <w:i w:val="0"/>
          <w:iCs w:val="0"/>
          <w:caps w:val="0"/>
          <w:color w:val="000000"/>
          <w:spacing w:val="0"/>
          <w:sz w:val="24"/>
          <w:szCs w:val="24"/>
        </w:rPr>
        <w:t>；</w:t>
      </w:r>
    </w:p>
    <w:p w14:paraId="74CBE8D1">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w:t>
      </w:r>
    </w:p>
    <w:p w14:paraId="276DBEFF">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以上企业，不属于大企业的分支机构，不存在控股股东为大企业的情形，也不存在与大企业的负责人为同一人的情形。</w:t>
      </w:r>
    </w:p>
    <w:p w14:paraId="5104EB94">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本企业对上述声明内容的真实性负责。如有虚假，将依法承担相应责任。</w:t>
      </w:r>
    </w:p>
    <w:p w14:paraId="457F9314">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 </w:t>
      </w:r>
    </w:p>
    <w:p w14:paraId="71835785">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u w:val="single"/>
          <w:lang w:val="en-US" w:eastAsia="zh-CN"/>
        </w:rPr>
      </w:pPr>
      <w:r>
        <w:rPr>
          <w:rFonts w:hint="eastAsia" w:ascii="仿宋_GB2312" w:hAnsi="仿宋_GB2312" w:eastAsia="仿宋_GB2312" w:cs="仿宋_GB2312"/>
          <w:i w:val="0"/>
          <w:iCs w:val="0"/>
          <w:caps w:val="0"/>
          <w:color w:val="000000"/>
          <w:spacing w:val="0"/>
          <w:sz w:val="24"/>
          <w:szCs w:val="24"/>
          <w:lang w:val="en-US" w:eastAsia="zh-CN"/>
        </w:rPr>
        <w:t xml:space="preserve">           </w:t>
      </w:r>
      <w:r>
        <w:rPr>
          <w:rFonts w:hint="eastAsia" w:ascii="仿宋_GB2312" w:hAnsi="仿宋_GB2312" w:eastAsia="仿宋_GB2312" w:cs="仿宋_GB2312"/>
          <w:i w:val="0"/>
          <w:iCs w:val="0"/>
          <w:caps w:val="0"/>
          <w:color w:val="000000"/>
          <w:spacing w:val="0"/>
          <w:sz w:val="24"/>
          <w:szCs w:val="24"/>
        </w:rPr>
        <w:t>企业名称（盖章）：</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344C1764">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u w:val="single"/>
          <w:lang w:val="en-US" w:eastAsia="zh-CN"/>
        </w:rPr>
      </w:pPr>
      <w:r>
        <w:rPr>
          <w:rFonts w:hint="eastAsia" w:ascii="仿宋_GB2312" w:hAnsi="仿宋_GB2312" w:eastAsia="仿宋_GB2312" w:cs="仿宋_GB2312"/>
          <w:i w:val="0"/>
          <w:iCs w:val="0"/>
          <w:caps w:val="0"/>
          <w:color w:val="000000"/>
          <w:spacing w:val="0"/>
          <w:sz w:val="24"/>
          <w:szCs w:val="24"/>
        </w:rPr>
        <w:t>日期：</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56C0D936">
      <w:pPr>
        <w:rPr>
          <w:rFonts w:hint="eastAsia" w:ascii="仿宋_GB2312" w:hAnsi="仿宋_GB2312" w:eastAsia="仿宋_GB2312" w:cs="仿宋_GB2312"/>
          <w:b w:val="0"/>
          <w:bCs w:val="0"/>
          <w:color w:val="000000"/>
          <w:kern w:val="0"/>
          <w:sz w:val="21"/>
          <w:szCs w:val="21"/>
          <w:lang w:val="en-US" w:eastAsia="zh-CN" w:bidi="ar"/>
        </w:rPr>
      </w:pPr>
    </w:p>
    <w:p w14:paraId="52A08A18">
      <w:pPr>
        <w:rPr>
          <w:rFonts w:hint="eastAsia" w:ascii="仿宋_GB2312" w:hAnsi="仿宋_GB2312" w:eastAsia="仿宋_GB2312" w:cs="仿宋_GB2312"/>
          <w:b w:val="0"/>
          <w:bCs w:val="0"/>
          <w:color w:val="000000"/>
          <w:kern w:val="0"/>
          <w:sz w:val="21"/>
          <w:szCs w:val="21"/>
          <w:lang w:val="en-US" w:eastAsia="zh-CN" w:bidi="ar"/>
        </w:rPr>
      </w:pPr>
    </w:p>
    <w:p w14:paraId="73486D88">
      <w:pPr>
        <w:rPr>
          <w:rFonts w:hint="eastAsia" w:ascii="仿宋_GB2312" w:hAnsi="仿宋_GB2312" w:eastAsia="仿宋_GB2312" w:cs="仿宋_GB2312"/>
          <w:b w:val="0"/>
          <w:bCs w:val="0"/>
          <w:color w:val="000000"/>
          <w:kern w:val="0"/>
          <w:sz w:val="21"/>
          <w:szCs w:val="21"/>
          <w:lang w:val="en-US" w:eastAsia="zh-CN" w:bidi="ar"/>
        </w:rPr>
      </w:pPr>
    </w:p>
    <w:p w14:paraId="13166243">
      <w:pPr>
        <w:rPr>
          <w:rFonts w:hint="eastAsia" w:ascii="仿宋_GB2312" w:hAnsi="仿宋_GB2312" w:eastAsia="仿宋_GB2312" w:cs="仿宋_GB2312"/>
          <w:b w:val="0"/>
          <w:bCs w:val="0"/>
          <w:color w:val="000000"/>
          <w:kern w:val="0"/>
          <w:sz w:val="21"/>
          <w:szCs w:val="21"/>
          <w:lang w:val="en-US" w:eastAsia="zh-CN" w:bidi="ar"/>
        </w:rPr>
      </w:pPr>
    </w:p>
    <w:p w14:paraId="2B8C23CD">
      <w:pPr>
        <w:rPr>
          <w:rFonts w:hint="eastAsia" w:ascii="仿宋_GB2312" w:hAnsi="仿宋_GB2312" w:eastAsia="仿宋_GB2312" w:cs="仿宋_GB2312"/>
          <w:b w:val="0"/>
          <w:bCs w:val="0"/>
          <w:color w:val="000000"/>
          <w:kern w:val="0"/>
          <w:sz w:val="21"/>
          <w:szCs w:val="21"/>
          <w:lang w:val="en-US" w:eastAsia="zh-CN" w:bidi="ar"/>
        </w:rPr>
      </w:pPr>
    </w:p>
    <w:p w14:paraId="053526BE">
      <w:pPr>
        <w:rPr>
          <w:rFonts w:hint="eastAsia" w:ascii="仿宋_GB2312" w:hAnsi="仿宋_GB2312" w:eastAsia="仿宋_GB2312" w:cs="仿宋_GB2312"/>
          <w:b w:val="0"/>
          <w:bCs w:val="0"/>
          <w:color w:val="000000"/>
          <w:kern w:val="0"/>
          <w:sz w:val="21"/>
          <w:szCs w:val="21"/>
          <w:lang w:val="en-US" w:eastAsia="zh-CN" w:bidi="ar"/>
        </w:rPr>
      </w:pPr>
    </w:p>
    <w:p w14:paraId="15276C09">
      <w:pPr>
        <w:rPr>
          <w:rFonts w:hint="eastAsia" w:ascii="仿宋_GB2312" w:hAnsi="仿宋_GB2312" w:eastAsia="仿宋_GB2312" w:cs="仿宋_GB2312"/>
          <w:b w:val="0"/>
          <w:bCs w:val="0"/>
          <w:color w:val="000000"/>
          <w:kern w:val="0"/>
          <w:sz w:val="21"/>
          <w:szCs w:val="21"/>
          <w:lang w:val="en-US" w:eastAsia="zh-CN" w:bidi="ar"/>
        </w:rPr>
      </w:pPr>
    </w:p>
    <w:p w14:paraId="0E97BD63">
      <w:pPr>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从业人员、营业收入、资产总额填报上一年度数据，无上一年度数据的新成立企业可不填报。</w:t>
      </w:r>
    </w:p>
    <w:p w14:paraId="249EAB24">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19EEAA1C">
      <w:pPr>
        <w:rPr>
          <w:rFonts w:hint="eastAsia" w:ascii="仿宋_GB2312" w:hAnsi="仿宋_GB2312" w:eastAsia="仿宋_GB2312" w:cs="仿宋_GB2312"/>
          <w:b w:val="0"/>
          <w:bCs w:val="0"/>
          <w:color w:val="000000"/>
          <w:kern w:val="0"/>
          <w:sz w:val="24"/>
          <w:szCs w:val="24"/>
          <w:lang w:val="en-US" w:eastAsia="zh-CN" w:bidi="ar"/>
        </w:rPr>
      </w:pPr>
    </w:p>
    <w:p w14:paraId="458E351D">
      <w:pPr>
        <w:keepNext w:val="0"/>
        <w:keepLines w:val="0"/>
        <w:widowControl/>
        <w:suppressLineNumbers w:val="0"/>
        <w:jc w:val="center"/>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残疾人福利性单位声明函格式</w:t>
      </w:r>
    </w:p>
    <w:p w14:paraId="3F098CE4">
      <w:pPr>
        <w:keepNext w:val="0"/>
        <w:keepLines w:val="0"/>
        <w:widowControl/>
        <w:suppressLineNumbers w:val="0"/>
        <w:jc w:val="center"/>
        <w:rPr>
          <w:rFonts w:hint="eastAsia" w:ascii="仿宋_GB2312" w:hAnsi="仿宋_GB2312" w:eastAsia="仿宋_GB2312" w:cs="仿宋_GB2312"/>
          <w:b/>
          <w:bCs/>
          <w:color w:val="000000"/>
          <w:kern w:val="0"/>
          <w:sz w:val="32"/>
          <w:szCs w:val="32"/>
          <w:lang w:val="en-US" w:eastAsia="zh-CN" w:bidi="ar"/>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lang w:val="en-US" w:eastAsia="zh-CN" w:bidi="ar"/>
        </w:rPr>
        <w:t>（请进行勾选）</w:t>
      </w:r>
      <w:r>
        <w:rPr>
          <w:rFonts w:hint="eastAsia" w:ascii="仿宋_GB2312" w:hAnsi="仿宋_GB2312" w:eastAsia="仿宋_GB2312" w:cs="仿宋_GB2312"/>
          <w:color w:val="000000"/>
          <w:kern w:val="0"/>
          <w:sz w:val="24"/>
          <w:szCs w:val="24"/>
          <w:lang w:val="en-US" w:eastAsia="zh-CN" w:bidi="ar"/>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□属于符合条件的残疾人福利性单位，</w:t>
      </w:r>
      <w:r>
        <w:rPr>
          <w:rFonts w:hint="eastAsia" w:ascii="仿宋_GB2312" w:hAnsi="仿宋_GB2312" w:eastAsia="仿宋_GB2312" w:cs="仿宋_GB2312"/>
          <w:color w:val="000000"/>
          <w:kern w:val="0"/>
          <w:sz w:val="24"/>
          <w:szCs w:val="24"/>
          <w:lang w:val="en-US" w:eastAsia="zh-CN" w:bidi="ar"/>
        </w:rPr>
        <w:t>且本单位参加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单位的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日期：</w:t>
      </w:r>
    </w:p>
    <w:p w14:paraId="79B5A2C3">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7ED65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2-2 拟分包情况说明及分包意向协议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（采购人或采购代理机构）</w:t>
      </w:r>
      <w:r>
        <w:rPr>
          <w:rFonts w:hint="eastAsia" w:ascii="仿宋_GB2312" w:hAnsi="仿宋_GB2312" w:eastAsia="仿宋_GB2312" w:cs="仿宋_GB2312"/>
          <w:color w:val="000000"/>
          <w:kern w:val="0"/>
          <w:sz w:val="24"/>
          <w:szCs w:val="24"/>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我单位参加贵单位组织采购的项目编号为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的</w:t>
      </w:r>
      <w:r>
        <w:rPr>
          <w:rFonts w:hint="eastAsia" w:ascii="仿宋_GB2312" w:hAnsi="仿宋_GB2312" w:eastAsia="仿宋_GB2312" w:cs="仿宋_GB2312"/>
          <w:color w:val="000000"/>
          <w:kern w:val="0"/>
          <w:sz w:val="24"/>
          <w:szCs w:val="24"/>
          <w:u w:val="single"/>
          <w:lang w:val="en-US" w:eastAsia="zh-CN" w:bidi="ar"/>
        </w:rPr>
        <w:t xml:space="preserve"> （填写采购项目名称）  </w:t>
      </w:r>
      <w:r>
        <w:rPr>
          <w:rFonts w:hint="eastAsia" w:ascii="仿宋_GB2312" w:hAnsi="仿宋_GB2312" w:eastAsia="仿宋_GB2312" w:cs="仿宋_GB2312"/>
          <w:color w:val="000000"/>
          <w:kern w:val="0"/>
          <w:sz w:val="24"/>
          <w:szCs w:val="24"/>
          <w:lang w:val="en-US" w:eastAsia="zh-CN" w:bidi="ar"/>
        </w:rPr>
        <w:t>项目中</w:t>
      </w:r>
      <w:r>
        <w:rPr>
          <w:rFonts w:hint="eastAsia" w:ascii="仿宋_GB2312" w:hAnsi="仿宋_GB2312" w:eastAsia="仿宋_GB2312" w:cs="仿宋_GB2312"/>
          <w:color w:val="000000"/>
          <w:kern w:val="0"/>
          <w:sz w:val="24"/>
          <w:szCs w:val="24"/>
          <w:u w:val="single"/>
          <w:lang w:val="en-US" w:eastAsia="zh-CN" w:bidi="ar"/>
        </w:rPr>
        <w:t xml:space="preserve"> （填写包号） </w:t>
      </w:r>
      <w:r>
        <w:rPr>
          <w:rFonts w:hint="eastAsia" w:ascii="仿宋_GB2312" w:hAnsi="仿宋_GB2312" w:eastAsia="仿宋_GB2312" w:cs="仿宋_GB2312"/>
          <w:color w:val="000000"/>
          <w:kern w:val="0"/>
          <w:sz w:val="24"/>
          <w:szCs w:val="24"/>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位承诺一旦在该项目中获得采购合同将按下表所列情况进行分包，同时承诺分包承担主体不再次分包。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占该采购包</w:t>
            </w:r>
            <w:r>
              <w:rPr>
                <w:rFonts w:hint="eastAsia" w:ascii="仿宋_GB2312" w:hAnsi="仿宋_GB2312" w:eastAsia="仿宋_GB2312" w:cs="仿宋_GB2312"/>
                <w:b/>
                <w:bCs/>
                <w:color w:val="000000"/>
                <w:kern w:val="0"/>
                <w:sz w:val="21"/>
                <w:szCs w:val="21"/>
                <w:lang w:val="en-US" w:eastAsia="zh-CN" w:bidi="ar"/>
              </w:rPr>
              <w:t>预算金额的</w:t>
            </w:r>
            <w:r>
              <w:rPr>
                <w:rFonts w:hint="eastAsia" w:ascii="仿宋_GB2312" w:hAnsi="仿宋_GB2312" w:eastAsia="仿宋_GB2312" w:cs="仿宋_GB2312"/>
                <w:color w:val="000000"/>
                <w:kern w:val="0"/>
                <w:sz w:val="21"/>
                <w:szCs w:val="21"/>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004B907F">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□中型企业</w:t>
            </w:r>
          </w:p>
          <w:p w14:paraId="1B489625">
            <w:pPr>
              <w:keepNext w:val="0"/>
              <w:keepLines w:val="0"/>
              <w:widowControl/>
              <w:suppressLineNumbers w:val="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26638130">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□中型企业</w:t>
            </w:r>
          </w:p>
          <w:p w14:paraId="1F9806E8">
            <w:pPr>
              <w:keepNext w:val="0"/>
              <w:keepLines w:val="0"/>
              <w:widowControl/>
              <w:suppressLineNumbers w:val="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u w:val="single"/>
          <w:lang w:val="en-US"/>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 </w:t>
      </w:r>
    </w:p>
    <w:p w14:paraId="27E55176">
      <w:pPr>
        <w:keepNext w:val="0"/>
        <w:keepLines w:val="0"/>
        <w:pageBreakBefore w:val="0"/>
        <w:widowControl/>
        <w:numPr>
          <w:ilvl w:val="0"/>
          <w:numId w:val="24"/>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本表仅在投标人“为落实政府采购政策”而向中小企业分包时填写。</w:t>
      </w:r>
    </w:p>
    <w:p w14:paraId="460F75CE">
      <w:pPr>
        <w:keepNext w:val="0"/>
        <w:keepLines w:val="0"/>
        <w:pageBreakBefore w:val="0"/>
        <w:widowControl/>
        <w:numPr>
          <w:ilvl w:val="0"/>
          <w:numId w:val="24"/>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如本招标文件《投标人须知资料表》载明本项目分包承担主体应具备的相应资质条件，则投标人须在本表中列明分包承担主体的资质等级，并后附资质证书复印件加盖投标人公章，否则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lang w:val="en-US" w:eastAsia="zh-CN" w:bidi="ar"/>
        </w:rPr>
        <w:t>投标无效</w:t>
      </w:r>
      <w:r>
        <w:rPr>
          <w:rFonts w:hint="eastAsia" w:ascii="仿宋_GB2312" w:hAnsi="仿宋_GB2312" w:eastAsia="仿宋_GB2312" w:cs="仿宋_GB2312"/>
          <w:color w:val="000000"/>
          <w:kern w:val="0"/>
          <w:sz w:val="24"/>
          <w:szCs w:val="24"/>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（3）投标人与上述拟分包承担主体签署的《分包意向协议》后附。</w:t>
      </w:r>
    </w:p>
    <w:p w14:paraId="220AFF31">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8365BC1">
      <w:pPr>
        <w:keepNext w:val="0"/>
        <w:keepLines w:val="0"/>
        <w:widowControl/>
        <w:suppressLineNumbers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color w:val="000000"/>
          <w:kern w:val="0"/>
          <w:sz w:val="24"/>
          <w:szCs w:val="24"/>
          <w:lang w:val="en-US" w:eastAsia="zh-CN" w:bidi="ar"/>
        </w:rPr>
        <w:t xml:space="preserve">附：分包意向协议（参考格式） </w:t>
      </w:r>
    </w:p>
    <w:p w14:paraId="74E50948">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甲方（投标人）：</w:t>
      </w:r>
      <w:r>
        <w:rPr>
          <w:rFonts w:hint="eastAsia" w:ascii="仿宋_GB2312" w:hAnsi="仿宋_GB2312" w:eastAsia="仿宋_GB2312" w:cs="仿宋_GB2312"/>
          <w:color w:val="000000"/>
          <w:kern w:val="0"/>
          <w:sz w:val="24"/>
          <w:szCs w:val="24"/>
          <w:u w:val="single"/>
          <w:lang w:val="en-US" w:eastAsia="zh-CN" w:bidi="ar"/>
        </w:rPr>
        <w:t xml:space="preserve">                 </w:t>
      </w:r>
    </w:p>
    <w:p w14:paraId="5FDD9A1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乙方（拟分包单位）：</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ACD66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甲方承诺，一旦在</w:t>
      </w:r>
      <w:r>
        <w:rPr>
          <w:rFonts w:hint="eastAsia" w:ascii="仿宋_GB2312" w:hAnsi="仿宋_GB2312" w:eastAsia="仿宋_GB2312" w:cs="仿宋_GB2312"/>
          <w:color w:val="000000"/>
          <w:kern w:val="0"/>
          <w:sz w:val="24"/>
          <w:szCs w:val="24"/>
          <w:u w:val="single"/>
          <w:lang w:val="en-US" w:eastAsia="zh-CN" w:bidi="ar"/>
        </w:rPr>
        <w:t xml:space="preserve">（采购项目名称）（项目编号/包号为：     </w:t>
      </w:r>
      <w:r>
        <w:rPr>
          <w:rFonts w:hint="eastAsia" w:ascii="仿宋_GB2312" w:hAnsi="仿宋_GB2312" w:eastAsia="仿宋_GB2312" w:cs="仿宋_GB2312"/>
          <w:color w:val="000000"/>
          <w:kern w:val="0"/>
          <w:sz w:val="24"/>
          <w:szCs w:val="24"/>
          <w:lang w:val="en-US" w:eastAsia="zh-CN" w:bidi="ar"/>
        </w:rPr>
        <w:t xml:space="preserve">）招标采购项目中获得采购合同，将按照下述约定将合同项下部分内容分包给乙方： </w:t>
      </w:r>
    </w:p>
    <w:p w14:paraId="526327C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94" w:name="_Toc22054"/>
      <w:r>
        <w:rPr>
          <w:rFonts w:hint="eastAsia" w:ascii="仿宋_GB2312" w:hAnsi="仿宋_GB2312" w:eastAsia="仿宋_GB2312" w:cs="仿宋_GB2312"/>
          <w:color w:val="000000"/>
          <w:kern w:val="0"/>
          <w:sz w:val="24"/>
          <w:szCs w:val="24"/>
          <w:lang w:val="en-US" w:eastAsia="zh-CN" w:bidi="ar"/>
        </w:rPr>
        <w:t>1.分包内容：</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bookmarkEnd w:id="94"/>
      <w:r>
        <w:rPr>
          <w:rFonts w:hint="eastAsia" w:ascii="仿宋_GB2312" w:hAnsi="仿宋_GB2312" w:eastAsia="仿宋_GB2312" w:cs="仿宋_GB2312"/>
          <w:color w:val="000000"/>
          <w:kern w:val="0"/>
          <w:sz w:val="24"/>
          <w:szCs w:val="24"/>
          <w:lang w:val="en-US" w:eastAsia="zh-CN" w:bidi="ar"/>
        </w:rPr>
        <w:t xml:space="preserve"> </w:t>
      </w:r>
    </w:p>
    <w:p w14:paraId="716BE0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2.分包金额：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，该金额占该采购包预算总金额的比例为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6963F5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乙方承诺将在上述情况下与甲方签订分包合同。 </w:t>
      </w:r>
    </w:p>
    <w:p w14:paraId="6DED8C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本协议自各方盖章之日起生效，如甲方未在该项目（采购包）中标，本协议自动终止。 </w:t>
      </w:r>
    </w:p>
    <w:p w14:paraId="709642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甲方（盖章）：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乙方（盖章）：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日期： </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3D749B7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3B03D186">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1B50D0AE">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074F4EF9">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28D58CD3">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  本项目的特定资格要求（如有） </w:t>
      </w:r>
    </w:p>
    <w:p w14:paraId="369D06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lang w:val="en-US" w:eastAsia="zh-CN" w:bidi="ar-SA"/>
        </w:rPr>
      </w:pPr>
      <w:r>
        <w:rPr>
          <w:rFonts w:hint="eastAsia" w:ascii="仿宋_GB2312" w:hAnsi="仿宋_GB2312" w:eastAsia="仿宋_GB2312" w:cs="仿宋_GB2312"/>
          <w:b/>
          <w:bCs/>
          <w:kern w:val="2"/>
          <w:sz w:val="32"/>
          <w:szCs w:val="32"/>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u w:val="single"/>
        </w:rPr>
        <w:t xml:space="preserve">                              </w:t>
      </w:r>
    </w:p>
    <w:p w14:paraId="104A8B59">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u w:val="single"/>
        </w:rPr>
        <w:t xml:space="preserve">                              </w:t>
      </w:r>
    </w:p>
    <w:p w14:paraId="23D2CB51">
      <w:pPr>
        <w:snapToGrid w:val="0"/>
        <w:spacing w:line="360" w:lineRule="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u w:val="single"/>
        </w:rPr>
        <w:t xml:space="preserve">                              </w:t>
      </w:r>
    </w:p>
    <w:p w14:paraId="6041AB9F">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……（可自行添加）</w:t>
      </w:r>
    </w:p>
    <w:p w14:paraId="3A6B5378">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u w:val="single"/>
        </w:rPr>
        <w:t xml:space="preserve">                              </w:t>
      </w:r>
    </w:p>
    <w:p w14:paraId="72DB522F">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u w:val="single"/>
        </w:rPr>
        <w:t xml:space="preserve">                              </w:t>
      </w:r>
    </w:p>
    <w:p w14:paraId="5941C994">
      <w:pPr>
        <w:snapToGrid w:val="0"/>
        <w:spacing w:line="360" w:lineRule="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u w:val="single"/>
        </w:rPr>
        <w:t xml:space="preserve">                              </w:t>
      </w:r>
    </w:p>
    <w:p w14:paraId="6C6690F4">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……（可自行添加）</w:t>
      </w:r>
    </w:p>
    <w:p w14:paraId="7E5331E7">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u w:val="single"/>
        </w:rPr>
        <w:t xml:space="preserve">                              </w:t>
      </w:r>
    </w:p>
    <w:p w14:paraId="6F1C5783">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u w:val="single"/>
        </w:rPr>
        <w:t xml:space="preserve">                              </w:t>
      </w:r>
    </w:p>
    <w:p w14:paraId="795831CD">
      <w:pPr>
        <w:snapToGrid w:val="0"/>
        <w:spacing w:line="360" w:lineRule="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u w:val="single"/>
        </w:rPr>
        <w:t xml:space="preserve">                              </w:t>
      </w:r>
    </w:p>
    <w:p w14:paraId="61295775">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……（可自行添加）</w:t>
      </w:r>
    </w:p>
    <w:p w14:paraId="345E29A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我单位郑重声明：与本单位负责人为同一人或者与本单位存在直接控股关系、管理关系的供应商未参加</w:t>
      </w:r>
      <w:r>
        <w:rPr>
          <w:rFonts w:hint="eastAsia" w:ascii="仿宋_GB2312" w:hAnsi="仿宋_GB2312" w:eastAsia="仿宋_GB2312" w:cs="仿宋_GB2312"/>
          <w:sz w:val="24"/>
          <w:szCs w:val="24"/>
          <w:u w:val="single"/>
        </w:rPr>
        <w:t xml:space="preserve">    (项目名称)      </w:t>
      </w:r>
      <w:r>
        <w:rPr>
          <w:rFonts w:hint="eastAsia" w:ascii="仿宋_GB2312" w:hAnsi="仿宋_GB2312" w:eastAsia="仿宋_GB2312" w:cs="仿宋_GB2312"/>
          <w:sz w:val="24"/>
          <w:szCs w:val="24"/>
        </w:rPr>
        <w:t>同一合同项下的投标。</w:t>
      </w:r>
    </w:p>
    <w:p w14:paraId="32F8898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我单位保证上述声明真实、有效、可查。</w:t>
      </w:r>
    </w:p>
    <w:p w14:paraId="24AC5E3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特此声明。 </w:t>
      </w:r>
    </w:p>
    <w:p w14:paraId="3590EA26">
      <w:pPr>
        <w:spacing w:line="360" w:lineRule="auto"/>
        <w:rPr>
          <w:rFonts w:hint="eastAsia" w:ascii="仿宋_GB2312" w:hAnsi="仿宋_GB2312" w:eastAsia="仿宋_GB2312" w:cs="仿宋_GB2312"/>
          <w:sz w:val="24"/>
          <w:szCs w:val="24"/>
        </w:rPr>
      </w:pPr>
    </w:p>
    <w:p w14:paraId="05C21B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lang w:val="en-US" w:eastAsia="zh-CN"/>
        </w:rPr>
        <w:t>投标人名称：</w:t>
      </w:r>
      <w:r>
        <w:rPr>
          <w:rFonts w:hint="eastAsia" w:ascii="仿宋_GB2312" w:hAnsi="仿宋_GB2312" w:eastAsia="仿宋_GB2312" w:cs="仿宋_GB2312"/>
          <w:sz w:val="24"/>
          <w:szCs w:val="24"/>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法定代表人或授权代表：</w:t>
      </w:r>
      <w:r>
        <w:rPr>
          <w:rFonts w:hint="eastAsia" w:ascii="仿宋_GB2312" w:hAnsi="仿宋_GB2312" w:eastAsia="仿宋_GB2312" w:cs="仿宋_GB2312"/>
          <w:sz w:val="24"/>
          <w:szCs w:val="24"/>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p>
    <w:p w14:paraId="32DC4E26">
      <w:pPr>
        <w:spacing w:line="360" w:lineRule="auto"/>
        <w:ind w:firstLine="480" w:firstLineChars="200"/>
        <w:rPr>
          <w:rFonts w:hint="eastAsia" w:ascii="仿宋_GB2312" w:hAnsi="仿宋_GB2312" w:eastAsia="仿宋_GB2312" w:cs="仿宋_GB2312"/>
          <w:sz w:val="24"/>
          <w:szCs w:val="24"/>
        </w:rPr>
      </w:pPr>
    </w:p>
    <w:p w14:paraId="2C6D7CFB">
      <w:pPr>
        <w:spacing w:line="360" w:lineRule="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注：1、单位负责人，是指单位法定代表人或者法律、行政法规规定代表单位行使职权的主要负责人。</w:t>
      </w:r>
    </w:p>
    <w:p w14:paraId="2AC1FBB7">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BA18489">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4  投标保证金凭证/交款单据电子件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497E5C0">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67FB5B1F">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（采购人或采购代理机构）</w:t>
      </w:r>
      <w:r>
        <w:rPr>
          <w:rFonts w:hint="eastAsia" w:ascii="仿宋_GB2312" w:hAnsi="仿宋_GB2312" w:eastAsia="仿宋_GB2312" w:cs="仿宋_GB2312"/>
          <w:color w:val="000000"/>
          <w:kern w:val="0"/>
          <w:sz w:val="24"/>
          <w:szCs w:val="24"/>
          <w:lang w:val="en-US" w:eastAsia="zh-CN" w:bidi="ar"/>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我方参加你方就</w:t>
      </w:r>
      <w:r>
        <w:rPr>
          <w:rFonts w:hint="eastAsia" w:ascii="仿宋_GB2312" w:hAnsi="仿宋_GB2312" w:eastAsia="仿宋_GB2312" w:cs="仿宋_GB2312"/>
          <w:color w:val="000000"/>
          <w:kern w:val="0"/>
          <w:sz w:val="24"/>
          <w:szCs w:val="24"/>
          <w:u w:val="single"/>
          <w:lang w:val="en-US" w:eastAsia="zh-CN" w:bidi="ar"/>
        </w:rPr>
        <w:t>（项目名称，项目编号/包号）</w:t>
      </w:r>
      <w:r>
        <w:rPr>
          <w:rFonts w:hint="eastAsia" w:ascii="仿宋_GB2312" w:hAnsi="仿宋_GB2312" w:eastAsia="仿宋_GB2312" w:cs="仿宋_GB2312"/>
          <w:color w:val="000000"/>
          <w:kern w:val="0"/>
          <w:sz w:val="24"/>
          <w:szCs w:val="24"/>
          <w:lang w:val="en-US" w:eastAsia="zh-CN" w:bidi="ar"/>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95" w:name="_Toc30504"/>
      <w:r>
        <w:rPr>
          <w:rFonts w:hint="eastAsia" w:ascii="仿宋_GB2312" w:hAnsi="仿宋_GB2312" w:eastAsia="仿宋_GB2312" w:cs="仿宋_GB2312"/>
          <w:color w:val="000000"/>
          <w:kern w:val="0"/>
          <w:sz w:val="24"/>
          <w:szCs w:val="24"/>
          <w:lang w:val="en-US" w:eastAsia="zh-CN" w:bidi="ar"/>
        </w:rPr>
        <w:t>1. 我方已详细审查全部招标文件，自愿参与投标并承诺如下：</w:t>
      </w:r>
      <w:bookmarkEnd w:id="95"/>
      <w:r>
        <w:rPr>
          <w:rFonts w:hint="eastAsia" w:ascii="仿宋_GB2312" w:hAnsi="仿宋_GB2312" w:eastAsia="仿宋_GB2312" w:cs="仿宋_GB2312"/>
          <w:color w:val="000000"/>
          <w:kern w:val="0"/>
          <w:sz w:val="24"/>
          <w:szCs w:val="24"/>
          <w:lang w:val="en-US" w:eastAsia="zh-CN" w:bidi="ar"/>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（1）本投标有效期为自提交投标文件的截止之日起</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（2）除合同条款及采购需求偏离表列出的偏离外，我方响应招标文件的全部要求。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（4）如我方中标，我方将在法律规定的期限内与你方签订合同，按照招标文件要求提交履约保证金，并在合同约定的期限内完成合同规定的全部义务。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96" w:name="_Toc24785"/>
      <w:r>
        <w:rPr>
          <w:rFonts w:hint="eastAsia" w:ascii="仿宋_GB2312" w:hAnsi="仿宋_GB2312" w:eastAsia="仿宋_GB2312" w:cs="仿宋_GB2312"/>
          <w:color w:val="000000"/>
          <w:kern w:val="0"/>
          <w:sz w:val="24"/>
          <w:szCs w:val="24"/>
          <w:lang w:val="en-US" w:eastAsia="zh-CN" w:bidi="ar"/>
        </w:rPr>
        <w:t>2. 其他补充条款（如有）：</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bookmarkEnd w:id="96"/>
      <w:r>
        <w:rPr>
          <w:rFonts w:hint="eastAsia" w:ascii="仿宋_GB2312" w:hAnsi="仿宋_GB2312" w:eastAsia="仿宋_GB2312" w:cs="仿宋_GB2312"/>
          <w:color w:val="000000"/>
          <w:kern w:val="0"/>
          <w:sz w:val="24"/>
          <w:szCs w:val="24"/>
          <w:lang w:val="en-US" w:eastAsia="zh-CN" w:bidi="ar"/>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地址</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传真</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电话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电子函件</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投标人名称（加盖公章） </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7A5E52F9">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97" w:name="_Toc6076"/>
      <w:r>
        <w:rPr>
          <w:rFonts w:hint="eastAsia" w:ascii="仿宋_GB2312" w:hAnsi="仿宋_GB2312" w:eastAsia="仿宋_GB2312" w:cs="仿宋_GB2312"/>
          <w:color w:val="000000"/>
          <w:kern w:val="0"/>
          <w:sz w:val="24"/>
          <w:szCs w:val="24"/>
          <w:lang w:val="en-US" w:eastAsia="zh-CN" w:bidi="ar"/>
        </w:rPr>
        <w:t>6  授权委托书</w:t>
      </w:r>
      <w:bookmarkEnd w:id="97"/>
      <w:r>
        <w:rPr>
          <w:rFonts w:hint="eastAsia" w:ascii="仿宋_GB2312" w:hAnsi="仿宋_GB2312" w:eastAsia="仿宋_GB2312" w:cs="仿宋_GB2312"/>
          <w:color w:val="000000"/>
          <w:kern w:val="0"/>
          <w:sz w:val="24"/>
          <w:szCs w:val="24"/>
          <w:lang w:val="en-US" w:eastAsia="zh-CN" w:bidi="ar"/>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lang w:val="en-US" w:eastAsia="zh-CN" w:bidi="ar"/>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0B8C68E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（姓名）系</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（投标人名称）的法定代表人（单位负责人），现委托</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u w:val="single"/>
          <w:lang w:val="en-US" w:eastAsia="zh-CN" w:bidi="ar"/>
        </w:rPr>
        <w:t xml:space="preserve">           （项目名称）</w:t>
      </w:r>
      <w:r>
        <w:rPr>
          <w:rFonts w:hint="eastAsia" w:ascii="仿宋_GB2312" w:hAnsi="仿宋_GB2312" w:eastAsia="仿宋_GB2312" w:cs="仿宋_GB2312"/>
          <w:color w:val="000000"/>
          <w:kern w:val="0"/>
          <w:sz w:val="24"/>
          <w:szCs w:val="24"/>
          <w:lang w:val="en-US" w:eastAsia="zh-CN" w:bidi="ar"/>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委托期限：自本授权委托书签署之日起至投标响应有效期届满之日止。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委托代理人（签字或印鉴）：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委托代理人有效期内的身份证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说明：1.若供应商为事业单位或其他组织或分支机构（仅当招标文件注明允许分支机构投标的），则法定代表人（单位负责人）处的签署人可为单位负责人。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98" w:name="_Toc18807"/>
      <w:r>
        <w:rPr>
          <w:rFonts w:hint="eastAsia" w:ascii="仿宋_GB2312" w:hAnsi="仿宋_GB2312" w:eastAsia="仿宋_GB2312" w:cs="仿宋_GB2312"/>
          <w:color w:val="000000"/>
          <w:kern w:val="0"/>
          <w:sz w:val="24"/>
          <w:szCs w:val="24"/>
          <w:lang w:val="en-US" w:eastAsia="zh-CN" w:bidi="ar"/>
        </w:rPr>
        <w:t>3.供应商为自然人的情形，可不提供本《授权委托书》。</w:t>
      </w:r>
      <w:bookmarkEnd w:id="98"/>
    </w:p>
    <w:p w14:paraId="63B05372">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姓名：</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性别：</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年龄：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职务：</w:t>
      </w:r>
      <w:r>
        <w:rPr>
          <w:rFonts w:hint="eastAsia" w:ascii="仿宋_GB2312" w:hAnsi="仿宋_GB2312" w:eastAsia="仿宋_GB2312" w:cs="仿宋_GB2312"/>
          <w:color w:val="000000"/>
          <w:kern w:val="0"/>
          <w:sz w:val="24"/>
          <w:szCs w:val="24"/>
          <w:u w:val="single"/>
          <w:lang w:val="en-US" w:eastAsia="zh-CN" w:bidi="ar"/>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系</w:t>
      </w:r>
      <w:r>
        <w:rPr>
          <w:rFonts w:hint="eastAsia" w:ascii="仿宋_GB2312" w:hAnsi="仿宋_GB2312" w:eastAsia="仿宋_GB2312" w:cs="仿宋_GB2312"/>
          <w:color w:val="000000"/>
          <w:kern w:val="0"/>
          <w:sz w:val="24"/>
          <w:szCs w:val="24"/>
          <w:u w:val="single"/>
          <w:lang w:val="en-US" w:eastAsia="zh-CN" w:bidi="ar"/>
        </w:rPr>
        <w:t xml:space="preserve">       （投标人名称）</w:t>
      </w:r>
      <w:r>
        <w:rPr>
          <w:rFonts w:hint="eastAsia" w:ascii="仿宋_GB2312" w:hAnsi="仿宋_GB2312" w:eastAsia="仿宋_GB2312" w:cs="仿宋_GB2312"/>
          <w:color w:val="000000"/>
          <w:kern w:val="0"/>
          <w:sz w:val="24"/>
          <w:szCs w:val="24"/>
          <w:lang w:val="en-US" w:eastAsia="zh-CN" w:bidi="ar"/>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237225C">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09F9A582">
      <w:pPr>
        <w:outlineLvl w:val="1"/>
        <w:rPr>
          <w:rFonts w:hint="eastAsia" w:ascii="仿宋_GB2312" w:hAnsi="仿宋_GB2312" w:eastAsia="仿宋_GB2312" w:cs="仿宋_GB2312"/>
          <w:sz w:val="24"/>
          <w:szCs w:val="24"/>
          <w:lang w:val="en-US" w:eastAsia="zh-CN"/>
        </w:rPr>
      </w:pPr>
      <w:bookmarkStart w:id="99" w:name="_Toc23107"/>
      <w:r>
        <w:rPr>
          <w:rFonts w:hint="eastAsia" w:ascii="仿宋_GB2312" w:hAnsi="仿宋_GB2312" w:eastAsia="仿宋_GB2312" w:cs="仿宋_GB2312"/>
          <w:sz w:val="24"/>
          <w:szCs w:val="24"/>
          <w:lang w:val="en-US" w:eastAsia="zh-CN"/>
        </w:rPr>
        <w:t>7  开标一览表</w:t>
      </w:r>
      <w:bookmarkEnd w:id="99"/>
    </w:p>
    <w:p w14:paraId="475CD945">
      <w:pPr>
        <w:rPr>
          <w:rFonts w:hint="eastAsia" w:ascii="仿宋_GB2312" w:hAnsi="仿宋_GB2312" w:eastAsia="仿宋_GB2312" w:cs="仿宋_GB2312"/>
          <w:lang w:val="en-US" w:eastAsia="zh-CN"/>
        </w:rPr>
      </w:pPr>
    </w:p>
    <w:p w14:paraId="53D5C84E">
      <w:pPr>
        <w:jc w:val="center"/>
        <w:rPr>
          <w:rFonts w:hint="eastAsia" w:ascii="仿宋_GB2312" w:hAnsi="仿宋_GB2312" w:eastAsia="仿宋_GB2312" w:cs="仿宋_GB2312"/>
          <w:b/>
          <w:bCs/>
          <w:sz w:val="32"/>
          <w:szCs w:val="32"/>
          <w:lang w:val="en-US" w:eastAsia="zh-CN"/>
        </w:rPr>
      </w:pPr>
    </w:p>
    <w:p w14:paraId="010BF100">
      <w:pPr>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开标一览表</w:t>
      </w:r>
    </w:p>
    <w:p w14:paraId="5D9EB27D">
      <w:pPr>
        <w:rPr>
          <w:rFonts w:hint="eastAsia" w:ascii="仿宋_GB2312" w:hAnsi="仿宋_GB2312" w:eastAsia="仿宋_GB2312" w:cs="仿宋_GB2312"/>
          <w:lang w:val="en-US" w:eastAsia="zh-CN"/>
        </w:rPr>
      </w:pPr>
    </w:p>
    <w:p w14:paraId="7D30BC28">
      <w:pPr>
        <w:rPr>
          <w:rFonts w:hint="eastAsia" w:ascii="仿宋_GB2312" w:hAnsi="仿宋_GB2312" w:eastAsia="仿宋_GB2312" w:cs="仿宋_GB2312"/>
          <w:lang w:val="en-US" w:eastAsia="zh-CN"/>
        </w:rPr>
      </w:pPr>
    </w:p>
    <w:p w14:paraId="22C827FB">
      <w:pP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项目编号/标项：</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0955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1F1F890">
            <w:pPr>
              <w:pStyle w:val="24"/>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序号</w:t>
            </w:r>
          </w:p>
        </w:tc>
        <w:tc>
          <w:tcPr>
            <w:tcW w:w="2130" w:type="dxa"/>
            <w:vMerge w:val="restart"/>
            <w:vAlign w:val="center"/>
          </w:tcPr>
          <w:p w14:paraId="3CDADA71">
            <w:pPr>
              <w:pStyle w:val="24"/>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投标人名称</w:t>
            </w:r>
          </w:p>
        </w:tc>
        <w:tc>
          <w:tcPr>
            <w:tcW w:w="4262" w:type="dxa"/>
            <w:gridSpan w:val="2"/>
            <w:vAlign w:val="center"/>
          </w:tcPr>
          <w:p w14:paraId="6AB29A83">
            <w:pPr>
              <w:pStyle w:val="24"/>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投标报价（元）</w:t>
            </w:r>
          </w:p>
        </w:tc>
      </w:tr>
      <w:tr w14:paraId="0D33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6073A9C0">
            <w:pPr>
              <w:pStyle w:val="24"/>
              <w:jc w:val="center"/>
              <w:rPr>
                <w:rFonts w:hint="eastAsia" w:ascii="仿宋_GB2312" w:hAnsi="仿宋_GB2312" w:eastAsia="仿宋_GB2312" w:cs="仿宋_GB2312"/>
                <w:b/>
                <w:bCs/>
                <w:vertAlign w:val="baseline"/>
                <w:lang w:val="en-US" w:eastAsia="zh-CN"/>
              </w:rPr>
            </w:pPr>
          </w:p>
        </w:tc>
        <w:tc>
          <w:tcPr>
            <w:tcW w:w="2130" w:type="dxa"/>
            <w:vMerge w:val="continue"/>
            <w:vAlign w:val="center"/>
          </w:tcPr>
          <w:p w14:paraId="120488C5">
            <w:pPr>
              <w:pStyle w:val="24"/>
              <w:jc w:val="center"/>
              <w:rPr>
                <w:rFonts w:hint="eastAsia" w:ascii="仿宋_GB2312" w:hAnsi="仿宋_GB2312" w:eastAsia="仿宋_GB2312" w:cs="仿宋_GB2312"/>
                <w:b/>
                <w:bCs/>
                <w:vertAlign w:val="baseline"/>
                <w:lang w:val="en-US" w:eastAsia="zh-CN"/>
              </w:rPr>
            </w:pPr>
          </w:p>
        </w:tc>
        <w:tc>
          <w:tcPr>
            <w:tcW w:w="2131" w:type="dxa"/>
            <w:vAlign w:val="center"/>
          </w:tcPr>
          <w:p w14:paraId="537B1FF0">
            <w:pPr>
              <w:pStyle w:val="24"/>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大写</w:t>
            </w:r>
          </w:p>
        </w:tc>
        <w:tc>
          <w:tcPr>
            <w:tcW w:w="2131" w:type="dxa"/>
            <w:vAlign w:val="center"/>
          </w:tcPr>
          <w:p w14:paraId="7158D6AB">
            <w:pPr>
              <w:pStyle w:val="24"/>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小写</w:t>
            </w:r>
          </w:p>
        </w:tc>
      </w:tr>
      <w:tr w14:paraId="7020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60B05DCC">
            <w:pPr>
              <w:pStyle w:val="24"/>
              <w:jc w:val="center"/>
              <w:rPr>
                <w:rFonts w:hint="eastAsia" w:ascii="仿宋_GB2312" w:hAnsi="仿宋_GB2312" w:eastAsia="仿宋_GB2312" w:cs="仿宋_GB2312"/>
                <w:vertAlign w:val="baseline"/>
                <w:lang w:val="en-US" w:eastAsia="zh-CN"/>
              </w:rPr>
            </w:pPr>
          </w:p>
        </w:tc>
        <w:tc>
          <w:tcPr>
            <w:tcW w:w="2130" w:type="dxa"/>
            <w:vAlign w:val="center"/>
          </w:tcPr>
          <w:p w14:paraId="189B03A1">
            <w:pPr>
              <w:pStyle w:val="24"/>
              <w:jc w:val="center"/>
              <w:rPr>
                <w:rFonts w:hint="eastAsia" w:ascii="仿宋_GB2312" w:hAnsi="仿宋_GB2312" w:eastAsia="仿宋_GB2312" w:cs="仿宋_GB2312"/>
                <w:vertAlign w:val="baseline"/>
                <w:lang w:val="en-US" w:eastAsia="zh-CN"/>
              </w:rPr>
            </w:pPr>
          </w:p>
        </w:tc>
        <w:tc>
          <w:tcPr>
            <w:tcW w:w="2131" w:type="dxa"/>
            <w:vAlign w:val="center"/>
          </w:tcPr>
          <w:p w14:paraId="56B2FC0F">
            <w:pPr>
              <w:pStyle w:val="24"/>
              <w:jc w:val="center"/>
              <w:rPr>
                <w:rFonts w:hint="eastAsia" w:ascii="仿宋_GB2312" w:hAnsi="仿宋_GB2312" w:eastAsia="仿宋_GB2312" w:cs="仿宋_GB2312"/>
                <w:vertAlign w:val="baseline"/>
                <w:lang w:val="en-US" w:eastAsia="zh-CN"/>
              </w:rPr>
            </w:pPr>
          </w:p>
        </w:tc>
        <w:tc>
          <w:tcPr>
            <w:tcW w:w="2131" w:type="dxa"/>
            <w:vAlign w:val="center"/>
          </w:tcPr>
          <w:p w14:paraId="784070AD">
            <w:pPr>
              <w:pStyle w:val="24"/>
              <w:jc w:val="center"/>
              <w:rPr>
                <w:rFonts w:hint="eastAsia" w:ascii="仿宋_GB2312" w:hAnsi="仿宋_GB2312" w:eastAsia="仿宋_GB2312" w:cs="仿宋_GB2312"/>
                <w:vertAlign w:val="baseline"/>
                <w:lang w:val="en-US" w:eastAsia="zh-CN"/>
              </w:rPr>
            </w:pPr>
          </w:p>
        </w:tc>
      </w:tr>
    </w:tbl>
    <w:p w14:paraId="34D1DB27">
      <w:pPr>
        <w:pStyle w:val="24"/>
        <w:ind w:left="0" w:leftChars="0" w:firstLine="0" w:firstLineChars="0"/>
        <w:rPr>
          <w:rFonts w:hint="eastAsia" w:ascii="仿宋_GB2312" w:hAnsi="仿宋_GB2312" w:eastAsia="仿宋_GB2312" w:cs="仿宋_GB2312"/>
          <w:lang w:val="en-US" w:eastAsia="zh-CN"/>
        </w:rPr>
      </w:pPr>
    </w:p>
    <w:p w14:paraId="21AB13D4">
      <w:pPr>
        <w:pStyle w:val="23"/>
        <w:rPr>
          <w:rFonts w:hint="eastAsia" w:ascii="仿宋_GB2312" w:hAnsi="仿宋_GB2312" w:eastAsia="仿宋_GB2312" w:cs="仿宋_GB2312"/>
          <w:lang w:val="en-US" w:eastAsia="zh-CN"/>
        </w:rPr>
      </w:pPr>
    </w:p>
    <w:p w14:paraId="31E5E455">
      <w:pPr>
        <w:pStyle w:val="23"/>
        <w:rPr>
          <w:rFonts w:hint="eastAsia" w:ascii="仿宋_GB2312" w:hAnsi="仿宋_GB2312" w:eastAsia="仿宋_GB2312" w:cs="仿宋_GB2312"/>
          <w:lang w:val="en-US" w:eastAsia="zh-CN"/>
        </w:rPr>
      </w:pPr>
    </w:p>
    <w:p w14:paraId="76073FBF">
      <w:pPr>
        <w:pStyle w:val="23"/>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w:t>
      </w:r>
      <w:r>
        <w:rPr>
          <w:rFonts w:hint="eastAsia" w:ascii="仿宋_GB2312" w:hAnsi="仿宋_GB2312" w:eastAsia="仿宋_GB2312" w:cs="仿宋_GB2312"/>
          <w:sz w:val="24"/>
          <w:szCs w:val="24"/>
          <w:u w:val="single"/>
          <w:lang w:val="en-US" w:eastAsia="zh-CN"/>
        </w:rPr>
        <w:t xml:space="preserve">             </w:t>
      </w:r>
    </w:p>
    <w:p w14:paraId="4C3E6A74">
      <w:pPr>
        <w:pStyle w:val="2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年</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月</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日</w:t>
      </w:r>
    </w:p>
    <w:p w14:paraId="234892EA">
      <w:pPr>
        <w:pStyle w:val="20"/>
        <w:rPr>
          <w:rFonts w:hint="eastAsia" w:ascii="仿宋_GB2312" w:hAnsi="仿宋_GB2312" w:eastAsia="仿宋_GB2312" w:cs="仿宋_GB2312"/>
          <w:lang w:val="en-US" w:eastAsia="zh-CN"/>
        </w:rPr>
      </w:pPr>
    </w:p>
    <w:p w14:paraId="3F45E308">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38DDAA83">
      <w:pPr>
        <w:rPr>
          <w:rFonts w:hint="eastAsia" w:ascii="仿宋_GB2312" w:hAnsi="仿宋_GB2312" w:eastAsia="仿宋_GB2312" w:cs="仿宋_GB2312"/>
          <w:sz w:val="24"/>
          <w:szCs w:val="24"/>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00" w:name="_Toc6119"/>
    </w:p>
    <w:p w14:paraId="0F26F01D">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7.1</w:t>
      </w:r>
    </w:p>
    <w:p w14:paraId="7B2B178E">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r>
        <w:rPr>
          <w:rFonts w:hint="eastAsia" w:cstheme="majorBidi"/>
          <w:b/>
          <w:bCs/>
          <w:color w:val="auto"/>
          <w:kern w:val="2"/>
          <w:sz w:val="32"/>
          <w:szCs w:val="32"/>
          <w:highlight w:val="none"/>
          <w:lang w:val="en-US" w:eastAsia="zh-CN" w:bidi="ar-SA"/>
        </w:rPr>
        <w:t>分项报价表</w:t>
      </w:r>
    </w:p>
    <w:p w14:paraId="3C0402CB">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r>
        <w:rPr>
          <w:rFonts w:hint="eastAsia"/>
          <w:b w:val="0"/>
          <w:bCs/>
          <w:color w:val="auto"/>
          <w:szCs w:val="21"/>
          <w:highlight w:val="none"/>
          <w:u w:val="single"/>
          <w:lang w:val="zh-CN"/>
        </w:rPr>
        <w:t xml:space="preserve">   </w:t>
      </w:r>
    </w:p>
    <w:p w14:paraId="5456D210">
      <w:pPr>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r>
        <w:rPr>
          <w:rFonts w:hint="eastAsia"/>
          <w:b w:val="0"/>
          <w:bCs/>
          <w:color w:val="auto"/>
          <w:szCs w:val="21"/>
          <w:highlight w:val="none"/>
          <w:lang w:val="zh-CN"/>
        </w:rPr>
        <w:t xml:space="preserve">      </w:t>
      </w:r>
    </w:p>
    <w:tbl>
      <w:tblPr>
        <w:tblStyle w:val="26"/>
        <w:tblW w:w="14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893"/>
        <w:gridCol w:w="1974"/>
        <w:gridCol w:w="1154"/>
        <w:gridCol w:w="1541"/>
        <w:gridCol w:w="1473"/>
        <w:gridCol w:w="1213"/>
        <w:gridCol w:w="750"/>
        <w:gridCol w:w="1064"/>
        <w:gridCol w:w="1282"/>
        <w:gridCol w:w="1282"/>
      </w:tblGrid>
      <w:tr w14:paraId="5E93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894" w:type="dxa"/>
            <w:vAlign w:val="center"/>
          </w:tcPr>
          <w:p w14:paraId="2D51E3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kern w:val="2"/>
                <w:sz w:val="21"/>
                <w:szCs w:val="21"/>
                <w:highlight w:val="none"/>
              </w:rPr>
              <w:t>序号</w:t>
            </w:r>
          </w:p>
        </w:tc>
        <w:tc>
          <w:tcPr>
            <w:tcW w:w="1893" w:type="dxa"/>
            <w:vAlign w:val="center"/>
          </w:tcPr>
          <w:p w14:paraId="31DAB9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分项</w:t>
            </w:r>
            <w:r>
              <w:rPr>
                <w:rFonts w:hint="eastAsia" w:ascii="宋体" w:hAnsi="宋体" w:eastAsia="宋体" w:cs="宋体"/>
                <w:b w:val="0"/>
                <w:bCs/>
                <w:color w:val="auto"/>
                <w:sz w:val="21"/>
                <w:szCs w:val="21"/>
                <w:highlight w:val="none"/>
              </w:rPr>
              <w:t>名称</w:t>
            </w:r>
          </w:p>
        </w:tc>
        <w:tc>
          <w:tcPr>
            <w:tcW w:w="1974" w:type="dxa"/>
            <w:vAlign w:val="center"/>
          </w:tcPr>
          <w:p w14:paraId="1FEEAE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w:t>
            </w:r>
          </w:p>
        </w:tc>
        <w:tc>
          <w:tcPr>
            <w:tcW w:w="1154" w:type="dxa"/>
            <w:vAlign w:val="center"/>
          </w:tcPr>
          <w:p w14:paraId="264DED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产地/国别</w:t>
            </w:r>
          </w:p>
        </w:tc>
        <w:tc>
          <w:tcPr>
            <w:tcW w:w="1541" w:type="dxa"/>
            <w:vAlign w:val="center"/>
          </w:tcPr>
          <w:p w14:paraId="60D081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品牌</w:t>
            </w:r>
          </w:p>
        </w:tc>
        <w:tc>
          <w:tcPr>
            <w:tcW w:w="1473" w:type="dxa"/>
            <w:vAlign w:val="center"/>
          </w:tcPr>
          <w:p w14:paraId="6B3AF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规格、</w:t>
            </w:r>
            <w:r>
              <w:rPr>
                <w:rFonts w:hint="eastAsia" w:ascii="宋体" w:hAnsi="宋体" w:eastAsia="宋体" w:cs="宋体"/>
                <w:b w:val="0"/>
                <w:bCs/>
                <w:color w:val="auto"/>
                <w:sz w:val="21"/>
                <w:szCs w:val="21"/>
                <w:highlight w:val="none"/>
              </w:rPr>
              <w:t>型号</w:t>
            </w:r>
          </w:p>
        </w:tc>
        <w:tc>
          <w:tcPr>
            <w:tcW w:w="1213" w:type="dxa"/>
            <w:vAlign w:val="center"/>
          </w:tcPr>
          <w:p w14:paraId="45014B84">
            <w:pPr>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单价</w:t>
            </w:r>
          </w:p>
          <w:p w14:paraId="145DF2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c>
          <w:tcPr>
            <w:tcW w:w="750" w:type="dxa"/>
            <w:vAlign w:val="center"/>
          </w:tcPr>
          <w:p w14:paraId="3B8622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单位</w:t>
            </w:r>
          </w:p>
        </w:tc>
        <w:tc>
          <w:tcPr>
            <w:tcW w:w="1064" w:type="dxa"/>
            <w:vAlign w:val="center"/>
          </w:tcPr>
          <w:p w14:paraId="3BCEDF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数量</w:t>
            </w:r>
          </w:p>
        </w:tc>
        <w:tc>
          <w:tcPr>
            <w:tcW w:w="1282" w:type="dxa"/>
            <w:vAlign w:val="center"/>
          </w:tcPr>
          <w:p w14:paraId="577D0E39">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合价</w:t>
            </w:r>
          </w:p>
          <w:p w14:paraId="2EC37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c>
          <w:tcPr>
            <w:tcW w:w="1282" w:type="dxa"/>
            <w:vAlign w:val="center"/>
          </w:tcPr>
          <w:p w14:paraId="01516C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备注说明</w:t>
            </w:r>
          </w:p>
        </w:tc>
      </w:tr>
      <w:tr w14:paraId="2416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76007496">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1</w:t>
            </w:r>
          </w:p>
        </w:tc>
        <w:tc>
          <w:tcPr>
            <w:tcW w:w="1893" w:type="dxa"/>
            <w:vAlign w:val="center"/>
          </w:tcPr>
          <w:p w14:paraId="5185A0F8">
            <w:pPr>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u w:val="none"/>
                <w:vertAlign w:val="baseline"/>
                <w:lang w:val="zh-CN"/>
              </w:rPr>
              <w:t>急诊科信息化软件建设采购</w:t>
            </w:r>
          </w:p>
        </w:tc>
        <w:tc>
          <w:tcPr>
            <w:tcW w:w="1974" w:type="dxa"/>
            <w:vAlign w:val="center"/>
          </w:tcPr>
          <w:p w14:paraId="440761B0">
            <w:pPr>
              <w:jc w:val="center"/>
              <w:rPr>
                <w:rFonts w:hint="eastAsia" w:ascii="宋体" w:hAnsi="宋体" w:eastAsia="宋体" w:cs="宋体"/>
                <w:b w:val="0"/>
                <w:bCs/>
                <w:color w:val="auto"/>
                <w:sz w:val="21"/>
                <w:szCs w:val="21"/>
                <w:highlight w:val="none"/>
                <w:u w:val="none"/>
                <w:vertAlign w:val="baseline"/>
                <w:lang w:val="zh-CN"/>
              </w:rPr>
            </w:pPr>
          </w:p>
        </w:tc>
        <w:tc>
          <w:tcPr>
            <w:tcW w:w="1154" w:type="dxa"/>
            <w:vAlign w:val="center"/>
          </w:tcPr>
          <w:p w14:paraId="2042EBA7">
            <w:pPr>
              <w:jc w:val="center"/>
              <w:rPr>
                <w:rFonts w:hint="eastAsia" w:ascii="宋体" w:hAnsi="宋体" w:eastAsia="宋体" w:cs="宋体"/>
                <w:b w:val="0"/>
                <w:bCs/>
                <w:color w:val="auto"/>
                <w:sz w:val="21"/>
                <w:szCs w:val="21"/>
                <w:highlight w:val="none"/>
                <w:u w:val="none"/>
                <w:vertAlign w:val="baseline"/>
                <w:lang w:val="zh-CN"/>
              </w:rPr>
            </w:pPr>
          </w:p>
        </w:tc>
        <w:tc>
          <w:tcPr>
            <w:tcW w:w="1541" w:type="dxa"/>
            <w:vAlign w:val="center"/>
          </w:tcPr>
          <w:p w14:paraId="58D4443B">
            <w:pPr>
              <w:jc w:val="center"/>
              <w:rPr>
                <w:rFonts w:hint="eastAsia" w:ascii="宋体" w:hAnsi="宋体" w:eastAsia="宋体" w:cs="宋体"/>
                <w:b w:val="0"/>
                <w:bCs/>
                <w:color w:val="auto"/>
                <w:sz w:val="21"/>
                <w:szCs w:val="21"/>
                <w:highlight w:val="none"/>
                <w:u w:val="none"/>
                <w:vertAlign w:val="baseline"/>
                <w:lang w:val="zh-CN"/>
              </w:rPr>
            </w:pPr>
          </w:p>
        </w:tc>
        <w:tc>
          <w:tcPr>
            <w:tcW w:w="1473" w:type="dxa"/>
            <w:vAlign w:val="center"/>
          </w:tcPr>
          <w:p w14:paraId="38890D30">
            <w:pPr>
              <w:jc w:val="center"/>
              <w:rPr>
                <w:rFonts w:hint="eastAsia" w:ascii="宋体" w:hAnsi="宋体" w:eastAsia="宋体" w:cs="宋体"/>
                <w:b w:val="0"/>
                <w:bCs/>
                <w:color w:val="auto"/>
                <w:sz w:val="21"/>
                <w:szCs w:val="21"/>
                <w:highlight w:val="none"/>
                <w:u w:val="none"/>
                <w:vertAlign w:val="baseline"/>
                <w:lang w:val="zh-CN"/>
              </w:rPr>
            </w:pPr>
          </w:p>
        </w:tc>
        <w:tc>
          <w:tcPr>
            <w:tcW w:w="1213" w:type="dxa"/>
            <w:vAlign w:val="center"/>
          </w:tcPr>
          <w:p w14:paraId="50753003">
            <w:pPr>
              <w:jc w:val="center"/>
              <w:rPr>
                <w:rFonts w:hint="eastAsia" w:ascii="宋体" w:hAnsi="宋体" w:eastAsia="宋体" w:cs="宋体"/>
                <w:b w:val="0"/>
                <w:bCs/>
                <w:color w:val="auto"/>
                <w:sz w:val="21"/>
                <w:szCs w:val="21"/>
                <w:highlight w:val="none"/>
                <w:u w:val="none"/>
                <w:vertAlign w:val="baseline"/>
                <w:lang w:val="zh-CN"/>
              </w:rPr>
            </w:pPr>
          </w:p>
        </w:tc>
        <w:tc>
          <w:tcPr>
            <w:tcW w:w="750" w:type="dxa"/>
            <w:vAlign w:val="center"/>
          </w:tcPr>
          <w:p w14:paraId="59045F82">
            <w:pPr>
              <w:jc w:val="center"/>
              <w:rPr>
                <w:rFonts w:hint="eastAsia" w:ascii="宋体" w:hAnsi="宋体" w:eastAsia="宋体" w:cs="宋体"/>
                <w:b w:val="0"/>
                <w:bCs/>
                <w:color w:val="auto"/>
                <w:sz w:val="21"/>
                <w:szCs w:val="21"/>
                <w:highlight w:val="none"/>
                <w:u w:val="none"/>
                <w:vertAlign w:val="baseline"/>
                <w:lang w:val="zh-CN"/>
              </w:rPr>
            </w:pPr>
          </w:p>
        </w:tc>
        <w:tc>
          <w:tcPr>
            <w:tcW w:w="1064" w:type="dxa"/>
            <w:vAlign w:val="center"/>
          </w:tcPr>
          <w:p w14:paraId="1D342E69">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1F020DC5">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36BB8D0B">
            <w:pPr>
              <w:jc w:val="center"/>
              <w:rPr>
                <w:rFonts w:hint="eastAsia" w:ascii="宋体" w:hAnsi="宋体" w:eastAsia="宋体" w:cs="宋体"/>
                <w:b w:val="0"/>
                <w:bCs/>
                <w:color w:val="auto"/>
                <w:sz w:val="21"/>
                <w:szCs w:val="21"/>
                <w:highlight w:val="none"/>
                <w:u w:val="none"/>
                <w:vertAlign w:val="baseline"/>
                <w:lang w:val="zh-CN"/>
              </w:rPr>
            </w:pPr>
          </w:p>
        </w:tc>
      </w:tr>
      <w:tr w14:paraId="5168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2DA2FC9F">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2</w:t>
            </w:r>
          </w:p>
        </w:tc>
        <w:tc>
          <w:tcPr>
            <w:tcW w:w="1893" w:type="dxa"/>
            <w:vAlign w:val="center"/>
          </w:tcPr>
          <w:p w14:paraId="022E3F12">
            <w:pPr>
              <w:jc w:val="center"/>
              <w:rPr>
                <w:rFonts w:hint="eastAsia" w:ascii="宋体" w:hAnsi="宋体" w:eastAsia="宋体" w:cs="宋体"/>
                <w:b w:val="0"/>
                <w:bCs/>
                <w:color w:val="auto"/>
                <w:sz w:val="21"/>
                <w:szCs w:val="21"/>
                <w:highlight w:val="none"/>
                <w:u w:val="none"/>
                <w:vertAlign w:val="baseline"/>
                <w:lang w:val="zh-CN"/>
              </w:rPr>
            </w:pPr>
          </w:p>
        </w:tc>
        <w:tc>
          <w:tcPr>
            <w:tcW w:w="1974" w:type="dxa"/>
            <w:vAlign w:val="center"/>
          </w:tcPr>
          <w:p w14:paraId="3FFF5518">
            <w:pPr>
              <w:jc w:val="center"/>
              <w:rPr>
                <w:rFonts w:hint="eastAsia" w:ascii="宋体" w:hAnsi="宋体" w:eastAsia="宋体" w:cs="宋体"/>
                <w:b w:val="0"/>
                <w:bCs/>
                <w:color w:val="auto"/>
                <w:sz w:val="21"/>
                <w:szCs w:val="21"/>
                <w:highlight w:val="none"/>
                <w:u w:val="none"/>
                <w:vertAlign w:val="baseline"/>
                <w:lang w:val="zh-CN"/>
              </w:rPr>
            </w:pPr>
          </w:p>
        </w:tc>
        <w:tc>
          <w:tcPr>
            <w:tcW w:w="1154" w:type="dxa"/>
            <w:vAlign w:val="center"/>
          </w:tcPr>
          <w:p w14:paraId="0C93B94B">
            <w:pPr>
              <w:jc w:val="center"/>
              <w:rPr>
                <w:rFonts w:hint="eastAsia" w:ascii="宋体" w:hAnsi="宋体" w:eastAsia="宋体" w:cs="宋体"/>
                <w:b w:val="0"/>
                <w:bCs/>
                <w:color w:val="auto"/>
                <w:sz w:val="21"/>
                <w:szCs w:val="21"/>
                <w:highlight w:val="none"/>
                <w:u w:val="none"/>
                <w:vertAlign w:val="baseline"/>
                <w:lang w:val="zh-CN"/>
              </w:rPr>
            </w:pPr>
          </w:p>
        </w:tc>
        <w:tc>
          <w:tcPr>
            <w:tcW w:w="1541" w:type="dxa"/>
            <w:vAlign w:val="center"/>
          </w:tcPr>
          <w:p w14:paraId="22025CB6">
            <w:pPr>
              <w:jc w:val="center"/>
              <w:rPr>
                <w:rFonts w:hint="eastAsia" w:ascii="宋体" w:hAnsi="宋体" w:eastAsia="宋体" w:cs="宋体"/>
                <w:b w:val="0"/>
                <w:bCs/>
                <w:color w:val="auto"/>
                <w:sz w:val="21"/>
                <w:szCs w:val="21"/>
                <w:highlight w:val="none"/>
                <w:u w:val="none"/>
                <w:vertAlign w:val="baseline"/>
                <w:lang w:val="zh-CN"/>
              </w:rPr>
            </w:pPr>
          </w:p>
        </w:tc>
        <w:tc>
          <w:tcPr>
            <w:tcW w:w="1473" w:type="dxa"/>
            <w:vAlign w:val="center"/>
          </w:tcPr>
          <w:p w14:paraId="62DDA3C2">
            <w:pPr>
              <w:jc w:val="center"/>
              <w:rPr>
                <w:rFonts w:hint="eastAsia" w:ascii="宋体" w:hAnsi="宋体" w:eastAsia="宋体" w:cs="宋体"/>
                <w:b w:val="0"/>
                <w:bCs/>
                <w:color w:val="auto"/>
                <w:sz w:val="21"/>
                <w:szCs w:val="21"/>
                <w:highlight w:val="none"/>
                <w:u w:val="none"/>
                <w:vertAlign w:val="baseline"/>
                <w:lang w:val="zh-CN"/>
              </w:rPr>
            </w:pPr>
          </w:p>
        </w:tc>
        <w:tc>
          <w:tcPr>
            <w:tcW w:w="1213" w:type="dxa"/>
            <w:vAlign w:val="center"/>
          </w:tcPr>
          <w:p w14:paraId="703F39B0">
            <w:pPr>
              <w:jc w:val="center"/>
              <w:rPr>
                <w:rFonts w:hint="eastAsia" w:ascii="宋体" w:hAnsi="宋体" w:eastAsia="宋体" w:cs="宋体"/>
                <w:b w:val="0"/>
                <w:bCs/>
                <w:color w:val="auto"/>
                <w:sz w:val="21"/>
                <w:szCs w:val="21"/>
                <w:highlight w:val="none"/>
                <w:u w:val="none"/>
                <w:vertAlign w:val="baseline"/>
                <w:lang w:val="zh-CN"/>
              </w:rPr>
            </w:pPr>
          </w:p>
        </w:tc>
        <w:tc>
          <w:tcPr>
            <w:tcW w:w="750" w:type="dxa"/>
            <w:vAlign w:val="center"/>
          </w:tcPr>
          <w:p w14:paraId="31920AB9">
            <w:pPr>
              <w:jc w:val="center"/>
              <w:rPr>
                <w:rFonts w:hint="eastAsia" w:ascii="宋体" w:hAnsi="宋体" w:eastAsia="宋体" w:cs="宋体"/>
                <w:b w:val="0"/>
                <w:bCs/>
                <w:color w:val="auto"/>
                <w:sz w:val="21"/>
                <w:szCs w:val="21"/>
                <w:highlight w:val="none"/>
                <w:u w:val="none"/>
                <w:vertAlign w:val="baseline"/>
                <w:lang w:val="zh-CN"/>
              </w:rPr>
            </w:pPr>
          </w:p>
        </w:tc>
        <w:tc>
          <w:tcPr>
            <w:tcW w:w="1064" w:type="dxa"/>
            <w:vAlign w:val="center"/>
          </w:tcPr>
          <w:p w14:paraId="1E470599">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3DE3EDC9">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7DFC49AF">
            <w:pPr>
              <w:jc w:val="center"/>
              <w:rPr>
                <w:rFonts w:hint="eastAsia" w:ascii="宋体" w:hAnsi="宋体" w:eastAsia="宋体" w:cs="宋体"/>
                <w:b w:val="0"/>
                <w:bCs/>
                <w:color w:val="auto"/>
                <w:sz w:val="21"/>
                <w:szCs w:val="21"/>
                <w:highlight w:val="none"/>
                <w:u w:val="none"/>
                <w:vertAlign w:val="baseline"/>
                <w:lang w:val="zh-CN"/>
              </w:rPr>
            </w:pPr>
          </w:p>
        </w:tc>
      </w:tr>
      <w:tr w14:paraId="4087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288DC270">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3</w:t>
            </w:r>
          </w:p>
        </w:tc>
        <w:tc>
          <w:tcPr>
            <w:tcW w:w="1893" w:type="dxa"/>
            <w:vAlign w:val="center"/>
          </w:tcPr>
          <w:p w14:paraId="296B3553">
            <w:pPr>
              <w:jc w:val="center"/>
              <w:rPr>
                <w:rFonts w:hint="eastAsia" w:ascii="宋体" w:hAnsi="宋体" w:eastAsia="宋体" w:cs="宋体"/>
                <w:b w:val="0"/>
                <w:bCs/>
                <w:color w:val="auto"/>
                <w:sz w:val="21"/>
                <w:szCs w:val="21"/>
                <w:highlight w:val="none"/>
                <w:u w:val="none"/>
                <w:vertAlign w:val="baseline"/>
                <w:lang w:val="zh-CN"/>
              </w:rPr>
            </w:pPr>
          </w:p>
        </w:tc>
        <w:tc>
          <w:tcPr>
            <w:tcW w:w="1974" w:type="dxa"/>
            <w:vAlign w:val="center"/>
          </w:tcPr>
          <w:p w14:paraId="11A9BFBA">
            <w:pPr>
              <w:jc w:val="center"/>
              <w:rPr>
                <w:rFonts w:hint="eastAsia" w:ascii="宋体" w:hAnsi="宋体" w:eastAsia="宋体" w:cs="宋体"/>
                <w:b w:val="0"/>
                <w:bCs/>
                <w:color w:val="auto"/>
                <w:sz w:val="21"/>
                <w:szCs w:val="21"/>
                <w:highlight w:val="none"/>
                <w:u w:val="none"/>
                <w:vertAlign w:val="baseline"/>
                <w:lang w:val="zh-CN"/>
              </w:rPr>
            </w:pPr>
          </w:p>
        </w:tc>
        <w:tc>
          <w:tcPr>
            <w:tcW w:w="1154" w:type="dxa"/>
            <w:vAlign w:val="center"/>
          </w:tcPr>
          <w:p w14:paraId="6D34AAEE">
            <w:pPr>
              <w:jc w:val="center"/>
              <w:rPr>
                <w:rFonts w:hint="eastAsia" w:ascii="宋体" w:hAnsi="宋体" w:eastAsia="宋体" w:cs="宋体"/>
                <w:b w:val="0"/>
                <w:bCs/>
                <w:color w:val="auto"/>
                <w:sz w:val="21"/>
                <w:szCs w:val="21"/>
                <w:highlight w:val="none"/>
                <w:u w:val="none"/>
                <w:vertAlign w:val="baseline"/>
                <w:lang w:val="zh-CN"/>
              </w:rPr>
            </w:pPr>
          </w:p>
        </w:tc>
        <w:tc>
          <w:tcPr>
            <w:tcW w:w="1541" w:type="dxa"/>
            <w:vAlign w:val="center"/>
          </w:tcPr>
          <w:p w14:paraId="4765FF03">
            <w:pPr>
              <w:jc w:val="center"/>
              <w:rPr>
                <w:rFonts w:hint="eastAsia" w:ascii="宋体" w:hAnsi="宋体" w:eastAsia="宋体" w:cs="宋体"/>
                <w:b w:val="0"/>
                <w:bCs/>
                <w:color w:val="auto"/>
                <w:sz w:val="21"/>
                <w:szCs w:val="21"/>
                <w:highlight w:val="none"/>
                <w:u w:val="none"/>
                <w:vertAlign w:val="baseline"/>
                <w:lang w:val="zh-CN"/>
              </w:rPr>
            </w:pPr>
          </w:p>
        </w:tc>
        <w:tc>
          <w:tcPr>
            <w:tcW w:w="1473" w:type="dxa"/>
            <w:vAlign w:val="center"/>
          </w:tcPr>
          <w:p w14:paraId="1030805C">
            <w:pPr>
              <w:jc w:val="center"/>
              <w:rPr>
                <w:rFonts w:hint="eastAsia" w:ascii="宋体" w:hAnsi="宋体" w:eastAsia="宋体" w:cs="宋体"/>
                <w:b w:val="0"/>
                <w:bCs/>
                <w:color w:val="auto"/>
                <w:sz w:val="21"/>
                <w:szCs w:val="21"/>
                <w:highlight w:val="none"/>
                <w:u w:val="none"/>
                <w:vertAlign w:val="baseline"/>
                <w:lang w:val="zh-CN"/>
              </w:rPr>
            </w:pPr>
          </w:p>
        </w:tc>
        <w:tc>
          <w:tcPr>
            <w:tcW w:w="1213" w:type="dxa"/>
            <w:vAlign w:val="center"/>
          </w:tcPr>
          <w:p w14:paraId="03FD13FA">
            <w:pPr>
              <w:jc w:val="center"/>
              <w:rPr>
                <w:rFonts w:hint="eastAsia" w:ascii="宋体" w:hAnsi="宋体" w:eastAsia="宋体" w:cs="宋体"/>
                <w:b w:val="0"/>
                <w:bCs/>
                <w:color w:val="auto"/>
                <w:sz w:val="21"/>
                <w:szCs w:val="21"/>
                <w:highlight w:val="none"/>
                <w:u w:val="none"/>
                <w:vertAlign w:val="baseline"/>
                <w:lang w:val="zh-CN"/>
              </w:rPr>
            </w:pPr>
          </w:p>
        </w:tc>
        <w:tc>
          <w:tcPr>
            <w:tcW w:w="750" w:type="dxa"/>
            <w:vAlign w:val="center"/>
          </w:tcPr>
          <w:p w14:paraId="2AA0DF1F">
            <w:pPr>
              <w:jc w:val="center"/>
              <w:rPr>
                <w:rFonts w:hint="eastAsia" w:ascii="宋体" w:hAnsi="宋体" w:eastAsia="宋体" w:cs="宋体"/>
                <w:b w:val="0"/>
                <w:bCs/>
                <w:color w:val="auto"/>
                <w:sz w:val="21"/>
                <w:szCs w:val="21"/>
                <w:highlight w:val="none"/>
                <w:u w:val="none"/>
                <w:vertAlign w:val="baseline"/>
                <w:lang w:val="zh-CN"/>
              </w:rPr>
            </w:pPr>
          </w:p>
        </w:tc>
        <w:tc>
          <w:tcPr>
            <w:tcW w:w="1064" w:type="dxa"/>
            <w:vAlign w:val="center"/>
          </w:tcPr>
          <w:p w14:paraId="74FB862A">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568E139E">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034273AD">
            <w:pPr>
              <w:jc w:val="center"/>
              <w:rPr>
                <w:rFonts w:hint="eastAsia" w:ascii="宋体" w:hAnsi="宋体" w:eastAsia="宋体" w:cs="宋体"/>
                <w:b w:val="0"/>
                <w:bCs/>
                <w:color w:val="auto"/>
                <w:sz w:val="21"/>
                <w:szCs w:val="21"/>
                <w:highlight w:val="none"/>
                <w:u w:val="none"/>
                <w:vertAlign w:val="baseline"/>
                <w:lang w:val="zh-CN"/>
              </w:rPr>
            </w:pPr>
          </w:p>
        </w:tc>
      </w:tr>
      <w:tr w14:paraId="6094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4B0C62D3">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4</w:t>
            </w:r>
          </w:p>
        </w:tc>
        <w:tc>
          <w:tcPr>
            <w:tcW w:w="1893" w:type="dxa"/>
            <w:vAlign w:val="center"/>
          </w:tcPr>
          <w:p w14:paraId="78D63140">
            <w:pPr>
              <w:jc w:val="center"/>
              <w:rPr>
                <w:rFonts w:hint="eastAsia" w:ascii="宋体" w:hAnsi="宋体" w:eastAsia="宋体" w:cs="宋体"/>
                <w:b w:val="0"/>
                <w:bCs/>
                <w:color w:val="auto"/>
                <w:sz w:val="21"/>
                <w:szCs w:val="21"/>
                <w:highlight w:val="none"/>
                <w:u w:val="none"/>
                <w:vertAlign w:val="baseline"/>
                <w:lang w:val="zh-CN"/>
              </w:rPr>
            </w:pPr>
          </w:p>
        </w:tc>
        <w:tc>
          <w:tcPr>
            <w:tcW w:w="1974" w:type="dxa"/>
            <w:vAlign w:val="center"/>
          </w:tcPr>
          <w:p w14:paraId="36FCE407">
            <w:pPr>
              <w:jc w:val="center"/>
              <w:rPr>
                <w:rFonts w:hint="eastAsia" w:ascii="宋体" w:hAnsi="宋体" w:eastAsia="宋体" w:cs="宋体"/>
                <w:b w:val="0"/>
                <w:bCs/>
                <w:color w:val="auto"/>
                <w:sz w:val="21"/>
                <w:szCs w:val="21"/>
                <w:highlight w:val="none"/>
                <w:u w:val="none"/>
                <w:vertAlign w:val="baseline"/>
                <w:lang w:val="zh-CN"/>
              </w:rPr>
            </w:pPr>
          </w:p>
        </w:tc>
        <w:tc>
          <w:tcPr>
            <w:tcW w:w="1154" w:type="dxa"/>
            <w:vAlign w:val="center"/>
          </w:tcPr>
          <w:p w14:paraId="7B685A3F">
            <w:pPr>
              <w:jc w:val="center"/>
              <w:rPr>
                <w:rFonts w:hint="eastAsia" w:ascii="宋体" w:hAnsi="宋体" w:eastAsia="宋体" w:cs="宋体"/>
                <w:b w:val="0"/>
                <w:bCs/>
                <w:color w:val="auto"/>
                <w:sz w:val="21"/>
                <w:szCs w:val="21"/>
                <w:highlight w:val="none"/>
                <w:u w:val="none"/>
                <w:vertAlign w:val="baseline"/>
                <w:lang w:val="zh-CN"/>
              </w:rPr>
            </w:pPr>
          </w:p>
        </w:tc>
        <w:tc>
          <w:tcPr>
            <w:tcW w:w="1541" w:type="dxa"/>
            <w:vAlign w:val="center"/>
          </w:tcPr>
          <w:p w14:paraId="4E72731F">
            <w:pPr>
              <w:jc w:val="center"/>
              <w:rPr>
                <w:rFonts w:hint="eastAsia" w:ascii="宋体" w:hAnsi="宋体" w:eastAsia="宋体" w:cs="宋体"/>
                <w:b w:val="0"/>
                <w:bCs/>
                <w:color w:val="auto"/>
                <w:sz w:val="21"/>
                <w:szCs w:val="21"/>
                <w:highlight w:val="none"/>
                <w:u w:val="none"/>
                <w:vertAlign w:val="baseline"/>
                <w:lang w:val="zh-CN"/>
              </w:rPr>
            </w:pPr>
          </w:p>
        </w:tc>
        <w:tc>
          <w:tcPr>
            <w:tcW w:w="1473" w:type="dxa"/>
            <w:vAlign w:val="center"/>
          </w:tcPr>
          <w:p w14:paraId="781A2EB9">
            <w:pPr>
              <w:jc w:val="center"/>
              <w:rPr>
                <w:rFonts w:hint="eastAsia" w:ascii="宋体" w:hAnsi="宋体" w:eastAsia="宋体" w:cs="宋体"/>
                <w:b w:val="0"/>
                <w:bCs/>
                <w:color w:val="auto"/>
                <w:sz w:val="21"/>
                <w:szCs w:val="21"/>
                <w:highlight w:val="none"/>
                <w:u w:val="none"/>
                <w:vertAlign w:val="baseline"/>
                <w:lang w:val="zh-CN"/>
              </w:rPr>
            </w:pPr>
          </w:p>
        </w:tc>
        <w:tc>
          <w:tcPr>
            <w:tcW w:w="1213" w:type="dxa"/>
            <w:vAlign w:val="center"/>
          </w:tcPr>
          <w:p w14:paraId="427EE9F9">
            <w:pPr>
              <w:jc w:val="center"/>
              <w:rPr>
                <w:rFonts w:hint="eastAsia" w:ascii="宋体" w:hAnsi="宋体" w:eastAsia="宋体" w:cs="宋体"/>
                <w:b w:val="0"/>
                <w:bCs/>
                <w:color w:val="auto"/>
                <w:sz w:val="21"/>
                <w:szCs w:val="21"/>
                <w:highlight w:val="none"/>
                <w:u w:val="none"/>
                <w:vertAlign w:val="baseline"/>
                <w:lang w:val="zh-CN"/>
              </w:rPr>
            </w:pPr>
          </w:p>
        </w:tc>
        <w:tc>
          <w:tcPr>
            <w:tcW w:w="750" w:type="dxa"/>
            <w:vAlign w:val="center"/>
          </w:tcPr>
          <w:p w14:paraId="446241F1">
            <w:pPr>
              <w:jc w:val="center"/>
              <w:rPr>
                <w:rFonts w:hint="eastAsia" w:ascii="宋体" w:hAnsi="宋体" w:eastAsia="宋体" w:cs="宋体"/>
                <w:b w:val="0"/>
                <w:bCs/>
                <w:color w:val="auto"/>
                <w:sz w:val="21"/>
                <w:szCs w:val="21"/>
                <w:highlight w:val="none"/>
                <w:u w:val="none"/>
                <w:vertAlign w:val="baseline"/>
                <w:lang w:val="zh-CN"/>
              </w:rPr>
            </w:pPr>
          </w:p>
        </w:tc>
        <w:tc>
          <w:tcPr>
            <w:tcW w:w="1064" w:type="dxa"/>
            <w:vAlign w:val="center"/>
          </w:tcPr>
          <w:p w14:paraId="5CE779B8">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69FF26F0">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1FB58592">
            <w:pPr>
              <w:jc w:val="center"/>
              <w:rPr>
                <w:rFonts w:hint="eastAsia" w:ascii="宋体" w:hAnsi="宋体" w:eastAsia="宋体" w:cs="宋体"/>
                <w:b w:val="0"/>
                <w:bCs/>
                <w:color w:val="auto"/>
                <w:sz w:val="21"/>
                <w:szCs w:val="21"/>
                <w:highlight w:val="none"/>
                <w:u w:val="none"/>
                <w:vertAlign w:val="baseline"/>
                <w:lang w:val="zh-CN"/>
              </w:rPr>
            </w:pPr>
          </w:p>
        </w:tc>
      </w:tr>
      <w:tr w14:paraId="2FE9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4442CB85">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5</w:t>
            </w:r>
          </w:p>
        </w:tc>
        <w:tc>
          <w:tcPr>
            <w:tcW w:w="1893" w:type="dxa"/>
            <w:vAlign w:val="center"/>
          </w:tcPr>
          <w:p w14:paraId="679234AE">
            <w:pPr>
              <w:jc w:val="center"/>
              <w:rPr>
                <w:rFonts w:hint="eastAsia" w:ascii="宋体" w:hAnsi="宋体" w:eastAsia="宋体" w:cs="宋体"/>
                <w:b w:val="0"/>
                <w:bCs/>
                <w:color w:val="auto"/>
                <w:sz w:val="21"/>
                <w:szCs w:val="21"/>
                <w:highlight w:val="none"/>
                <w:u w:val="none"/>
                <w:vertAlign w:val="baseline"/>
                <w:lang w:val="zh-CN"/>
              </w:rPr>
            </w:pPr>
          </w:p>
        </w:tc>
        <w:tc>
          <w:tcPr>
            <w:tcW w:w="1974" w:type="dxa"/>
            <w:vAlign w:val="center"/>
          </w:tcPr>
          <w:p w14:paraId="1677FA79">
            <w:pPr>
              <w:jc w:val="center"/>
              <w:rPr>
                <w:rFonts w:hint="eastAsia" w:ascii="宋体" w:hAnsi="宋体" w:eastAsia="宋体" w:cs="宋体"/>
                <w:b w:val="0"/>
                <w:bCs/>
                <w:color w:val="auto"/>
                <w:sz w:val="21"/>
                <w:szCs w:val="21"/>
                <w:highlight w:val="none"/>
                <w:u w:val="none"/>
                <w:vertAlign w:val="baseline"/>
                <w:lang w:val="zh-CN"/>
              </w:rPr>
            </w:pPr>
          </w:p>
        </w:tc>
        <w:tc>
          <w:tcPr>
            <w:tcW w:w="1154" w:type="dxa"/>
            <w:vAlign w:val="center"/>
          </w:tcPr>
          <w:p w14:paraId="73FE1D76">
            <w:pPr>
              <w:jc w:val="center"/>
              <w:rPr>
                <w:rFonts w:hint="eastAsia" w:ascii="宋体" w:hAnsi="宋体" w:eastAsia="宋体" w:cs="宋体"/>
                <w:b w:val="0"/>
                <w:bCs/>
                <w:color w:val="auto"/>
                <w:sz w:val="21"/>
                <w:szCs w:val="21"/>
                <w:highlight w:val="none"/>
                <w:u w:val="none"/>
                <w:vertAlign w:val="baseline"/>
                <w:lang w:val="zh-CN"/>
              </w:rPr>
            </w:pPr>
          </w:p>
        </w:tc>
        <w:tc>
          <w:tcPr>
            <w:tcW w:w="1541" w:type="dxa"/>
            <w:vAlign w:val="center"/>
          </w:tcPr>
          <w:p w14:paraId="0C1A4B6F">
            <w:pPr>
              <w:jc w:val="center"/>
              <w:rPr>
                <w:rFonts w:hint="eastAsia" w:ascii="宋体" w:hAnsi="宋体" w:eastAsia="宋体" w:cs="宋体"/>
                <w:b w:val="0"/>
                <w:bCs/>
                <w:color w:val="auto"/>
                <w:sz w:val="21"/>
                <w:szCs w:val="21"/>
                <w:highlight w:val="none"/>
                <w:u w:val="none"/>
                <w:vertAlign w:val="baseline"/>
                <w:lang w:val="zh-CN"/>
              </w:rPr>
            </w:pPr>
          </w:p>
        </w:tc>
        <w:tc>
          <w:tcPr>
            <w:tcW w:w="1473" w:type="dxa"/>
            <w:vAlign w:val="center"/>
          </w:tcPr>
          <w:p w14:paraId="42FC6DBD">
            <w:pPr>
              <w:jc w:val="center"/>
              <w:rPr>
                <w:rFonts w:hint="eastAsia" w:ascii="宋体" w:hAnsi="宋体" w:eastAsia="宋体" w:cs="宋体"/>
                <w:b w:val="0"/>
                <w:bCs/>
                <w:color w:val="auto"/>
                <w:sz w:val="21"/>
                <w:szCs w:val="21"/>
                <w:highlight w:val="none"/>
                <w:u w:val="none"/>
                <w:vertAlign w:val="baseline"/>
                <w:lang w:val="zh-CN"/>
              </w:rPr>
            </w:pPr>
          </w:p>
        </w:tc>
        <w:tc>
          <w:tcPr>
            <w:tcW w:w="1213" w:type="dxa"/>
            <w:vAlign w:val="center"/>
          </w:tcPr>
          <w:p w14:paraId="2F3F1C2B">
            <w:pPr>
              <w:jc w:val="center"/>
              <w:rPr>
                <w:rFonts w:hint="eastAsia" w:ascii="宋体" w:hAnsi="宋体" w:eastAsia="宋体" w:cs="宋体"/>
                <w:b w:val="0"/>
                <w:bCs/>
                <w:color w:val="auto"/>
                <w:sz w:val="21"/>
                <w:szCs w:val="21"/>
                <w:highlight w:val="none"/>
                <w:u w:val="none"/>
                <w:vertAlign w:val="baseline"/>
                <w:lang w:val="zh-CN"/>
              </w:rPr>
            </w:pPr>
          </w:p>
        </w:tc>
        <w:tc>
          <w:tcPr>
            <w:tcW w:w="750" w:type="dxa"/>
            <w:vAlign w:val="center"/>
          </w:tcPr>
          <w:p w14:paraId="1560C636">
            <w:pPr>
              <w:jc w:val="center"/>
              <w:rPr>
                <w:rFonts w:hint="eastAsia" w:ascii="宋体" w:hAnsi="宋体" w:eastAsia="宋体" w:cs="宋体"/>
                <w:b w:val="0"/>
                <w:bCs/>
                <w:color w:val="auto"/>
                <w:sz w:val="21"/>
                <w:szCs w:val="21"/>
                <w:highlight w:val="none"/>
                <w:u w:val="none"/>
                <w:vertAlign w:val="baseline"/>
                <w:lang w:val="zh-CN"/>
              </w:rPr>
            </w:pPr>
          </w:p>
        </w:tc>
        <w:tc>
          <w:tcPr>
            <w:tcW w:w="1064" w:type="dxa"/>
            <w:vAlign w:val="center"/>
          </w:tcPr>
          <w:p w14:paraId="204EDE9D">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5011D80F">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3DAAC7C0">
            <w:pPr>
              <w:jc w:val="center"/>
              <w:rPr>
                <w:rFonts w:hint="eastAsia" w:ascii="宋体" w:hAnsi="宋体" w:eastAsia="宋体" w:cs="宋体"/>
                <w:b w:val="0"/>
                <w:bCs/>
                <w:color w:val="auto"/>
                <w:sz w:val="21"/>
                <w:szCs w:val="21"/>
                <w:highlight w:val="none"/>
                <w:u w:val="none"/>
                <w:vertAlign w:val="baseline"/>
                <w:lang w:val="zh-CN"/>
              </w:rPr>
            </w:pPr>
          </w:p>
        </w:tc>
      </w:tr>
      <w:tr w14:paraId="20E3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894" w:type="dxa"/>
            <w:vAlign w:val="center"/>
          </w:tcPr>
          <w:p w14:paraId="60BE0365">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6</w:t>
            </w:r>
          </w:p>
        </w:tc>
        <w:tc>
          <w:tcPr>
            <w:tcW w:w="1893" w:type="dxa"/>
            <w:vAlign w:val="center"/>
          </w:tcPr>
          <w:p w14:paraId="6D8BCB32">
            <w:pPr>
              <w:jc w:val="center"/>
              <w:rPr>
                <w:rFonts w:hint="eastAsia" w:ascii="宋体" w:hAnsi="宋体" w:eastAsia="宋体" w:cs="宋体"/>
                <w:b w:val="0"/>
                <w:bCs/>
                <w:color w:val="auto"/>
                <w:sz w:val="21"/>
                <w:szCs w:val="21"/>
                <w:highlight w:val="none"/>
                <w:u w:val="none"/>
                <w:vertAlign w:val="baseline"/>
                <w:lang w:val="zh-CN"/>
              </w:rPr>
            </w:pPr>
          </w:p>
        </w:tc>
        <w:tc>
          <w:tcPr>
            <w:tcW w:w="1974" w:type="dxa"/>
            <w:vAlign w:val="center"/>
          </w:tcPr>
          <w:p w14:paraId="517AD61C">
            <w:pPr>
              <w:jc w:val="center"/>
              <w:rPr>
                <w:rFonts w:hint="eastAsia" w:ascii="宋体" w:hAnsi="宋体" w:eastAsia="宋体" w:cs="宋体"/>
                <w:b w:val="0"/>
                <w:bCs/>
                <w:color w:val="auto"/>
                <w:sz w:val="21"/>
                <w:szCs w:val="21"/>
                <w:highlight w:val="none"/>
                <w:u w:val="none"/>
                <w:vertAlign w:val="baseline"/>
                <w:lang w:val="zh-CN"/>
              </w:rPr>
            </w:pPr>
          </w:p>
        </w:tc>
        <w:tc>
          <w:tcPr>
            <w:tcW w:w="1154" w:type="dxa"/>
            <w:vAlign w:val="center"/>
          </w:tcPr>
          <w:p w14:paraId="000621DE">
            <w:pPr>
              <w:jc w:val="center"/>
              <w:rPr>
                <w:rFonts w:hint="eastAsia" w:ascii="宋体" w:hAnsi="宋体" w:eastAsia="宋体" w:cs="宋体"/>
                <w:b w:val="0"/>
                <w:bCs/>
                <w:color w:val="auto"/>
                <w:sz w:val="21"/>
                <w:szCs w:val="21"/>
                <w:highlight w:val="none"/>
                <w:u w:val="none"/>
                <w:vertAlign w:val="baseline"/>
                <w:lang w:val="zh-CN"/>
              </w:rPr>
            </w:pPr>
          </w:p>
        </w:tc>
        <w:tc>
          <w:tcPr>
            <w:tcW w:w="1541" w:type="dxa"/>
            <w:vAlign w:val="center"/>
          </w:tcPr>
          <w:p w14:paraId="4202EE98">
            <w:pPr>
              <w:jc w:val="center"/>
              <w:rPr>
                <w:rFonts w:hint="eastAsia" w:ascii="宋体" w:hAnsi="宋体" w:eastAsia="宋体" w:cs="宋体"/>
                <w:b w:val="0"/>
                <w:bCs/>
                <w:color w:val="auto"/>
                <w:sz w:val="21"/>
                <w:szCs w:val="21"/>
                <w:highlight w:val="none"/>
                <w:u w:val="none"/>
                <w:vertAlign w:val="baseline"/>
                <w:lang w:val="zh-CN"/>
              </w:rPr>
            </w:pPr>
          </w:p>
        </w:tc>
        <w:tc>
          <w:tcPr>
            <w:tcW w:w="1473" w:type="dxa"/>
            <w:vAlign w:val="center"/>
          </w:tcPr>
          <w:p w14:paraId="7256613A">
            <w:pPr>
              <w:jc w:val="center"/>
              <w:rPr>
                <w:rFonts w:hint="eastAsia" w:ascii="宋体" w:hAnsi="宋体" w:eastAsia="宋体" w:cs="宋体"/>
                <w:b w:val="0"/>
                <w:bCs/>
                <w:color w:val="auto"/>
                <w:sz w:val="21"/>
                <w:szCs w:val="21"/>
                <w:highlight w:val="none"/>
                <w:u w:val="none"/>
                <w:vertAlign w:val="baseline"/>
                <w:lang w:val="zh-CN"/>
              </w:rPr>
            </w:pPr>
          </w:p>
        </w:tc>
        <w:tc>
          <w:tcPr>
            <w:tcW w:w="1213" w:type="dxa"/>
            <w:vAlign w:val="center"/>
          </w:tcPr>
          <w:p w14:paraId="5EF22610">
            <w:pPr>
              <w:jc w:val="center"/>
              <w:rPr>
                <w:rFonts w:hint="eastAsia" w:ascii="宋体" w:hAnsi="宋体" w:eastAsia="宋体" w:cs="宋体"/>
                <w:b w:val="0"/>
                <w:bCs/>
                <w:color w:val="auto"/>
                <w:sz w:val="21"/>
                <w:szCs w:val="21"/>
                <w:highlight w:val="none"/>
                <w:u w:val="none"/>
                <w:vertAlign w:val="baseline"/>
                <w:lang w:val="zh-CN"/>
              </w:rPr>
            </w:pPr>
          </w:p>
        </w:tc>
        <w:tc>
          <w:tcPr>
            <w:tcW w:w="750" w:type="dxa"/>
            <w:vAlign w:val="center"/>
          </w:tcPr>
          <w:p w14:paraId="520BC432">
            <w:pPr>
              <w:jc w:val="center"/>
              <w:rPr>
                <w:rFonts w:hint="eastAsia" w:ascii="宋体" w:hAnsi="宋体" w:eastAsia="宋体" w:cs="宋体"/>
                <w:b w:val="0"/>
                <w:bCs/>
                <w:color w:val="auto"/>
                <w:sz w:val="21"/>
                <w:szCs w:val="21"/>
                <w:highlight w:val="none"/>
                <w:u w:val="none"/>
                <w:vertAlign w:val="baseline"/>
                <w:lang w:val="zh-CN"/>
              </w:rPr>
            </w:pPr>
          </w:p>
        </w:tc>
        <w:tc>
          <w:tcPr>
            <w:tcW w:w="1064" w:type="dxa"/>
            <w:vAlign w:val="center"/>
          </w:tcPr>
          <w:p w14:paraId="751E5005">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11199F0C">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6FEEB71F">
            <w:pPr>
              <w:jc w:val="center"/>
              <w:rPr>
                <w:rFonts w:hint="eastAsia" w:ascii="宋体" w:hAnsi="宋体" w:eastAsia="宋体" w:cs="宋体"/>
                <w:b w:val="0"/>
                <w:bCs/>
                <w:color w:val="auto"/>
                <w:sz w:val="21"/>
                <w:szCs w:val="21"/>
                <w:highlight w:val="none"/>
                <w:u w:val="none"/>
                <w:vertAlign w:val="baseline"/>
                <w:lang w:val="zh-CN"/>
              </w:rPr>
            </w:pPr>
          </w:p>
        </w:tc>
      </w:tr>
      <w:tr w14:paraId="6473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894" w:type="dxa"/>
            <w:vAlign w:val="center"/>
          </w:tcPr>
          <w:p w14:paraId="13760181">
            <w:pPr>
              <w:jc w:val="center"/>
              <w:rPr>
                <w:rFonts w:hint="default"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w:t>
            </w:r>
          </w:p>
        </w:tc>
        <w:tc>
          <w:tcPr>
            <w:tcW w:w="1893" w:type="dxa"/>
            <w:vAlign w:val="center"/>
          </w:tcPr>
          <w:p w14:paraId="1D5774D6">
            <w:pPr>
              <w:jc w:val="center"/>
              <w:rPr>
                <w:rFonts w:hint="eastAsia" w:ascii="宋体" w:hAnsi="宋体" w:eastAsia="宋体" w:cs="宋体"/>
                <w:b w:val="0"/>
                <w:bCs/>
                <w:color w:val="auto"/>
                <w:sz w:val="21"/>
                <w:szCs w:val="21"/>
                <w:highlight w:val="none"/>
                <w:u w:val="none"/>
                <w:vertAlign w:val="baseline"/>
                <w:lang w:val="zh-CN"/>
              </w:rPr>
            </w:pPr>
          </w:p>
        </w:tc>
        <w:tc>
          <w:tcPr>
            <w:tcW w:w="1974" w:type="dxa"/>
            <w:vAlign w:val="center"/>
          </w:tcPr>
          <w:p w14:paraId="58723EBB">
            <w:pPr>
              <w:jc w:val="center"/>
              <w:rPr>
                <w:rFonts w:hint="eastAsia" w:ascii="宋体" w:hAnsi="宋体" w:eastAsia="宋体" w:cs="宋体"/>
                <w:b w:val="0"/>
                <w:bCs/>
                <w:color w:val="auto"/>
                <w:sz w:val="21"/>
                <w:szCs w:val="21"/>
                <w:highlight w:val="none"/>
                <w:u w:val="none"/>
                <w:vertAlign w:val="baseline"/>
                <w:lang w:val="zh-CN"/>
              </w:rPr>
            </w:pPr>
          </w:p>
        </w:tc>
        <w:tc>
          <w:tcPr>
            <w:tcW w:w="1154" w:type="dxa"/>
            <w:vAlign w:val="center"/>
          </w:tcPr>
          <w:p w14:paraId="0E74BD9A">
            <w:pPr>
              <w:jc w:val="center"/>
              <w:rPr>
                <w:rFonts w:hint="eastAsia" w:ascii="宋体" w:hAnsi="宋体" w:eastAsia="宋体" w:cs="宋体"/>
                <w:b w:val="0"/>
                <w:bCs/>
                <w:color w:val="auto"/>
                <w:sz w:val="21"/>
                <w:szCs w:val="21"/>
                <w:highlight w:val="none"/>
                <w:u w:val="none"/>
                <w:vertAlign w:val="baseline"/>
                <w:lang w:val="zh-CN"/>
              </w:rPr>
            </w:pPr>
          </w:p>
        </w:tc>
        <w:tc>
          <w:tcPr>
            <w:tcW w:w="1541" w:type="dxa"/>
            <w:vAlign w:val="center"/>
          </w:tcPr>
          <w:p w14:paraId="5011378D">
            <w:pPr>
              <w:jc w:val="center"/>
              <w:rPr>
                <w:rFonts w:hint="eastAsia" w:ascii="宋体" w:hAnsi="宋体" w:eastAsia="宋体" w:cs="宋体"/>
                <w:b w:val="0"/>
                <w:bCs/>
                <w:color w:val="auto"/>
                <w:sz w:val="21"/>
                <w:szCs w:val="21"/>
                <w:highlight w:val="none"/>
                <w:u w:val="none"/>
                <w:vertAlign w:val="baseline"/>
                <w:lang w:val="zh-CN"/>
              </w:rPr>
            </w:pPr>
          </w:p>
        </w:tc>
        <w:tc>
          <w:tcPr>
            <w:tcW w:w="1473" w:type="dxa"/>
            <w:vAlign w:val="center"/>
          </w:tcPr>
          <w:p w14:paraId="0C095F5E">
            <w:pPr>
              <w:jc w:val="center"/>
              <w:rPr>
                <w:rFonts w:hint="eastAsia" w:ascii="宋体" w:hAnsi="宋体" w:eastAsia="宋体" w:cs="宋体"/>
                <w:b w:val="0"/>
                <w:bCs/>
                <w:color w:val="auto"/>
                <w:sz w:val="21"/>
                <w:szCs w:val="21"/>
                <w:highlight w:val="none"/>
                <w:u w:val="none"/>
                <w:vertAlign w:val="baseline"/>
                <w:lang w:val="zh-CN"/>
              </w:rPr>
            </w:pPr>
          </w:p>
        </w:tc>
        <w:tc>
          <w:tcPr>
            <w:tcW w:w="1213" w:type="dxa"/>
            <w:vAlign w:val="center"/>
          </w:tcPr>
          <w:p w14:paraId="62CECF5D">
            <w:pPr>
              <w:jc w:val="center"/>
              <w:rPr>
                <w:rFonts w:hint="eastAsia" w:ascii="宋体" w:hAnsi="宋体" w:eastAsia="宋体" w:cs="宋体"/>
                <w:b w:val="0"/>
                <w:bCs/>
                <w:color w:val="auto"/>
                <w:sz w:val="21"/>
                <w:szCs w:val="21"/>
                <w:highlight w:val="none"/>
                <w:u w:val="none"/>
                <w:vertAlign w:val="baseline"/>
                <w:lang w:val="zh-CN"/>
              </w:rPr>
            </w:pPr>
          </w:p>
        </w:tc>
        <w:tc>
          <w:tcPr>
            <w:tcW w:w="750" w:type="dxa"/>
            <w:vAlign w:val="center"/>
          </w:tcPr>
          <w:p w14:paraId="57EE52BE">
            <w:pPr>
              <w:jc w:val="center"/>
              <w:rPr>
                <w:rFonts w:hint="eastAsia" w:ascii="宋体" w:hAnsi="宋体" w:eastAsia="宋体" w:cs="宋体"/>
                <w:b w:val="0"/>
                <w:bCs/>
                <w:color w:val="auto"/>
                <w:sz w:val="21"/>
                <w:szCs w:val="21"/>
                <w:highlight w:val="none"/>
                <w:u w:val="none"/>
                <w:vertAlign w:val="baseline"/>
                <w:lang w:val="zh-CN"/>
              </w:rPr>
            </w:pPr>
          </w:p>
        </w:tc>
        <w:tc>
          <w:tcPr>
            <w:tcW w:w="1064" w:type="dxa"/>
            <w:vAlign w:val="center"/>
          </w:tcPr>
          <w:p w14:paraId="17BD06A3">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4B23FF8A">
            <w:pPr>
              <w:jc w:val="center"/>
              <w:rPr>
                <w:rFonts w:hint="eastAsia" w:ascii="宋体" w:hAnsi="宋体" w:eastAsia="宋体" w:cs="宋体"/>
                <w:b w:val="0"/>
                <w:bCs/>
                <w:color w:val="auto"/>
                <w:sz w:val="21"/>
                <w:szCs w:val="21"/>
                <w:highlight w:val="none"/>
                <w:u w:val="none"/>
                <w:vertAlign w:val="baseline"/>
                <w:lang w:val="zh-CN"/>
              </w:rPr>
            </w:pPr>
          </w:p>
        </w:tc>
        <w:tc>
          <w:tcPr>
            <w:tcW w:w="1282" w:type="dxa"/>
            <w:vAlign w:val="center"/>
          </w:tcPr>
          <w:p w14:paraId="73AEDBA8">
            <w:pPr>
              <w:jc w:val="center"/>
              <w:rPr>
                <w:rFonts w:hint="eastAsia" w:ascii="宋体" w:hAnsi="宋体" w:eastAsia="宋体" w:cs="宋体"/>
                <w:b w:val="0"/>
                <w:bCs/>
                <w:color w:val="auto"/>
                <w:sz w:val="21"/>
                <w:szCs w:val="21"/>
                <w:highlight w:val="none"/>
                <w:u w:val="none"/>
                <w:vertAlign w:val="baseline"/>
                <w:lang w:val="zh-CN"/>
              </w:rPr>
            </w:pPr>
          </w:p>
        </w:tc>
      </w:tr>
      <w:tr w14:paraId="26EC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6" w:type="dxa"/>
            <w:gridSpan w:val="9"/>
            <w:vAlign w:val="center"/>
          </w:tcPr>
          <w:p w14:paraId="268522A8">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总价（元）</w:t>
            </w:r>
          </w:p>
        </w:tc>
        <w:tc>
          <w:tcPr>
            <w:tcW w:w="2564" w:type="dxa"/>
            <w:gridSpan w:val="2"/>
            <w:vAlign w:val="center"/>
          </w:tcPr>
          <w:p w14:paraId="419FB0FE">
            <w:pPr>
              <w:jc w:val="center"/>
              <w:rPr>
                <w:rFonts w:hint="eastAsia" w:ascii="宋体" w:hAnsi="宋体" w:eastAsia="宋体" w:cs="宋体"/>
                <w:b w:val="0"/>
                <w:bCs/>
                <w:color w:val="auto"/>
                <w:sz w:val="21"/>
                <w:szCs w:val="21"/>
                <w:highlight w:val="none"/>
                <w:u w:val="none"/>
                <w:vertAlign w:val="baseline"/>
                <w:lang w:val="zh-CN"/>
              </w:rPr>
            </w:pPr>
          </w:p>
        </w:tc>
      </w:tr>
    </w:tbl>
    <w:p w14:paraId="51101AF7">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4A816312">
      <w:pPr>
        <w:spacing w:line="300" w:lineRule="auto"/>
        <w:rPr>
          <w:rFonts w:hint="eastAsia" w:ascii="仿宋_GB2312" w:hAnsi="仿宋_GB2312" w:eastAsia="仿宋_GB2312" w:cs="仿宋_GB2312"/>
          <w:sz w:val="24"/>
          <w:szCs w:val="24"/>
          <w:lang w:val="en-US" w:eastAsia="zh-CN"/>
        </w:rPr>
      </w:pPr>
      <w:r>
        <w:rPr>
          <w:rFonts w:ascii="Arial" w:hAnsi="Arial" w:cs="Arial"/>
          <w:color w:val="auto"/>
          <w:szCs w:val="21"/>
          <w:highlight w:val="none"/>
        </w:rPr>
        <w:t>日期：</w:t>
      </w:r>
    </w:p>
    <w:p w14:paraId="2BD20AC0">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eastAsia="zh-CN"/>
        </w:rPr>
        <w:t>注：</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w:t>
      </w:r>
      <w:r>
        <w:rPr>
          <w:rFonts w:hint="eastAsia" w:cs="宋体"/>
          <w:color w:val="auto"/>
          <w:sz w:val="21"/>
          <w:szCs w:val="21"/>
          <w:highlight w:val="none"/>
          <w:lang w:val="en-US" w:eastAsia="zh-CN"/>
        </w:rPr>
        <w:t>总</w:t>
      </w:r>
      <w:r>
        <w:rPr>
          <w:rFonts w:hint="default" w:ascii="宋体" w:hAnsi="宋体" w:eastAsia="宋体" w:cs="宋体"/>
          <w:color w:val="auto"/>
          <w:sz w:val="21"/>
          <w:szCs w:val="21"/>
          <w:highlight w:val="none"/>
          <w:lang w:val="en-US" w:eastAsia="zh-CN"/>
        </w:rPr>
        <w:t>价填写到</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开标</w:t>
      </w:r>
      <w:r>
        <w:rPr>
          <w:rFonts w:hint="eastAsia" w:ascii="宋体" w:hAnsi="宋体" w:eastAsia="宋体" w:cs="宋体"/>
          <w:color w:val="auto"/>
          <w:sz w:val="21"/>
          <w:szCs w:val="21"/>
          <w:highlight w:val="none"/>
          <w:lang w:val="en-US" w:eastAsia="zh-CN"/>
        </w:rPr>
        <w:t>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“投标报价”</w:t>
      </w:r>
      <w:r>
        <w:rPr>
          <w:rFonts w:hint="default" w:ascii="宋体" w:hAnsi="宋体" w:eastAsia="宋体" w:cs="宋体"/>
          <w:color w:val="auto"/>
          <w:sz w:val="21"/>
          <w:szCs w:val="21"/>
          <w:highlight w:val="none"/>
          <w:lang w:val="en-US" w:eastAsia="zh-CN"/>
        </w:rPr>
        <w:t>栏中。</w:t>
      </w:r>
    </w:p>
    <w:p w14:paraId="4BDBAC5B">
      <w:pPr>
        <w:spacing w:line="360" w:lineRule="auto"/>
        <w:ind w:firstLine="420" w:firstLineChars="200"/>
        <w:rPr>
          <w:rFonts w:hint="eastAsia" w:ascii="仿宋_GB2312" w:hAnsi="仿宋_GB2312" w:eastAsia="仿宋_GB2312" w:cs="仿宋_GB2312"/>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.表中所列货物为对应本项目需求的全部货物及所需附件购置费、包装费、运输费、人工费、保险费、安装调试费、各种税费、资料费、售后服务费及完成项目应有的全部费用。如有漏项或缺项，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rPr>
        <w:t>承担全部责任</w:t>
      </w:r>
      <w:r>
        <w:rPr>
          <w:rFonts w:hint="eastAsia" w:ascii="宋体" w:hAnsi="宋体" w:eastAsia="宋体" w:cs="宋体"/>
          <w:b w:val="0"/>
          <w:bCs w:val="0"/>
          <w:i w:val="0"/>
          <w:iCs w:val="0"/>
          <w:color w:val="auto"/>
          <w:kern w:val="0"/>
          <w:sz w:val="21"/>
          <w:szCs w:val="21"/>
          <w:highlight w:val="none"/>
          <w:lang w:val="en-US" w:eastAsia="zh-CN" w:bidi="ar"/>
        </w:rPr>
        <w:t>。</w:t>
      </w:r>
      <w:bookmarkStart w:id="134" w:name="_GoBack"/>
      <w:bookmarkEnd w:id="134"/>
    </w:p>
    <w:p w14:paraId="59525C0C">
      <w:pPr>
        <w:pStyle w:val="20"/>
        <w:ind w:left="0" w:leftChars="0" w:firstLine="0" w:firstLineChars="0"/>
        <w:jc w:val="left"/>
        <w:outlineLvl w:val="1"/>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  合同条款偏离表</w:t>
      </w:r>
      <w:bookmarkEnd w:id="100"/>
    </w:p>
    <w:p w14:paraId="79C944CA">
      <w:pPr>
        <w:pStyle w:val="20"/>
        <w:ind w:left="0" w:leftChars="0" w:firstLine="0" w:firstLineChars="0"/>
        <w:jc w:val="center"/>
        <w:rPr>
          <w:rFonts w:hint="eastAsia" w:ascii="仿宋_GB2312" w:hAnsi="仿宋_GB2312" w:eastAsia="仿宋_GB2312" w:cs="仿宋_GB2312"/>
          <w:sz w:val="32"/>
          <w:szCs w:val="32"/>
          <w:lang w:val="en-US" w:eastAsia="zh-CN"/>
        </w:rPr>
      </w:pPr>
    </w:p>
    <w:p w14:paraId="66D05901">
      <w:pPr>
        <w:jc w:val="center"/>
        <w:rPr>
          <w:rFonts w:hint="eastAsia" w:ascii="仿宋_GB2312" w:hAnsi="仿宋_GB2312" w:eastAsia="仿宋_GB2312" w:cs="仿宋_GB2312"/>
          <w:b/>
          <w:bCs/>
          <w:i w:val="0"/>
          <w:iCs w:val="0"/>
          <w:sz w:val="32"/>
          <w:szCs w:val="32"/>
          <w:lang w:val="en-US" w:eastAsia="zh-CN"/>
        </w:rPr>
      </w:pPr>
      <w:r>
        <w:rPr>
          <w:rFonts w:hint="eastAsia" w:ascii="仿宋_GB2312" w:hAnsi="仿宋_GB2312" w:eastAsia="仿宋_GB2312" w:cs="仿宋_GB2312"/>
          <w:b/>
          <w:bCs/>
          <w:i w:val="0"/>
          <w:iCs w:val="0"/>
          <w:sz w:val="32"/>
          <w:szCs w:val="32"/>
          <w:lang w:val="en-US" w:eastAsia="zh-CN"/>
        </w:rPr>
        <w:t>合同条款偏离表</w:t>
      </w:r>
    </w:p>
    <w:p w14:paraId="5ED3B3B4">
      <w:pPr>
        <w:pStyle w:val="24"/>
        <w:ind w:left="0" w:leftChars="0" w:firstLine="0" w:firstLineChars="0"/>
        <w:rPr>
          <w:rFonts w:hint="eastAsia"/>
          <w:lang w:val="en-US" w:eastAsia="zh-CN"/>
        </w:rPr>
      </w:pPr>
    </w:p>
    <w:p w14:paraId="10CB3041">
      <w:pPr>
        <w:pStyle w:val="20"/>
        <w:ind w:left="0" w:leftChars="0" w:firstLine="0" w:firstLineChars="0"/>
        <w:jc w:val="left"/>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项目编号/包号：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对本项目合同条款的偏离情况（请进行勾选）：</w:t>
            </w:r>
          </w:p>
          <w:p w14:paraId="7A04BFFF">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w:t>
            </w:r>
            <w:r>
              <w:rPr>
                <w:rFonts w:hint="eastAsia" w:ascii="仿宋_GB2312" w:hAnsi="仿宋_GB2312" w:eastAsia="仿宋_GB2312" w:cs="仿宋_GB2312"/>
                <w:b/>
                <w:bCs/>
                <w:sz w:val="24"/>
                <w:szCs w:val="24"/>
                <w:vertAlign w:val="baseline"/>
                <w:lang w:val="en-US" w:eastAsia="zh-CN"/>
              </w:rPr>
              <w:t>无偏离</w:t>
            </w:r>
            <w:r>
              <w:rPr>
                <w:rFonts w:hint="eastAsia" w:ascii="仿宋_GB2312" w:hAnsi="仿宋_GB2312" w:eastAsia="仿宋_GB2312" w:cs="仿宋_GB2312"/>
                <w:sz w:val="24"/>
                <w:szCs w:val="24"/>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w:t>
            </w:r>
            <w:r>
              <w:rPr>
                <w:rFonts w:hint="eastAsia" w:ascii="仿宋_GB2312" w:hAnsi="仿宋_GB2312" w:eastAsia="仿宋_GB2312" w:cs="仿宋_GB2312"/>
                <w:b/>
                <w:bCs/>
                <w:sz w:val="24"/>
                <w:szCs w:val="24"/>
                <w:vertAlign w:val="baseline"/>
                <w:lang w:val="en-US" w:eastAsia="zh-CN"/>
              </w:rPr>
              <w:t>有偏离</w:t>
            </w:r>
            <w:r>
              <w:rPr>
                <w:rFonts w:hint="eastAsia" w:ascii="仿宋_GB2312" w:hAnsi="仿宋_GB2312" w:eastAsia="仿宋_GB2312" w:cs="仿宋_GB2312"/>
                <w:sz w:val="24"/>
                <w:szCs w:val="24"/>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421" w:type="dxa"/>
            <w:vAlign w:val="center"/>
          </w:tcPr>
          <w:p w14:paraId="446A89E9">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w:t>
            </w:r>
          </w:p>
          <w:p w14:paraId="08291FF3">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条目号</w:t>
            </w:r>
          </w:p>
          <w:p w14:paraId="67F888C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（页码）</w:t>
            </w:r>
          </w:p>
        </w:tc>
        <w:tc>
          <w:tcPr>
            <w:tcW w:w="1901" w:type="dxa"/>
            <w:vAlign w:val="center"/>
          </w:tcPr>
          <w:p w14:paraId="559B715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招标文件要求</w:t>
            </w:r>
          </w:p>
        </w:tc>
        <w:tc>
          <w:tcPr>
            <w:tcW w:w="1753" w:type="dxa"/>
            <w:vAlign w:val="center"/>
          </w:tcPr>
          <w:p w14:paraId="40680A02">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投标文件内容</w:t>
            </w:r>
          </w:p>
        </w:tc>
        <w:tc>
          <w:tcPr>
            <w:tcW w:w="1561" w:type="dxa"/>
            <w:vAlign w:val="center"/>
          </w:tcPr>
          <w:p w14:paraId="55D2106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偏离情况</w:t>
            </w:r>
          </w:p>
        </w:tc>
        <w:tc>
          <w:tcPr>
            <w:tcW w:w="1052" w:type="dxa"/>
            <w:vAlign w:val="center"/>
          </w:tcPr>
          <w:p w14:paraId="5BC84273">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仿宋_GB2312" w:hAnsi="仿宋_GB2312" w:eastAsia="仿宋_GB2312" w:cs="仿宋_GB2312"/>
                <w:sz w:val="24"/>
                <w:szCs w:val="24"/>
                <w:vertAlign w:val="baseline"/>
                <w:lang w:val="en-US" w:eastAsia="zh-CN"/>
              </w:rPr>
            </w:pPr>
          </w:p>
        </w:tc>
        <w:tc>
          <w:tcPr>
            <w:tcW w:w="1421" w:type="dxa"/>
          </w:tcPr>
          <w:p w14:paraId="71510325">
            <w:pPr>
              <w:rPr>
                <w:rFonts w:hint="eastAsia" w:ascii="仿宋_GB2312" w:hAnsi="仿宋_GB2312" w:eastAsia="仿宋_GB2312" w:cs="仿宋_GB2312"/>
                <w:sz w:val="24"/>
                <w:szCs w:val="24"/>
                <w:vertAlign w:val="baseline"/>
                <w:lang w:val="en-US" w:eastAsia="zh-CN"/>
              </w:rPr>
            </w:pPr>
          </w:p>
        </w:tc>
        <w:tc>
          <w:tcPr>
            <w:tcW w:w="1901" w:type="dxa"/>
          </w:tcPr>
          <w:p w14:paraId="2A7E19BC">
            <w:pPr>
              <w:rPr>
                <w:rFonts w:hint="eastAsia" w:ascii="仿宋_GB2312" w:hAnsi="仿宋_GB2312" w:eastAsia="仿宋_GB2312" w:cs="仿宋_GB2312"/>
                <w:sz w:val="24"/>
                <w:szCs w:val="24"/>
                <w:vertAlign w:val="baseline"/>
                <w:lang w:val="en-US" w:eastAsia="zh-CN"/>
              </w:rPr>
            </w:pPr>
          </w:p>
        </w:tc>
        <w:tc>
          <w:tcPr>
            <w:tcW w:w="1753" w:type="dxa"/>
          </w:tcPr>
          <w:p w14:paraId="6667F79E">
            <w:pPr>
              <w:rPr>
                <w:rFonts w:hint="eastAsia" w:ascii="仿宋_GB2312" w:hAnsi="仿宋_GB2312" w:eastAsia="仿宋_GB2312" w:cs="仿宋_GB2312"/>
                <w:sz w:val="24"/>
                <w:szCs w:val="24"/>
                <w:vertAlign w:val="baseline"/>
                <w:lang w:val="en-US" w:eastAsia="zh-CN"/>
              </w:rPr>
            </w:pPr>
          </w:p>
        </w:tc>
        <w:tc>
          <w:tcPr>
            <w:tcW w:w="1561" w:type="dxa"/>
          </w:tcPr>
          <w:p w14:paraId="265E7A2D">
            <w:pPr>
              <w:rPr>
                <w:rFonts w:hint="eastAsia" w:ascii="仿宋_GB2312" w:hAnsi="仿宋_GB2312" w:eastAsia="仿宋_GB2312" w:cs="仿宋_GB2312"/>
                <w:sz w:val="24"/>
                <w:szCs w:val="24"/>
                <w:vertAlign w:val="baseline"/>
                <w:lang w:val="en-US" w:eastAsia="zh-CN"/>
              </w:rPr>
            </w:pPr>
          </w:p>
        </w:tc>
        <w:tc>
          <w:tcPr>
            <w:tcW w:w="1052" w:type="dxa"/>
          </w:tcPr>
          <w:p w14:paraId="4281193A">
            <w:pPr>
              <w:rPr>
                <w:rFonts w:hint="eastAsia" w:ascii="仿宋_GB2312" w:hAnsi="仿宋_GB2312" w:eastAsia="仿宋_GB2312" w:cs="仿宋_GB2312"/>
                <w:sz w:val="24"/>
                <w:szCs w:val="24"/>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trPr>
        <w:tc>
          <w:tcPr>
            <w:tcW w:w="834" w:type="dxa"/>
          </w:tcPr>
          <w:p w14:paraId="3FBC007C">
            <w:pPr>
              <w:rPr>
                <w:rFonts w:hint="eastAsia" w:ascii="仿宋_GB2312" w:hAnsi="仿宋_GB2312" w:eastAsia="仿宋_GB2312" w:cs="仿宋_GB2312"/>
                <w:sz w:val="24"/>
                <w:szCs w:val="24"/>
                <w:vertAlign w:val="baseline"/>
                <w:lang w:val="en-US" w:eastAsia="zh-CN"/>
              </w:rPr>
            </w:pPr>
          </w:p>
        </w:tc>
        <w:tc>
          <w:tcPr>
            <w:tcW w:w="1421" w:type="dxa"/>
          </w:tcPr>
          <w:p w14:paraId="0F15DDA1">
            <w:pPr>
              <w:rPr>
                <w:rFonts w:hint="eastAsia" w:ascii="仿宋_GB2312" w:hAnsi="仿宋_GB2312" w:eastAsia="仿宋_GB2312" w:cs="仿宋_GB2312"/>
                <w:sz w:val="24"/>
                <w:szCs w:val="24"/>
                <w:vertAlign w:val="baseline"/>
                <w:lang w:val="en-US" w:eastAsia="zh-CN"/>
              </w:rPr>
            </w:pPr>
          </w:p>
        </w:tc>
        <w:tc>
          <w:tcPr>
            <w:tcW w:w="1901" w:type="dxa"/>
          </w:tcPr>
          <w:p w14:paraId="68011AB1">
            <w:pPr>
              <w:rPr>
                <w:rFonts w:hint="eastAsia" w:ascii="仿宋_GB2312" w:hAnsi="仿宋_GB2312" w:eastAsia="仿宋_GB2312" w:cs="仿宋_GB2312"/>
                <w:sz w:val="24"/>
                <w:szCs w:val="24"/>
                <w:vertAlign w:val="baseline"/>
                <w:lang w:val="en-US" w:eastAsia="zh-CN"/>
              </w:rPr>
            </w:pPr>
          </w:p>
        </w:tc>
        <w:tc>
          <w:tcPr>
            <w:tcW w:w="1753" w:type="dxa"/>
          </w:tcPr>
          <w:p w14:paraId="2DC71EF2">
            <w:pPr>
              <w:rPr>
                <w:rFonts w:hint="eastAsia" w:ascii="仿宋_GB2312" w:hAnsi="仿宋_GB2312" w:eastAsia="仿宋_GB2312" w:cs="仿宋_GB2312"/>
                <w:sz w:val="24"/>
                <w:szCs w:val="24"/>
                <w:vertAlign w:val="baseline"/>
                <w:lang w:val="en-US" w:eastAsia="zh-CN"/>
              </w:rPr>
            </w:pPr>
          </w:p>
        </w:tc>
        <w:tc>
          <w:tcPr>
            <w:tcW w:w="1561" w:type="dxa"/>
          </w:tcPr>
          <w:p w14:paraId="7958F49E">
            <w:pPr>
              <w:rPr>
                <w:rFonts w:hint="eastAsia" w:ascii="仿宋_GB2312" w:hAnsi="仿宋_GB2312" w:eastAsia="仿宋_GB2312" w:cs="仿宋_GB2312"/>
                <w:sz w:val="24"/>
                <w:szCs w:val="24"/>
                <w:vertAlign w:val="baseline"/>
                <w:lang w:val="en-US" w:eastAsia="zh-CN"/>
              </w:rPr>
            </w:pPr>
          </w:p>
        </w:tc>
        <w:tc>
          <w:tcPr>
            <w:tcW w:w="1052" w:type="dxa"/>
          </w:tcPr>
          <w:p w14:paraId="1AD48850">
            <w:pPr>
              <w:rPr>
                <w:rFonts w:hint="eastAsia" w:ascii="仿宋_GB2312" w:hAnsi="仿宋_GB2312" w:eastAsia="仿宋_GB2312" w:cs="仿宋_GB2312"/>
                <w:sz w:val="24"/>
                <w:szCs w:val="24"/>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仿宋_GB2312" w:hAnsi="仿宋_GB2312" w:eastAsia="仿宋_GB2312" w:cs="仿宋_GB2312"/>
                <w:sz w:val="24"/>
                <w:szCs w:val="24"/>
                <w:vertAlign w:val="baseline"/>
                <w:lang w:val="en-US" w:eastAsia="zh-CN"/>
              </w:rPr>
            </w:pPr>
          </w:p>
        </w:tc>
        <w:tc>
          <w:tcPr>
            <w:tcW w:w="1421" w:type="dxa"/>
          </w:tcPr>
          <w:p w14:paraId="461E3C88">
            <w:pPr>
              <w:rPr>
                <w:rFonts w:hint="eastAsia" w:ascii="仿宋_GB2312" w:hAnsi="仿宋_GB2312" w:eastAsia="仿宋_GB2312" w:cs="仿宋_GB2312"/>
                <w:sz w:val="24"/>
                <w:szCs w:val="24"/>
                <w:vertAlign w:val="baseline"/>
                <w:lang w:val="en-US" w:eastAsia="zh-CN"/>
              </w:rPr>
            </w:pPr>
          </w:p>
        </w:tc>
        <w:tc>
          <w:tcPr>
            <w:tcW w:w="1901" w:type="dxa"/>
          </w:tcPr>
          <w:p w14:paraId="10AEC831">
            <w:pPr>
              <w:rPr>
                <w:rFonts w:hint="eastAsia" w:ascii="仿宋_GB2312" w:hAnsi="仿宋_GB2312" w:eastAsia="仿宋_GB2312" w:cs="仿宋_GB2312"/>
                <w:sz w:val="24"/>
                <w:szCs w:val="24"/>
                <w:vertAlign w:val="baseline"/>
                <w:lang w:val="en-US" w:eastAsia="zh-CN"/>
              </w:rPr>
            </w:pPr>
          </w:p>
        </w:tc>
        <w:tc>
          <w:tcPr>
            <w:tcW w:w="1753" w:type="dxa"/>
          </w:tcPr>
          <w:p w14:paraId="6D936F5C">
            <w:pPr>
              <w:rPr>
                <w:rFonts w:hint="eastAsia" w:ascii="仿宋_GB2312" w:hAnsi="仿宋_GB2312" w:eastAsia="仿宋_GB2312" w:cs="仿宋_GB2312"/>
                <w:sz w:val="24"/>
                <w:szCs w:val="24"/>
                <w:vertAlign w:val="baseline"/>
                <w:lang w:val="en-US" w:eastAsia="zh-CN"/>
              </w:rPr>
            </w:pPr>
          </w:p>
        </w:tc>
        <w:tc>
          <w:tcPr>
            <w:tcW w:w="1561" w:type="dxa"/>
          </w:tcPr>
          <w:p w14:paraId="013BFB7C">
            <w:pPr>
              <w:rPr>
                <w:rFonts w:hint="eastAsia" w:ascii="仿宋_GB2312" w:hAnsi="仿宋_GB2312" w:eastAsia="仿宋_GB2312" w:cs="仿宋_GB2312"/>
                <w:sz w:val="24"/>
                <w:szCs w:val="24"/>
                <w:vertAlign w:val="baseline"/>
                <w:lang w:val="en-US" w:eastAsia="zh-CN"/>
              </w:rPr>
            </w:pPr>
          </w:p>
        </w:tc>
        <w:tc>
          <w:tcPr>
            <w:tcW w:w="1052" w:type="dxa"/>
          </w:tcPr>
          <w:p w14:paraId="61D87199">
            <w:pPr>
              <w:rPr>
                <w:rFonts w:hint="eastAsia" w:ascii="仿宋_GB2312" w:hAnsi="仿宋_GB2312" w:eastAsia="仿宋_GB2312" w:cs="仿宋_GB2312"/>
                <w:sz w:val="24"/>
                <w:szCs w:val="24"/>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仿宋_GB2312" w:hAnsi="仿宋_GB2312" w:eastAsia="仿宋_GB2312" w:cs="仿宋_GB2312"/>
                <w:sz w:val="24"/>
                <w:szCs w:val="24"/>
                <w:vertAlign w:val="baseline"/>
                <w:lang w:val="en-US" w:eastAsia="zh-CN"/>
              </w:rPr>
            </w:pPr>
          </w:p>
        </w:tc>
        <w:tc>
          <w:tcPr>
            <w:tcW w:w="1421" w:type="dxa"/>
          </w:tcPr>
          <w:p w14:paraId="173AD64B">
            <w:pPr>
              <w:rPr>
                <w:rFonts w:hint="eastAsia" w:ascii="仿宋_GB2312" w:hAnsi="仿宋_GB2312" w:eastAsia="仿宋_GB2312" w:cs="仿宋_GB2312"/>
                <w:sz w:val="24"/>
                <w:szCs w:val="24"/>
                <w:vertAlign w:val="baseline"/>
                <w:lang w:val="en-US" w:eastAsia="zh-CN"/>
              </w:rPr>
            </w:pPr>
          </w:p>
        </w:tc>
        <w:tc>
          <w:tcPr>
            <w:tcW w:w="1901" w:type="dxa"/>
          </w:tcPr>
          <w:p w14:paraId="481BC029">
            <w:pPr>
              <w:rPr>
                <w:rFonts w:hint="eastAsia" w:ascii="仿宋_GB2312" w:hAnsi="仿宋_GB2312" w:eastAsia="仿宋_GB2312" w:cs="仿宋_GB2312"/>
                <w:sz w:val="24"/>
                <w:szCs w:val="24"/>
                <w:vertAlign w:val="baseline"/>
                <w:lang w:val="en-US" w:eastAsia="zh-CN"/>
              </w:rPr>
            </w:pPr>
          </w:p>
        </w:tc>
        <w:tc>
          <w:tcPr>
            <w:tcW w:w="1753" w:type="dxa"/>
          </w:tcPr>
          <w:p w14:paraId="2C92EE44">
            <w:pPr>
              <w:rPr>
                <w:rFonts w:hint="eastAsia" w:ascii="仿宋_GB2312" w:hAnsi="仿宋_GB2312" w:eastAsia="仿宋_GB2312" w:cs="仿宋_GB2312"/>
                <w:sz w:val="24"/>
                <w:szCs w:val="24"/>
                <w:vertAlign w:val="baseline"/>
                <w:lang w:val="en-US" w:eastAsia="zh-CN"/>
              </w:rPr>
            </w:pPr>
          </w:p>
        </w:tc>
        <w:tc>
          <w:tcPr>
            <w:tcW w:w="1561" w:type="dxa"/>
          </w:tcPr>
          <w:p w14:paraId="73444AB4">
            <w:pPr>
              <w:rPr>
                <w:rFonts w:hint="eastAsia" w:ascii="仿宋_GB2312" w:hAnsi="仿宋_GB2312" w:eastAsia="仿宋_GB2312" w:cs="仿宋_GB2312"/>
                <w:sz w:val="24"/>
                <w:szCs w:val="24"/>
                <w:vertAlign w:val="baseline"/>
                <w:lang w:val="en-US" w:eastAsia="zh-CN"/>
              </w:rPr>
            </w:pPr>
          </w:p>
        </w:tc>
        <w:tc>
          <w:tcPr>
            <w:tcW w:w="1052" w:type="dxa"/>
          </w:tcPr>
          <w:p w14:paraId="3429AA56">
            <w:pPr>
              <w:rPr>
                <w:rFonts w:hint="eastAsia" w:ascii="仿宋_GB2312" w:hAnsi="仿宋_GB2312" w:eastAsia="仿宋_GB2312" w:cs="仿宋_GB2312"/>
                <w:sz w:val="24"/>
                <w:szCs w:val="24"/>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仿宋_GB2312" w:hAnsi="仿宋_GB2312" w:eastAsia="仿宋_GB2312" w:cs="仿宋_GB2312"/>
                <w:sz w:val="24"/>
                <w:szCs w:val="24"/>
                <w:vertAlign w:val="baseline"/>
                <w:lang w:val="en-US" w:eastAsia="zh-CN"/>
              </w:rPr>
            </w:pPr>
          </w:p>
        </w:tc>
        <w:tc>
          <w:tcPr>
            <w:tcW w:w="1421" w:type="dxa"/>
          </w:tcPr>
          <w:p w14:paraId="3F22D53C">
            <w:pPr>
              <w:rPr>
                <w:rFonts w:hint="eastAsia" w:ascii="仿宋_GB2312" w:hAnsi="仿宋_GB2312" w:eastAsia="仿宋_GB2312" w:cs="仿宋_GB2312"/>
                <w:sz w:val="24"/>
                <w:szCs w:val="24"/>
                <w:vertAlign w:val="baseline"/>
                <w:lang w:val="en-US" w:eastAsia="zh-CN"/>
              </w:rPr>
            </w:pPr>
          </w:p>
        </w:tc>
        <w:tc>
          <w:tcPr>
            <w:tcW w:w="1901" w:type="dxa"/>
          </w:tcPr>
          <w:p w14:paraId="5BDB8EA2">
            <w:pPr>
              <w:rPr>
                <w:rFonts w:hint="eastAsia" w:ascii="仿宋_GB2312" w:hAnsi="仿宋_GB2312" w:eastAsia="仿宋_GB2312" w:cs="仿宋_GB2312"/>
                <w:sz w:val="24"/>
                <w:szCs w:val="24"/>
                <w:vertAlign w:val="baseline"/>
                <w:lang w:val="en-US" w:eastAsia="zh-CN"/>
              </w:rPr>
            </w:pPr>
          </w:p>
        </w:tc>
        <w:tc>
          <w:tcPr>
            <w:tcW w:w="1753" w:type="dxa"/>
          </w:tcPr>
          <w:p w14:paraId="57DF6391">
            <w:pPr>
              <w:rPr>
                <w:rFonts w:hint="eastAsia" w:ascii="仿宋_GB2312" w:hAnsi="仿宋_GB2312" w:eastAsia="仿宋_GB2312" w:cs="仿宋_GB2312"/>
                <w:sz w:val="24"/>
                <w:szCs w:val="24"/>
                <w:vertAlign w:val="baseline"/>
                <w:lang w:val="en-US" w:eastAsia="zh-CN"/>
              </w:rPr>
            </w:pPr>
          </w:p>
        </w:tc>
        <w:tc>
          <w:tcPr>
            <w:tcW w:w="1561" w:type="dxa"/>
          </w:tcPr>
          <w:p w14:paraId="7BDB1293">
            <w:pPr>
              <w:rPr>
                <w:rFonts w:hint="eastAsia" w:ascii="仿宋_GB2312" w:hAnsi="仿宋_GB2312" w:eastAsia="仿宋_GB2312" w:cs="仿宋_GB2312"/>
                <w:sz w:val="24"/>
                <w:szCs w:val="24"/>
                <w:vertAlign w:val="baseline"/>
                <w:lang w:val="en-US" w:eastAsia="zh-CN"/>
              </w:rPr>
            </w:pPr>
          </w:p>
        </w:tc>
        <w:tc>
          <w:tcPr>
            <w:tcW w:w="1052" w:type="dxa"/>
          </w:tcPr>
          <w:p w14:paraId="4D1BFCF4">
            <w:pPr>
              <w:rPr>
                <w:rFonts w:hint="eastAsia" w:ascii="仿宋_GB2312" w:hAnsi="仿宋_GB2312" w:eastAsia="仿宋_GB2312" w:cs="仿宋_GB2312"/>
                <w:sz w:val="24"/>
                <w:szCs w:val="24"/>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 对合同条款中的所有要求，除本表所列明的所有偏离外，均视作供应商已对之理解和响应。</w:t>
      </w:r>
    </w:p>
    <w:p w14:paraId="62822CE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lang w:val="en-US" w:eastAsia="zh-CN"/>
        </w:rPr>
      </w:pPr>
      <w:bookmarkStart w:id="101" w:name="_Toc6441"/>
      <w:r>
        <w:rPr>
          <w:rFonts w:hint="eastAsia" w:ascii="仿宋_GB2312" w:hAnsi="仿宋_GB2312" w:eastAsia="仿宋_GB2312" w:cs="仿宋_GB2312"/>
          <w:sz w:val="24"/>
          <w:szCs w:val="24"/>
          <w:lang w:val="en-US" w:eastAsia="zh-CN"/>
        </w:rPr>
        <w:t>2. “偏离情况”列应据实填写“正偏离”或“负偏离”。</w:t>
      </w:r>
      <w:bookmarkEnd w:id="101"/>
    </w:p>
    <w:p w14:paraId="07738F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    年   月   日</w:t>
      </w:r>
    </w:p>
    <w:p w14:paraId="3E5F7EC1">
      <w:pPr>
        <w:pStyle w:val="24"/>
        <w:rPr>
          <w:rFonts w:hint="eastAsia" w:ascii="仿宋_GB2312" w:hAnsi="仿宋_GB2312" w:eastAsia="仿宋_GB2312" w:cs="仿宋_GB2312"/>
          <w:sz w:val="24"/>
          <w:szCs w:val="24"/>
          <w:lang w:val="en-US" w:eastAsia="zh-CN"/>
        </w:rPr>
      </w:pPr>
    </w:p>
    <w:p w14:paraId="302868F5">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295605CA">
      <w:pPr>
        <w:pStyle w:val="20"/>
        <w:ind w:left="0" w:leftChars="0" w:firstLine="0" w:firstLineChars="0"/>
        <w:outlineLvl w:val="1"/>
        <w:rPr>
          <w:rFonts w:hint="eastAsia" w:ascii="仿宋_GB2312" w:hAnsi="仿宋_GB2312" w:eastAsia="仿宋_GB2312" w:cs="仿宋_GB2312"/>
          <w:sz w:val="24"/>
          <w:szCs w:val="24"/>
          <w:lang w:val="en-US" w:eastAsia="zh-CN"/>
        </w:rPr>
      </w:pPr>
      <w:bookmarkStart w:id="102" w:name="_Toc7042"/>
      <w:r>
        <w:rPr>
          <w:rFonts w:hint="eastAsia" w:ascii="仿宋_GB2312" w:hAnsi="仿宋_GB2312" w:eastAsia="仿宋_GB2312" w:cs="仿宋_GB2312"/>
          <w:sz w:val="24"/>
          <w:szCs w:val="24"/>
          <w:lang w:val="en-US" w:eastAsia="zh-CN"/>
        </w:rPr>
        <w:t xml:space="preserve">9  </w:t>
      </w:r>
      <w:bookmarkEnd w:id="102"/>
      <w:r>
        <w:rPr>
          <w:rFonts w:hint="eastAsia" w:ascii="仿宋_GB2312" w:hAnsi="仿宋_GB2312" w:eastAsia="仿宋_GB2312" w:cs="仿宋_GB2312"/>
          <w:sz w:val="24"/>
          <w:szCs w:val="24"/>
          <w:lang w:val="en-US" w:eastAsia="zh-CN"/>
        </w:rPr>
        <w:t>采购需求偏离表</w:t>
      </w:r>
    </w:p>
    <w:p w14:paraId="13FD61CA">
      <w:pPr>
        <w:pStyle w:val="20"/>
        <w:ind w:left="0" w:leftChars="0" w:firstLine="0" w:firstLineChars="0"/>
        <w:rPr>
          <w:rFonts w:hint="eastAsia" w:ascii="仿宋_GB2312" w:hAnsi="仿宋_GB2312" w:eastAsia="仿宋_GB2312" w:cs="仿宋_GB2312"/>
          <w:sz w:val="24"/>
          <w:szCs w:val="24"/>
          <w:lang w:val="en-US" w:eastAsia="zh-CN"/>
        </w:rPr>
      </w:pPr>
    </w:p>
    <w:p w14:paraId="75FA9947">
      <w:pPr>
        <w:pStyle w:val="20"/>
        <w:ind w:left="0" w:leftChars="0" w:firstLine="0" w:firstLineChars="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（一）采购需求偏离表</w:t>
      </w:r>
    </w:p>
    <w:p w14:paraId="4743E582">
      <w:pPr>
        <w:pStyle w:val="20"/>
        <w:ind w:left="0" w:leftChars="0" w:firstLine="0" w:firstLineChars="0"/>
        <w:rPr>
          <w:rFonts w:hint="eastAsia" w:ascii="仿宋_GB2312" w:hAnsi="仿宋_GB2312" w:eastAsia="仿宋_GB2312" w:cs="仿宋_GB2312"/>
          <w:sz w:val="24"/>
          <w:szCs w:val="24"/>
          <w:lang w:val="en-US" w:eastAsia="zh-CN"/>
        </w:rPr>
      </w:pPr>
    </w:p>
    <w:p w14:paraId="0543B3B3">
      <w:pPr>
        <w:pStyle w:val="20"/>
        <w:ind w:left="0" w:leftChars="0" w:firstLine="0" w:firstLineChars="0"/>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项目编号/包号：                 项目名称：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3E37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3DAABE6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422" w:type="dxa"/>
            <w:vAlign w:val="center"/>
          </w:tcPr>
          <w:p w14:paraId="2DBFB6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招标文件条</w:t>
            </w:r>
          </w:p>
          <w:p w14:paraId="31F6523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目号(页码)</w:t>
            </w:r>
          </w:p>
        </w:tc>
        <w:tc>
          <w:tcPr>
            <w:tcW w:w="1805" w:type="dxa"/>
            <w:vAlign w:val="center"/>
          </w:tcPr>
          <w:p w14:paraId="7CEF1F6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招标文件要求</w:t>
            </w:r>
          </w:p>
        </w:tc>
        <w:tc>
          <w:tcPr>
            <w:tcW w:w="1672" w:type="dxa"/>
            <w:vAlign w:val="center"/>
          </w:tcPr>
          <w:p w14:paraId="7BA6AD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投标响应内容</w:t>
            </w:r>
          </w:p>
        </w:tc>
        <w:tc>
          <w:tcPr>
            <w:tcW w:w="1421" w:type="dxa"/>
            <w:vAlign w:val="center"/>
          </w:tcPr>
          <w:p w14:paraId="6856BFB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偏离情况</w:t>
            </w:r>
          </w:p>
        </w:tc>
        <w:tc>
          <w:tcPr>
            <w:tcW w:w="1421" w:type="dxa"/>
            <w:vAlign w:val="center"/>
          </w:tcPr>
          <w:p w14:paraId="0FF430E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备注</w:t>
            </w:r>
          </w:p>
        </w:tc>
      </w:tr>
      <w:tr w14:paraId="3938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DB7F4E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06DBEBA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626F7B5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5E4A6E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7470B64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44964D0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5591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59BB96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33FC440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5FC070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1F4E4AE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31D28A6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02BCF28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2098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89498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130EC7A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4971E76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26B304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592224E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6A0A079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7B56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0E7852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1D6EE05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1F51062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7538A13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2125AFA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2ED979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bl>
    <w:p w14:paraId="6D582B2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p>
    <w:p w14:paraId="1C95991C">
      <w:pPr>
        <w:keepNext w:val="0"/>
        <w:keepLines w:val="0"/>
        <w:pageBreakBefore w:val="0"/>
        <w:widowControl w:val="0"/>
        <w:numPr>
          <w:ilvl w:val="0"/>
          <w:numId w:val="25"/>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应对招标文件第五章采购需求的内容给予逐条响应，以投标产品和服务所能达到的内容予以填写，而不得复制招标的技术要求作为响应内容。有具体参数的应填写具体参数，只注明符合、满足等无具体内容表述的，将视为未实质性满足招标文件要求。投标人需要说明的内容若需特殊表达，应先在本表中进行相应说明，再另页应答，否则投标无效。</w:t>
      </w:r>
    </w:p>
    <w:p w14:paraId="4818BEC6">
      <w:pPr>
        <w:keepNext w:val="0"/>
        <w:keepLines w:val="0"/>
        <w:pageBreakBefore w:val="0"/>
        <w:widowControl w:val="0"/>
        <w:numPr>
          <w:ilvl w:val="0"/>
          <w:numId w:val="25"/>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1820FACD">
      <w:pPr>
        <w:keepNext w:val="0"/>
        <w:keepLines w:val="0"/>
        <w:pageBreakBefore w:val="0"/>
        <w:widowControl w:val="0"/>
        <w:numPr>
          <w:ilvl w:val="0"/>
          <w:numId w:val="25"/>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投标人应按照招标文件第五章采购需求中要求提供投标产品技术支持资料（或证明材料），并在采购需求响应及偏离表中给予文件名称、所处投标文件页码或位置等必要说明。</w:t>
      </w:r>
    </w:p>
    <w:p w14:paraId="72C872B5">
      <w:pPr>
        <w:keepNext w:val="0"/>
        <w:keepLines w:val="0"/>
        <w:pageBreakBefore w:val="0"/>
        <w:widowControl w:val="0"/>
        <w:numPr>
          <w:ilvl w:val="0"/>
          <w:numId w:val="25"/>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“偏离情况”项下应按下列规定填写：优于的，填写“正偏离”；符合的，填写“无偏离”；低于的，填写“负偏离”。</w:t>
      </w:r>
    </w:p>
    <w:p w14:paraId="5A5B4DBF">
      <w:pPr>
        <w:keepNext w:val="0"/>
        <w:keepLines w:val="0"/>
        <w:pageBreakBefore w:val="0"/>
        <w:widowControl w:val="0"/>
        <w:numPr>
          <w:ilvl w:val="0"/>
          <w:numId w:val="25"/>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“备注”处可填写偏离情况的说明，可自行添加行。</w:t>
      </w:r>
    </w:p>
    <w:p w14:paraId="5E4448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2F43CB5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 ____________</w:t>
      </w:r>
    </w:p>
    <w:p w14:paraId="23FDEFD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日期：_____年______月______日</w:t>
      </w:r>
    </w:p>
    <w:p w14:paraId="2D28AEEC">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2689D4E2">
      <w:pPr>
        <w:keepNext/>
        <w:keepLines/>
        <w:widowControl w:val="0"/>
        <w:spacing w:before="260" w:after="260" w:line="416" w:lineRule="auto"/>
        <w:jc w:val="center"/>
        <w:outlineLvl w:val="2"/>
        <w:rPr>
          <w:rFonts w:hint="eastAsia" w:ascii="仿宋_GB2312" w:hAnsi="仿宋_GB2312" w:eastAsia="仿宋_GB2312" w:cs="仿宋_GB2312"/>
          <w:b/>
          <w:bCs/>
          <w:kern w:val="2"/>
          <w:sz w:val="32"/>
          <w:szCs w:val="32"/>
          <w:lang w:val="en-US" w:eastAsia="zh-CN" w:bidi="ar-SA"/>
        </w:rPr>
      </w:pPr>
      <w:bookmarkStart w:id="103" w:name="_Toc147846146"/>
      <w:bookmarkStart w:id="104" w:name="_Toc457090336"/>
      <w:bookmarkStart w:id="105" w:name="_Toc111813258"/>
      <w:bookmarkStart w:id="106" w:name="_Toc10117052"/>
      <w:r>
        <w:rPr>
          <w:rFonts w:hint="eastAsia" w:ascii="仿宋_GB2312" w:hAnsi="仿宋_GB2312" w:eastAsia="仿宋_GB2312" w:cs="仿宋_GB2312"/>
          <w:b/>
          <w:bCs/>
          <w:kern w:val="2"/>
          <w:sz w:val="32"/>
          <w:szCs w:val="32"/>
          <w:lang w:val="en-US" w:eastAsia="zh-CN" w:bidi="ar-SA"/>
        </w:rPr>
        <w:t>（二）技术支持资料</w:t>
      </w:r>
      <w:bookmarkEnd w:id="103"/>
    </w:p>
    <w:p w14:paraId="1642AA09">
      <w:pPr>
        <w:keepNext/>
        <w:keepLines/>
        <w:widowControl w:val="0"/>
        <w:numPr>
          <w:ilvl w:val="0"/>
          <w:numId w:val="0"/>
        </w:numPr>
        <w:spacing w:before="0" w:after="0" w:line="360" w:lineRule="auto"/>
        <w:jc w:val="center"/>
        <w:outlineLvl w:val="2"/>
        <w:rPr>
          <w:rFonts w:hint="default"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格式自拟</w:t>
      </w:r>
    </w:p>
    <w:p w14:paraId="51ED0548">
      <w:pPr>
        <w:spacing w:line="360" w:lineRule="auto"/>
        <w:ind w:firstLine="480" w:firstLineChars="200"/>
        <w:rPr>
          <w:rFonts w:hint="eastAsia" w:ascii="仿宋_GB2312" w:hAnsi="仿宋_GB2312" w:eastAsia="仿宋_GB2312" w:cs="仿宋_GB2312"/>
          <w:bCs/>
          <w:sz w:val="24"/>
          <w:szCs w:val="24"/>
        </w:rPr>
      </w:pPr>
    </w:p>
    <w:p w14:paraId="1ACC1819">
      <w:pPr>
        <w:rPr>
          <w:rFonts w:hint="eastAsia" w:ascii="仿宋_GB2312" w:hAnsi="仿宋_GB2312" w:eastAsia="仿宋_GB2312" w:cs="仿宋_GB2312"/>
        </w:rPr>
      </w:pPr>
    </w:p>
    <w:bookmarkEnd w:id="104"/>
    <w:bookmarkEnd w:id="105"/>
    <w:bookmarkEnd w:id="106"/>
    <w:p w14:paraId="3F8E92AC">
      <w:pPr>
        <w:keepNext/>
        <w:keepLines/>
        <w:widowControl w:val="0"/>
        <w:numPr>
          <w:ilvl w:val="0"/>
          <w:numId w:val="26"/>
        </w:numPr>
        <w:spacing w:before="0" w:after="0" w:line="360" w:lineRule="auto"/>
        <w:jc w:val="center"/>
        <w:outlineLvl w:val="2"/>
        <w:rPr>
          <w:rFonts w:hint="eastAsia"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质量保证承诺书</w:t>
      </w:r>
    </w:p>
    <w:p w14:paraId="4F464459">
      <w:pPr>
        <w:keepNext/>
        <w:keepLines/>
        <w:widowControl w:val="0"/>
        <w:numPr>
          <w:ilvl w:val="0"/>
          <w:numId w:val="0"/>
        </w:numPr>
        <w:spacing w:before="0" w:after="0" w:line="360" w:lineRule="auto"/>
        <w:jc w:val="center"/>
        <w:outlineLvl w:val="2"/>
        <w:rPr>
          <w:rFonts w:hint="default"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格式自拟</w:t>
      </w:r>
    </w:p>
    <w:p w14:paraId="4CC9EC9B">
      <w:pPr>
        <w:keepNext/>
        <w:keepLines/>
        <w:widowControl w:val="0"/>
        <w:numPr>
          <w:ilvl w:val="0"/>
          <w:numId w:val="0"/>
        </w:numPr>
        <w:spacing w:before="0" w:after="0" w:line="360" w:lineRule="auto"/>
        <w:jc w:val="left"/>
        <w:outlineLvl w:val="2"/>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w:t>
      </w:r>
    </w:p>
    <w:p w14:paraId="0573856E">
      <w:pPr>
        <w:keepNext/>
        <w:keepLines/>
        <w:widowControl w:val="0"/>
        <w:numPr>
          <w:ilvl w:val="0"/>
          <w:numId w:val="0"/>
        </w:numPr>
        <w:spacing w:before="0" w:after="0" w:line="360" w:lineRule="auto"/>
        <w:jc w:val="center"/>
        <w:outlineLvl w:val="2"/>
        <w:rPr>
          <w:rFonts w:hint="eastAsia" w:ascii="仿宋_GB2312" w:hAnsi="仿宋_GB2312" w:eastAsia="仿宋_GB2312" w:cs="仿宋_GB2312"/>
          <w:b/>
          <w:bCs/>
          <w:kern w:val="2"/>
          <w:sz w:val="32"/>
          <w:szCs w:val="32"/>
          <w:lang w:val="en-US" w:eastAsia="zh-CN" w:bidi="ar-SA"/>
        </w:rPr>
      </w:pPr>
    </w:p>
    <w:p w14:paraId="0CAD36EC">
      <w:pPr>
        <w:keepNext/>
        <w:keepLines/>
        <w:widowControl w:val="0"/>
        <w:numPr>
          <w:ilvl w:val="0"/>
          <w:numId w:val="26"/>
        </w:numPr>
        <w:spacing w:before="0" w:after="0" w:line="360" w:lineRule="auto"/>
        <w:ind w:left="0" w:leftChars="0" w:firstLine="0" w:firstLineChars="0"/>
        <w:jc w:val="center"/>
        <w:outlineLvl w:val="2"/>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售后服务方案</w:t>
      </w:r>
    </w:p>
    <w:p w14:paraId="57AA42A3">
      <w:pPr>
        <w:keepNext/>
        <w:keepLines/>
        <w:widowControl w:val="0"/>
        <w:numPr>
          <w:ilvl w:val="0"/>
          <w:numId w:val="0"/>
        </w:numPr>
        <w:spacing w:before="0" w:after="0" w:line="360" w:lineRule="auto"/>
        <w:jc w:val="center"/>
        <w:outlineLvl w:val="2"/>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 xml:space="preserve"> 投标人需结合招标文件采购需求单独提供，投标人自行编写。</w:t>
      </w:r>
    </w:p>
    <w:p w14:paraId="211C5718">
      <w:pPr>
        <w:keepNext/>
        <w:keepLines/>
        <w:widowControl w:val="0"/>
        <w:numPr>
          <w:ilvl w:val="0"/>
          <w:numId w:val="0"/>
        </w:numPr>
        <w:spacing w:before="0" w:after="0" w:line="360" w:lineRule="auto"/>
        <w:jc w:val="center"/>
        <w:outlineLvl w:val="2"/>
        <w:rPr>
          <w:rFonts w:hint="eastAsia" w:ascii="仿宋_GB2312" w:hAnsi="仿宋_GB2312" w:eastAsia="仿宋_GB2312" w:cs="仿宋_GB2312"/>
          <w:b/>
          <w:bCs/>
          <w:kern w:val="2"/>
          <w:sz w:val="32"/>
          <w:szCs w:val="32"/>
          <w:lang w:val="en-US" w:eastAsia="zh-CN" w:bidi="ar-SA"/>
        </w:rPr>
      </w:pPr>
    </w:p>
    <w:p w14:paraId="3D1929D9">
      <w:pPr>
        <w:keepNext/>
        <w:keepLines/>
        <w:widowControl w:val="0"/>
        <w:numPr>
          <w:ilvl w:val="0"/>
          <w:numId w:val="26"/>
        </w:numPr>
        <w:spacing w:before="0" w:after="0" w:line="360" w:lineRule="auto"/>
        <w:ind w:left="0" w:leftChars="0" w:firstLine="0" w:firstLineChars="0"/>
        <w:jc w:val="center"/>
        <w:outlineLvl w:val="2"/>
        <w:rPr>
          <w:rFonts w:hint="default" w:ascii="仿宋_GB2312" w:hAnsi="仿宋_GB2312" w:eastAsia="仿宋_GB2312" w:cs="仿宋_GB2312"/>
          <w:b/>
          <w:bCs/>
          <w:sz w:val="32"/>
          <w:szCs w:val="32"/>
          <w:u w:val="single"/>
          <w:lang w:val="en-US" w:eastAsia="zh-CN"/>
        </w:rPr>
      </w:pPr>
      <w:r>
        <w:rPr>
          <w:rFonts w:hint="eastAsia" w:ascii="仿宋_GB2312" w:hAnsi="仿宋_GB2312" w:eastAsia="仿宋_GB2312" w:cs="仿宋_GB2312"/>
          <w:b/>
          <w:bCs/>
          <w:kern w:val="2"/>
          <w:sz w:val="32"/>
          <w:szCs w:val="32"/>
          <w:lang w:val="en-US" w:eastAsia="zh-CN" w:bidi="ar-SA"/>
        </w:rPr>
        <w:t>培训方案</w:t>
      </w:r>
    </w:p>
    <w:p w14:paraId="41A35C8B">
      <w:pPr>
        <w:widowControl w:val="0"/>
        <w:spacing w:after="120" w:line="360" w:lineRule="auto"/>
        <w:ind w:left="420" w:leftChars="200" w:firstLine="480" w:firstLineChars="200"/>
        <w:jc w:val="center"/>
        <w:rPr>
          <w:rFonts w:hint="eastAsia" w:ascii="仿宋_GB2312" w:hAnsi="仿宋_GB2312" w:eastAsia="仿宋_GB2312" w:cs="仿宋_GB2312"/>
          <w:kern w:val="0"/>
          <w:sz w:val="21"/>
          <w:szCs w:val="24"/>
          <w:lang w:val="en-US" w:eastAsia="zh-CN" w:bidi="ar-SA"/>
        </w:rPr>
      </w:pPr>
      <w:r>
        <w:rPr>
          <w:rFonts w:hint="eastAsia" w:ascii="仿宋_GB2312" w:hAnsi="仿宋_GB2312" w:eastAsia="仿宋_GB2312" w:cs="仿宋_GB2312"/>
          <w:b w:val="0"/>
          <w:bCs w:val="0"/>
          <w:kern w:val="2"/>
          <w:sz w:val="24"/>
          <w:szCs w:val="24"/>
          <w:lang w:val="en-US" w:eastAsia="zh-CN" w:bidi="ar-SA"/>
        </w:rPr>
        <w:t>投标人需结合招标文件采购需求单独提供，投标人自行编写</w:t>
      </w:r>
      <w:r>
        <w:rPr>
          <w:rFonts w:hint="eastAsia" w:ascii="仿宋_GB2312" w:hAnsi="仿宋_GB2312" w:eastAsia="仿宋_GB2312" w:cs="仿宋_GB2312"/>
          <w:kern w:val="0"/>
          <w:sz w:val="21"/>
          <w:szCs w:val="24"/>
          <w:lang w:val="en-US" w:eastAsia="zh-CN" w:bidi="ar-SA"/>
        </w:rPr>
        <w:t>。</w:t>
      </w:r>
    </w:p>
    <w:p w14:paraId="18D33C01">
      <w:pPr>
        <w:pStyle w:val="23"/>
        <w:rPr>
          <w:rFonts w:hint="eastAsia" w:ascii="仿宋_GB2312" w:hAnsi="仿宋_GB2312" w:eastAsia="仿宋_GB2312" w:cs="仿宋_GB2312"/>
          <w:lang w:val="en-US" w:eastAsia="zh-CN"/>
        </w:rPr>
      </w:pPr>
    </w:p>
    <w:p w14:paraId="47706304">
      <w:pPr>
        <w:pStyle w:val="20"/>
        <w:rPr>
          <w:rFonts w:hint="eastAsia" w:ascii="仿宋_GB2312" w:hAnsi="仿宋_GB2312" w:eastAsia="仿宋_GB2312" w:cs="仿宋_GB2312"/>
          <w:lang w:val="en-US" w:eastAsia="zh-CN"/>
        </w:rPr>
      </w:pPr>
    </w:p>
    <w:p w14:paraId="67C7B249">
      <w:pPr>
        <w:rPr>
          <w:rFonts w:hint="eastAsia" w:ascii="仿宋_GB2312" w:hAnsi="仿宋_GB2312" w:eastAsia="仿宋_GB2312" w:cs="仿宋_GB2312"/>
          <w:lang w:val="en-US" w:eastAsia="zh-CN"/>
        </w:rPr>
      </w:pPr>
    </w:p>
    <w:p w14:paraId="5C83ECAE">
      <w:pPr>
        <w:keepNext/>
        <w:keepLines/>
        <w:widowControl w:val="0"/>
        <w:numPr>
          <w:ilvl w:val="0"/>
          <w:numId w:val="26"/>
        </w:numPr>
        <w:spacing w:before="0" w:after="0" w:line="360" w:lineRule="auto"/>
        <w:ind w:left="0" w:leftChars="0" w:firstLine="0" w:firstLineChars="0"/>
        <w:jc w:val="center"/>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投标人认为有必要提供的其他资料</w:t>
      </w:r>
    </w:p>
    <w:p w14:paraId="6DE00C07">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14:paraId="5F8226AA">
      <w:pPr>
        <w:pStyle w:val="23"/>
        <w:numPr>
          <w:ilvl w:val="0"/>
          <w:numId w:val="0"/>
        </w:numPr>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zh-CN"/>
        </w:rPr>
        <w:t>10、</w:t>
      </w:r>
      <w:r>
        <w:rPr>
          <w:rFonts w:hint="eastAsia" w:ascii="仿宋_GB2312" w:hAnsi="仿宋_GB2312" w:eastAsia="仿宋_GB2312" w:cs="仿宋_GB2312"/>
          <w:sz w:val="24"/>
          <w:szCs w:val="24"/>
          <w:highlight w:val="none"/>
          <w:lang w:val="en-US" w:eastAsia="zh-CN"/>
        </w:rPr>
        <w:t>业绩一览表（格式自拟）</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u w:val="single"/>
          <w:lang w:val="en-US" w:eastAsia="zh-CN"/>
        </w:rPr>
      </w:pPr>
    </w:p>
    <w:p w14:paraId="1CE4B262">
      <w:pPr>
        <w:pStyle w:val="24"/>
        <w:rPr>
          <w:rFonts w:hint="eastAsia"/>
          <w:highlight w:val="none"/>
          <w:lang w:val="en-US" w:eastAsia="zh-CN"/>
        </w:rPr>
      </w:pPr>
    </w:p>
    <w:p w14:paraId="4B7DBE15">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3262297">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11、</w:t>
      </w:r>
      <w:r>
        <w:rPr>
          <w:rFonts w:hint="eastAsia" w:ascii="仿宋_GB2312" w:hAnsi="仿宋_GB2312" w:eastAsia="仿宋_GB2312" w:cs="仿宋_GB2312"/>
          <w:sz w:val="24"/>
          <w:szCs w:val="24"/>
          <w:lang w:val="en-US" w:eastAsia="zh-CN"/>
        </w:rPr>
        <w:t>供应商所投的产品，符合节能产品、环境标志产品政策要求的，按以下格式提供说明</w:t>
      </w:r>
    </w:p>
    <w:p w14:paraId="47DF6476">
      <w:pPr>
        <w:numPr>
          <w:ilvl w:val="0"/>
          <w:numId w:val="0"/>
        </w:numPr>
        <w:rPr>
          <w:rFonts w:hint="eastAsia" w:ascii="仿宋_GB2312" w:hAnsi="仿宋_GB2312" w:eastAsia="仿宋_GB2312" w:cs="仿宋_GB2312"/>
          <w:sz w:val="24"/>
          <w:szCs w:val="24"/>
          <w:lang w:val="en-US" w:eastAsia="zh-CN"/>
        </w:rPr>
      </w:pPr>
    </w:p>
    <w:p w14:paraId="68A255F3">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节能产品说明：</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1335" w:type="dxa"/>
            <w:vAlign w:val="center"/>
          </w:tcPr>
          <w:p w14:paraId="2ACC86AE">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产品名称</w:t>
            </w:r>
          </w:p>
        </w:tc>
        <w:tc>
          <w:tcPr>
            <w:tcW w:w="2185" w:type="dxa"/>
            <w:vAlign w:val="center"/>
          </w:tcPr>
          <w:p w14:paraId="224375CD">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rPr>
              <w:t>对应《节能产品政府采购品目清单》的品目序号</w:t>
            </w:r>
          </w:p>
        </w:tc>
        <w:tc>
          <w:tcPr>
            <w:tcW w:w="2472" w:type="dxa"/>
            <w:vAlign w:val="center"/>
          </w:tcPr>
          <w:p w14:paraId="25982DEE">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产品报价（元）</w:t>
            </w:r>
          </w:p>
        </w:tc>
        <w:tc>
          <w:tcPr>
            <w:tcW w:w="710" w:type="dxa"/>
            <w:vAlign w:val="center"/>
          </w:tcPr>
          <w:p w14:paraId="601529A2">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335" w:type="dxa"/>
            <w:vAlign w:val="center"/>
          </w:tcPr>
          <w:p w14:paraId="5E534065">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6A69CDAF">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474E6C99">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4FCE01A9">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08F7F0E9">
            <w:pPr>
              <w:numPr>
                <w:ilvl w:val="0"/>
                <w:numId w:val="0"/>
              </w:numPr>
              <w:jc w:val="center"/>
              <w:rPr>
                <w:rFonts w:hint="eastAsia" w:ascii="仿宋_GB2312" w:hAnsi="仿宋_GB2312" w:eastAsia="仿宋_GB2312" w:cs="仿宋_GB2312"/>
                <w:sz w:val="21"/>
                <w:szCs w:val="21"/>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1335" w:type="dxa"/>
            <w:vAlign w:val="center"/>
          </w:tcPr>
          <w:p w14:paraId="6E060E6E">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3263A2A6">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5CAA1569">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60757FED">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7E65648A">
            <w:pPr>
              <w:numPr>
                <w:ilvl w:val="0"/>
                <w:numId w:val="0"/>
              </w:numPr>
              <w:jc w:val="center"/>
              <w:rPr>
                <w:rFonts w:hint="eastAsia" w:ascii="仿宋_GB2312" w:hAnsi="仿宋_GB2312" w:eastAsia="仿宋_GB2312" w:cs="仿宋_GB2312"/>
                <w:sz w:val="21"/>
                <w:szCs w:val="21"/>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w:t>
            </w:r>
          </w:p>
        </w:tc>
        <w:tc>
          <w:tcPr>
            <w:tcW w:w="1335" w:type="dxa"/>
            <w:vAlign w:val="center"/>
          </w:tcPr>
          <w:p w14:paraId="41745AC3">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295958E9">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5EB1910E">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43239E66">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0704EC00">
            <w:pPr>
              <w:numPr>
                <w:ilvl w:val="0"/>
                <w:numId w:val="0"/>
              </w:numPr>
              <w:jc w:val="center"/>
              <w:rPr>
                <w:rFonts w:hint="eastAsia" w:ascii="仿宋_GB2312" w:hAnsi="仿宋_GB2312" w:eastAsia="仿宋_GB2312" w:cs="仿宋_GB2312"/>
                <w:sz w:val="21"/>
                <w:szCs w:val="21"/>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335" w:type="dxa"/>
            <w:vAlign w:val="center"/>
          </w:tcPr>
          <w:p w14:paraId="56A83CDB">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00FA909E">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2E4B5ABD">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6B4796EB">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697376B4">
            <w:pPr>
              <w:numPr>
                <w:ilvl w:val="0"/>
                <w:numId w:val="0"/>
              </w:numPr>
              <w:jc w:val="center"/>
              <w:rPr>
                <w:rFonts w:hint="eastAsia" w:ascii="仿宋_GB2312" w:hAnsi="仿宋_GB2312" w:eastAsia="仿宋_GB2312" w:cs="仿宋_GB2312"/>
                <w:sz w:val="21"/>
                <w:szCs w:val="21"/>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1335" w:type="dxa"/>
            <w:vAlign w:val="center"/>
          </w:tcPr>
          <w:p w14:paraId="419F02BD">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3A69980D">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6B73D905">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00D8FD2F">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5682F174">
            <w:pPr>
              <w:numPr>
                <w:ilvl w:val="0"/>
                <w:numId w:val="0"/>
              </w:numPr>
              <w:jc w:val="center"/>
              <w:rPr>
                <w:rFonts w:hint="eastAsia" w:ascii="仿宋_GB2312" w:hAnsi="仿宋_GB2312" w:eastAsia="仿宋_GB2312" w:cs="仿宋_GB2312"/>
                <w:sz w:val="21"/>
                <w:szCs w:val="21"/>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w:t>
            </w:r>
          </w:p>
        </w:tc>
        <w:tc>
          <w:tcPr>
            <w:tcW w:w="1335" w:type="dxa"/>
            <w:vAlign w:val="center"/>
          </w:tcPr>
          <w:p w14:paraId="29A4C877">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42303185">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2E1734FE">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23513C73">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03A06CFF">
            <w:pPr>
              <w:numPr>
                <w:ilvl w:val="0"/>
                <w:numId w:val="0"/>
              </w:numPr>
              <w:jc w:val="center"/>
              <w:rPr>
                <w:rFonts w:hint="eastAsia" w:ascii="仿宋_GB2312" w:hAnsi="仿宋_GB2312" w:eastAsia="仿宋_GB2312" w:cs="仿宋_GB2312"/>
                <w:sz w:val="21"/>
                <w:szCs w:val="21"/>
                <w:vertAlign w:val="baseline"/>
                <w:lang w:val="en-US" w:eastAsia="zh-CN"/>
              </w:rPr>
            </w:pPr>
          </w:p>
        </w:tc>
      </w:tr>
    </w:tbl>
    <w:p w14:paraId="56E7E097">
      <w:pPr>
        <w:numPr>
          <w:ilvl w:val="0"/>
          <w:numId w:val="0"/>
        </w:numPr>
        <w:rPr>
          <w:rFonts w:hint="eastAsia" w:ascii="仿宋_GB2312" w:hAnsi="仿宋_GB2312" w:eastAsia="仿宋_GB2312" w:cs="仿宋_GB2312"/>
          <w:sz w:val="24"/>
          <w:szCs w:val="24"/>
          <w:lang w:val="en-US" w:eastAsia="zh-CN"/>
        </w:rPr>
      </w:pPr>
    </w:p>
    <w:p w14:paraId="736BCE8D">
      <w:pPr>
        <w:numPr>
          <w:ilvl w:val="0"/>
          <w:numId w:val="0"/>
        </w:numPr>
        <w:rPr>
          <w:rFonts w:hint="eastAsia" w:ascii="仿宋_GB2312" w:hAnsi="仿宋_GB2312" w:eastAsia="仿宋_GB2312" w:cs="仿宋_GB2312"/>
          <w:sz w:val="24"/>
          <w:szCs w:val="24"/>
          <w:lang w:val="en-US" w:eastAsia="zh-CN"/>
        </w:rPr>
      </w:pPr>
    </w:p>
    <w:p w14:paraId="334834FD">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投标人名称（盖章）：</w:t>
      </w:r>
    </w:p>
    <w:p w14:paraId="3C1BAF5D">
      <w:pPr>
        <w:numPr>
          <w:ilvl w:val="0"/>
          <w:numId w:val="0"/>
        </w:numPr>
        <w:rPr>
          <w:rFonts w:hint="eastAsia" w:ascii="仿宋_GB2312" w:hAnsi="仿宋_GB2312" w:eastAsia="仿宋_GB2312" w:cs="仿宋_GB2312"/>
          <w:sz w:val="24"/>
          <w:szCs w:val="24"/>
          <w:lang w:val="en-US" w:eastAsia="zh-CN"/>
        </w:rPr>
      </w:pPr>
    </w:p>
    <w:p w14:paraId="0D7D061B">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 年 月 日</w:t>
      </w:r>
    </w:p>
    <w:p w14:paraId="0840F5F9">
      <w:pPr>
        <w:numPr>
          <w:ilvl w:val="0"/>
          <w:numId w:val="0"/>
        </w:numPr>
        <w:rPr>
          <w:rFonts w:hint="eastAsia" w:ascii="仿宋_GB2312" w:hAnsi="仿宋_GB2312" w:eastAsia="仿宋_GB2312" w:cs="仿宋_GB2312"/>
          <w:sz w:val="24"/>
          <w:szCs w:val="24"/>
          <w:lang w:val="en-US" w:eastAsia="zh-CN"/>
        </w:rPr>
      </w:pPr>
    </w:p>
    <w:p w14:paraId="7E07D425">
      <w:pPr>
        <w:numPr>
          <w:ilvl w:val="0"/>
          <w:numId w:val="0"/>
        </w:numPr>
        <w:rPr>
          <w:rFonts w:hint="eastAsia" w:ascii="仿宋_GB2312" w:hAnsi="仿宋_GB2312" w:eastAsia="仿宋_GB2312" w:cs="仿宋_GB2312"/>
          <w:sz w:val="24"/>
          <w:szCs w:val="24"/>
          <w:lang w:val="en-US" w:eastAsia="zh-CN"/>
        </w:rPr>
      </w:pPr>
    </w:p>
    <w:p w14:paraId="61D8E7C6">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环境标志产品说明:</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1335" w:type="dxa"/>
            <w:vAlign w:val="center"/>
          </w:tcPr>
          <w:p w14:paraId="47A6B71D">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产品名称</w:t>
            </w:r>
          </w:p>
        </w:tc>
        <w:tc>
          <w:tcPr>
            <w:tcW w:w="2185" w:type="dxa"/>
            <w:vAlign w:val="center"/>
          </w:tcPr>
          <w:p w14:paraId="73A91085">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rPr>
              <w:t>对应《节能产品政府采购品目清单》的品目序号</w:t>
            </w:r>
          </w:p>
        </w:tc>
        <w:tc>
          <w:tcPr>
            <w:tcW w:w="2472" w:type="dxa"/>
            <w:vAlign w:val="center"/>
          </w:tcPr>
          <w:p w14:paraId="7E567251">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产品报价（元）</w:t>
            </w:r>
          </w:p>
        </w:tc>
        <w:tc>
          <w:tcPr>
            <w:tcW w:w="710" w:type="dxa"/>
            <w:vAlign w:val="center"/>
          </w:tcPr>
          <w:p w14:paraId="692C8DF0">
            <w:pPr>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335" w:type="dxa"/>
            <w:vAlign w:val="center"/>
          </w:tcPr>
          <w:p w14:paraId="3338C65C">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7FD4C7E5">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7B8E5E30">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46D6028D">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2415250F">
            <w:pPr>
              <w:numPr>
                <w:ilvl w:val="0"/>
                <w:numId w:val="0"/>
              </w:numPr>
              <w:jc w:val="center"/>
              <w:rPr>
                <w:rFonts w:hint="eastAsia" w:ascii="仿宋_GB2312" w:hAnsi="仿宋_GB2312" w:eastAsia="仿宋_GB2312" w:cs="仿宋_GB2312"/>
                <w:sz w:val="21"/>
                <w:szCs w:val="21"/>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1335" w:type="dxa"/>
            <w:vAlign w:val="center"/>
          </w:tcPr>
          <w:p w14:paraId="5E427235">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72D588CE">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58E4135F">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6F6F9D03">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34F9E3C2">
            <w:pPr>
              <w:numPr>
                <w:ilvl w:val="0"/>
                <w:numId w:val="0"/>
              </w:numPr>
              <w:jc w:val="center"/>
              <w:rPr>
                <w:rFonts w:hint="eastAsia" w:ascii="仿宋_GB2312" w:hAnsi="仿宋_GB2312" w:eastAsia="仿宋_GB2312" w:cs="仿宋_GB2312"/>
                <w:sz w:val="21"/>
                <w:szCs w:val="21"/>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w:t>
            </w:r>
          </w:p>
        </w:tc>
        <w:tc>
          <w:tcPr>
            <w:tcW w:w="1335" w:type="dxa"/>
            <w:vAlign w:val="center"/>
          </w:tcPr>
          <w:p w14:paraId="0582AC0A">
            <w:pPr>
              <w:numPr>
                <w:ilvl w:val="0"/>
                <w:numId w:val="0"/>
              </w:numPr>
              <w:jc w:val="center"/>
              <w:rPr>
                <w:rFonts w:hint="eastAsia" w:ascii="仿宋_GB2312" w:hAnsi="仿宋_GB2312" w:eastAsia="仿宋_GB2312" w:cs="仿宋_GB2312"/>
                <w:sz w:val="21"/>
                <w:szCs w:val="21"/>
                <w:vertAlign w:val="baseline"/>
                <w:lang w:val="en-US" w:eastAsia="zh-CN"/>
              </w:rPr>
            </w:pPr>
          </w:p>
        </w:tc>
        <w:tc>
          <w:tcPr>
            <w:tcW w:w="2185" w:type="dxa"/>
            <w:vAlign w:val="center"/>
          </w:tcPr>
          <w:p w14:paraId="4B1F3AC6">
            <w:pPr>
              <w:numPr>
                <w:ilvl w:val="0"/>
                <w:numId w:val="0"/>
              </w:numPr>
              <w:jc w:val="center"/>
              <w:rPr>
                <w:rFonts w:hint="eastAsia" w:ascii="仿宋_GB2312" w:hAnsi="仿宋_GB2312" w:eastAsia="仿宋_GB2312" w:cs="仿宋_GB2312"/>
                <w:sz w:val="21"/>
                <w:szCs w:val="21"/>
                <w:vertAlign w:val="baseline"/>
                <w:lang w:val="en-US" w:eastAsia="zh-CN"/>
              </w:rPr>
            </w:pPr>
          </w:p>
        </w:tc>
        <w:tc>
          <w:tcPr>
            <w:tcW w:w="2472" w:type="dxa"/>
            <w:vAlign w:val="center"/>
          </w:tcPr>
          <w:p w14:paraId="0366F048">
            <w:pPr>
              <w:numPr>
                <w:ilvl w:val="0"/>
                <w:numId w:val="0"/>
              </w:numPr>
              <w:jc w:val="center"/>
              <w:rPr>
                <w:rFonts w:hint="eastAsia" w:ascii="仿宋_GB2312" w:hAnsi="仿宋_GB2312" w:eastAsia="仿宋_GB2312" w:cs="仿宋_GB2312"/>
                <w:sz w:val="21"/>
                <w:szCs w:val="21"/>
                <w:vertAlign w:val="baseline"/>
                <w:lang w:val="en-US" w:eastAsia="zh-CN"/>
              </w:rPr>
            </w:pPr>
          </w:p>
        </w:tc>
        <w:tc>
          <w:tcPr>
            <w:tcW w:w="1080" w:type="dxa"/>
            <w:vAlign w:val="center"/>
          </w:tcPr>
          <w:p w14:paraId="769EA2DD">
            <w:pPr>
              <w:numPr>
                <w:ilvl w:val="0"/>
                <w:numId w:val="0"/>
              </w:numPr>
              <w:jc w:val="center"/>
              <w:rPr>
                <w:rFonts w:hint="eastAsia" w:ascii="仿宋_GB2312" w:hAnsi="仿宋_GB2312" w:eastAsia="仿宋_GB2312" w:cs="仿宋_GB2312"/>
                <w:sz w:val="21"/>
                <w:szCs w:val="21"/>
                <w:vertAlign w:val="baseline"/>
                <w:lang w:val="en-US" w:eastAsia="zh-CN"/>
              </w:rPr>
            </w:pPr>
          </w:p>
        </w:tc>
        <w:tc>
          <w:tcPr>
            <w:tcW w:w="710" w:type="dxa"/>
            <w:vAlign w:val="center"/>
          </w:tcPr>
          <w:p w14:paraId="0F23DC6B">
            <w:pPr>
              <w:numPr>
                <w:ilvl w:val="0"/>
                <w:numId w:val="0"/>
              </w:numPr>
              <w:jc w:val="center"/>
              <w:rPr>
                <w:rFonts w:hint="eastAsia" w:ascii="仿宋_GB2312" w:hAnsi="仿宋_GB2312" w:eastAsia="仿宋_GB2312" w:cs="仿宋_GB2312"/>
                <w:sz w:val="21"/>
                <w:szCs w:val="21"/>
                <w:vertAlign w:val="baseline"/>
                <w:lang w:val="en-US" w:eastAsia="zh-CN"/>
              </w:rPr>
            </w:pPr>
          </w:p>
        </w:tc>
      </w:tr>
    </w:tbl>
    <w:p w14:paraId="4E300812">
      <w:pPr>
        <w:numPr>
          <w:ilvl w:val="0"/>
          <w:numId w:val="0"/>
        </w:numPr>
        <w:rPr>
          <w:rFonts w:hint="eastAsia" w:ascii="仿宋_GB2312" w:hAnsi="仿宋_GB2312" w:eastAsia="仿宋_GB2312" w:cs="仿宋_GB2312"/>
          <w:sz w:val="24"/>
          <w:szCs w:val="24"/>
          <w:lang w:val="en-US" w:eastAsia="zh-CN"/>
        </w:rPr>
      </w:pPr>
    </w:p>
    <w:p w14:paraId="6E3E1512">
      <w:pPr>
        <w:numPr>
          <w:ilvl w:val="0"/>
          <w:numId w:val="0"/>
        </w:numPr>
        <w:rPr>
          <w:rFonts w:hint="eastAsia" w:ascii="仿宋_GB2312" w:hAnsi="仿宋_GB2312" w:eastAsia="仿宋_GB2312" w:cs="仿宋_GB2312"/>
          <w:sz w:val="24"/>
          <w:szCs w:val="24"/>
          <w:lang w:val="en-US" w:eastAsia="zh-CN"/>
        </w:rPr>
      </w:pPr>
    </w:p>
    <w:p w14:paraId="5655A207">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投标人名称（盖章）：</w:t>
      </w:r>
    </w:p>
    <w:p w14:paraId="40BDEADD">
      <w:pPr>
        <w:numPr>
          <w:ilvl w:val="0"/>
          <w:numId w:val="0"/>
        </w:numPr>
        <w:rPr>
          <w:rFonts w:hint="eastAsia" w:ascii="仿宋_GB2312" w:hAnsi="仿宋_GB2312" w:eastAsia="仿宋_GB2312" w:cs="仿宋_GB2312"/>
          <w:sz w:val="24"/>
          <w:szCs w:val="24"/>
          <w:lang w:val="en-US" w:eastAsia="zh-CN"/>
        </w:rPr>
      </w:pPr>
    </w:p>
    <w:p w14:paraId="4B2EFE94">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 年 月 日</w:t>
      </w:r>
    </w:p>
    <w:p w14:paraId="47C8C061">
      <w:pPr>
        <w:numPr>
          <w:ilvl w:val="0"/>
          <w:numId w:val="0"/>
        </w:numPr>
        <w:rPr>
          <w:rFonts w:hint="eastAsia" w:ascii="仿宋_GB2312" w:hAnsi="仿宋_GB2312" w:eastAsia="仿宋_GB2312" w:cs="仿宋_GB2312"/>
          <w:sz w:val="24"/>
          <w:szCs w:val="24"/>
          <w:lang w:val="en-US" w:eastAsia="zh-CN"/>
        </w:rPr>
      </w:pPr>
    </w:p>
    <w:p w14:paraId="2DDB0F26">
      <w:pPr>
        <w:keepNext w:val="0"/>
        <w:keepLines w:val="0"/>
        <w:widowControl/>
        <w:numPr>
          <w:ilvl w:val="0"/>
          <w:numId w:val="0"/>
        </w:numPr>
        <w:suppressLineNumbers w:val="0"/>
        <w:jc w:val="left"/>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7E5308D4">
      <w:pPr>
        <w:numPr>
          <w:ilvl w:val="0"/>
          <w:numId w:val="0"/>
        </w:numP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12、关于符合本国产品标准的声明函</w:t>
      </w:r>
    </w:p>
    <w:p w14:paraId="52904815">
      <w:pPr>
        <w:numPr>
          <w:ilvl w:val="0"/>
          <w:numId w:val="0"/>
        </w:numPr>
        <w:rPr>
          <w:rFonts w:hint="eastAsia" w:ascii="仿宋_GB2312" w:hAnsi="仿宋_GB2312" w:eastAsia="仿宋_GB2312" w:cs="仿宋_GB2312"/>
          <w:sz w:val="21"/>
          <w:szCs w:val="21"/>
          <w:lang w:val="en-US" w:eastAsia="zh-CN"/>
        </w:rPr>
      </w:pPr>
    </w:p>
    <w:p w14:paraId="6B1E3DB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shd w:val="clear" w:fill="FFFFFF"/>
          <w:vertAlign w:val="baseline"/>
        </w:rPr>
      </w:pPr>
      <w:r>
        <w:rPr>
          <w:rFonts w:hint="eastAsia" w:ascii="仿宋" w:hAnsi="仿宋" w:eastAsia="仿宋" w:cs="仿宋"/>
          <w:b/>
          <w:bCs/>
          <w:i w:val="0"/>
          <w:iCs w:val="0"/>
          <w:caps w:val="0"/>
          <w:color w:val="000000"/>
          <w:spacing w:val="0"/>
          <w:sz w:val="32"/>
          <w:szCs w:val="32"/>
          <w:shd w:val="clear" w:fill="FFFFFF"/>
          <w:vertAlign w:val="baseline"/>
        </w:rPr>
        <w:t>关于符合本国产品标准的声明函</w:t>
      </w:r>
    </w:p>
    <w:p w14:paraId="1B8DD391">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2695907C">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vertAlign w:val="baseline"/>
        </w:rPr>
        <w:t>1.</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（产品名称1）</w:t>
      </w:r>
      <w:r>
        <w:rPr>
          <w:rStyle w:val="30"/>
          <w:rFonts w:hint="eastAsia" w:ascii="仿宋" w:hAnsi="仿宋" w:eastAsia="仿宋" w:cs="仿宋"/>
          <w:i w:val="0"/>
          <w:iCs w:val="0"/>
          <w:caps w:val="0"/>
          <w:color w:val="000000"/>
          <w:spacing w:val="0"/>
          <w:kern w:val="2"/>
          <w:sz w:val="24"/>
          <w:szCs w:val="24"/>
          <w:shd w:val="clear" w:fill="FFFFFF"/>
          <w:vertAlign w:val="baseline"/>
          <w:lang w:bidi="ar-SA"/>
        </w:rPr>
        <w:t>1</w:t>
      </w:r>
      <w:r>
        <w:rPr>
          <w:rFonts w:hint="eastAsia" w:ascii="仿宋" w:hAnsi="仿宋" w:eastAsia="仿宋" w:cs="仿宋"/>
          <w:i w:val="0"/>
          <w:iCs w:val="0"/>
          <w:caps w:val="0"/>
          <w:color w:val="000000"/>
          <w:spacing w:val="0"/>
          <w:sz w:val="24"/>
          <w:szCs w:val="24"/>
          <w:shd w:val="clear" w:fill="FFFFFF"/>
          <w:vertAlign w:val="baseline"/>
        </w:rPr>
        <w:t>，生产厂为</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（厂名）</w:t>
      </w:r>
      <w:r>
        <w:rPr>
          <w:rStyle w:val="30"/>
          <w:rFonts w:hint="eastAsia" w:ascii="仿宋" w:hAnsi="仿宋" w:eastAsia="仿宋" w:cs="仿宋"/>
          <w:i w:val="0"/>
          <w:iCs w:val="0"/>
          <w:caps w:val="0"/>
          <w:color w:val="000000"/>
          <w:spacing w:val="0"/>
          <w:kern w:val="2"/>
          <w:sz w:val="24"/>
          <w:szCs w:val="24"/>
          <w:shd w:val="clear" w:fill="FFFFFF"/>
          <w:vertAlign w:val="baseline"/>
          <w:lang w:bidi="ar-SA"/>
        </w:rPr>
        <w:t>2</w:t>
      </w:r>
      <w:r>
        <w:rPr>
          <w:rFonts w:hint="eastAsia" w:ascii="仿宋" w:hAnsi="仿宋" w:eastAsia="仿宋" w:cs="仿宋"/>
          <w:i w:val="0"/>
          <w:iCs w:val="0"/>
          <w:caps w:val="0"/>
          <w:color w:val="000000"/>
          <w:spacing w:val="0"/>
          <w:sz w:val="24"/>
          <w:szCs w:val="24"/>
          <w:shd w:val="clear" w:fill="FFFFFF"/>
          <w:vertAlign w:val="baseline"/>
        </w:rPr>
        <w:t>，厂址为</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（生产厂址）</w:t>
      </w:r>
      <w:r>
        <w:rPr>
          <w:rFonts w:hint="eastAsia" w:ascii="仿宋" w:hAnsi="仿宋" w:eastAsia="仿宋" w:cs="仿宋"/>
          <w:i w:val="0"/>
          <w:iCs w:val="0"/>
          <w:caps w:val="0"/>
          <w:color w:val="000000"/>
          <w:spacing w:val="0"/>
          <w:sz w:val="24"/>
          <w:szCs w:val="24"/>
          <w:shd w:val="clear" w:fill="FFFFFF"/>
          <w:vertAlign w:val="baseline"/>
        </w:rPr>
        <w:t>。</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shd w:val="clear" w:fill="FFFFFF"/>
          <w:vertAlign w:val="baseline"/>
        </w:rPr>
        <w:t>的中国境内生产的组件成本占比≥</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（规定比例）</w:t>
      </w:r>
      <w:r>
        <w:rPr>
          <w:rStyle w:val="30"/>
          <w:rFonts w:hint="eastAsia" w:ascii="仿宋" w:hAnsi="仿宋" w:eastAsia="仿宋" w:cs="仿宋"/>
          <w:i w:val="0"/>
          <w:iCs w:val="0"/>
          <w:caps w:val="0"/>
          <w:color w:val="000000"/>
          <w:spacing w:val="0"/>
          <w:kern w:val="2"/>
          <w:sz w:val="24"/>
          <w:szCs w:val="24"/>
          <w:shd w:val="clear" w:fill="FFFFFF"/>
          <w:vertAlign w:val="baseline"/>
          <w:lang w:bidi="ar-SA"/>
        </w:rPr>
        <w:t>3</w:t>
      </w:r>
      <w:r>
        <w:rPr>
          <w:rFonts w:hint="eastAsia" w:ascii="仿宋" w:hAnsi="仿宋" w:eastAsia="仿宋" w:cs="仿宋"/>
          <w:i w:val="0"/>
          <w:iCs w:val="0"/>
          <w:caps w:val="0"/>
          <w:color w:val="000000"/>
          <w:spacing w:val="0"/>
          <w:sz w:val="24"/>
          <w:szCs w:val="24"/>
          <w:shd w:val="clear" w:fill="FFFFFF"/>
          <w:vertAlign w:val="baseline"/>
        </w:rPr>
        <w:t>。</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shd w:val="clear" w:fill="FFFFFF"/>
          <w:vertAlign w:val="baseline"/>
        </w:rPr>
        <w:t>的</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（关键组件）</w:t>
      </w:r>
      <w:r>
        <w:rPr>
          <w:rStyle w:val="30"/>
          <w:rFonts w:hint="eastAsia" w:ascii="仿宋" w:hAnsi="仿宋" w:eastAsia="仿宋" w:cs="仿宋"/>
          <w:i w:val="0"/>
          <w:iCs w:val="0"/>
          <w:caps w:val="0"/>
          <w:color w:val="000000"/>
          <w:spacing w:val="0"/>
          <w:kern w:val="2"/>
          <w:sz w:val="24"/>
          <w:szCs w:val="24"/>
          <w:shd w:val="clear" w:fill="FFFFFF"/>
          <w:vertAlign w:val="baseline"/>
          <w:lang w:bidi="ar-SA"/>
        </w:rPr>
        <w:t>4</w:t>
      </w:r>
      <w:r>
        <w:rPr>
          <w:rFonts w:hint="eastAsia" w:ascii="仿宋" w:hAnsi="仿宋" w:eastAsia="仿宋" w:cs="仿宋"/>
          <w:i w:val="0"/>
          <w:iCs w:val="0"/>
          <w:caps w:val="0"/>
          <w:color w:val="000000"/>
          <w:spacing w:val="0"/>
          <w:sz w:val="24"/>
          <w:szCs w:val="24"/>
          <w:shd w:val="clear" w:fill="FFFFFF"/>
          <w:vertAlign w:val="baseline"/>
        </w:rPr>
        <w:t>在中国境内生产。</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shd w:val="clear" w:fill="FFFFFF"/>
          <w:vertAlign w:val="baseline"/>
        </w:rPr>
        <w:t>的</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（关键工序）</w:t>
      </w:r>
      <w:r>
        <w:rPr>
          <w:rStyle w:val="30"/>
          <w:rFonts w:hint="eastAsia" w:ascii="仿宋" w:hAnsi="仿宋" w:eastAsia="仿宋" w:cs="仿宋"/>
          <w:i w:val="0"/>
          <w:iCs w:val="0"/>
          <w:caps w:val="0"/>
          <w:color w:val="000000"/>
          <w:spacing w:val="0"/>
          <w:kern w:val="2"/>
          <w:sz w:val="24"/>
          <w:szCs w:val="24"/>
          <w:shd w:val="clear" w:fill="FFFFFF"/>
          <w:vertAlign w:val="baseline"/>
          <w:lang w:bidi="ar-SA"/>
        </w:rPr>
        <w:t>5</w:t>
      </w:r>
      <w:r>
        <w:rPr>
          <w:rFonts w:hint="eastAsia" w:ascii="仿宋" w:hAnsi="仿宋" w:eastAsia="仿宋" w:cs="仿宋"/>
          <w:i w:val="0"/>
          <w:iCs w:val="0"/>
          <w:caps w:val="0"/>
          <w:color w:val="000000"/>
          <w:spacing w:val="0"/>
          <w:sz w:val="24"/>
          <w:szCs w:val="24"/>
          <w:shd w:val="clear" w:fill="FFFFFF"/>
          <w:vertAlign w:val="baseline"/>
        </w:rPr>
        <w:t>在中国境内完成。</w:t>
      </w:r>
    </w:p>
    <w:p w14:paraId="7F98C9DF">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vertAlign w:val="baseline"/>
        </w:rPr>
        <w:t>2.</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shd w:val="clear" w:fill="FFFFFF"/>
          <w:vertAlign w:val="baseline"/>
        </w:rPr>
        <w:t>，生产厂为</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（厂名）</w:t>
      </w:r>
      <w:r>
        <w:rPr>
          <w:rFonts w:hint="eastAsia" w:ascii="仿宋" w:hAnsi="仿宋" w:eastAsia="仿宋" w:cs="仿宋"/>
          <w:i w:val="0"/>
          <w:iCs w:val="0"/>
          <w:caps w:val="0"/>
          <w:color w:val="000000"/>
          <w:spacing w:val="0"/>
          <w:sz w:val="24"/>
          <w:szCs w:val="24"/>
          <w:shd w:val="clear" w:fill="FFFFFF"/>
          <w:vertAlign w:val="baseline"/>
        </w:rPr>
        <w:t>，厂址为</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（生产厂址）</w:t>
      </w:r>
      <w:r>
        <w:rPr>
          <w:rFonts w:hint="eastAsia" w:ascii="仿宋" w:hAnsi="仿宋" w:eastAsia="仿宋" w:cs="仿宋"/>
          <w:i w:val="0"/>
          <w:iCs w:val="0"/>
          <w:caps w:val="0"/>
          <w:color w:val="000000"/>
          <w:spacing w:val="0"/>
          <w:sz w:val="24"/>
          <w:szCs w:val="24"/>
          <w:shd w:val="clear" w:fill="FFFFFF"/>
          <w:vertAlign w:val="baseline"/>
        </w:rPr>
        <w:t>。</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shd w:val="clear" w:fill="FFFFFF"/>
          <w:vertAlign w:val="baseline"/>
        </w:rPr>
        <w:t>的中国境内生产的组件成本占比≥</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（规定比例）</w:t>
      </w:r>
      <w:r>
        <w:rPr>
          <w:rFonts w:hint="eastAsia" w:ascii="仿宋" w:hAnsi="仿宋" w:eastAsia="仿宋" w:cs="仿宋"/>
          <w:i w:val="0"/>
          <w:iCs w:val="0"/>
          <w:caps w:val="0"/>
          <w:color w:val="000000"/>
          <w:spacing w:val="0"/>
          <w:sz w:val="24"/>
          <w:szCs w:val="24"/>
          <w:shd w:val="clear" w:fill="FFFFFF"/>
          <w:vertAlign w:val="baseline"/>
        </w:rPr>
        <w:t>。</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shd w:val="clear" w:fill="FFFFFF"/>
          <w:vertAlign w:val="baseline"/>
        </w:rPr>
        <w:t>的</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（关键组件）</w:t>
      </w:r>
      <w:r>
        <w:rPr>
          <w:rFonts w:hint="eastAsia" w:ascii="仿宋" w:hAnsi="仿宋" w:eastAsia="仿宋" w:cs="仿宋"/>
          <w:i w:val="0"/>
          <w:iCs w:val="0"/>
          <w:caps w:val="0"/>
          <w:color w:val="000000"/>
          <w:spacing w:val="0"/>
          <w:sz w:val="24"/>
          <w:szCs w:val="24"/>
          <w:shd w:val="clear" w:fill="FFFFFF"/>
          <w:vertAlign w:val="baseline"/>
        </w:rPr>
        <w:t>在中国境内生产。</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shd w:val="clear" w:fill="FFFFFF"/>
          <w:vertAlign w:val="baseline"/>
        </w:rPr>
        <w:t>的</w:t>
      </w:r>
      <w:r>
        <w:rPr>
          <w:rFonts w:hint="eastAsia" w:ascii="仿宋" w:hAnsi="仿宋" w:eastAsia="仿宋" w:cs="仿宋"/>
          <w:i w:val="0"/>
          <w:iCs w:val="0"/>
          <w:caps w:val="0"/>
          <w:color w:val="000000"/>
          <w:spacing w:val="0"/>
          <w:sz w:val="24"/>
          <w:szCs w:val="24"/>
          <w:u w:val="single"/>
          <w:shd w:val="clear" w:fill="FFFFFF"/>
          <w:vertAlign w:val="baseline"/>
          <w:lang w:val="en-US" w:eastAsia="zh-CN"/>
        </w:rPr>
        <w:t xml:space="preserve">  / </w:t>
      </w:r>
      <w:r>
        <w:rPr>
          <w:rStyle w:val="30"/>
          <w:rFonts w:hint="eastAsia" w:ascii="仿宋" w:hAnsi="仿宋" w:eastAsia="仿宋" w:cs="仿宋"/>
          <w:i w:val="0"/>
          <w:iCs w:val="0"/>
          <w:caps w:val="0"/>
          <w:color w:val="000000"/>
          <w:spacing w:val="0"/>
          <w:kern w:val="2"/>
          <w:sz w:val="24"/>
          <w:szCs w:val="24"/>
          <w:u w:val="single"/>
          <w:shd w:val="clear" w:fill="FFFFFF"/>
          <w:vertAlign w:val="baseline"/>
          <w:lang w:bidi="ar-SA"/>
        </w:rPr>
        <w:t>（关键工序）</w:t>
      </w:r>
      <w:r>
        <w:rPr>
          <w:rFonts w:hint="eastAsia" w:ascii="仿宋" w:hAnsi="仿宋" w:eastAsia="仿宋" w:cs="仿宋"/>
          <w:i w:val="0"/>
          <w:iCs w:val="0"/>
          <w:caps w:val="0"/>
          <w:color w:val="000000"/>
          <w:spacing w:val="0"/>
          <w:sz w:val="24"/>
          <w:szCs w:val="24"/>
          <w:shd w:val="clear" w:fill="FFFFFF"/>
          <w:vertAlign w:val="baseline"/>
        </w:rPr>
        <w:t>在中国境内完成。</w:t>
      </w:r>
    </w:p>
    <w:p w14:paraId="280E435D">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vertAlign w:val="baseline"/>
        </w:rPr>
        <w:t>……</w:t>
      </w:r>
    </w:p>
    <w:p w14:paraId="65BF808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vertAlign w:val="baseline"/>
        </w:rPr>
        <w:t>本公司（单位）对上述声明内容的真实性负责。如有虚假，愿承担相应法律责任。</w:t>
      </w:r>
    </w:p>
    <w:p w14:paraId="1C6B7A0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shd w:val="clear" w:fill="FFFFFF"/>
          <w:vertAlign w:val="baseline"/>
        </w:rPr>
      </w:pPr>
      <w:r>
        <w:rPr>
          <w:rFonts w:hint="eastAsia" w:ascii="仿宋" w:hAnsi="仿宋" w:eastAsia="仿宋" w:cs="仿宋"/>
          <w:i w:val="0"/>
          <w:iCs w:val="0"/>
          <w:caps w:val="0"/>
          <w:color w:val="000000"/>
          <w:spacing w:val="0"/>
          <w:sz w:val="24"/>
          <w:szCs w:val="24"/>
          <w:shd w:val="clear" w:fill="FFFFFF"/>
          <w:vertAlign w:val="baseline"/>
        </w:rPr>
        <w:t>公司（单位）名称（盖章）：__________________</w:t>
      </w:r>
    </w:p>
    <w:p w14:paraId="36825592">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lang w:val="en-US" w:eastAsia="zh-CN"/>
        </w:rPr>
      </w:pPr>
      <w:r>
        <w:rPr>
          <w:rFonts w:hint="eastAsia" w:ascii="仿宋" w:hAnsi="仿宋" w:eastAsia="仿宋" w:cs="仿宋"/>
          <w:i w:val="0"/>
          <w:iCs w:val="0"/>
          <w:caps w:val="0"/>
          <w:color w:val="000000"/>
          <w:spacing w:val="0"/>
          <w:sz w:val="24"/>
          <w:szCs w:val="24"/>
          <w:shd w:val="clear" w:fill="FFFFFF"/>
          <w:vertAlign w:val="baseline"/>
        </w:rPr>
        <w:t>日期：______ 年 ______ 月 ______ 日</w:t>
      </w:r>
    </w:p>
    <w:p w14:paraId="00872F21">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shd w:val="clear" w:fill="FFFFFF"/>
          <w:vertAlign w:val="baseline"/>
        </w:rPr>
      </w:pPr>
    </w:p>
    <w:p w14:paraId="18BAA095">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rPr>
      </w:pPr>
      <w:r>
        <w:rPr>
          <w:rFonts w:hint="eastAsia" w:ascii="仿宋" w:hAnsi="仿宋" w:eastAsia="仿宋" w:cs="仿宋"/>
          <w:i w:val="0"/>
          <w:iCs w:val="0"/>
          <w:caps w:val="0"/>
          <w:color w:val="000000"/>
          <w:spacing w:val="0"/>
          <w:sz w:val="21"/>
          <w:szCs w:val="21"/>
          <w:shd w:val="clear" w:fill="FFFFFF"/>
          <w:vertAlign w:val="baseline"/>
        </w:rPr>
        <w:t>1.产品如有型号，请在“产品名称”栏一并填写。</w:t>
      </w:r>
    </w:p>
    <w:p w14:paraId="0357A499">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rPr>
      </w:pPr>
      <w:r>
        <w:rPr>
          <w:rFonts w:hint="eastAsia" w:ascii="仿宋" w:hAnsi="仿宋" w:eastAsia="仿宋" w:cs="仿宋"/>
          <w:i w:val="0"/>
          <w:iCs w:val="0"/>
          <w:caps w:val="0"/>
          <w:color w:val="000000"/>
          <w:spacing w:val="0"/>
          <w:sz w:val="21"/>
          <w:szCs w:val="21"/>
          <w:shd w:val="clear" w:fill="FFFFFF"/>
          <w:vertAlign w:val="baseline"/>
        </w:rPr>
        <w:t>2.生产厂名与厂址应与生产厂营业执照载明的相关信息保持一致。</w:t>
      </w:r>
    </w:p>
    <w:p w14:paraId="54FAAE58">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rPr>
      </w:pPr>
      <w:r>
        <w:rPr>
          <w:rFonts w:hint="eastAsia" w:ascii="仿宋" w:hAnsi="仿宋" w:eastAsia="仿宋" w:cs="仿宋"/>
          <w:i w:val="0"/>
          <w:iCs w:val="0"/>
          <w:caps w:val="0"/>
          <w:color w:val="000000"/>
          <w:spacing w:val="0"/>
          <w:sz w:val="21"/>
          <w:szCs w:val="21"/>
          <w:shd w:val="clear" w:fill="FFFFFF"/>
          <w:vertAlign w:val="baseline"/>
        </w:rPr>
        <w:t>3.该产品的中国境内生产的组件成本占比相关要求实施前，“规定比例”栏可不填，下同。</w:t>
      </w:r>
    </w:p>
    <w:p w14:paraId="20C29DB7">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rPr>
      </w:pPr>
      <w:r>
        <w:rPr>
          <w:rFonts w:hint="eastAsia" w:ascii="仿宋" w:hAnsi="仿宋" w:eastAsia="仿宋" w:cs="仿宋"/>
          <w:i w:val="0"/>
          <w:iCs w:val="0"/>
          <w:caps w:val="0"/>
          <w:color w:val="000000"/>
          <w:spacing w:val="0"/>
          <w:sz w:val="21"/>
          <w:szCs w:val="21"/>
          <w:shd w:val="clear" w:fill="FFFFFF"/>
          <w:vertAlign w:val="baseline"/>
        </w:rPr>
        <w:t>4.该产品的关键组件要求实施前，“关键组件”栏可不填，下同。</w:t>
      </w:r>
    </w:p>
    <w:p w14:paraId="4732A0D7">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shd w:val="clear" w:fill="FFFFFF"/>
          <w:vertAlign w:val="baseline"/>
        </w:rPr>
      </w:pPr>
      <w:r>
        <w:rPr>
          <w:rFonts w:hint="eastAsia" w:ascii="仿宋" w:hAnsi="仿宋" w:eastAsia="仿宋" w:cs="仿宋"/>
          <w:i w:val="0"/>
          <w:iCs w:val="0"/>
          <w:caps w:val="0"/>
          <w:color w:val="000000"/>
          <w:spacing w:val="0"/>
          <w:sz w:val="21"/>
          <w:szCs w:val="21"/>
          <w:shd w:val="clear" w:fill="FFFFFF"/>
          <w:vertAlign w:val="baseline"/>
        </w:rPr>
        <w:t>5.该产品的关键工序要求实施前，“关键工序”栏可不填，下同。</w:t>
      </w:r>
    </w:p>
    <w:p w14:paraId="6EAE8D59">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default" w:ascii="仿宋" w:hAnsi="仿宋" w:eastAsia="仿宋" w:cs="仿宋"/>
          <w:b/>
          <w:bCs/>
          <w:i w:val="0"/>
          <w:iCs w:val="0"/>
          <w:caps w:val="0"/>
          <w:color w:val="000000"/>
          <w:spacing w:val="0"/>
          <w:sz w:val="21"/>
          <w:szCs w:val="21"/>
          <w:shd w:val="clear" w:fill="FFFFFF"/>
          <w:vertAlign w:val="baseline"/>
          <w:lang w:val="en-US" w:eastAsia="zh-CN"/>
        </w:rPr>
      </w:pPr>
      <w:r>
        <w:rPr>
          <w:rFonts w:hint="eastAsia" w:ascii="仿宋" w:hAnsi="仿宋" w:eastAsia="仿宋" w:cs="仿宋"/>
          <w:b/>
          <w:bCs/>
          <w:i w:val="0"/>
          <w:iCs w:val="0"/>
          <w:caps w:val="0"/>
          <w:color w:val="000000"/>
          <w:spacing w:val="0"/>
          <w:sz w:val="21"/>
          <w:szCs w:val="21"/>
          <w:shd w:val="clear" w:fill="FFFFFF"/>
          <w:vertAlign w:val="baseline"/>
          <w:lang w:val="en-US" w:eastAsia="zh-CN"/>
        </w:rPr>
        <w:t>6.本声明函中“规定比例、关键组件、关键工序”等标注“/” 的内容，因相关要求尚未实施，无需填写。</w:t>
      </w:r>
    </w:p>
    <w:p w14:paraId="46D27E64">
      <w:pPr>
        <w:pStyle w:val="42"/>
        <w:spacing w:before="120" w:after="240"/>
        <w:jc w:val="center"/>
        <w:outlineLvl w:val="3"/>
        <w:rPr>
          <w:rFonts w:hint="eastAsia" w:ascii="仿宋" w:hAnsi="仿宋" w:eastAsia="仿宋" w:cs="仿宋"/>
          <w:i w:val="0"/>
          <w:iCs w:val="0"/>
          <w:caps w:val="0"/>
          <w:color w:val="000000"/>
          <w:spacing w:val="0"/>
          <w:kern w:val="0"/>
          <w:sz w:val="32"/>
          <w:szCs w:val="32"/>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shd w:val="clear" w:fill="FFFFFF"/>
          <w:vertAlign w:val="baseline"/>
          <w:lang w:val="en-US" w:eastAsia="zh-CN" w:bidi="ar"/>
        </w:rPr>
        <w:br w:type="page"/>
      </w:r>
    </w:p>
    <w:p w14:paraId="74BC68B7">
      <w:pPr>
        <w:pStyle w:val="42"/>
        <w:spacing w:before="120" w:after="240"/>
        <w:jc w:val="center"/>
        <w:outlineLvl w:val="3"/>
        <w:rPr>
          <w:rFonts w:hint="eastAsia" w:ascii="仿宋" w:hAnsi="仿宋" w:eastAsia="仿宋" w:cs="仿宋"/>
          <w:b/>
          <w:bCs/>
          <w:i w:val="0"/>
          <w:iCs w:val="0"/>
          <w:caps w:val="0"/>
          <w:color w:val="000000"/>
          <w:spacing w:val="0"/>
          <w:kern w:val="0"/>
          <w:sz w:val="32"/>
          <w:szCs w:val="32"/>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shd w:val="clear" w:fill="FFFFFF"/>
          <w:vertAlign w:val="baseline"/>
          <w:lang w:val="en-US" w:eastAsia="zh-CN" w:bidi="ar"/>
        </w:rPr>
        <w:t>关于本国产品比例的声明函（如适用）</w:t>
      </w:r>
    </w:p>
    <w:p w14:paraId="1B35BFF5">
      <w:pPr>
        <w:pStyle w:val="4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4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shd w:val="clear" w:fill="FFFFFF"/>
          <w:vertAlign w:val="baseline"/>
          <w:lang w:val="en-US" w:eastAsia="zh-CN" w:bidi="ar"/>
        </w:rPr>
        <w:t>本公司（单位）对上述声明内容的真实性负责。如有虚假，愿承担相应法律责任。</w:t>
      </w:r>
    </w:p>
    <w:p w14:paraId="4F17F66C">
      <w:pPr>
        <w:pStyle w:val="4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shd w:val="clear" w:fill="FFFFFF"/>
          <w:vertAlign w:val="baseline"/>
          <w:lang w:val="en-US" w:eastAsia="zh-CN" w:bidi="ar"/>
        </w:rPr>
      </w:pPr>
    </w:p>
    <w:p w14:paraId="232E39AA">
      <w:pPr>
        <w:pStyle w:val="4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shd w:val="clear" w:fill="FFFFFF"/>
          <w:vertAlign w:val="baseline"/>
          <w:lang w:val="en-US" w:eastAsia="zh-CN" w:bidi="ar"/>
        </w:rPr>
        <w:t>公司（单位）名称（盖章）：__________________</w:t>
      </w:r>
    </w:p>
    <w:p w14:paraId="328FBD43">
      <w:pPr>
        <w:pStyle w:val="4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shd w:val="clear" w:fill="FFFFFF"/>
          <w:vertAlign w:val="baseline"/>
          <w:lang w:val="en-US" w:eastAsia="zh-CN" w:bidi="ar"/>
        </w:rPr>
        <w:t>日期：______ 年 ______ 月 ______ 日</w:t>
      </w:r>
    </w:p>
    <w:p w14:paraId="5E1FED4E">
      <w:pPr>
        <w:pStyle w:val="24"/>
        <w:ind w:left="0" w:leftChars="0" w:firstLine="0" w:firstLineChars="0"/>
        <w:rPr>
          <w:rFonts w:hint="eastAsia"/>
          <w:lang w:val="en-US" w:eastAsia="zh-CN"/>
        </w:rPr>
      </w:pP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14:paraId="57746A76">
      <w:pPr>
        <w:pStyle w:val="23"/>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13、招标文件要求提供或投标人认为应附的其他材料</w:t>
      </w:r>
    </w:p>
    <w:p w14:paraId="74EC9DAD">
      <w:pPr>
        <w:pStyle w:val="20"/>
        <w:rPr>
          <w:rFonts w:hint="eastAsia" w:ascii="仿宋_GB2312" w:hAnsi="仿宋_GB2312" w:eastAsia="仿宋_GB2312" w:cs="仿宋_GB2312"/>
          <w:lang w:val="en-US" w:eastAsia="zh-CN"/>
        </w:rPr>
      </w:pPr>
    </w:p>
    <w:p w14:paraId="4902779E">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lang w:val="en-US" w:eastAsia="zh-CN" w:bidi="ar-SA"/>
        </w:rPr>
      </w:pPr>
      <w:bookmarkStart w:id="107" w:name="_Toc216582819"/>
      <w:bookmarkStart w:id="108" w:name="_Toc480942355"/>
      <w:bookmarkStart w:id="109" w:name="_Ref467988543"/>
      <w:bookmarkStart w:id="110" w:name="_Toc520356224"/>
      <w:bookmarkStart w:id="111" w:name="_Toc507399535"/>
      <w:bookmarkStart w:id="112" w:name="_Toc522"/>
      <w:bookmarkStart w:id="113" w:name="_Toc17143"/>
      <w:bookmarkStart w:id="114" w:name="_Toc21320"/>
      <w:bookmarkStart w:id="115" w:name="_Toc9592"/>
      <w:bookmarkStart w:id="116" w:name="_Toc15963"/>
      <w:bookmarkStart w:id="117" w:name="_Toc4183"/>
      <w:bookmarkStart w:id="118" w:name="_Toc20238"/>
      <w:bookmarkStart w:id="119" w:name="_Toc8281"/>
      <w:bookmarkStart w:id="120" w:name="_Toc3420"/>
      <w:r>
        <w:rPr>
          <w:rFonts w:hint="eastAsia" w:ascii="仿宋_GB2312" w:hAnsi="仿宋_GB2312" w:eastAsia="仿宋_GB2312" w:cs="仿宋_GB2312"/>
          <w:b/>
          <w:bCs/>
          <w:kern w:val="2"/>
          <w:sz w:val="24"/>
          <w:szCs w:val="32"/>
          <w:lang w:val="en-US" w:eastAsia="zh-CN" w:bidi="ar-SA"/>
        </w:rPr>
        <w:t xml:space="preserve">14   </w:t>
      </w:r>
      <w:bookmarkEnd w:id="107"/>
      <w:bookmarkEnd w:id="108"/>
      <w:bookmarkEnd w:id="109"/>
      <w:bookmarkEnd w:id="110"/>
      <w:bookmarkStart w:id="121" w:name="_Hlt520350957"/>
      <w:bookmarkEnd w:id="121"/>
      <w:bookmarkStart w:id="122" w:name="_Hlt520273711"/>
      <w:bookmarkEnd w:id="122"/>
      <w:bookmarkStart w:id="123" w:name="_Hlt520274407"/>
      <w:bookmarkEnd w:id="123"/>
      <w:bookmarkStart w:id="124" w:name="_Hlt520274065"/>
      <w:bookmarkEnd w:id="124"/>
      <w:bookmarkStart w:id="125" w:name="_Hlt520350918"/>
      <w:bookmarkEnd w:id="125"/>
      <w:bookmarkStart w:id="126" w:name="_Hlt520343000"/>
      <w:bookmarkEnd w:id="126"/>
      <w:bookmarkStart w:id="127" w:name="_Hlt520271212"/>
      <w:bookmarkEnd w:id="127"/>
      <w:bookmarkStart w:id="128" w:name="_Hlt520274911"/>
      <w:bookmarkEnd w:id="128"/>
      <w:bookmarkStart w:id="129" w:name="_Hlt520274393"/>
      <w:bookmarkEnd w:id="129"/>
      <w:bookmarkStart w:id="130" w:name="_Hlt520273973"/>
      <w:bookmarkEnd w:id="130"/>
      <w:bookmarkStart w:id="131" w:name="_Hlt520343392"/>
      <w:bookmarkEnd w:id="131"/>
      <w:bookmarkStart w:id="132" w:name="_Toc216513801"/>
      <w:bookmarkStart w:id="133" w:name="_Toc216582821"/>
      <w:r>
        <w:rPr>
          <w:rFonts w:hint="eastAsia" w:ascii="仿宋_GB2312" w:hAnsi="仿宋_GB2312" w:eastAsia="仿宋_GB2312" w:cs="仿宋_GB2312"/>
          <w:b/>
          <w:bCs/>
          <w:kern w:val="2"/>
          <w:sz w:val="24"/>
          <w:szCs w:val="32"/>
          <w:lang w:val="en-US" w:eastAsia="zh-CN" w:bidi="ar-SA"/>
        </w:rPr>
        <w:t>中标服务费承诺书</w:t>
      </w:r>
      <w:bookmarkEnd w:id="111"/>
      <w:bookmarkEnd w:id="112"/>
      <w:bookmarkEnd w:id="113"/>
      <w:bookmarkEnd w:id="114"/>
      <w:bookmarkEnd w:id="115"/>
      <w:bookmarkEnd w:id="116"/>
      <w:bookmarkEnd w:id="117"/>
      <w:bookmarkEnd w:id="118"/>
    </w:p>
    <w:p w14:paraId="4E67CB56">
      <w:pPr>
        <w:spacing w:line="240" w:lineRule="atLeast"/>
        <w:ind w:left="1080" w:leftChars="257" w:hanging="540"/>
        <w:rPr>
          <w:rFonts w:hint="eastAsia" w:ascii="仿宋_GB2312" w:hAnsi="仿宋_GB2312" w:eastAsia="仿宋_GB2312" w:cs="仿宋_GB2312"/>
          <w:b/>
          <w:sz w:val="24"/>
        </w:rPr>
      </w:pPr>
    </w:p>
    <w:p w14:paraId="51D19976">
      <w:pPr>
        <w:spacing w:line="240" w:lineRule="atLeast"/>
        <w:ind w:left="1080" w:leftChars="257" w:hanging="54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中标服务费承诺书</w:t>
      </w:r>
    </w:p>
    <w:p w14:paraId="71DA6760">
      <w:pPr>
        <w:spacing w:line="440" w:lineRule="exact"/>
        <w:ind w:left="1080" w:hanging="1080"/>
        <w:rPr>
          <w:rFonts w:hint="eastAsia" w:ascii="仿宋_GB2312" w:hAnsi="仿宋_GB2312" w:eastAsia="仿宋_GB2312" w:cs="仿宋_GB2312"/>
          <w:sz w:val="24"/>
        </w:rPr>
      </w:pPr>
    </w:p>
    <w:p w14:paraId="7B0F7B95">
      <w:pPr>
        <w:spacing w:line="440" w:lineRule="exact"/>
        <w:ind w:left="1080" w:hanging="1080"/>
        <w:rPr>
          <w:rFonts w:hint="eastAsia" w:ascii="仿宋_GB2312" w:hAnsi="仿宋_GB2312" w:eastAsia="仿宋_GB2312" w:cs="仿宋_GB2312"/>
          <w:sz w:val="24"/>
          <w:u w:val="single"/>
          <w:lang w:val="en-US" w:eastAsia="zh-CN"/>
        </w:rPr>
      </w:pPr>
      <w:r>
        <w:rPr>
          <w:rFonts w:hint="eastAsia" w:ascii="仿宋_GB2312" w:hAnsi="仿宋_GB2312" w:eastAsia="仿宋_GB2312" w:cs="仿宋_GB2312"/>
          <w:sz w:val="24"/>
        </w:rPr>
        <w:t>致：</w:t>
      </w:r>
      <w:r>
        <w:rPr>
          <w:rFonts w:hint="eastAsia" w:ascii="仿宋_GB2312" w:hAnsi="仿宋_GB2312" w:eastAsia="仿宋_GB2312" w:cs="仿宋_GB2312"/>
          <w:sz w:val="24"/>
          <w:lang w:val="en-US" w:eastAsia="zh-CN"/>
        </w:rPr>
        <w:t>新疆世纪星工程咨询有限公司</w:t>
      </w:r>
    </w:p>
    <w:p w14:paraId="484D36FD">
      <w:pPr>
        <w:spacing w:line="440" w:lineRule="exact"/>
        <w:ind w:left="1080" w:leftChars="257" w:hanging="540"/>
        <w:rPr>
          <w:rFonts w:hint="eastAsia" w:ascii="仿宋_GB2312" w:hAnsi="仿宋_GB2312" w:eastAsia="仿宋_GB2312" w:cs="仿宋_GB2312"/>
          <w:sz w:val="24"/>
        </w:rPr>
      </w:pPr>
    </w:p>
    <w:p w14:paraId="03435E33">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 xml:space="preserve"> 我们在贵公司组织的</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lang w:val="en-US" w:eastAsia="zh-CN"/>
        </w:rPr>
        <w:t>项目名称、项目编号</w:t>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项目招标中若获得中标资格，我们保证在领取中标通知书的同时按招标文件的规定，按招标文件对代理服务费支付方式的约定，承担本项目代理服务费。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080"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特此承诺！</w:t>
      </w:r>
    </w:p>
    <w:p w14:paraId="69FCE403">
      <w:pPr>
        <w:spacing w:line="440" w:lineRule="exact"/>
        <w:ind w:left="1080" w:leftChars="257" w:hanging="540"/>
        <w:rPr>
          <w:rFonts w:hint="eastAsia" w:ascii="仿宋_GB2312" w:hAnsi="仿宋_GB2312" w:eastAsia="仿宋_GB2312" w:cs="仿宋_GB2312"/>
          <w:sz w:val="24"/>
        </w:rPr>
      </w:pPr>
    </w:p>
    <w:p w14:paraId="58630916">
      <w:pPr>
        <w:spacing w:line="440" w:lineRule="exact"/>
        <w:ind w:left="1080" w:leftChars="257" w:hanging="540"/>
        <w:rPr>
          <w:rFonts w:hint="eastAsia" w:ascii="仿宋_GB2312" w:hAnsi="仿宋_GB2312" w:eastAsia="仿宋_GB2312" w:cs="仿宋_GB2312"/>
          <w:sz w:val="24"/>
        </w:rPr>
      </w:pPr>
    </w:p>
    <w:p w14:paraId="436BA01B">
      <w:pPr>
        <w:spacing w:line="440" w:lineRule="exact"/>
        <w:ind w:left="1080" w:leftChars="257" w:hanging="540"/>
        <w:rPr>
          <w:rFonts w:hint="eastAsia" w:ascii="仿宋_GB2312" w:hAnsi="仿宋_GB2312" w:eastAsia="仿宋_GB2312" w:cs="仿宋_GB2312"/>
          <w:sz w:val="24"/>
        </w:rPr>
      </w:pPr>
    </w:p>
    <w:p w14:paraId="574B7AFD">
      <w:pPr>
        <w:spacing w:line="440" w:lineRule="exact"/>
        <w:ind w:left="1080" w:leftChars="257" w:hanging="540"/>
        <w:rPr>
          <w:rFonts w:hint="eastAsia" w:ascii="仿宋_GB2312" w:hAnsi="仿宋_GB2312" w:eastAsia="仿宋_GB2312" w:cs="仿宋_GB2312"/>
          <w:sz w:val="24"/>
        </w:rPr>
      </w:pPr>
    </w:p>
    <w:p w14:paraId="0921CCAD">
      <w:pPr>
        <w:spacing w:line="440" w:lineRule="exact"/>
        <w:ind w:left="1080" w:hanging="1080"/>
        <w:rPr>
          <w:rFonts w:hint="eastAsia" w:ascii="仿宋_GB2312" w:hAnsi="仿宋_GB2312" w:eastAsia="仿宋_GB2312" w:cs="仿宋_GB2312"/>
          <w:sz w:val="24"/>
        </w:rPr>
      </w:pPr>
    </w:p>
    <w:p w14:paraId="3852A371">
      <w:pPr>
        <w:spacing w:line="440" w:lineRule="exact"/>
        <w:ind w:left="1413" w:leftChars="273" w:hanging="840" w:hangingChars="350"/>
        <w:rPr>
          <w:rFonts w:hint="eastAsia" w:ascii="仿宋_GB2312" w:hAnsi="仿宋_GB2312" w:eastAsia="仿宋_GB2312" w:cs="仿宋_GB2312"/>
          <w:sz w:val="24"/>
        </w:rPr>
      </w:pPr>
      <w:r>
        <w:rPr>
          <w:rFonts w:hint="eastAsia" w:ascii="仿宋_GB2312" w:hAnsi="仿宋_GB2312" w:eastAsia="仿宋_GB2312" w:cs="仿宋_GB2312"/>
          <w:sz w:val="24"/>
        </w:rPr>
        <w:t>承诺方法定名称：</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none"/>
        </w:rPr>
        <w:t>（承诺方盖章）</w:t>
      </w:r>
    </w:p>
    <w:p w14:paraId="0C95BCDD">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1F41CF89">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电话：</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传真：</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3EDB604C">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电传：</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邮编：</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742151BC">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承诺方授权代表签字：</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 xml:space="preserve">    </w:t>
      </w:r>
    </w:p>
    <w:p w14:paraId="5434612C">
      <w:pPr>
        <w:spacing w:line="440" w:lineRule="exact"/>
        <w:ind w:left="1620" w:leftChars="257" w:hanging="1080"/>
        <w:rPr>
          <w:rFonts w:hint="eastAsia" w:ascii="仿宋_GB2312" w:hAnsi="仿宋_GB2312" w:eastAsia="仿宋_GB2312" w:cs="仿宋_GB2312"/>
          <w:sz w:val="24"/>
          <w:u w:val="single"/>
        </w:rPr>
      </w:pPr>
      <w:r>
        <w:rPr>
          <w:rFonts w:hint="eastAsia" w:ascii="仿宋_GB2312" w:hAnsi="仿宋_GB2312" w:eastAsia="仿宋_GB2312" w:cs="仿宋_GB2312"/>
          <w:sz w:val="24"/>
        </w:rPr>
        <w:t>承诺日期：</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 xml:space="preserve">                      </w:t>
      </w:r>
      <w:bookmarkEnd w:id="132"/>
      <w:bookmarkEnd w:id="133"/>
    </w:p>
    <w:bookmarkEnd w:id="119"/>
    <w:bookmarkEnd w:id="120"/>
    <w:p w14:paraId="0F5F0768">
      <w:pPr>
        <w:rPr>
          <w:rFonts w:hint="eastAsia" w:ascii="仿宋_GB2312" w:hAnsi="仿宋_GB2312" w:eastAsia="仿宋_GB2312" w:cs="仿宋_GB2312"/>
          <w:b w:val="0"/>
          <w:bCs w:val="0"/>
          <w:color w:val="000000"/>
          <w:kern w:val="0"/>
          <w:sz w:val="24"/>
          <w:szCs w:val="24"/>
          <w:lang w:val="en-US" w:eastAsia="zh-CN" w:bidi="ar"/>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8DDA8E1-582F-4F87-A76C-26E498AC318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1D054F79-BDCA-4CDD-B520-0F4BAF7B41D3}"/>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3" w:fontKey="{5F6B10F5-9913-4056-994D-97F81C2A4733}"/>
  </w:font>
  <w:font w:name="微软雅黑">
    <w:panose1 w:val="020B0503020204020204"/>
    <w:charset w:val="86"/>
    <w:family w:val="auto"/>
    <w:pitch w:val="default"/>
    <w:sig w:usb0="80000287" w:usb1="2ACF3C50" w:usb2="00000016" w:usb3="00000000" w:csb0="0004001F" w:csb1="00000000"/>
    <w:embedRegular r:id="rId4" w:fontKey="{6D398751-7CE5-4F06-9B6D-77EBEC2844A8}"/>
  </w:font>
  <w:font w:name="方正小标宋简体">
    <w:panose1 w:val="02000000000000000000"/>
    <w:charset w:val="86"/>
    <w:family w:val="auto"/>
    <w:pitch w:val="default"/>
    <w:sig w:usb0="00000001" w:usb1="08000000" w:usb2="00000000" w:usb3="00000000" w:csb0="00040000" w:csb1="00000000"/>
    <w:embedRegular r:id="rId5" w:fontKey="{16249890-C991-4D84-B305-67267C161D17}"/>
  </w:font>
  <w:font w:name="Microsoft JhengHei UI">
    <w:panose1 w:val="020B0604030504040204"/>
    <w:charset w:val="88"/>
    <w:family w:val="auto"/>
    <w:pitch w:val="default"/>
    <w:sig w:usb0="000002A7" w:usb1="28CF4400" w:usb2="00000016" w:usb3="00000000" w:csb0="00100009" w:csb1="00000000"/>
    <w:embedRegular r:id="rId6" w:fontKey="{15328387-4FEE-460E-AD2E-9FF80DDC5F44}"/>
  </w:font>
  <w:font w:name="Bold">
    <w:altName w:val="Segoe Print"/>
    <w:panose1 w:val="00000000000000000000"/>
    <w:charset w:val="00"/>
    <w:family w:val="auto"/>
    <w:pitch w:val="default"/>
    <w:sig w:usb0="00000000" w:usb1="00000000" w:usb2="00000000" w:usb3="00000000" w:csb0="00000000" w:csb1="00000000"/>
    <w:embedRegular r:id="rId7" w:fontKey="{CC936F5B-A0C7-465A-A60B-53C3D455CB2B}"/>
  </w:font>
  <w:font w:name="Segoe Print">
    <w:panose1 w:val="02000600000000000000"/>
    <w:charset w:val="00"/>
    <w:family w:val="auto"/>
    <w:pitch w:val="default"/>
    <w:sig w:usb0="0000028F" w:usb1="00000000" w:usb2="00000000" w:usb3="00000000" w:csb0="2000009F" w:csb1="47010000"/>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3FD6">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13FD6">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9"/>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9"/>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4F26C5"/>
    <w:multiLevelType w:val="singleLevel"/>
    <w:tmpl w:val="894F26C5"/>
    <w:lvl w:ilvl="0" w:tentative="0">
      <w:start w:val="1"/>
      <w:numFmt w:val="decimal"/>
      <w:suff w:val="space"/>
      <w:lvlText w:val="%1."/>
      <w:lvlJc w:val="left"/>
    </w:lvl>
  </w:abstractNum>
  <w:abstractNum w:abstractNumId="3">
    <w:nsid w:val="8C343371"/>
    <w:multiLevelType w:val="singleLevel"/>
    <w:tmpl w:val="8C343371"/>
    <w:lvl w:ilvl="0" w:tentative="0">
      <w:start w:val="1"/>
      <w:numFmt w:val="decimal"/>
      <w:lvlText w:val="%1."/>
      <w:lvlJc w:val="left"/>
      <w:pPr>
        <w:ind w:left="425" w:hanging="425"/>
      </w:pPr>
      <w:rPr>
        <w:rFonts w:hint="default"/>
      </w:rPr>
    </w:lvl>
  </w:abstractNum>
  <w:abstractNum w:abstractNumId="4">
    <w:nsid w:val="8EC47FF2"/>
    <w:multiLevelType w:val="singleLevel"/>
    <w:tmpl w:val="8EC47FF2"/>
    <w:lvl w:ilvl="0" w:tentative="0">
      <w:start w:val="1"/>
      <w:numFmt w:val="decimal"/>
      <w:lvlText w:val="%1."/>
      <w:lvlJc w:val="left"/>
      <w:pPr>
        <w:ind w:left="425" w:hanging="425"/>
      </w:pPr>
      <w:rPr>
        <w:rFonts w:hint="default"/>
      </w:rPr>
    </w:lvl>
  </w:abstractNum>
  <w:abstractNum w:abstractNumId="5">
    <w:nsid w:val="8EE40AB1"/>
    <w:multiLevelType w:val="singleLevel"/>
    <w:tmpl w:val="8EE40AB1"/>
    <w:lvl w:ilvl="0" w:tentative="0">
      <w:start w:val="1"/>
      <w:numFmt w:val="decimal"/>
      <w:lvlText w:val="%1."/>
      <w:lvlJc w:val="left"/>
      <w:pPr>
        <w:ind w:left="425" w:hanging="425"/>
      </w:pPr>
      <w:rPr>
        <w:rFonts w:hint="default"/>
      </w:rPr>
    </w:lvl>
  </w:abstractNum>
  <w:abstractNum w:abstractNumId="6">
    <w:nsid w:val="9ABEAA99"/>
    <w:multiLevelType w:val="singleLevel"/>
    <w:tmpl w:val="9ABEAA99"/>
    <w:lvl w:ilvl="0" w:tentative="0">
      <w:start w:val="1"/>
      <w:numFmt w:val="decimal"/>
      <w:lvlText w:val="%1."/>
      <w:lvlJc w:val="left"/>
      <w:pPr>
        <w:ind w:left="425" w:hanging="425"/>
      </w:pPr>
      <w:rPr>
        <w:rFonts w:hint="default"/>
      </w:rPr>
    </w:lvl>
  </w:abstractNum>
  <w:abstractNum w:abstractNumId="7">
    <w:nsid w:val="A2634715"/>
    <w:multiLevelType w:val="singleLevel"/>
    <w:tmpl w:val="A2634715"/>
    <w:lvl w:ilvl="0" w:tentative="0">
      <w:start w:val="1"/>
      <w:numFmt w:val="decimal"/>
      <w:lvlText w:val="%1."/>
      <w:lvlJc w:val="left"/>
      <w:pPr>
        <w:ind w:left="425" w:hanging="425"/>
      </w:pPr>
      <w:rPr>
        <w:rFonts w:hint="default"/>
      </w:rPr>
    </w:lvl>
  </w:abstractNum>
  <w:abstractNum w:abstractNumId="8">
    <w:nsid w:val="A646D1F8"/>
    <w:multiLevelType w:val="multilevel"/>
    <w:tmpl w:val="A646D1F8"/>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rPr>
        <w:rFonts w:ascii="宋体" w:hAnsi="宋体" w:eastAsia="宋体"/>
      </w:rPr>
    </w:lvl>
    <w:lvl w:ilvl="3" w:tentative="0">
      <w:start w:val="1"/>
      <w:numFmt w:val="decimal"/>
      <w:pStyle w:val="6"/>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9">
    <w:nsid w:val="B5B875C8"/>
    <w:multiLevelType w:val="singleLevel"/>
    <w:tmpl w:val="B5B875C8"/>
    <w:lvl w:ilvl="0" w:tentative="0">
      <w:start w:val="4"/>
      <w:numFmt w:val="decimal"/>
      <w:suff w:val="nothing"/>
      <w:lvlText w:val="%1、"/>
      <w:lvlJc w:val="left"/>
    </w:lvl>
  </w:abstractNum>
  <w:abstractNum w:abstractNumId="10">
    <w:nsid w:val="CB60E306"/>
    <w:multiLevelType w:val="singleLevel"/>
    <w:tmpl w:val="CB60E306"/>
    <w:lvl w:ilvl="0" w:tentative="0">
      <w:start w:val="1"/>
      <w:numFmt w:val="decimal"/>
      <w:suff w:val="nothing"/>
      <w:lvlText w:val="（%1）"/>
      <w:lvlJc w:val="left"/>
    </w:lvl>
  </w:abstractNum>
  <w:abstractNum w:abstractNumId="11">
    <w:nsid w:val="05FE2DA7"/>
    <w:multiLevelType w:val="singleLevel"/>
    <w:tmpl w:val="05FE2DA7"/>
    <w:lvl w:ilvl="0" w:tentative="0">
      <w:start w:val="1"/>
      <w:numFmt w:val="chineseCounting"/>
      <w:suff w:val="space"/>
      <w:lvlText w:val="第%1章"/>
      <w:lvlJc w:val="left"/>
      <w:rPr>
        <w:rFonts w:hint="eastAsia"/>
      </w:rPr>
    </w:lvl>
  </w:abstractNum>
  <w:abstractNum w:abstractNumId="12">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3">
    <w:nsid w:val="0722405C"/>
    <w:multiLevelType w:val="singleLevel"/>
    <w:tmpl w:val="0722405C"/>
    <w:lvl w:ilvl="0" w:tentative="0">
      <w:start w:val="1"/>
      <w:numFmt w:val="decimal"/>
      <w:lvlText w:val="%1."/>
      <w:lvlJc w:val="left"/>
      <w:pPr>
        <w:ind w:left="425" w:hanging="425"/>
      </w:pPr>
      <w:rPr>
        <w:rFonts w:hint="default"/>
      </w:rPr>
    </w:lvl>
  </w:abstractNum>
  <w:abstractNum w:abstractNumId="14">
    <w:nsid w:val="0FF4AFA6"/>
    <w:multiLevelType w:val="singleLevel"/>
    <w:tmpl w:val="0FF4AFA6"/>
    <w:lvl w:ilvl="0" w:tentative="0">
      <w:start w:val="1"/>
      <w:numFmt w:val="decimal"/>
      <w:lvlText w:val="%1."/>
      <w:lvlJc w:val="left"/>
      <w:pPr>
        <w:ind w:left="425" w:hanging="425"/>
      </w:pPr>
      <w:rPr>
        <w:rFonts w:hint="default"/>
      </w:rPr>
    </w:lvl>
  </w:abstractNum>
  <w:abstractNum w:abstractNumId="15">
    <w:nsid w:val="2BAD215E"/>
    <w:multiLevelType w:val="singleLevel"/>
    <w:tmpl w:val="2BAD215E"/>
    <w:lvl w:ilvl="0" w:tentative="0">
      <w:start w:val="1"/>
      <w:numFmt w:val="decimal"/>
      <w:lvlText w:val="%1."/>
      <w:lvlJc w:val="left"/>
      <w:pPr>
        <w:ind w:left="425" w:hanging="425"/>
      </w:pPr>
      <w:rPr>
        <w:rFonts w:hint="default"/>
      </w:rPr>
    </w:lvl>
  </w:abstractNum>
  <w:abstractNum w:abstractNumId="16">
    <w:nsid w:val="3BC6F39C"/>
    <w:multiLevelType w:val="singleLevel"/>
    <w:tmpl w:val="3BC6F39C"/>
    <w:lvl w:ilvl="0" w:tentative="0">
      <w:start w:val="1"/>
      <w:numFmt w:val="decimal"/>
      <w:suff w:val="space"/>
      <w:lvlText w:val="%1."/>
      <w:lvlJc w:val="left"/>
    </w:lvl>
  </w:abstractNum>
  <w:abstractNum w:abstractNumId="17">
    <w:nsid w:val="420A6756"/>
    <w:multiLevelType w:val="singleLevel"/>
    <w:tmpl w:val="420A6756"/>
    <w:lvl w:ilvl="0" w:tentative="0">
      <w:start w:val="1"/>
      <w:numFmt w:val="decimal"/>
      <w:lvlText w:val="%1."/>
      <w:lvlJc w:val="left"/>
      <w:pPr>
        <w:ind w:left="425" w:hanging="425"/>
      </w:pPr>
      <w:rPr>
        <w:rFonts w:hint="default"/>
      </w:rPr>
    </w:lvl>
  </w:abstractNum>
  <w:abstractNum w:abstractNumId="18">
    <w:nsid w:val="544C10A0"/>
    <w:multiLevelType w:val="singleLevel"/>
    <w:tmpl w:val="544C10A0"/>
    <w:lvl w:ilvl="0" w:tentative="0">
      <w:start w:val="1"/>
      <w:numFmt w:val="decimal"/>
      <w:lvlText w:val="%1."/>
      <w:lvlJc w:val="left"/>
      <w:pPr>
        <w:ind w:left="425" w:hanging="425"/>
      </w:pPr>
      <w:rPr>
        <w:rFonts w:hint="default"/>
      </w:rPr>
    </w:lvl>
  </w:abstractNum>
  <w:abstractNum w:abstractNumId="19">
    <w:nsid w:val="585D399E"/>
    <w:multiLevelType w:val="singleLevel"/>
    <w:tmpl w:val="585D399E"/>
    <w:lvl w:ilvl="0" w:tentative="0">
      <w:start w:val="3"/>
      <w:numFmt w:val="chineseCounting"/>
      <w:suff w:val="nothing"/>
      <w:lvlText w:val="（%1）"/>
      <w:lvlJc w:val="left"/>
      <w:rPr>
        <w:rFonts w:hint="eastAsia"/>
      </w:rPr>
    </w:lvl>
  </w:abstractNum>
  <w:abstractNum w:abstractNumId="20">
    <w:nsid w:val="61E42A29"/>
    <w:multiLevelType w:val="singleLevel"/>
    <w:tmpl w:val="61E42A29"/>
    <w:lvl w:ilvl="0" w:tentative="0">
      <w:start w:val="1"/>
      <w:numFmt w:val="decimal"/>
      <w:lvlText w:val="%1."/>
      <w:lvlJc w:val="left"/>
      <w:pPr>
        <w:ind w:left="425" w:hanging="425"/>
      </w:pPr>
      <w:rPr>
        <w:rFonts w:hint="default"/>
      </w:rPr>
    </w:lvl>
  </w:abstractNum>
  <w:abstractNum w:abstractNumId="21">
    <w:nsid w:val="63862E25"/>
    <w:multiLevelType w:val="singleLevel"/>
    <w:tmpl w:val="63862E25"/>
    <w:lvl w:ilvl="0" w:tentative="0">
      <w:start w:val="1"/>
      <w:numFmt w:val="decimal"/>
      <w:suff w:val="space"/>
      <w:lvlText w:val="（%1）"/>
      <w:lvlJc w:val="left"/>
    </w:lvl>
  </w:abstractNum>
  <w:abstractNum w:abstractNumId="22">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3">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24">
    <w:nsid w:val="78F60E4F"/>
    <w:multiLevelType w:val="singleLevel"/>
    <w:tmpl w:val="78F60E4F"/>
    <w:lvl w:ilvl="0" w:tentative="0">
      <w:start w:val="1"/>
      <w:numFmt w:val="chineseCounting"/>
      <w:suff w:val="nothing"/>
      <w:lvlText w:val="%1、"/>
      <w:lvlJc w:val="left"/>
      <w:rPr>
        <w:rFonts w:hint="eastAsia"/>
      </w:rPr>
    </w:lvl>
  </w:abstractNum>
  <w:abstractNum w:abstractNumId="25">
    <w:nsid w:val="799C9657"/>
    <w:multiLevelType w:val="singleLevel"/>
    <w:tmpl w:val="799C9657"/>
    <w:lvl w:ilvl="0" w:tentative="0">
      <w:start w:val="1"/>
      <w:numFmt w:val="decimal"/>
      <w:lvlText w:val="%1."/>
      <w:lvlJc w:val="left"/>
      <w:pPr>
        <w:ind w:left="425" w:hanging="425"/>
      </w:pPr>
      <w:rPr>
        <w:rFonts w:hint="default"/>
      </w:rPr>
    </w:lvl>
  </w:abstractNum>
  <w:num w:numId="1">
    <w:abstractNumId w:val="8"/>
  </w:num>
  <w:num w:numId="2">
    <w:abstractNumId w:val="11"/>
  </w:num>
  <w:num w:numId="3">
    <w:abstractNumId w:val="24"/>
  </w:num>
  <w:num w:numId="4">
    <w:abstractNumId w:val="23"/>
  </w:num>
  <w:num w:numId="5">
    <w:abstractNumId w:val="12"/>
  </w:num>
  <w:num w:numId="6">
    <w:abstractNumId w:val="10"/>
  </w:num>
  <w:num w:numId="7">
    <w:abstractNumId w:val="21"/>
  </w:num>
  <w:num w:numId="8">
    <w:abstractNumId w:val="1"/>
  </w:num>
  <w:num w:numId="9">
    <w:abstractNumId w:val="18"/>
  </w:num>
  <w:num w:numId="10">
    <w:abstractNumId w:val="6"/>
  </w:num>
  <w:num w:numId="11">
    <w:abstractNumId w:val="4"/>
  </w:num>
  <w:num w:numId="12">
    <w:abstractNumId w:val="20"/>
  </w:num>
  <w:num w:numId="13">
    <w:abstractNumId w:val="7"/>
  </w:num>
  <w:num w:numId="14">
    <w:abstractNumId w:val="15"/>
  </w:num>
  <w:num w:numId="15">
    <w:abstractNumId w:val="3"/>
  </w:num>
  <w:num w:numId="16">
    <w:abstractNumId w:val="17"/>
  </w:num>
  <w:num w:numId="17">
    <w:abstractNumId w:val="13"/>
  </w:num>
  <w:num w:numId="18">
    <w:abstractNumId w:val="5"/>
  </w:num>
  <w:num w:numId="19">
    <w:abstractNumId w:val="25"/>
  </w:num>
  <w:num w:numId="20">
    <w:abstractNumId w:val="14"/>
  </w:num>
  <w:num w:numId="21">
    <w:abstractNumId w:val="9"/>
  </w:num>
  <w:num w:numId="22">
    <w:abstractNumId w:val="22"/>
  </w:num>
  <w:num w:numId="23">
    <w:abstractNumId w:val="16"/>
  </w:num>
  <w:num w:numId="24">
    <w:abstractNumId w:val="0"/>
  </w:num>
  <w:num w:numId="25">
    <w:abstractNumId w:val="2"/>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2B6923"/>
    <w:rsid w:val="00633977"/>
    <w:rsid w:val="0067039E"/>
    <w:rsid w:val="00726300"/>
    <w:rsid w:val="009444C8"/>
    <w:rsid w:val="00E675EF"/>
    <w:rsid w:val="00EB297E"/>
    <w:rsid w:val="00EF7950"/>
    <w:rsid w:val="010827C0"/>
    <w:rsid w:val="01426AA5"/>
    <w:rsid w:val="01616098"/>
    <w:rsid w:val="01A95FC4"/>
    <w:rsid w:val="01B12E58"/>
    <w:rsid w:val="01B327A1"/>
    <w:rsid w:val="01D86637"/>
    <w:rsid w:val="01DD3C4D"/>
    <w:rsid w:val="01FF1E15"/>
    <w:rsid w:val="02431EA3"/>
    <w:rsid w:val="027556C6"/>
    <w:rsid w:val="02D36DFE"/>
    <w:rsid w:val="034C72DC"/>
    <w:rsid w:val="03661A20"/>
    <w:rsid w:val="03885E3A"/>
    <w:rsid w:val="03C2759E"/>
    <w:rsid w:val="03D03F34"/>
    <w:rsid w:val="040E43DE"/>
    <w:rsid w:val="041515B9"/>
    <w:rsid w:val="04166EFE"/>
    <w:rsid w:val="0422003D"/>
    <w:rsid w:val="04227975"/>
    <w:rsid w:val="04385A96"/>
    <w:rsid w:val="04A22F2C"/>
    <w:rsid w:val="04BB4C59"/>
    <w:rsid w:val="04D836CC"/>
    <w:rsid w:val="04DF1A8A"/>
    <w:rsid w:val="04EF43C3"/>
    <w:rsid w:val="052E656D"/>
    <w:rsid w:val="053E0EA6"/>
    <w:rsid w:val="055F4854"/>
    <w:rsid w:val="05775429"/>
    <w:rsid w:val="0591547A"/>
    <w:rsid w:val="06395792"/>
    <w:rsid w:val="06620BC5"/>
    <w:rsid w:val="068C3E93"/>
    <w:rsid w:val="06954AF6"/>
    <w:rsid w:val="06A64F55"/>
    <w:rsid w:val="06FC007C"/>
    <w:rsid w:val="07A74594"/>
    <w:rsid w:val="07AF3996"/>
    <w:rsid w:val="07E61381"/>
    <w:rsid w:val="080D4B60"/>
    <w:rsid w:val="08304989"/>
    <w:rsid w:val="083500E3"/>
    <w:rsid w:val="085D1644"/>
    <w:rsid w:val="086A1FB2"/>
    <w:rsid w:val="086F1377"/>
    <w:rsid w:val="08A06841"/>
    <w:rsid w:val="08B374B6"/>
    <w:rsid w:val="08FE75D7"/>
    <w:rsid w:val="090146C5"/>
    <w:rsid w:val="09322AD0"/>
    <w:rsid w:val="096174F4"/>
    <w:rsid w:val="097D1872"/>
    <w:rsid w:val="099E1F14"/>
    <w:rsid w:val="09EF36DF"/>
    <w:rsid w:val="09F9205B"/>
    <w:rsid w:val="09FE6BD3"/>
    <w:rsid w:val="0A1C1262"/>
    <w:rsid w:val="0A200529"/>
    <w:rsid w:val="0A297E8D"/>
    <w:rsid w:val="0A3604C6"/>
    <w:rsid w:val="0A4D56E8"/>
    <w:rsid w:val="0A7D5FCD"/>
    <w:rsid w:val="0A8B2F13"/>
    <w:rsid w:val="0A9F23E7"/>
    <w:rsid w:val="0AB94B2B"/>
    <w:rsid w:val="0ABD6A5D"/>
    <w:rsid w:val="0B230E75"/>
    <w:rsid w:val="0B275193"/>
    <w:rsid w:val="0B3A5C6C"/>
    <w:rsid w:val="0B8E57A5"/>
    <w:rsid w:val="0BA54947"/>
    <w:rsid w:val="0BD75BB1"/>
    <w:rsid w:val="0C5E3BDC"/>
    <w:rsid w:val="0CB97065"/>
    <w:rsid w:val="0D166265"/>
    <w:rsid w:val="0D2070E4"/>
    <w:rsid w:val="0D240982"/>
    <w:rsid w:val="0D2F0B75"/>
    <w:rsid w:val="0D3861DB"/>
    <w:rsid w:val="0D5D1B80"/>
    <w:rsid w:val="0D774F56"/>
    <w:rsid w:val="0D9E73BE"/>
    <w:rsid w:val="0DC14423"/>
    <w:rsid w:val="0DF201AC"/>
    <w:rsid w:val="0E08233E"/>
    <w:rsid w:val="0E340E7E"/>
    <w:rsid w:val="0E3D7B44"/>
    <w:rsid w:val="0E664FCA"/>
    <w:rsid w:val="0E963B01"/>
    <w:rsid w:val="0EA24254"/>
    <w:rsid w:val="0F026AA1"/>
    <w:rsid w:val="0F33766C"/>
    <w:rsid w:val="0F665DD1"/>
    <w:rsid w:val="0F735D58"/>
    <w:rsid w:val="0FAC4A5B"/>
    <w:rsid w:val="104325A6"/>
    <w:rsid w:val="105A0DE3"/>
    <w:rsid w:val="108571AB"/>
    <w:rsid w:val="109C57D8"/>
    <w:rsid w:val="10E70644"/>
    <w:rsid w:val="10EC6CF5"/>
    <w:rsid w:val="11056D1C"/>
    <w:rsid w:val="110F36F7"/>
    <w:rsid w:val="112852FE"/>
    <w:rsid w:val="11650CEB"/>
    <w:rsid w:val="11ED63EA"/>
    <w:rsid w:val="121D3BF2"/>
    <w:rsid w:val="12371157"/>
    <w:rsid w:val="12753A67"/>
    <w:rsid w:val="12951598"/>
    <w:rsid w:val="12986F2D"/>
    <w:rsid w:val="12E54456"/>
    <w:rsid w:val="130059ED"/>
    <w:rsid w:val="1300779B"/>
    <w:rsid w:val="1340228E"/>
    <w:rsid w:val="13517FF7"/>
    <w:rsid w:val="136F66CF"/>
    <w:rsid w:val="13912AE9"/>
    <w:rsid w:val="13987F9F"/>
    <w:rsid w:val="139C2C55"/>
    <w:rsid w:val="13F866C4"/>
    <w:rsid w:val="141352AC"/>
    <w:rsid w:val="14223741"/>
    <w:rsid w:val="1429228C"/>
    <w:rsid w:val="147C72F5"/>
    <w:rsid w:val="14BD7BB6"/>
    <w:rsid w:val="14EF3878"/>
    <w:rsid w:val="15147845"/>
    <w:rsid w:val="155F416A"/>
    <w:rsid w:val="15673B02"/>
    <w:rsid w:val="15AE15FA"/>
    <w:rsid w:val="15E348F4"/>
    <w:rsid w:val="15F630D7"/>
    <w:rsid w:val="160550FF"/>
    <w:rsid w:val="16192669"/>
    <w:rsid w:val="16201F02"/>
    <w:rsid w:val="16436B43"/>
    <w:rsid w:val="1658169C"/>
    <w:rsid w:val="16651E05"/>
    <w:rsid w:val="169E7D63"/>
    <w:rsid w:val="17011D34"/>
    <w:rsid w:val="1720665E"/>
    <w:rsid w:val="173B5246"/>
    <w:rsid w:val="17556C79"/>
    <w:rsid w:val="17737AB1"/>
    <w:rsid w:val="17742506"/>
    <w:rsid w:val="179C3C6C"/>
    <w:rsid w:val="17E92EF4"/>
    <w:rsid w:val="17F83137"/>
    <w:rsid w:val="185D11EC"/>
    <w:rsid w:val="18771232"/>
    <w:rsid w:val="1890336F"/>
    <w:rsid w:val="189806EE"/>
    <w:rsid w:val="189934A3"/>
    <w:rsid w:val="18EE7D42"/>
    <w:rsid w:val="1908553B"/>
    <w:rsid w:val="19105E10"/>
    <w:rsid w:val="192D6CF5"/>
    <w:rsid w:val="19720CC7"/>
    <w:rsid w:val="19731B40"/>
    <w:rsid w:val="197607B7"/>
    <w:rsid w:val="197C38F4"/>
    <w:rsid w:val="19F636A6"/>
    <w:rsid w:val="19F85670"/>
    <w:rsid w:val="19FA75E5"/>
    <w:rsid w:val="1A05721A"/>
    <w:rsid w:val="1A057D8D"/>
    <w:rsid w:val="1A190882"/>
    <w:rsid w:val="1A383CBF"/>
    <w:rsid w:val="1A530AF8"/>
    <w:rsid w:val="1A7A6085"/>
    <w:rsid w:val="1A7F18ED"/>
    <w:rsid w:val="1AA255DC"/>
    <w:rsid w:val="1AB53523"/>
    <w:rsid w:val="1AB66A5D"/>
    <w:rsid w:val="1AC00AF1"/>
    <w:rsid w:val="1B011FED"/>
    <w:rsid w:val="1BED2887"/>
    <w:rsid w:val="1BEF4851"/>
    <w:rsid w:val="1BF12377"/>
    <w:rsid w:val="1C8F4B77"/>
    <w:rsid w:val="1CD02907"/>
    <w:rsid w:val="1D1327C1"/>
    <w:rsid w:val="1D331864"/>
    <w:rsid w:val="1D342ECF"/>
    <w:rsid w:val="1D8B7ED2"/>
    <w:rsid w:val="1DE91501"/>
    <w:rsid w:val="1DFB74DD"/>
    <w:rsid w:val="1E0565AE"/>
    <w:rsid w:val="1E4C7D38"/>
    <w:rsid w:val="1E88173F"/>
    <w:rsid w:val="1E955B15"/>
    <w:rsid w:val="1EA57449"/>
    <w:rsid w:val="1F070103"/>
    <w:rsid w:val="1F2F3C85"/>
    <w:rsid w:val="1F4C5B16"/>
    <w:rsid w:val="1F7638D9"/>
    <w:rsid w:val="1FF13E14"/>
    <w:rsid w:val="202F7912"/>
    <w:rsid w:val="20370574"/>
    <w:rsid w:val="206803CC"/>
    <w:rsid w:val="207B66B3"/>
    <w:rsid w:val="20D91D20"/>
    <w:rsid w:val="20DF4EBD"/>
    <w:rsid w:val="20F85F56"/>
    <w:rsid w:val="20FB5A46"/>
    <w:rsid w:val="211F1734"/>
    <w:rsid w:val="21294361"/>
    <w:rsid w:val="218179E5"/>
    <w:rsid w:val="21A8172A"/>
    <w:rsid w:val="21B53E47"/>
    <w:rsid w:val="22342FBD"/>
    <w:rsid w:val="223C6316"/>
    <w:rsid w:val="22462A8A"/>
    <w:rsid w:val="22767B52"/>
    <w:rsid w:val="22C96D6A"/>
    <w:rsid w:val="230C35B3"/>
    <w:rsid w:val="231336BF"/>
    <w:rsid w:val="23306AD2"/>
    <w:rsid w:val="23574571"/>
    <w:rsid w:val="235C20D3"/>
    <w:rsid w:val="23B05F44"/>
    <w:rsid w:val="23FF75FB"/>
    <w:rsid w:val="243A5286"/>
    <w:rsid w:val="244D480A"/>
    <w:rsid w:val="24AF4B7D"/>
    <w:rsid w:val="24B855A2"/>
    <w:rsid w:val="24C518D9"/>
    <w:rsid w:val="24E96B72"/>
    <w:rsid w:val="24FB7DC2"/>
    <w:rsid w:val="255D0A7D"/>
    <w:rsid w:val="256E67E6"/>
    <w:rsid w:val="25BD776E"/>
    <w:rsid w:val="25C1100C"/>
    <w:rsid w:val="25CE3729"/>
    <w:rsid w:val="26143832"/>
    <w:rsid w:val="262319BC"/>
    <w:rsid w:val="266C3D2B"/>
    <w:rsid w:val="268F4C66"/>
    <w:rsid w:val="26A30712"/>
    <w:rsid w:val="26B22958"/>
    <w:rsid w:val="26B446CD"/>
    <w:rsid w:val="26DB2065"/>
    <w:rsid w:val="276B7AD6"/>
    <w:rsid w:val="27910EB2"/>
    <w:rsid w:val="27DF1C1D"/>
    <w:rsid w:val="28003E99"/>
    <w:rsid w:val="28292E99"/>
    <w:rsid w:val="28445F24"/>
    <w:rsid w:val="28560F12"/>
    <w:rsid w:val="28994326"/>
    <w:rsid w:val="28A12B3E"/>
    <w:rsid w:val="28A45831"/>
    <w:rsid w:val="28BE1833"/>
    <w:rsid w:val="28E33FE9"/>
    <w:rsid w:val="2900009D"/>
    <w:rsid w:val="29001E4B"/>
    <w:rsid w:val="29361D11"/>
    <w:rsid w:val="293715E5"/>
    <w:rsid w:val="29785E86"/>
    <w:rsid w:val="29E35A1B"/>
    <w:rsid w:val="2A0911D4"/>
    <w:rsid w:val="2A331DAD"/>
    <w:rsid w:val="2A390F16"/>
    <w:rsid w:val="2A3B71B6"/>
    <w:rsid w:val="2A4330E2"/>
    <w:rsid w:val="2A5D1834"/>
    <w:rsid w:val="2A9C76A8"/>
    <w:rsid w:val="2AF07C9E"/>
    <w:rsid w:val="2B1E1887"/>
    <w:rsid w:val="2B2D2CA0"/>
    <w:rsid w:val="2B85488A"/>
    <w:rsid w:val="2B8C679F"/>
    <w:rsid w:val="2BA47406"/>
    <w:rsid w:val="2BD17ACF"/>
    <w:rsid w:val="2BF57C61"/>
    <w:rsid w:val="2C0B1233"/>
    <w:rsid w:val="2C2374BE"/>
    <w:rsid w:val="2C512495"/>
    <w:rsid w:val="2C7A1F15"/>
    <w:rsid w:val="2CA945A8"/>
    <w:rsid w:val="2CAB441F"/>
    <w:rsid w:val="2D2F41E0"/>
    <w:rsid w:val="2D6B3570"/>
    <w:rsid w:val="2DCC4CFA"/>
    <w:rsid w:val="2E393998"/>
    <w:rsid w:val="2E4072A5"/>
    <w:rsid w:val="2E642E7C"/>
    <w:rsid w:val="2E716E3E"/>
    <w:rsid w:val="2EDC2A13"/>
    <w:rsid w:val="2EEF6CA3"/>
    <w:rsid w:val="2F0F5A43"/>
    <w:rsid w:val="2F522B8B"/>
    <w:rsid w:val="2F835584"/>
    <w:rsid w:val="2FC55B9D"/>
    <w:rsid w:val="2FD309CC"/>
    <w:rsid w:val="2FFD5337"/>
    <w:rsid w:val="30007685"/>
    <w:rsid w:val="300D4E4E"/>
    <w:rsid w:val="30275F10"/>
    <w:rsid w:val="30470360"/>
    <w:rsid w:val="3049057C"/>
    <w:rsid w:val="305331A8"/>
    <w:rsid w:val="30A6152A"/>
    <w:rsid w:val="30BC6FA0"/>
    <w:rsid w:val="31344D88"/>
    <w:rsid w:val="313D6184"/>
    <w:rsid w:val="314D409C"/>
    <w:rsid w:val="316171AC"/>
    <w:rsid w:val="31BE4652"/>
    <w:rsid w:val="31E0281A"/>
    <w:rsid w:val="320A7897"/>
    <w:rsid w:val="32325611"/>
    <w:rsid w:val="32393423"/>
    <w:rsid w:val="3249748F"/>
    <w:rsid w:val="329B7A40"/>
    <w:rsid w:val="331A75FE"/>
    <w:rsid w:val="331D7A9E"/>
    <w:rsid w:val="3321758E"/>
    <w:rsid w:val="33371696"/>
    <w:rsid w:val="33380434"/>
    <w:rsid w:val="334C6AA1"/>
    <w:rsid w:val="337C0B48"/>
    <w:rsid w:val="338E51AA"/>
    <w:rsid w:val="33A12E06"/>
    <w:rsid w:val="33B01385"/>
    <w:rsid w:val="33C63C91"/>
    <w:rsid w:val="341A78AC"/>
    <w:rsid w:val="343926B5"/>
    <w:rsid w:val="343E1A7A"/>
    <w:rsid w:val="346A6D13"/>
    <w:rsid w:val="349139AC"/>
    <w:rsid w:val="349B0F5D"/>
    <w:rsid w:val="349F4C0E"/>
    <w:rsid w:val="34F43D78"/>
    <w:rsid w:val="358B178E"/>
    <w:rsid w:val="35AA51F5"/>
    <w:rsid w:val="35B51E9E"/>
    <w:rsid w:val="35EE5BC8"/>
    <w:rsid w:val="36347E04"/>
    <w:rsid w:val="36480732"/>
    <w:rsid w:val="3671332B"/>
    <w:rsid w:val="36BA5F23"/>
    <w:rsid w:val="36E82A49"/>
    <w:rsid w:val="36EB3773"/>
    <w:rsid w:val="36F432C8"/>
    <w:rsid w:val="37152F66"/>
    <w:rsid w:val="372C30A0"/>
    <w:rsid w:val="375A4E1C"/>
    <w:rsid w:val="377834F5"/>
    <w:rsid w:val="378D6FA0"/>
    <w:rsid w:val="37BA3B0D"/>
    <w:rsid w:val="380A43CD"/>
    <w:rsid w:val="38C500B3"/>
    <w:rsid w:val="38C613AA"/>
    <w:rsid w:val="38DF6B1E"/>
    <w:rsid w:val="39317DFF"/>
    <w:rsid w:val="398B39B3"/>
    <w:rsid w:val="3A1A6AE5"/>
    <w:rsid w:val="3A4233A8"/>
    <w:rsid w:val="3A4678DA"/>
    <w:rsid w:val="3A9E14C4"/>
    <w:rsid w:val="3AAE730D"/>
    <w:rsid w:val="3AE03859"/>
    <w:rsid w:val="3AEF1D20"/>
    <w:rsid w:val="3B0F4170"/>
    <w:rsid w:val="3B1672AC"/>
    <w:rsid w:val="3B4F252C"/>
    <w:rsid w:val="3B64270E"/>
    <w:rsid w:val="3C0161AE"/>
    <w:rsid w:val="3C2324B5"/>
    <w:rsid w:val="3C2E6878"/>
    <w:rsid w:val="3C406CD7"/>
    <w:rsid w:val="3C53008C"/>
    <w:rsid w:val="3CAB44D1"/>
    <w:rsid w:val="3CFB4C5D"/>
    <w:rsid w:val="3D076C09"/>
    <w:rsid w:val="3D794085"/>
    <w:rsid w:val="3DB12122"/>
    <w:rsid w:val="3DBF44D4"/>
    <w:rsid w:val="3DC56D68"/>
    <w:rsid w:val="3DDB0CD9"/>
    <w:rsid w:val="3E1C0D1A"/>
    <w:rsid w:val="3E491747"/>
    <w:rsid w:val="3E502AD5"/>
    <w:rsid w:val="3E557779"/>
    <w:rsid w:val="3E82529D"/>
    <w:rsid w:val="3E895FE7"/>
    <w:rsid w:val="3E946E66"/>
    <w:rsid w:val="3F336634"/>
    <w:rsid w:val="3F3D1F51"/>
    <w:rsid w:val="3F451BB4"/>
    <w:rsid w:val="3F7647BE"/>
    <w:rsid w:val="3F942E96"/>
    <w:rsid w:val="3FBE50D4"/>
    <w:rsid w:val="3FC82EE3"/>
    <w:rsid w:val="3FC90D91"/>
    <w:rsid w:val="3FE07E89"/>
    <w:rsid w:val="40022408"/>
    <w:rsid w:val="40081710"/>
    <w:rsid w:val="40636989"/>
    <w:rsid w:val="40A23390"/>
    <w:rsid w:val="40B91D43"/>
    <w:rsid w:val="41004C87"/>
    <w:rsid w:val="41680CFD"/>
    <w:rsid w:val="41760AA5"/>
    <w:rsid w:val="419E7FFC"/>
    <w:rsid w:val="41E81277"/>
    <w:rsid w:val="41E910AE"/>
    <w:rsid w:val="41F01EAA"/>
    <w:rsid w:val="41FA223A"/>
    <w:rsid w:val="4206121C"/>
    <w:rsid w:val="421B5801"/>
    <w:rsid w:val="421D7172"/>
    <w:rsid w:val="421E2900"/>
    <w:rsid w:val="425424E3"/>
    <w:rsid w:val="425906B6"/>
    <w:rsid w:val="425F3C2F"/>
    <w:rsid w:val="428B0580"/>
    <w:rsid w:val="428C6395"/>
    <w:rsid w:val="42AE426E"/>
    <w:rsid w:val="42B00FDF"/>
    <w:rsid w:val="42B90842"/>
    <w:rsid w:val="42DE0FF8"/>
    <w:rsid w:val="43064193"/>
    <w:rsid w:val="432F53AF"/>
    <w:rsid w:val="435D7A57"/>
    <w:rsid w:val="4369289F"/>
    <w:rsid w:val="43911BC6"/>
    <w:rsid w:val="43EE7018"/>
    <w:rsid w:val="445D7CFA"/>
    <w:rsid w:val="447D65EE"/>
    <w:rsid w:val="44910D58"/>
    <w:rsid w:val="44CA2F7C"/>
    <w:rsid w:val="44ED5522"/>
    <w:rsid w:val="44F3065E"/>
    <w:rsid w:val="456F23DB"/>
    <w:rsid w:val="457E30FC"/>
    <w:rsid w:val="458A6B27"/>
    <w:rsid w:val="4597548E"/>
    <w:rsid w:val="459C4852"/>
    <w:rsid w:val="45CA13BF"/>
    <w:rsid w:val="45CF4C28"/>
    <w:rsid w:val="45D93CF8"/>
    <w:rsid w:val="46095888"/>
    <w:rsid w:val="46115377"/>
    <w:rsid w:val="4685178A"/>
    <w:rsid w:val="46B54E25"/>
    <w:rsid w:val="46FD57C4"/>
    <w:rsid w:val="4751250A"/>
    <w:rsid w:val="47525B10"/>
    <w:rsid w:val="475573AE"/>
    <w:rsid w:val="477305A8"/>
    <w:rsid w:val="47E85884"/>
    <w:rsid w:val="48050DD4"/>
    <w:rsid w:val="48181044"/>
    <w:rsid w:val="481A38DA"/>
    <w:rsid w:val="4867383D"/>
    <w:rsid w:val="486E697A"/>
    <w:rsid w:val="488843A0"/>
    <w:rsid w:val="4897323F"/>
    <w:rsid w:val="48DF0D8F"/>
    <w:rsid w:val="48EE489E"/>
    <w:rsid w:val="49142737"/>
    <w:rsid w:val="494D6999"/>
    <w:rsid w:val="49771967"/>
    <w:rsid w:val="49C23BD2"/>
    <w:rsid w:val="49C5081B"/>
    <w:rsid w:val="49D34D4D"/>
    <w:rsid w:val="4A7E52E5"/>
    <w:rsid w:val="4AC42881"/>
    <w:rsid w:val="4AE72885"/>
    <w:rsid w:val="4B154506"/>
    <w:rsid w:val="4BC91C36"/>
    <w:rsid w:val="4BD71EB9"/>
    <w:rsid w:val="4C0E2F1B"/>
    <w:rsid w:val="4C1036C9"/>
    <w:rsid w:val="4C5A2C06"/>
    <w:rsid w:val="4CA87F80"/>
    <w:rsid w:val="4CF65190"/>
    <w:rsid w:val="4D322D6F"/>
    <w:rsid w:val="4D33346E"/>
    <w:rsid w:val="4D6471EF"/>
    <w:rsid w:val="4D7978CB"/>
    <w:rsid w:val="4D7E14B4"/>
    <w:rsid w:val="4DB66020"/>
    <w:rsid w:val="4DBA563F"/>
    <w:rsid w:val="4DD202D7"/>
    <w:rsid w:val="4E1141BA"/>
    <w:rsid w:val="4E6B74B7"/>
    <w:rsid w:val="4E74636C"/>
    <w:rsid w:val="4E931470"/>
    <w:rsid w:val="4EC310A1"/>
    <w:rsid w:val="4ECB281C"/>
    <w:rsid w:val="4F236F63"/>
    <w:rsid w:val="4F386FC3"/>
    <w:rsid w:val="4FF572BC"/>
    <w:rsid w:val="501C315F"/>
    <w:rsid w:val="501E6ED7"/>
    <w:rsid w:val="50AC44E3"/>
    <w:rsid w:val="50EC48E0"/>
    <w:rsid w:val="5101103A"/>
    <w:rsid w:val="51085492"/>
    <w:rsid w:val="5151441F"/>
    <w:rsid w:val="515D3978"/>
    <w:rsid w:val="51976B19"/>
    <w:rsid w:val="51F642DD"/>
    <w:rsid w:val="51FB0B52"/>
    <w:rsid w:val="522400A9"/>
    <w:rsid w:val="522B7D04"/>
    <w:rsid w:val="5233653E"/>
    <w:rsid w:val="524E4232"/>
    <w:rsid w:val="525A7029"/>
    <w:rsid w:val="52862DFA"/>
    <w:rsid w:val="52943481"/>
    <w:rsid w:val="52946FDD"/>
    <w:rsid w:val="53172FF5"/>
    <w:rsid w:val="531B5950"/>
    <w:rsid w:val="535F4778"/>
    <w:rsid w:val="53654E1D"/>
    <w:rsid w:val="5376752B"/>
    <w:rsid w:val="537D5CC3"/>
    <w:rsid w:val="53F266B1"/>
    <w:rsid w:val="540273E7"/>
    <w:rsid w:val="54143903"/>
    <w:rsid w:val="54703A7A"/>
    <w:rsid w:val="549A5644"/>
    <w:rsid w:val="549B4C02"/>
    <w:rsid w:val="54D8332D"/>
    <w:rsid w:val="54E35FFA"/>
    <w:rsid w:val="550C692B"/>
    <w:rsid w:val="553A15DE"/>
    <w:rsid w:val="553A6FC3"/>
    <w:rsid w:val="553C5CE7"/>
    <w:rsid w:val="554F7B33"/>
    <w:rsid w:val="557B239C"/>
    <w:rsid w:val="559612BE"/>
    <w:rsid w:val="55A0038E"/>
    <w:rsid w:val="55D65293"/>
    <w:rsid w:val="55DC42D7"/>
    <w:rsid w:val="566D0271"/>
    <w:rsid w:val="569972B8"/>
    <w:rsid w:val="56AD4B11"/>
    <w:rsid w:val="56BC2FA6"/>
    <w:rsid w:val="56BF4844"/>
    <w:rsid w:val="56C703BD"/>
    <w:rsid w:val="56D46542"/>
    <w:rsid w:val="56FC15F5"/>
    <w:rsid w:val="57807D09"/>
    <w:rsid w:val="57CA6DF2"/>
    <w:rsid w:val="57F86260"/>
    <w:rsid w:val="58117322"/>
    <w:rsid w:val="58613E05"/>
    <w:rsid w:val="587C7ECD"/>
    <w:rsid w:val="587D49B7"/>
    <w:rsid w:val="589A7317"/>
    <w:rsid w:val="58A106A5"/>
    <w:rsid w:val="58A40196"/>
    <w:rsid w:val="58F85DEC"/>
    <w:rsid w:val="59034EBC"/>
    <w:rsid w:val="594B23BF"/>
    <w:rsid w:val="596671F9"/>
    <w:rsid w:val="596D73EC"/>
    <w:rsid w:val="59A95F7B"/>
    <w:rsid w:val="59C3464B"/>
    <w:rsid w:val="59DA7910"/>
    <w:rsid w:val="59E507F0"/>
    <w:rsid w:val="59E53BBD"/>
    <w:rsid w:val="5A504131"/>
    <w:rsid w:val="5ABF47B7"/>
    <w:rsid w:val="5ACD0FBF"/>
    <w:rsid w:val="5AD54636"/>
    <w:rsid w:val="5B0311A3"/>
    <w:rsid w:val="5B4D241F"/>
    <w:rsid w:val="5B831D0F"/>
    <w:rsid w:val="5B9B762E"/>
    <w:rsid w:val="5BB10BFF"/>
    <w:rsid w:val="5BBC3C32"/>
    <w:rsid w:val="5C1E5005"/>
    <w:rsid w:val="5C506DA5"/>
    <w:rsid w:val="5C5A7F7F"/>
    <w:rsid w:val="5C5F1CD1"/>
    <w:rsid w:val="5C817AB3"/>
    <w:rsid w:val="5CEE7C31"/>
    <w:rsid w:val="5CF36FF6"/>
    <w:rsid w:val="5D1A4582"/>
    <w:rsid w:val="5D4D4B30"/>
    <w:rsid w:val="5D5A2308"/>
    <w:rsid w:val="5D7772E7"/>
    <w:rsid w:val="5D7C4531"/>
    <w:rsid w:val="5DBE7B6A"/>
    <w:rsid w:val="5E8F0FA0"/>
    <w:rsid w:val="5EC724E8"/>
    <w:rsid w:val="5EE666D0"/>
    <w:rsid w:val="5EF4412F"/>
    <w:rsid w:val="5F182D44"/>
    <w:rsid w:val="5F1F73EB"/>
    <w:rsid w:val="5F441D8B"/>
    <w:rsid w:val="5F8D1984"/>
    <w:rsid w:val="5FC93F1F"/>
    <w:rsid w:val="5FF83899"/>
    <w:rsid w:val="60017C7C"/>
    <w:rsid w:val="60113618"/>
    <w:rsid w:val="606D6DE0"/>
    <w:rsid w:val="607246D5"/>
    <w:rsid w:val="608A307B"/>
    <w:rsid w:val="60996106"/>
    <w:rsid w:val="60EC2C1E"/>
    <w:rsid w:val="61170069"/>
    <w:rsid w:val="613C540F"/>
    <w:rsid w:val="61C55E2B"/>
    <w:rsid w:val="61F62764"/>
    <w:rsid w:val="62347F47"/>
    <w:rsid w:val="62774225"/>
    <w:rsid w:val="627C183B"/>
    <w:rsid w:val="627C4C03"/>
    <w:rsid w:val="62AA402D"/>
    <w:rsid w:val="62CF5E0F"/>
    <w:rsid w:val="62F31AFE"/>
    <w:rsid w:val="63293771"/>
    <w:rsid w:val="635B76A3"/>
    <w:rsid w:val="638C5AAE"/>
    <w:rsid w:val="63911317"/>
    <w:rsid w:val="63921CC6"/>
    <w:rsid w:val="63C33BC6"/>
    <w:rsid w:val="63C96D02"/>
    <w:rsid w:val="63F7386F"/>
    <w:rsid w:val="63FC2C34"/>
    <w:rsid w:val="6401649C"/>
    <w:rsid w:val="64320204"/>
    <w:rsid w:val="64833355"/>
    <w:rsid w:val="649B2971"/>
    <w:rsid w:val="64CD45D0"/>
    <w:rsid w:val="65085608"/>
    <w:rsid w:val="652341F0"/>
    <w:rsid w:val="65384140"/>
    <w:rsid w:val="65423A05"/>
    <w:rsid w:val="65501489"/>
    <w:rsid w:val="65536958"/>
    <w:rsid w:val="65907AD8"/>
    <w:rsid w:val="65A9656A"/>
    <w:rsid w:val="65C2443C"/>
    <w:rsid w:val="66196518"/>
    <w:rsid w:val="661E1587"/>
    <w:rsid w:val="662D5327"/>
    <w:rsid w:val="669B097F"/>
    <w:rsid w:val="671E1113"/>
    <w:rsid w:val="67246BA3"/>
    <w:rsid w:val="672E75A8"/>
    <w:rsid w:val="677B72C7"/>
    <w:rsid w:val="67902011"/>
    <w:rsid w:val="67B20BAC"/>
    <w:rsid w:val="67B65075"/>
    <w:rsid w:val="67BA5986"/>
    <w:rsid w:val="67BB4BB4"/>
    <w:rsid w:val="67ED07E2"/>
    <w:rsid w:val="68496732"/>
    <w:rsid w:val="68832A45"/>
    <w:rsid w:val="68E819D9"/>
    <w:rsid w:val="693C6A86"/>
    <w:rsid w:val="69C74BE0"/>
    <w:rsid w:val="69FA10B6"/>
    <w:rsid w:val="69FF522C"/>
    <w:rsid w:val="6A07121D"/>
    <w:rsid w:val="6A0810FF"/>
    <w:rsid w:val="6A097E59"/>
    <w:rsid w:val="6A325601"/>
    <w:rsid w:val="6A3273AF"/>
    <w:rsid w:val="6A3F2F51"/>
    <w:rsid w:val="6AA819B9"/>
    <w:rsid w:val="6AB9187F"/>
    <w:rsid w:val="6B140CE2"/>
    <w:rsid w:val="6B471811"/>
    <w:rsid w:val="6B7E03D2"/>
    <w:rsid w:val="6B8F6B7F"/>
    <w:rsid w:val="6B914CBA"/>
    <w:rsid w:val="6BC507ED"/>
    <w:rsid w:val="6BD050D2"/>
    <w:rsid w:val="6C0B435C"/>
    <w:rsid w:val="6C163F72"/>
    <w:rsid w:val="6C53185F"/>
    <w:rsid w:val="6C5B2654"/>
    <w:rsid w:val="6C6D0B73"/>
    <w:rsid w:val="6CEC6AB0"/>
    <w:rsid w:val="6CFA1CDB"/>
    <w:rsid w:val="6D434711"/>
    <w:rsid w:val="6DBA52B1"/>
    <w:rsid w:val="6DCE7484"/>
    <w:rsid w:val="6DD30EA9"/>
    <w:rsid w:val="6DE704B1"/>
    <w:rsid w:val="6DFE57FA"/>
    <w:rsid w:val="6E1E5238"/>
    <w:rsid w:val="6E524566"/>
    <w:rsid w:val="6F1928EC"/>
    <w:rsid w:val="6F1F7D65"/>
    <w:rsid w:val="6F63625D"/>
    <w:rsid w:val="6FC54073"/>
    <w:rsid w:val="6FC62754"/>
    <w:rsid w:val="6FDD7DBD"/>
    <w:rsid w:val="70131A31"/>
    <w:rsid w:val="705E150A"/>
    <w:rsid w:val="7064403B"/>
    <w:rsid w:val="707D334E"/>
    <w:rsid w:val="70816B5F"/>
    <w:rsid w:val="70904E30"/>
    <w:rsid w:val="70DF6272"/>
    <w:rsid w:val="70F76C5D"/>
    <w:rsid w:val="70FD7FEB"/>
    <w:rsid w:val="7104581E"/>
    <w:rsid w:val="71445C1A"/>
    <w:rsid w:val="71527F65"/>
    <w:rsid w:val="716A5681"/>
    <w:rsid w:val="717958C4"/>
    <w:rsid w:val="71C51DA1"/>
    <w:rsid w:val="71DA4236"/>
    <w:rsid w:val="71DE7825"/>
    <w:rsid w:val="71E573FD"/>
    <w:rsid w:val="723A7E84"/>
    <w:rsid w:val="728118F5"/>
    <w:rsid w:val="72F54098"/>
    <w:rsid w:val="73084FC0"/>
    <w:rsid w:val="731A13E3"/>
    <w:rsid w:val="73880040"/>
    <w:rsid w:val="73BC5F3C"/>
    <w:rsid w:val="73CF07FB"/>
    <w:rsid w:val="74235FBB"/>
    <w:rsid w:val="746B40D6"/>
    <w:rsid w:val="74806F69"/>
    <w:rsid w:val="74BB2697"/>
    <w:rsid w:val="74E219D2"/>
    <w:rsid w:val="74E8308A"/>
    <w:rsid w:val="75236C06"/>
    <w:rsid w:val="752B5127"/>
    <w:rsid w:val="75311340"/>
    <w:rsid w:val="753D151B"/>
    <w:rsid w:val="75651DC8"/>
    <w:rsid w:val="75731C89"/>
    <w:rsid w:val="757D6691"/>
    <w:rsid w:val="758B2F20"/>
    <w:rsid w:val="759A405B"/>
    <w:rsid w:val="75A21948"/>
    <w:rsid w:val="75F0011F"/>
    <w:rsid w:val="75F776FF"/>
    <w:rsid w:val="76742AFE"/>
    <w:rsid w:val="76A84CD5"/>
    <w:rsid w:val="76EC08E6"/>
    <w:rsid w:val="77224721"/>
    <w:rsid w:val="77852A42"/>
    <w:rsid w:val="7789082B"/>
    <w:rsid w:val="77E06D61"/>
    <w:rsid w:val="77F772DB"/>
    <w:rsid w:val="78047EB1"/>
    <w:rsid w:val="782B2DC7"/>
    <w:rsid w:val="785E3A65"/>
    <w:rsid w:val="78724C55"/>
    <w:rsid w:val="787D038F"/>
    <w:rsid w:val="788447A4"/>
    <w:rsid w:val="788B1CC4"/>
    <w:rsid w:val="78B44BDC"/>
    <w:rsid w:val="78EC1071"/>
    <w:rsid w:val="78EF290F"/>
    <w:rsid w:val="790A14F7"/>
    <w:rsid w:val="79490272"/>
    <w:rsid w:val="79747548"/>
    <w:rsid w:val="79A33E26"/>
    <w:rsid w:val="79A951B4"/>
    <w:rsid w:val="79D97847"/>
    <w:rsid w:val="7A017138"/>
    <w:rsid w:val="7A0E5634"/>
    <w:rsid w:val="7A88301C"/>
    <w:rsid w:val="7A926A27"/>
    <w:rsid w:val="7B2014A6"/>
    <w:rsid w:val="7B245ED7"/>
    <w:rsid w:val="7B810197"/>
    <w:rsid w:val="7BBA5457"/>
    <w:rsid w:val="7BEB5610"/>
    <w:rsid w:val="7BF344C5"/>
    <w:rsid w:val="7C304928"/>
    <w:rsid w:val="7C683105"/>
    <w:rsid w:val="7C775679"/>
    <w:rsid w:val="7C86358B"/>
    <w:rsid w:val="7CAD2A9A"/>
    <w:rsid w:val="7CB9284E"/>
    <w:rsid w:val="7CC876FF"/>
    <w:rsid w:val="7CE0713F"/>
    <w:rsid w:val="7CE7213D"/>
    <w:rsid w:val="7DE467BB"/>
    <w:rsid w:val="7E17093E"/>
    <w:rsid w:val="7E394D59"/>
    <w:rsid w:val="7E665422"/>
    <w:rsid w:val="7EB55151"/>
    <w:rsid w:val="7EC97091"/>
    <w:rsid w:val="7F052E8D"/>
    <w:rsid w:val="7F0F5AB9"/>
    <w:rsid w:val="7F222F3F"/>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qFormat/>
    <w:uiPriority w:val="0"/>
    <w:pPr>
      <w:keepNext/>
      <w:keepLines/>
      <w:numPr>
        <w:ilvl w:val="3"/>
        <w:numId w:val="1"/>
      </w:numPr>
      <w:spacing w:before="120" w:after="120"/>
      <w:ind w:left="480" w:hanging="480" w:hangingChars="200"/>
      <w:outlineLvl w:val="3"/>
    </w:pPr>
    <w:rPr>
      <w:rFonts w:ascii="Calibri Light" w:hAnsi="Calibri Light" w:cs="Times New Roman"/>
      <w:b/>
      <w:bCs/>
      <w:szCs w:val="28"/>
    </w:rPr>
  </w:style>
  <w:style w:type="paragraph" w:styleId="7">
    <w:name w:val="heading 6"/>
    <w:basedOn w:val="1"/>
    <w:next w:val="1"/>
    <w:autoRedefine/>
    <w:qFormat/>
    <w:uiPriority w:val="1"/>
    <w:pPr>
      <w:spacing w:before="61"/>
      <w:outlineLvl w:val="6"/>
    </w:pPr>
    <w:rPr>
      <w:rFonts w:ascii="仿宋" w:hAnsi="仿宋" w:eastAsia="仿宋" w:cs="仿宋"/>
      <w:sz w:val="28"/>
      <w:szCs w:val="28"/>
      <w:lang w:val="zh-CN" w:eastAsia="zh-CN" w:bidi="zh-CN"/>
    </w:rPr>
  </w:style>
  <w:style w:type="character" w:default="1" w:styleId="27">
    <w:name w:val="Default Paragraph Font"/>
    <w:autoRedefine/>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2">
    <w:name w:val="footnote text"/>
    <w:basedOn w:val="1"/>
    <w:qFormat/>
    <w:uiPriority w:val="0"/>
    <w:pPr>
      <w:widowControl/>
      <w:jc w:val="left"/>
    </w:pPr>
    <w:rPr>
      <w:kern w:val="0"/>
      <w:sz w:val="20"/>
      <w:szCs w:val="20"/>
      <w:lang w:val="de-DE"/>
    </w:rPr>
  </w:style>
  <w:style w:type="paragraph" w:styleId="8">
    <w:name w:val="Normal Indent"/>
    <w:next w:val="1"/>
    <w:qFormat/>
    <w:uiPriority w:val="0"/>
    <w:pPr>
      <w:widowControl w:val="0"/>
      <w:ind w:firstLine="420" w:firstLineChars="200"/>
      <w:jc w:val="both"/>
    </w:pPr>
    <w:rPr>
      <w:rFonts w:ascii="Calibri" w:hAnsi="Calibri" w:eastAsia="宋体" w:cs="Times New Roman"/>
      <w:kern w:val="2"/>
      <w:sz w:val="21"/>
      <w:szCs w:val="24"/>
      <w:lang w:val="en-US" w:eastAsia="zh-CN" w:bidi="ar-SA"/>
    </w:rPr>
  </w:style>
  <w:style w:type="paragraph" w:styleId="9">
    <w:name w:val="toa heading"/>
    <w:next w:val="1"/>
    <w:qFormat/>
    <w:uiPriority w:val="0"/>
    <w:pPr>
      <w:widowControl w:val="0"/>
      <w:spacing w:before="120" w:beforeLines="0"/>
      <w:jc w:val="both"/>
    </w:pPr>
    <w:rPr>
      <w:rFonts w:ascii="Arial" w:hAnsi="Arial" w:eastAsia="仿宋" w:cs="Times New Roman"/>
      <w:kern w:val="2"/>
      <w:sz w:val="24"/>
      <w:szCs w:val="20"/>
      <w:lang w:val="en-US" w:eastAsia="zh-CN" w:bidi="ar-SA"/>
    </w:rPr>
  </w:style>
  <w:style w:type="paragraph" w:styleId="10">
    <w:name w:val="annotation text"/>
    <w:basedOn w:val="1"/>
    <w:autoRedefine/>
    <w:qFormat/>
    <w:uiPriority w:val="0"/>
    <w:pPr>
      <w:jc w:val="left"/>
    </w:pPr>
  </w:style>
  <w:style w:type="paragraph" w:styleId="11">
    <w:name w:val="Body Text"/>
    <w:basedOn w:val="1"/>
    <w:next w:val="12"/>
    <w:autoRedefine/>
    <w:qFormat/>
    <w:uiPriority w:val="1"/>
    <w:pPr>
      <w:widowControl w:val="0"/>
      <w:jc w:val="both"/>
    </w:pPr>
    <w:rPr>
      <w:rFonts w:ascii="楷体" w:hAnsi="楷体" w:eastAsia="楷体" w:cs="楷体"/>
      <w:kern w:val="2"/>
      <w:sz w:val="24"/>
      <w:szCs w:val="24"/>
      <w:lang w:val="zh-CN" w:eastAsia="zh-CN" w:bidi="zh-CN"/>
    </w:rPr>
  </w:style>
  <w:style w:type="paragraph" w:customStyle="1" w:styleId="12">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styleId="13">
    <w:name w:val="Body Text Indent"/>
    <w:next w:val="14"/>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4">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5">
    <w:name w:val="index 4"/>
    <w:basedOn w:val="1"/>
    <w:next w:val="1"/>
    <w:unhideWhenUsed/>
    <w:qFormat/>
    <w:uiPriority w:val="0"/>
    <w:pPr>
      <w:spacing w:before="0" w:after="0"/>
      <w:ind w:left="600" w:leftChars="600" w:firstLine="420" w:firstLineChars="200"/>
    </w:pPr>
  </w:style>
  <w:style w:type="paragraph" w:styleId="16">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7">
    <w:name w:val="Date"/>
    <w:basedOn w:val="1"/>
    <w:next w:val="1"/>
    <w:qFormat/>
    <w:uiPriority w:val="0"/>
    <w:rPr>
      <w:szCs w:val="20"/>
    </w:rPr>
  </w:style>
  <w:style w:type="paragraph" w:styleId="18">
    <w:name w:val="footer"/>
    <w:basedOn w:val="1"/>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1">
    <w:name w:val="HTML Preformatt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atLeast"/>
      <w:jc w:val="left"/>
    </w:pPr>
    <w:rPr>
      <w:rFonts w:ascii="Arial" w:hAnsi="Arial" w:eastAsia="宋体" w:cs="Arial"/>
      <w:kern w:val="0"/>
      <w:sz w:val="28"/>
      <w:szCs w:val="28"/>
      <w:lang w:val="en-US" w:eastAsia="zh-CN" w:bidi="ar-SA"/>
    </w:rPr>
  </w:style>
  <w:style w:type="paragraph" w:styleId="22">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3">
    <w:name w:val="Body Text First Indent"/>
    <w:next w:val="20"/>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24">
    <w:name w:val="Body Text First Indent 2"/>
    <w:next w:val="23"/>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0"/>
    <w:rPr>
      <w:b/>
    </w:rPr>
  </w:style>
  <w:style w:type="character" w:styleId="29">
    <w:name w:val="page number"/>
    <w:qFormat/>
    <w:uiPriority w:val="0"/>
  </w:style>
  <w:style w:type="character" w:styleId="30">
    <w:name w:val="Emphasis"/>
    <w:basedOn w:val="27"/>
    <w:qFormat/>
    <w:uiPriority w:val="0"/>
    <w:rPr>
      <w:i/>
    </w:rPr>
  </w:style>
  <w:style w:type="paragraph" w:customStyle="1" w:styleId="31">
    <w:name w:val="表格文字2"/>
    <w:basedOn w:val="32"/>
    <w:autoRedefine/>
    <w:qFormat/>
    <w:uiPriority w:val="99"/>
    <w:pPr>
      <w:spacing w:before="25" w:after="25"/>
      <w:jc w:val="left"/>
    </w:pPr>
    <w:rPr>
      <w:bCs/>
      <w:spacing w:val="10"/>
      <w:kern w:val="0"/>
    </w:rPr>
  </w:style>
  <w:style w:type="paragraph" w:customStyle="1" w:styleId="32">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33">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34">
    <w:name w:val="WPSOffice手动目录 1"/>
    <w:autoRedefine/>
    <w:qFormat/>
    <w:uiPriority w:val="0"/>
    <w:pPr>
      <w:ind w:leftChars="0"/>
    </w:pPr>
    <w:rPr>
      <w:rFonts w:ascii="Times New Roman" w:hAnsi="Times New Roman" w:eastAsia="宋体" w:cs="Times New Roman"/>
      <w:sz w:val="20"/>
      <w:szCs w:val="20"/>
    </w:rPr>
  </w:style>
  <w:style w:type="paragraph" w:customStyle="1" w:styleId="35">
    <w:name w:val="WPSOffice手动目录 2"/>
    <w:autoRedefine/>
    <w:qFormat/>
    <w:uiPriority w:val="0"/>
    <w:pPr>
      <w:ind w:leftChars="200"/>
    </w:pPr>
    <w:rPr>
      <w:rFonts w:ascii="Times New Roman" w:hAnsi="Times New Roman" w:eastAsia="宋体" w:cs="Times New Roman"/>
      <w:sz w:val="20"/>
      <w:szCs w:val="20"/>
    </w:rPr>
  </w:style>
  <w:style w:type="character" w:customStyle="1" w:styleId="36">
    <w:name w:val="font11"/>
    <w:basedOn w:val="27"/>
    <w:qFormat/>
    <w:uiPriority w:val="0"/>
    <w:rPr>
      <w:rFonts w:hint="eastAsia" w:ascii="宋体" w:hAnsi="宋体" w:eastAsia="宋体" w:cs="宋体"/>
      <w:color w:val="000000"/>
      <w:sz w:val="20"/>
      <w:szCs w:val="20"/>
      <w:u w:val="none"/>
    </w:rPr>
  </w:style>
  <w:style w:type="character" w:customStyle="1" w:styleId="37">
    <w:name w:val="font61"/>
    <w:basedOn w:val="27"/>
    <w:qFormat/>
    <w:uiPriority w:val="0"/>
    <w:rPr>
      <w:rFonts w:hint="default" w:ascii="Times New Roman" w:hAnsi="Times New Roman" w:cs="Times New Roman"/>
      <w:color w:val="000000"/>
      <w:sz w:val="20"/>
      <w:szCs w:val="20"/>
      <w:u w:val="none"/>
    </w:rPr>
  </w:style>
  <w:style w:type="paragraph" w:customStyle="1" w:styleId="38">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9">
    <w:name w:val="BodyText"/>
    <w:next w:val="40"/>
    <w:autoRedefine/>
    <w:qFormat/>
    <w:uiPriority w:val="0"/>
    <w:pPr>
      <w:widowControl w:val="0"/>
      <w:spacing w:line="300" w:lineRule="auto"/>
      <w:jc w:val="center"/>
      <w:textAlignment w:val="baseline"/>
    </w:pPr>
    <w:rPr>
      <w:rFonts w:ascii="宋体" w:hAnsi="宋体" w:eastAsia="宋体" w:cstheme="minorBidi"/>
      <w:kern w:val="2"/>
      <w:sz w:val="24"/>
      <w:szCs w:val="24"/>
      <w:lang w:val="en-US" w:eastAsia="zh-CN" w:bidi="ar-SA"/>
    </w:rPr>
  </w:style>
  <w:style w:type="paragraph" w:customStyle="1" w:styleId="40">
    <w:name w:val="TOC2"/>
    <w:next w:val="1"/>
    <w:autoRedefine/>
    <w:qFormat/>
    <w:uiPriority w:val="0"/>
    <w:pPr>
      <w:widowControl w:val="0"/>
      <w:spacing w:line="413" w:lineRule="auto"/>
      <w:ind w:left="240" w:leftChars="100"/>
      <w:jc w:val="both"/>
      <w:textAlignment w:val="baseline"/>
    </w:pPr>
    <w:rPr>
      <w:rFonts w:ascii="Calibri" w:hAnsi="Calibri" w:eastAsia="仿宋" w:cstheme="minorBidi"/>
      <w:kern w:val="2"/>
      <w:sz w:val="24"/>
      <w:szCs w:val="24"/>
      <w:lang w:val="en-US" w:eastAsia="zh-CN" w:bidi="ar-SA"/>
    </w:rPr>
  </w:style>
  <w:style w:type="paragraph" w:customStyle="1" w:styleId="41">
    <w:name w:val="产品相关信息"/>
    <w:qFormat/>
    <w:uiPriority w:val="0"/>
    <w:pPr>
      <w:widowControl w:val="0"/>
      <w:jc w:val="both"/>
    </w:pPr>
    <w:rPr>
      <w:rFonts w:ascii="宋体" w:hAnsi="宋体" w:eastAsia="宋体" w:cs="宋体"/>
      <w:kern w:val="2"/>
      <w:sz w:val="21"/>
      <w:szCs w:val="24"/>
      <w:lang w:val="en-US" w:eastAsia="uk-UA" w:bidi="ar-SA"/>
    </w:rPr>
  </w:style>
  <w:style w:type="paragraph" w:customStyle="1" w:styleId="42">
    <w:name w:val="null3"/>
    <w:hidden/>
    <w:qFormat/>
    <w:uiPriority w:val="0"/>
    <w:rPr>
      <w:rFonts w:hint="eastAsia" w:asciiTheme="minorHAnsi" w:hAnsiTheme="minorHAnsi" w:eastAsiaTheme="minorEastAsia" w:cstheme="minorBidi"/>
      <w:lang w:val="en-US" w:eastAsia="zh-Hans"/>
    </w:rPr>
  </w:style>
  <w:style w:type="paragraph" w:customStyle="1" w:styleId="43">
    <w:name w:val="正文文本1"/>
    <w:basedOn w:val="1"/>
    <w:qFormat/>
    <w:uiPriority w:val="0"/>
    <w:pPr>
      <w:keepNext w:val="0"/>
      <w:keepLines w:val="0"/>
      <w:widowControl w:val="0"/>
      <w:suppressLineNumbers w:val="0"/>
      <w:spacing w:before="0" w:beforeAutospacing="0" w:after="0" w:afterAutospacing="0"/>
      <w:ind w:left="0" w:right="0"/>
      <w:jc w:val="both"/>
    </w:pPr>
    <w:rPr>
      <w:rFonts w:hint="eastAsia" w:ascii="宋体" w:hAnsi="宋体" w:eastAsia="宋体"/>
      <w:kern w:val="2"/>
      <w:sz w:val="24"/>
      <w:szCs w:val="24"/>
      <w:lang w:val="en-US" w:eastAsia="zh-CN" w:bidi="ar"/>
    </w:rPr>
  </w:style>
  <w:style w:type="paragraph" w:customStyle="1" w:styleId="44">
    <w:name w:val="正文首行缩进1"/>
    <w:basedOn w:val="43"/>
    <w:qFormat/>
    <w:uiPriority w:val="0"/>
    <w:pPr>
      <w:ind w:firstLine="420" w:firstLineChars="100"/>
    </w:pPr>
    <w:rPr>
      <w:szCs w:val="20"/>
    </w:rPr>
  </w:style>
  <w:style w:type="paragraph" w:customStyle="1" w:styleId="45">
    <w:name w:val="Table Text"/>
    <w:basedOn w:val="1"/>
    <w:semiHidden/>
    <w:qFormat/>
    <w:uiPriority w:val="0"/>
    <w:rPr>
      <w:rFonts w:ascii="宋体" w:hAnsi="宋体" w:cs="宋体"/>
      <w:sz w:val="20"/>
      <w:szCs w:val="20"/>
      <w:lang w:eastAsia="en-US"/>
    </w:rPr>
  </w:style>
  <w:style w:type="paragraph" w:customStyle="1" w:styleId="46">
    <w:name w:val="日期1"/>
    <w:basedOn w:val="1"/>
    <w:qFormat/>
    <w:uiPriority w:val="0"/>
    <w:pPr>
      <w:ind w:left="100" w:leftChars="2500"/>
    </w:pPr>
  </w:style>
  <w:style w:type="paragraph" w:styleId="47">
    <w:name w:val="List Paragraph"/>
    <w:basedOn w:val="1"/>
    <w:unhideWhenUsed/>
    <w:qFormat/>
    <w:uiPriority w:val="99"/>
    <w:pPr>
      <w:ind w:firstLine="420" w:firstLineChars="200"/>
    </w:pPr>
  </w:style>
  <w:style w:type="paragraph" w:customStyle="1" w:styleId="48">
    <w:name w:val="Body text|1"/>
    <w:basedOn w:val="1"/>
    <w:qFormat/>
    <w:uiPriority w:val="0"/>
    <w:pPr>
      <w:spacing w:line="420" w:lineRule="auto"/>
    </w:pPr>
    <w:rPr>
      <w:rFonts w:ascii="宋体" w:hAnsi="宋体" w:eastAsia="宋体" w:cs="宋体"/>
      <w:sz w:val="20"/>
      <w:szCs w:val="20"/>
      <w:lang w:val="zh-TW" w:eastAsia="zh-TW" w:bidi="zh-TW"/>
    </w:rPr>
  </w:style>
  <w:style w:type="paragraph" w:customStyle="1" w:styleId="49">
    <w:name w:val="列出段落1"/>
    <w:basedOn w:val="1"/>
    <w:qFormat/>
    <w:uiPriority w:val="34"/>
    <w:pPr>
      <w:ind w:firstLine="420" w:firstLineChars="200"/>
    </w:pPr>
  </w:style>
  <w:style w:type="paragraph" w:customStyle="1" w:styleId="50">
    <w:name w:val="表格"/>
    <w:qFormat/>
    <w:uiPriority w:val="0"/>
    <w:pPr>
      <w:spacing w:line="360" w:lineRule="auto"/>
      <w:jc w:val="both"/>
      <w:textAlignment w:val="center"/>
    </w:pPr>
    <w:rPr>
      <w:rFonts w:ascii="宋体" w:hAnsi="宋体" w:eastAsia="宋体" w:cs="Times New Roman"/>
      <w:color w:val="000000"/>
      <w:sz w:val="24"/>
      <w:szCs w:val="24"/>
      <w:lang w:val="en-US" w:eastAsia="zh-CN" w:bidi="ar-SA"/>
    </w:rPr>
  </w:style>
  <w:style w:type="table" w:customStyle="1" w:styleId="51">
    <w:name w:val="网格型4"/>
    <w:basedOn w:val="25"/>
    <w:autoRedefine/>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2">
    <w:name w:val="段落"/>
    <w:basedOn w:val="1"/>
    <w:qFormat/>
    <w:uiPriority w:val="0"/>
    <w:pPr>
      <w:widowControl/>
      <w:spacing w:before="100" w:beforeAutospacing="1" w:after="100" w:afterAutospacing="1"/>
      <w:ind w:firstLine="200" w:firstLineChars="200"/>
      <w:contextualSpacing/>
      <w:jc w:val="left"/>
    </w:pPr>
    <w:rPr>
      <w:rFonts w:ascii="宋体" w:hAnsi="宋体"/>
      <w:kern w:val="0"/>
      <w14:ligatures w14: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97</Pages>
  <Words>1502</Words>
  <Characters>1815</Characters>
  <Lines>0</Lines>
  <Paragraphs>0</Paragraphs>
  <TotalTime>3</TotalTime>
  <ScaleCrop>false</ScaleCrop>
  <LinksUpToDate>false</LinksUpToDate>
  <CharactersWithSpaces>1925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lzq</cp:lastModifiedBy>
  <dcterms:modified xsi:type="dcterms:W3CDTF">2026-06-08T06:27:39Z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C483BA549BC742258F1E2BF715BDFF89_13</vt:lpwstr>
  </property>
  <property fmtid="{D5CDD505-2E9C-101B-9397-08002B2CF9AE}" pid="4" name="KSOTemplateDocerSaveRecord">
    <vt:lpwstr>eyJoZGlkIjoiN2I0MmZjZGQ5ZTMzZWQxZmQwMGQyYmUzN2Q1MWEwOWIiLCJ1c2VySWQiOiIyNzYyODAyNzYifQ==</vt:lpwstr>
  </property>
</Properties>
</file>