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C870A">
      <w:pPr>
        <w:jc w:val="center"/>
        <w:rPr>
          <w:rFonts w:hint="eastAsia" w:ascii="宋体" w:hAnsi="宋体" w:eastAsia="宋体" w:cs="宋体"/>
          <w:b/>
          <w:sz w:val="44"/>
          <w:szCs w:val="44"/>
        </w:rPr>
      </w:pPr>
    </w:p>
    <w:p w14:paraId="641D0E8F">
      <w:pPr>
        <w:jc w:val="center"/>
        <w:rPr>
          <w:rFonts w:hint="eastAsia" w:ascii="宋体" w:hAnsi="宋体" w:eastAsia="宋体" w:cs="宋体"/>
          <w:b/>
          <w:sz w:val="44"/>
          <w:szCs w:val="44"/>
        </w:rPr>
      </w:pPr>
      <w:bookmarkStart w:id="0" w:name="_Toc11099"/>
    </w:p>
    <w:bookmarkEnd w:id="0"/>
    <w:p w14:paraId="43550AD6">
      <w:pPr>
        <w:jc w:val="center"/>
        <w:rPr>
          <w:rFonts w:hint="eastAsia" w:ascii="宋体" w:hAnsi="宋体" w:eastAsia="宋体" w:cs="宋体"/>
          <w:sz w:val="32"/>
          <w:szCs w:val="40"/>
          <w:lang w:eastAsia="zh-CN"/>
        </w:rPr>
      </w:pPr>
      <w:r>
        <w:rPr>
          <w:rFonts w:hint="eastAsia" w:ascii="宋体" w:hAnsi="宋体" w:cs="宋体"/>
          <w:b/>
          <w:bCs/>
          <w:color w:val="000000"/>
          <w:sz w:val="52"/>
          <w:szCs w:val="52"/>
          <w:lang w:eastAsia="zh-CN"/>
        </w:rPr>
        <w:t>长子县机关事务服务中心劳务服务采购项目二次</w:t>
      </w:r>
    </w:p>
    <w:p w14:paraId="7090F8A8">
      <w:pPr>
        <w:jc w:val="center"/>
        <w:rPr>
          <w:rFonts w:hint="eastAsia" w:ascii="宋体" w:hAnsi="宋体" w:eastAsia="宋体" w:cs="宋体"/>
          <w:sz w:val="84"/>
          <w:szCs w:val="84"/>
          <w:highlight w:val="yellow"/>
        </w:rPr>
      </w:pPr>
    </w:p>
    <w:p w14:paraId="3C53AC71">
      <w:pPr>
        <w:rPr>
          <w:rFonts w:hint="eastAsia" w:ascii="宋体" w:hAnsi="宋体" w:eastAsia="宋体" w:cs="宋体"/>
        </w:rPr>
      </w:pPr>
    </w:p>
    <w:p w14:paraId="204C991C">
      <w:pPr>
        <w:spacing w:line="600" w:lineRule="auto"/>
        <w:jc w:val="center"/>
        <w:rPr>
          <w:rFonts w:hint="eastAsia" w:ascii="宋体" w:hAnsi="宋体" w:eastAsia="宋体" w:cs="宋体"/>
          <w:b/>
          <w:bCs/>
          <w:sz w:val="60"/>
          <w:szCs w:val="60"/>
        </w:rPr>
      </w:pPr>
      <w:r>
        <w:rPr>
          <w:rFonts w:hint="eastAsia" w:ascii="宋体" w:hAnsi="宋体" w:eastAsia="宋体" w:cs="宋体"/>
          <w:b/>
          <w:bCs/>
          <w:sz w:val="60"/>
          <w:szCs w:val="60"/>
        </w:rPr>
        <w:t>竞争性磋商文件</w:t>
      </w:r>
    </w:p>
    <w:p w14:paraId="580175AA">
      <w:pPr>
        <w:spacing w:line="60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项目编号：1404282026CCS00035</w:t>
      </w:r>
    </w:p>
    <w:p w14:paraId="3E52CA10">
      <w:pPr>
        <w:spacing w:line="600" w:lineRule="auto"/>
        <w:jc w:val="center"/>
        <w:rPr>
          <w:rFonts w:hint="eastAsia" w:ascii="宋体" w:hAnsi="宋体" w:eastAsia="宋体" w:cs="宋体"/>
          <w:b/>
          <w:sz w:val="36"/>
          <w:szCs w:val="36"/>
          <w:highlight w:val="none"/>
          <w:lang w:val="en-US" w:eastAsia="zh-CN"/>
        </w:rPr>
      </w:pPr>
    </w:p>
    <w:p w14:paraId="39ED3226">
      <w:pPr>
        <w:spacing w:line="600" w:lineRule="auto"/>
        <w:rPr>
          <w:rFonts w:hint="eastAsia" w:ascii="宋体" w:hAnsi="宋体" w:eastAsia="宋体" w:cs="宋体"/>
          <w:b/>
          <w:bCs/>
          <w:sz w:val="32"/>
          <w:szCs w:val="32"/>
        </w:rPr>
      </w:pPr>
    </w:p>
    <w:p w14:paraId="7CED1FC0">
      <w:pPr>
        <w:tabs>
          <w:tab w:val="left" w:pos="2070"/>
          <w:tab w:val="center" w:pos="4365"/>
        </w:tabs>
        <w:snapToGrid w:val="0"/>
        <w:jc w:val="left"/>
        <w:rPr>
          <w:rFonts w:hint="eastAsia" w:ascii="宋体" w:hAnsi="宋体" w:eastAsia="宋体" w:cs="宋体"/>
          <w:b/>
          <w:sz w:val="36"/>
          <w:szCs w:val="36"/>
        </w:rPr>
      </w:pPr>
    </w:p>
    <w:p w14:paraId="26F106FB">
      <w:pPr>
        <w:tabs>
          <w:tab w:val="left" w:pos="2070"/>
          <w:tab w:val="center" w:pos="4365"/>
        </w:tabs>
        <w:snapToGrid w:val="0"/>
        <w:jc w:val="left"/>
        <w:rPr>
          <w:rFonts w:hint="eastAsia" w:ascii="宋体" w:hAnsi="宋体" w:eastAsia="宋体" w:cs="宋体"/>
          <w:b/>
          <w:sz w:val="36"/>
          <w:szCs w:val="36"/>
          <w:lang w:val="en-US" w:eastAsia="zh-CN"/>
        </w:rPr>
      </w:pPr>
      <w:r>
        <w:rPr>
          <w:rFonts w:hint="eastAsia" w:ascii="宋体" w:hAnsi="宋体" w:eastAsia="宋体" w:cs="宋体"/>
          <w:b/>
          <w:sz w:val="36"/>
          <w:szCs w:val="36"/>
        </w:rPr>
        <w:t>采 购 人：</w:t>
      </w:r>
      <w:r>
        <w:rPr>
          <w:rFonts w:hint="eastAsia" w:ascii="宋体" w:hAnsi="宋体" w:eastAsia="宋体" w:cs="宋体"/>
          <w:b/>
          <w:sz w:val="36"/>
          <w:szCs w:val="36"/>
          <w:u w:val="single"/>
          <w:lang w:eastAsia="zh-CN"/>
        </w:rPr>
        <w:t>长子县机关事务服务中心</w:t>
      </w:r>
      <w:r>
        <w:rPr>
          <w:rFonts w:hint="eastAsia" w:ascii="宋体" w:hAnsi="宋体" w:eastAsia="宋体" w:cs="宋体"/>
          <w:b/>
          <w:sz w:val="36"/>
          <w:szCs w:val="36"/>
          <w:u w:val="single"/>
          <w:lang w:val="en-US" w:eastAsia="zh-CN"/>
        </w:rPr>
        <w:t xml:space="preserve">  </w:t>
      </w:r>
      <w:r>
        <w:rPr>
          <w:rFonts w:hint="eastAsia" w:ascii="宋体" w:hAnsi="宋体" w:eastAsia="宋体" w:cs="宋体"/>
          <w:b/>
          <w:sz w:val="36"/>
          <w:szCs w:val="36"/>
          <w:u w:val="single"/>
        </w:rPr>
        <w:t>（盖单位章）</w:t>
      </w:r>
      <w:r>
        <w:rPr>
          <w:rFonts w:hint="eastAsia" w:ascii="宋体" w:hAnsi="宋体" w:eastAsia="宋体" w:cs="宋体"/>
          <w:b/>
          <w:sz w:val="36"/>
          <w:szCs w:val="36"/>
          <w:u w:val="single"/>
          <w:lang w:val="en-US" w:eastAsia="zh-CN"/>
        </w:rPr>
        <w:t xml:space="preserve">        </w:t>
      </w:r>
    </w:p>
    <w:p w14:paraId="08373515">
      <w:pPr>
        <w:tabs>
          <w:tab w:val="left" w:pos="2070"/>
          <w:tab w:val="center" w:pos="4365"/>
        </w:tabs>
        <w:snapToGrid w:val="0"/>
        <w:ind w:left="105" w:leftChars="50"/>
        <w:jc w:val="center"/>
        <w:rPr>
          <w:rFonts w:hint="eastAsia" w:ascii="宋体" w:hAnsi="宋体" w:eastAsia="宋体" w:cs="宋体"/>
          <w:b/>
          <w:sz w:val="36"/>
          <w:szCs w:val="36"/>
        </w:rPr>
      </w:pPr>
    </w:p>
    <w:p w14:paraId="0C937D13">
      <w:pPr>
        <w:pStyle w:val="7"/>
        <w:ind w:firstLine="723"/>
        <w:rPr>
          <w:rFonts w:hint="eastAsia" w:ascii="宋体" w:hAnsi="宋体" w:eastAsia="宋体" w:cs="宋体"/>
          <w:b/>
          <w:sz w:val="36"/>
          <w:szCs w:val="36"/>
        </w:rPr>
      </w:pPr>
    </w:p>
    <w:p w14:paraId="08543AC4">
      <w:pPr>
        <w:rPr>
          <w:rFonts w:hint="eastAsia" w:ascii="宋体" w:hAnsi="宋体" w:eastAsia="宋体" w:cs="宋体"/>
        </w:rPr>
      </w:pPr>
    </w:p>
    <w:p w14:paraId="4EB2F6D5">
      <w:pPr>
        <w:tabs>
          <w:tab w:val="left" w:pos="2070"/>
          <w:tab w:val="center" w:pos="4365"/>
        </w:tabs>
        <w:snapToGrid w:val="0"/>
        <w:jc w:val="center"/>
        <w:rPr>
          <w:rFonts w:hint="eastAsia" w:ascii="宋体" w:hAnsi="宋体" w:eastAsia="宋体" w:cs="宋体"/>
          <w:b/>
          <w:sz w:val="36"/>
          <w:szCs w:val="36"/>
        </w:rPr>
      </w:pPr>
      <w:r>
        <w:rPr>
          <w:rFonts w:hint="eastAsia" w:ascii="宋体" w:hAnsi="宋体" w:eastAsia="宋体" w:cs="宋体"/>
          <w:b/>
          <w:sz w:val="36"/>
          <w:szCs w:val="36"/>
        </w:rPr>
        <w:t>代理机构：</w:t>
      </w:r>
      <w:r>
        <w:rPr>
          <w:rFonts w:hint="eastAsia" w:ascii="宋体" w:hAnsi="宋体" w:eastAsia="宋体" w:cs="宋体"/>
          <w:b/>
          <w:sz w:val="36"/>
          <w:szCs w:val="36"/>
          <w:u w:val="single"/>
        </w:rPr>
        <w:t>山西众标项目管理有限公司（盖单位章）</w:t>
      </w:r>
    </w:p>
    <w:p w14:paraId="674FF6FC">
      <w:pPr>
        <w:pStyle w:val="13"/>
        <w:rPr>
          <w:rFonts w:hint="eastAsia" w:ascii="宋体" w:hAnsi="宋体" w:eastAsia="宋体" w:cs="宋体"/>
        </w:rPr>
      </w:pPr>
    </w:p>
    <w:p w14:paraId="23051C17">
      <w:pPr>
        <w:spacing w:line="600" w:lineRule="auto"/>
        <w:rPr>
          <w:rFonts w:hint="eastAsia" w:ascii="宋体" w:hAnsi="宋体" w:eastAsia="宋体" w:cs="宋体"/>
          <w:b/>
          <w:bCs/>
          <w:kern w:val="0"/>
          <w:sz w:val="28"/>
          <w:szCs w:val="28"/>
        </w:rPr>
      </w:pPr>
    </w:p>
    <w:p w14:paraId="45783912">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二零二</w:t>
      </w:r>
      <w:r>
        <w:rPr>
          <w:rFonts w:hint="eastAsia" w:ascii="宋体" w:hAnsi="宋体" w:eastAsia="宋体" w:cs="宋体"/>
          <w:b/>
          <w:bCs/>
          <w:sz w:val="36"/>
          <w:szCs w:val="36"/>
          <w:highlight w:val="none"/>
          <w:lang w:val="en-US" w:eastAsia="zh-CN"/>
        </w:rPr>
        <w:t>六</w:t>
      </w:r>
      <w:r>
        <w:rPr>
          <w:rFonts w:hint="eastAsia" w:ascii="宋体" w:hAnsi="宋体" w:eastAsia="宋体" w:cs="宋体"/>
          <w:b/>
          <w:bCs/>
          <w:sz w:val="36"/>
          <w:szCs w:val="36"/>
          <w:highlight w:val="none"/>
        </w:rPr>
        <w:t>年</w:t>
      </w:r>
      <w:r>
        <w:rPr>
          <w:rFonts w:hint="eastAsia" w:ascii="宋体" w:hAnsi="宋体" w:cs="宋体"/>
          <w:b/>
          <w:bCs/>
          <w:sz w:val="36"/>
          <w:szCs w:val="36"/>
          <w:highlight w:val="none"/>
          <w:lang w:val="en-US" w:eastAsia="zh-CN"/>
        </w:rPr>
        <w:t>六</w:t>
      </w:r>
      <w:r>
        <w:rPr>
          <w:rFonts w:hint="eastAsia" w:ascii="宋体" w:hAnsi="宋体" w:eastAsia="宋体" w:cs="宋体"/>
          <w:b/>
          <w:bCs/>
          <w:sz w:val="36"/>
          <w:szCs w:val="36"/>
          <w:highlight w:val="none"/>
        </w:rPr>
        <w:t>月</w:t>
      </w:r>
    </w:p>
    <w:p w14:paraId="3E97389C">
      <w:pPr>
        <w:spacing w:line="360" w:lineRule="auto"/>
        <w:jc w:val="center"/>
        <w:rPr>
          <w:rFonts w:hint="eastAsia" w:ascii="宋体" w:hAnsi="宋体" w:eastAsia="宋体" w:cs="宋体"/>
          <w:b/>
          <w:bCs/>
          <w:sz w:val="36"/>
          <w:szCs w:val="36"/>
        </w:rPr>
      </w:pPr>
    </w:p>
    <w:p w14:paraId="39EE2AC0">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目  录</w:t>
      </w:r>
    </w:p>
    <w:p w14:paraId="0AC0489A">
      <w:pPr>
        <w:pStyle w:val="10"/>
        <w:rPr>
          <w:rFonts w:hint="eastAsia" w:ascii="宋体" w:hAnsi="宋体" w:eastAsia="宋体" w:cs="宋体"/>
          <w:b/>
          <w:bCs/>
          <w:sz w:val="44"/>
          <w:szCs w:val="44"/>
        </w:rPr>
      </w:pPr>
    </w:p>
    <w:p w14:paraId="46DFDBDD">
      <w:pPr>
        <w:pStyle w:val="17"/>
        <w:tabs>
          <w:tab w:val="right" w:leader="dot" w:pos="830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\u </w:instrText>
      </w:r>
      <w:r>
        <w:rPr>
          <w:rFonts w:hint="eastAsia" w:ascii="宋体" w:hAnsi="宋体" w:eastAsia="宋体" w:cs="宋体"/>
          <w:sz w:val="28"/>
          <w:szCs w:val="28"/>
        </w:rPr>
        <w:fldChar w:fldCharType="separate"/>
      </w: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HYPERLINK \l "_Toc9467" </w:instrText>
      </w:r>
      <w:r>
        <w:rPr>
          <w:rFonts w:hint="eastAsia" w:ascii="宋体" w:hAnsi="宋体" w:eastAsia="宋体" w:cs="宋体"/>
          <w:sz w:val="20"/>
          <w:szCs w:val="22"/>
        </w:rPr>
        <w:fldChar w:fldCharType="separate"/>
      </w:r>
      <w:r>
        <w:rPr>
          <w:rFonts w:hint="eastAsia" w:ascii="宋体" w:hAnsi="宋体" w:eastAsia="宋体" w:cs="宋体"/>
          <w:sz w:val="28"/>
          <w:szCs w:val="28"/>
        </w:rPr>
        <w:t>第一部分  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_Toc9467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E16ED7">
      <w:pPr>
        <w:pStyle w:val="17"/>
        <w:tabs>
          <w:tab w:val="right" w:leader="dot" w:pos="8305"/>
        </w:tabs>
        <w:spacing w:line="360" w:lineRule="auto"/>
        <w:rPr>
          <w:rFonts w:hint="eastAsia" w:ascii="宋体" w:hAnsi="宋体" w:eastAsia="宋体" w:cs="宋体"/>
          <w:sz w:val="28"/>
          <w:szCs w:val="28"/>
        </w:rPr>
      </w:pP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HYPERLINK \l "_Toc4396" </w:instrText>
      </w:r>
      <w:r>
        <w:rPr>
          <w:rFonts w:hint="eastAsia" w:ascii="宋体" w:hAnsi="宋体" w:eastAsia="宋体" w:cs="宋体"/>
          <w:sz w:val="20"/>
          <w:szCs w:val="22"/>
        </w:rPr>
        <w:fldChar w:fldCharType="separate"/>
      </w:r>
      <w:r>
        <w:rPr>
          <w:rFonts w:hint="eastAsia" w:ascii="宋体" w:hAnsi="宋体" w:eastAsia="宋体" w:cs="宋体"/>
          <w:sz w:val="28"/>
          <w:szCs w:val="28"/>
        </w:rPr>
        <w:t>第二部分  供应商须知前附表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rPr>
        <w:fldChar w:fldCharType="end"/>
      </w:r>
    </w:p>
    <w:p w14:paraId="412500FF">
      <w:pPr>
        <w:pStyle w:val="17"/>
        <w:tabs>
          <w:tab w:val="right" w:leader="dot" w:pos="8305"/>
        </w:tabs>
        <w:spacing w:line="360" w:lineRule="auto"/>
        <w:rPr>
          <w:rFonts w:hint="eastAsia" w:ascii="宋体" w:hAnsi="宋体" w:eastAsia="宋体" w:cs="宋体"/>
          <w:sz w:val="28"/>
          <w:szCs w:val="28"/>
        </w:rPr>
      </w:pP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HYPERLINK \l "_Toc23261" </w:instrText>
      </w:r>
      <w:r>
        <w:rPr>
          <w:rFonts w:hint="eastAsia" w:ascii="宋体" w:hAnsi="宋体" w:eastAsia="宋体" w:cs="宋体"/>
          <w:sz w:val="20"/>
          <w:szCs w:val="22"/>
        </w:rPr>
        <w:fldChar w:fldCharType="separate"/>
      </w:r>
      <w:r>
        <w:rPr>
          <w:rFonts w:hint="eastAsia" w:ascii="宋体" w:hAnsi="宋体" w:eastAsia="宋体" w:cs="宋体"/>
          <w:sz w:val="28"/>
          <w:szCs w:val="28"/>
        </w:rPr>
        <w:t>第三部分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_Toc23261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30C02F">
      <w:pPr>
        <w:pStyle w:val="17"/>
        <w:tabs>
          <w:tab w:val="right" w:leader="dot" w:pos="8305"/>
        </w:tabs>
        <w:spacing w:line="360" w:lineRule="auto"/>
        <w:rPr>
          <w:rFonts w:hint="eastAsia" w:ascii="宋体" w:hAnsi="宋体" w:eastAsia="宋体" w:cs="宋体"/>
          <w:sz w:val="28"/>
          <w:szCs w:val="28"/>
          <w:lang w:eastAsia="zh-CN"/>
        </w:rPr>
      </w:pP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HYPERLINK \l "_Toc15983" </w:instrText>
      </w:r>
      <w:r>
        <w:rPr>
          <w:rFonts w:hint="eastAsia" w:ascii="宋体" w:hAnsi="宋体" w:eastAsia="宋体" w:cs="宋体"/>
          <w:sz w:val="20"/>
          <w:szCs w:val="22"/>
        </w:rPr>
        <w:fldChar w:fldCharType="separate"/>
      </w:r>
      <w:r>
        <w:rPr>
          <w:rFonts w:hint="eastAsia" w:ascii="宋体" w:hAnsi="宋体" w:eastAsia="宋体" w:cs="宋体"/>
          <w:sz w:val="28"/>
          <w:szCs w:val="28"/>
        </w:rPr>
        <w:t>第四部分  评审方法和标准</w:t>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cs="宋体"/>
          <w:sz w:val="28"/>
          <w:szCs w:val="28"/>
          <w:lang w:val="en-US" w:eastAsia="zh-CN"/>
        </w:rPr>
        <w:t>4</w:t>
      </w:r>
    </w:p>
    <w:p w14:paraId="6EAFBF2E">
      <w:pPr>
        <w:pStyle w:val="17"/>
        <w:tabs>
          <w:tab w:val="right" w:leader="dot" w:pos="8305"/>
        </w:tabs>
        <w:spacing w:line="360" w:lineRule="auto"/>
        <w:rPr>
          <w:rFonts w:hint="eastAsia" w:ascii="宋体" w:hAnsi="宋体" w:eastAsia="宋体" w:cs="宋体"/>
          <w:sz w:val="28"/>
          <w:szCs w:val="28"/>
          <w:lang w:eastAsia="zh-CN"/>
        </w:rPr>
      </w:pP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HYPERLINK \l "_Toc20350" </w:instrText>
      </w:r>
      <w:r>
        <w:rPr>
          <w:rFonts w:hint="eastAsia" w:ascii="宋体" w:hAnsi="宋体" w:eastAsia="宋体" w:cs="宋体"/>
          <w:sz w:val="20"/>
          <w:szCs w:val="22"/>
        </w:rPr>
        <w:fldChar w:fldCharType="separate"/>
      </w:r>
      <w:r>
        <w:rPr>
          <w:rFonts w:hint="eastAsia" w:ascii="宋体" w:hAnsi="宋体" w:eastAsia="宋体" w:cs="宋体"/>
          <w:sz w:val="28"/>
          <w:szCs w:val="28"/>
        </w:rPr>
        <w:t>第五部分  采购需求</w:t>
      </w:r>
      <w:r>
        <w:rPr>
          <w:rFonts w:hint="eastAsia" w:ascii="宋体" w:hAnsi="宋体" w:eastAsia="宋体" w:cs="宋体"/>
          <w:sz w:val="28"/>
          <w:szCs w:val="28"/>
        </w:rPr>
        <w:tab/>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cs="宋体"/>
          <w:sz w:val="28"/>
          <w:szCs w:val="28"/>
          <w:lang w:val="en-US" w:eastAsia="zh-CN"/>
        </w:rPr>
        <w:t>8</w:t>
      </w:r>
    </w:p>
    <w:p w14:paraId="277E2FEE">
      <w:pPr>
        <w:pStyle w:val="17"/>
        <w:tabs>
          <w:tab w:val="right" w:leader="dot" w:pos="8305"/>
        </w:tabs>
        <w:spacing w:line="360" w:lineRule="auto"/>
        <w:rPr>
          <w:rFonts w:hint="eastAsia" w:ascii="宋体" w:hAnsi="宋体" w:eastAsia="宋体" w:cs="宋体"/>
          <w:sz w:val="28"/>
          <w:szCs w:val="28"/>
          <w:lang w:eastAsia="zh-CN"/>
        </w:rPr>
      </w:pP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HYPERLINK \l "_Toc12273" </w:instrText>
      </w:r>
      <w:r>
        <w:rPr>
          <w:rFonts w:hint="eastAsia" w:ascii="宋体" w:hAnsi="宋体" w:eastAsia="宋体" w:cs="宋体"/>
          <w:sz w:val="20"/>
          <w:szCs w:val="22"/>
        </w:rPr>
        <w:fldChar w:fldCharType="separate"/>
      </w:r>
      <w:r>
        <w:rPr>
          <w:rFonts w:hint="eastAsia" w:ascii="宋体" w:hAnsi="宋体" w:eastAsia="宋体" w:cs="宋体"/>
          <w:sz w:val="28"/>
          <w:szCs w:val="28"/>
        </w:rPr>
        <w:t>第六部分  合同文本（参考文本）</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rPr>
        <w:t>4</w:t>
      </w:r>
      <w:r>
        <w:rPr>
          <w:rFonts w:hint="eastAsia" w:ascii="宋体" w:hAnsi="宋体" w:eastAsia="宋体" w:cs="宋体"/>
          <w:sz w:val="28"/>
          <w:szCs w:val="28"/>
        </w:rPr>
        <w:fldChar w:fldCharType="end"/>
      </w:r>
    </w:p>
    <w:p w14:paraId="3DB7DC7F">
      <w:pPr>
        <w:pStyle w:val="17"/>
        <w:tabs>
          <w:tab w:val="right" w:leader="dot" w:pos="8305"/>
        </w:tabs>
        <w:spacing w:line="360" w:lineRule="auto"/>
        <w:rPr>
          <w:rFonts w:hint="eastAsia" w:ascii="宋体" w:hAnsi="宋体" w:eastAsia="宋体" w:cs="宋体"/>
          <w:sz w:val="28"/>
          <w:szCs w:val="28"/>
          <w:lang w:val="en-US" w:eastAsia="zh-CN"/>
        </w:rPr>
      </w:pP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HYPERLINK \l "_Toc16102" </w:instrText>
      </w:r>
      <w:r>
        <w:rPr>
          <w:rFonts w:hint="eastAsia" w:ascii="宋体" w:hAnsi="宋体" w:eastAsia="宋体" w:cs="宋体"/>
          <w:sz w:val="20"/>
          <w:szCs w:val="22"/>
        </w:rPr>
        <w:fldChar w:fldCharType="separate"/>
      </w:r>
      <w:r>
        <w:rPr>
          <w:rFonts w:hint="eastAsia" w:ascii="宋体" w:hAnsi="宋体" w:eastAsia="宋体" w:cs="宋体"/>
          <w:sz w:val="28"/>
          <w:szCs w:val="28"/>
        </w:rPr>
        <w:t>第七部分　响应文件格式</w:t>
      </w:r>
      <w:r>
        <w:rPr>
          <w:rFonts w:hint="eastAsia" w:ascii="宋体" w:hAnsi="宋体" w:eastAsia="宋体" w:cs="宋体"/>
          <w:sz w:val="28"/>
          <w:szCs w:val="28"/>
        </w:rPr>
        <w:tab/>
      </w:r>
      <w:r>
        <w:rPr>
          <w:rFonts w:hint="eastAsia" w:ascii="宋体" w:hAnsi="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cs="宋体"/>
          <w:sz w:val="28"/>
          <w:szCs w:val="28"/>
          <w:lang w:val="en-US" w:eastAsia="zh-CN"/>
        </w:rPr>
        <w:t>0</w:t>
      </w:r>
    </w:p>
    <w:p w14:paraId="684CF6D1">
      <w:pPr>
        <w:pStyle w:val="16"/>
        <w:tabs>
          <w:tab w:val="right" w:leader="dot" w:pos="8305"/>
        </w:tabs>
        <w:spacing w:line="360" w:lineRule="auto"/>
        <w:rPr>
          <w:rFonts w:hint="eastAsia" w:ascii="宋体" w:hAnsi="宋体" w:eastAsia="宋体" w:cs="宋体"/>
        </w:rPr>
      </w:pPr>
    </w:p>
    <w:p w14:paraId="1C35555A">
      <w:pPr>
        <w:spacing w:line="360" w:lineRule="auto"/>
        <w:ind w:firstLine="420" w:firstLineChars="200"/>
        <w:rPr>
          <w:rFonts w:hint="eastAsia" w:ascii="宋体" w:hAnsi="宋体" w:eastAsia="宋体" w:cs="宋体"/>
          <w:sz w:val="28"/>
          <w:szCs w:val="28"/>
        </w:rPr>
      </w:pPr>
      <w:r>
        <w:rPr>
          <w:rFonts w:hint="eastAsia" w:ascii="宋体" w:hAnsi="宋体" w:eastAsia="宋体" w:cs="宋体"/>
          <w:szCs w:val="28"/>
        </w:rPr>
        <w:fldChar w:fldCharType="end"/>
      </w:r>
    </w:p>
    <w:p w14:paraId="6BCAECA7">
      <w:pPr>
        <w:spacing w:line="360" w:lineRule="auto"/>
        <w:jc w:val="center"/>
        <w:rPr>
          <w:rFonts w:hint="eastAsia" w:ascii="宋体" w:hAnsi="宋体" w:eastAsia="宋体" w:cs="宋体"/>
          <w:szCs w:val="28"/>
        </w:rPr>
      </w:pPr>
    </w:p>
    <w:p w14:paraId="5F8B4BF1">
      <w:pPr>
        <w:pStyle w:val="3"/>
        <w:jc w:val="center"/>
        <w:rPr>
          <w:rFonts w:hint="eastAsia" w:ascii="宋体" w:hAnsi="宋体" w:eastAsia="宋体" w:cs="宋体"/>
          <w:sz w:val="36"/>
          <w:szCs w:val="36"/>
        </w:rPr>
        <w:sectPr>
          <w:headerReference r:id="rId3" w:type="default"/>
          <w:pgSz w:w="11905" w:h="16838"/>
          <w:pgMar w:top="1440" w:right="1800" w:bottom="1440" w:left="1800" w:header="850" w:footer="992" w:gutter="0"/>
          <w:pgNumType w:start="1"/>
          <w:cols w:space="0" w:num="1"/>
          <w:docGrid w:linePitch="312" w:charSpace="0"/>
        </w:sectPr>
      </w:pPr>
    </w:p>
    <w:p w14:paraId="3C502176">
      <w:pPr>
        <w:pStyle w:val="3"/>
        <w:jc w:val="center"/>
        <w:rPr>
          <w:rFonts w:hint="eastAsia" w:ascii="宋体" w:hAnsi="宋体" w:eastAsia="宋体" w:cs="宋体"/>
          <w:sz w:val="36"/>
          <w:szCs w:val="36"/>
        </w:rPr>
      </w:pPr>
      <w:bookmarkStart w:id="1" w:name="_Toc9467"/>
      <w:r>
        <w:rPr>
          <w:rFonts w:hint="eastAsia" w:ascii="宋体" w:hAnsi="宋体" w:eastAsia="宋体" w:cs="宋体"/>
          <w:sz w:val="36"/>
          <w:szCs w:val="36"/>
        </w:rPr>
        <w:t>第一部分  磋商公告</w:t>
      </w:r>
      <w:bookmarkEnd w:id="1"/>
    </w:p>
    <w:p w14:paraId="0B595EDC">
      <w:pPr>
        <w:pBdr>
          <w:top w:val="single" w:color="auto" w:sz="4" w:space="1"/>
          <w:left w:val="single" w:color="auto" w:sz="4" w:space="4"/>
          <w:bottom w:val="single" w:color="auto" w:sz="4" w:space="1"/>
          <w:right w:val="single" w:color="auto" w:sz="4" w:space="4"/>
        </w:pBd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项目概况</w:t>
      </w:r>
      <w:bookmarkStart w:id="2" w:name="_Toc28359012"/>
      <w:bookmarkStart w:id="3" w:name="_Toc35393798"/>
      <w:bookmarkStart w:id="4" w:name="_Toc28359089"/>
      <w:bookmarkStart w:id="5" w:name="_Toc35393629"/>
    </w:p>
    <w:p w14:paraId="1D230DA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none"/>
        </w:rPr>
      </w:pPr>
      <w:r>
        <w:rPr>
          <w:rFonts w:hint="eastAsia" w:ascii="宋体" w:hAnsi="宋体" w:cs="宋体"/>
          <w:sz w:val="24"/>
          <w:lang w:eastAsia="zh-CN"/>
        </w:rPr>
        <w:t>长子县机关事务服务中心劳务服务采购项目二次</w:t>
      </w:r>
      <w:r>
        <w:rPr>
          <w:rFonts w:hint="eastAsia" w:ascii="宋体" w:hAnsi="宋体" w:eastAsia="宋体" w:cs="宋体"/>
          <w:sz w:val="24"/>
        </w:rPr>
        <w:t>的潜在</w:t>
      </w:r>
      <w:r>
        <w:rPr>
          <w:rFonts w:hint="eastAsia" w:ascii="宋体" w:hAnsi="宋体" w:eastAsia="宋体" w:cs="宋体"/>
          <w:sz w:val="24"/>
          <w:lang w:eastAsia="zh-CN"/>
        </w:rPr>
        <w:t>供应商</w:t>
      </w:r>
      <w:r>
        <w:rPr>
          <w:rFonts w:hint="eastAsia" w:ascii="宋体" w:hAnsi="宋体" w:eastAsia="宋体" w:cs="宋体"/>
          <w:sz w:val="24"/>
        </w:rPr>
        <w:t>应在山西省政府</w:t>
      </w:r>
      <w:r>
        <w:rPr>
          <w:rFonts w:hint="eastAsia" w:ascii="宋体" w:hAnsi="宋体" w:eastAsia="宋体" w:cs="宋体"/>
          <w:sz w:val="24"/>
          <w:highlight w:val="none"/>
        </w:rPr>
        <w:t>采购网平台（http://www.ccgp-shanxi.gov.cn/home.html）线上获取磋商文件，并于</w:t>
      </w:r>
      <w:r>
        <w:rPr>
          <w:rFonts w:hint="eastAsia" w:ascii="宋体" w:hAnsi="宋体" w:eastAsia="宋体" w:cs="宋体"/>
          <w:sz w:val="24"/>
          <w:highlight w:val="none"/>
          <w:u w:val="single"/>
          <w:lang w:eastAsia="zh-CN"/>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lang w:eastAsia="zh-CN"/>
        </w:rPr>
        <w:t>年0</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eastAsia="zh-CN"/>
        </w:rPr>
        <w:t>月</w:t>
      </w:r>
      <w:r>
        <w:rPr>
          <w:rFonts w:hint="eastAsia" w:ascii="宋体" w:hAnsi="宋体" w:cs="宋体"/>
          <w:sz w:val="24"/>
          <w:highlight w:val="none"/>
          <w:u w:val="single"/>
          <w:lang w:val="en-US" w:eastAsia="zh-CN"/>
        </w:rPr>
        <w:t>15</w:t>
      </w:r>
      <w:r>
        <w:rPr>
          <w:rFonts w:hint="eastAsia" w:ascii="宋体" w:hAnsi="宋体" w:eastAsia="宋体" w:cs="宋体"/>
          <w:sz w:val="24"/>
          <w:highlight w:val="none"/>
          <w:u w:val="single"/>
          <w:lang w:eastAsia="zh-CN"/>
        </w:rPr>
        <w:t>日09时30分</w:t>
      </w:r>
      <w:r>
        <w:rPr>
          <w:rFonts w:hint="eastAsia" w:ascii="宋体" w:hAnsi="宋体" w:eastAsia="宋体" w:cs="宋体"/>
          <w:bCs/>
          <w:sz w:val="24"/>
          <w:highlight w:val="none"/>
        </w:rPr>
        <w:t>（北京时间）前提交响应文件</w:t>
      </w:r>
      <w:r>
        <w:rPr>
          <w:rFonts w:hint="eastAsia" w:ascii="宋体" w:hAnsi="宋体" w:eastAsia="宋体" w:cs="宋体"/>
          <w:sz w:val="24"/>
          <w:highlight w:val="none"/>
        </w:rPr>
        <w:t>。</w:t>
      </w:r>
    </w:p>
    <w:bookmarkEnd w:id="2"/>
    <w:bookmarkEnd w:id="3"/>
    <w:bookmarkEnd w:id="4"/>
    <w:bookmarkEnd w:id="5"/>
    <w:p w14:paraId="5D2C4F75">
      <w:pPr>
        <w:spacing w:line="50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一、项目基本情况</w:t>
      </w:r>
    </w:p>
    <w:p w14:paraId="5E8DD8CE">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项目编号：1404282026CCS00035</w:t>
      </w:r>
      <w:bookmarkStart w:id="77" w:name="_GoBack"/>
      <w:bookmarkEnd w:id="77"/>
    </w:p>
    <w:p w14:paraId="42849AC0">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cs="宋体"/>
          <w:sz w:val="24"/>
          <w:lang w:eastAsia="zh-CN"/>
        </w:rPr>
        <w:t>长子县机关事务服务中心劳务服务采购项目二次</w:t>
      </w:r>
    </w:p>
    <w:p w14:paraId="1745B11A">
      <w:pPr>
        <w:spacing w:line="500" w:lineRule="exact"/>
        <w:ind w:firstLine="480" w:firstLineChars="200"/>
        <w:rPr>
          <w:rFonts w:hint="eastAsia" w:ascii="宋体" w:hAnsi="宋体" w:eastAsia="宋体" w:cs="宋体"/>
          <w:sz w:val="24"/>
        </w:rPr>
      </w:pPr>
      <w:r>
        <w:rPr>
          <w:rFonts w:hint="eastAsia" w:ascii="宋体" w:hAnsi="宋体" w:eastAsia="宋体" w:cs="宋体"/>
          <w:sz w:val="24"/>
        </w:rPr>
        <w:t>采购方式：竞争性磋商</w:t>
      </w:r>
    </w:p>
    <w:p w14:paraId="521BFAA7">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预算金额：</w:t>
      </w:r>
      <w:r>
        <w:rPr>
          <w:rFonts w:hint="eastAsia" w:ascii="宋体" w:hAnsi="宋体" w:eastAsia="宋体" w:cs="宋体"/>
          <w:color w:val="000000"/>
          <w:sz w:val="24"/>
          <w:lang w:val="en-US" w:eastAsia="zh-CN"/>
        </w:rPr>
        <w:t>863000.00元（包1：450000.00元，包2：413000.00元）</w:t>
      </w:r>
    </w:p>
    <w:p w14:paraId="6D132B5A">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最高限价：</w:t>
      </w:r>
      <w:r>
        <w:rPr>
          <w:rFonts w:hint="eastAsia" w:ascii="宋体" w:hAnsi="宋体" w:eastAsia="宋体" w:cs="宋体"/>
          <w:color w:val="000000"/>
          <w:sz w:val="24"/>
          <w:lang w:val="en-US" w:eastAsia="zh-CN"/>
        </w:rPr>
        <w:t>863000.00元（包1：450000.00元，包2：413000.00元）</w:t>
      </w:r>
    </w:p>
    <w:p w14:paraId="2AD2F61A">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采购需求：</w:t>
      </w:r>
    </w:p>
    <w:p w14:paraId="299DD745">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为机关日常运转提供劳务服务，保障机关后勤服务、日常运维、综合辅助等各项工作高效有序推进。本项目共分2个包进行采购。</w:t>
      </w:r>
    </w:p>
    <w:p w14:paraId="194AE1F6">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包1：公务用车驾驶劳务服务</w:t>
      </w:r>
    </w:p>
    <w:p w14:paraId="74D5E8FA">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服务供应商根据采购人公务出行、外勤下乡、调研督导、会议接待、物资转运、应急值守、节假日保障等各类常态化及临时性工作需求，自主调配完成服务，秉持安全合规、保障高效、严守保密、规范履职原则开展各项工作</w:t>
      </w:r>
      <w:r>
        <w:rPr>
          <w:rFonts w:hint="eastAsia" w:ascii="宋体" w:hAnsi="宋体" w:cs="宋体"/>
          <w:color w:val="000000"/>
          <w:sz w:val="24"/>
          <w:lang w:val="en-US" w:eastAsia="zh-CN"/>
        </w:rPr>
        <w:t>。具体详见竞争性磋商文件采购需求</w:t>
      </w:r>
      <w:r>
        <w:rPr>
          <w:rFonts w:hint="eastAsia" w:ascii="宋体" w:hAnsi="宋体" w:eastAsia="宋体" w:cs="宋体"/>
          <w:color w:val="000000"/>
          <w:sz w:val="24"/>
          <w:lang w:val="en-US" w:eastAsia="zh-CN"/>
        </w:rPr>
        <w:t>。</w:t>
      </w:r>
    </w:p>
    <w:p w14:paraId="276D180A">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包2：综合后勤辅助保障服务</w:t>
      </w:r>
    </w:p>
    <w:p w14:paraId="0B8D8CBF">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围绕机关日常运转工作需求，配齐档案管理、综合办事、资料管理、文印收发、施设设备简易运维等服务，严守政务纪律、保密规定、工作规范、资料管理等工作有序开展。服务秉持规范严谨、高效便民、安全稳妥、节约降耗原则，保障日常办公事务有序运转</w:t>
      </w:r>
      <w:r>
        <w:rPr>
          <w:rFonts w:hint="eastAsia" w:ascii="宋体" w:hAnsi="宋体" w:cs="宋体"/>
          <w:color w:val="000000"/>
          <w:sz w:val="24"/>
          <w:lang w:val="en-US" w:eastAsia="zh-CN"/>
        </w:rPr>
        <w:t>。具体详见竞争性磋商文件采购需求</w:t>
      </w:r>
      <w:r>
        <w:rPr>
          <w:rFonts w:hint="eastAsia" w:ascii="宋体" w:hAnsi="宋体" w:eastAsia="宋体" w:cs="宋体"/>
          <w:color w:val="000000"/>
          <w:sz w:val="24"/>
          <w:lang w:val="en-US" w:eastAsia="zh-CN"/>
        </w:rPr>
        <w:t>。</w:t>
      </w:r>
    </w:p>
    <w:p w14:paraId="5D3730BB">
      <w:pPr>
        <w:spacing w:line="50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合同履约期限</w:t>
      </w:r>
      <w:r>
        <w:rPr>
          <w:rFonts w:hint="eastAsia" w:ascii="宋体" w:hAnsi="宋体" w:cs="宋体"/>
          <w:sz w:val="24"/>
          <w:highlight w:val="none"/>
          <w:lang w:eastAsia="zh-CN"/>
        </w:rPr>
        <w:t>（</w:t>
      </w:r>
      <w:r>
        <w:rPr>
          <w:rFonts w:hint="eastAsia" w:ascii="宋体" w:hAnsi="宋体" w:cs="宋体"/>
          <w:sz w:val="24"/>
          <w:highlight w:val="none"/>
          <w:lang w:val="en-US" w:eastAsia="zh-CN"/>
        </w:rPr>
        <w:t>服务期）</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一年（整体服务不超2年）。合同期满经考核合格可续签。</w:t>
      </w:r>
    </w:p>
    <w:p w14:paraId="0AA8D480">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本项目不接受联合体。</w:t>
      </w:r>
      <w:bookmarkStart w:id="6" w:name="_Toc35393630"/>
      <w:bookmarkStart w:id="7" w:name="_Toc35393799"/>
      <w:bookmarkStart w:id="8" w:name="_Toc28359013"/>
      <w:bookmarkStart w:id="9" w:name="_Toc28359090"/>
    </w:p>
    <w:p w14:paraId="6ECF2F13">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bCs/>
          <w:sz w:val="24"/>
          <w:lang w:eastAsia="zh-CN"/>
        </w:rPr>
        <w:t>供应商</w:t>
      </w:r>
      <w:r>
        <w:rPr>
          <w:rFonts w:hint="eastAsia" w:ascii="宋体" w:hAnsi="宋体" w:eastAsia="宋体" w:cs="宋体"/>
          <w:b/>
          <w:bCs/>
          <w:sz w:val="24"/>
        </w:rPr>
        <w:t>的资格要求：</w:t>
      </w:r>
      <w:bookmarkEnd w:id="6"/>
      <w:bookmarkEnd w:id="7"/>
      <w:bookmarkEnd w:id="8"/>
      <w:bookmarkEnd w:id="9"/>
    </w:p>
    <w:p w14:paraId="5A44DDE9">
      <w:pPr>
        <w:spacing w:line="500" w:lineRule="exact"/>
        <w:ind w:firstLine="480" w:firstLineChars="200"/>
        <w:rPr>
          <w:rFonts w:hint="eastAsia" w:ascii="宋体" w:hAnsi="宋体" w:eastAsia="宋体" w:cs="宋体"/>
          <w:sz w:val="24"/>
        </w:rPr>
      </w:pPr>
      <w:bookmarkStart w:id="10" w:name="_Toc28359091"/>
      <w:bookmarkStart w:id="11" w:name="_Toc35393800"/>
      <w:bookmarkStart w:id="12" w:name="_Toc28359014"/>
      <w:bookmarkStart w:id="13" w:name="_Toc35393631"/>
      <w:r>
        <w:rPr>
          <w:rFonts w:hint="eastAsia" w:ascii="宋体" w:hAnsi="宋体" w:eastAsia="宋体" w:cs="宋体"/>
          <w:sz w:val="24"/>
        </w:rPr>
        <w:t>1.满足《中华人民共和国政府采购法》第二十二条规定：</w:t>
      </w:r>
    </w:p>
    <w:p w14:paraId="34630B5A">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（一）具有独立承担民事责任的能力；</w:t>
      </w:r>
    </w:p>
    <w:p w14:paraId="0C36256E">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（二）具有良好的商业信誉和健全的财务会计制度；</w:t>
      </w:r>
    </w:p>
    <w:p w14:paraId="7F545EBE">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（三）具有履行合同所必需的设备和专业技术能力；</w:t>
      </w:r>
    </w:p>
    <w:p w14:paraId="0F53C6F8">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（四）有依法缴纳税收和社会保障资金的良好记录；</w:t>
      </w:r>
    </w:p>
    <w:p w14:paraId="16A6CAFA">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（五）参加政府采购活动前三年内，在经营活动中没有重大违法记录；</w:t>
      </w:r>
    </w:p>
    <w:p w14:paraId="315045E9">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（六）符合法律、行政法规规定的其他条件。</w:t>
      </w:r>
    </w:p>
    <w:p w14:paraId="56909AC1">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2.落实政府采购政策需满足的资格要求：执行政府采购相关政策，本项目专门面向中小企业采购。 </w:t>
      </w:r>
    </w:p>
    <w:p w14:paraId="66588050">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3.本项目的特定资格要求：</w:t>
      </w:r>
    </w:p>
    <w:p w14:paraId="138926FE">
      <w:pPr>
        <w:spacing w:line="500" w:lineRule="exact"/>
        <w:ind w:firstLine="480" w:firstLineChars="200"/>
        <w:rPr>
          <w:rFonts w:hint="eastAsia" w:ascii="宋体" w:hAnsi="宋体" w:eastAsia="宋体" w:cs="宋体"/>
          <w:color w:val="FF0000"/>
          <w:sz w:val="24"/>
          <w:highlight w:val="none"/>
          <w:lang w:eastAsia="zh-CN"/>
        </w:rPr>
      </w:pPr>
      <w:r>
        <w:rPr>
          <w:rFonts w:hint="eastAsia" w:ascii="宋体" w:hAnsi="宋体" w:cs="宋体"/>
          <w:sz w:val="24"/>
          <w:highlight w:val="none"/>
          <w:lang w:val="en-US" w:eastAsia="zh-CN"/>
        </w:rPr>
        <w:t>无</w:t>
      </w:r>
      <w:r>
        <w:rPr>
          <w:rFonts w:hint="eastAsia" w:ascii="宋体" w:hAnsi="宋体" w:eastAsia="宋体" w:cs="宋体"/>
          <w:sz w:val="24"/>
          <w:highlight w:val="none"/>
          <w:lang w:val="en-US" w:eastAsia="zh-CN"/>
        </w:rPr>
        <w:t>。</w:t>
      </w:r>
    </w:p>
    <w:bookmarkEnd w:id="10"/>
    <w:bookmarkEnd w:id="11"/>
    <w:bookmarkEnd w:id="12"/>
    <w:bookmarkEnd w:id="13"/>
    <w:p w14:paraId="00F55B57">
      <w:pPr>
        <w:spacing w:line="500" w:lineRule="exact"/>
        <w:rPr>
          <w:rFonts w:hint="eastAsia" w:ascii="宋体" w:hAnsi="宋体" w:eastAsia="宋体" w:cs="宋体"/>
          <w:b/>
          <w:bCs/>
          <w:color w:val="000000"/>
          <w:sz w:val="24"/>
          <w:highlight w:val="none"/>
        </w:rPr>
      </w:pPr>
      <w:bookmarkStart w:id="14" w:name="_Toc4396"/>
      <w:r>
        <w:rPr>
          <w:rFonts w:hint="eastAsia" w:ascii="宋体" w:hAnsi="宋体" w:eastAsia="宋体" w:cs="宋体"/>
          <w:b/>
          <w:bCs/>
          <w:sz w:val="24"/>
        </w:rPr>
        <w:t>三</w:t>
      </w:r>
      <w:r>
        <w:rPr>
          <w:rFonts w:hint="eastAsia" w:ascii="宋体" w:hAnsi="宋体" w:eastAsia="宋体" w:cs="宋体"/>
          <w:b/>
          <w:bCs/>
          <w:sz w:val="24"/>
          <w:highlight w:val="none"/>
        </w:rPr>
        <w:t>、</w:t>
      </w:r>
      <w:r>
        <w:rPr>
          <w:rFonts w:hint="eastAsia" w:ascii="宋体" w:hAnsi="宋体" w:eastAsia="宋体" w:cs="宋体"/>
          <w:b/>
          <w:bCs/>
          <w:color w:val="000000"/>
          <w:sz w:val="24"/>
          <w:highlight w:val="none"/>
        </w:rPr>
        <w:t>获取磋商文件</w:t>
      </w:r>
    </w:p>
    <w:p w14:paraId="006FDD6D">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时间：202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eastAsia="zh-CN"/>
        </w:rPr>
        <w:t>0</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02</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rPr>
        <w:t>至202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年0</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09</w:t>
      </w:r>
      <w:r>
        <w:rPr>
          <w:rFonts w:hint="eastAsia" w:ascii="宋体" w:hAnsi="宋体" w:eastAsia="宋体" w:cs="宋体"/>
          <w:color w:val="000000"/>
          <w:sz w:val="24"/>
          <w:highlight w:val="none"/>
        </w:rPr>
        <w:t>日</w:t>
      </w:r>
      <w:r>
        <w:rPr>
          <w:rFonts w:hint="eastAsia" w:ascii="宋体" w:hAnsi="宋体" w:cs="宋体"/>
          <w:color w:val="000000"/>
          <w:sz w:val="24"/>
          <w:highlight w:val="none"/>
          <w:lang w:val="en-US" w:eastAsia="zh-CN"/>
        </w:rPr>
        <w:t>23</w:t>
      </w:r>
      <w:r>
        <w:rPr>
          <w:rFonts w:hint="eastAsia" w:ascii="宋体" w:hAnsi="宋体" w:eastAsia="宋体" w:cs="宋体"/>
          <w:color w:val="000000"/>
          <w:sz w:val="24"/>
          <w:highlight w:val="none"/>
        </w:rPr>
        <w:t>时</w:t>
      </w:r>
      <w:r>
        <w:rPr>
          <w:rFonts w:hint="eastAsia" w:ascii="宋体" w:hAnsi="宋体" w:cs="宋体"/>
          <w:color w:val="000000"/>
          <w:sz w:val="24"/>
          <w:highlight w:val="none"/>
          <w:lang w:val="en-US" w:eastAsia="zh-CN"/>
        </w:rPr>
        <w:t>59</w:t>
      </w:r>
      <w:r>
        <w:rPr>
          <w:rFonts w:hint="eastAsia" w:ascii="宋体" w:hAnsi="宋体" w:eastAsia="宋体" w:cs="宋体"/>
          <w:color w:val="000000"/>
          <w:sz w:val="24"/>
          <w:highlight w:val="none"/>
        </w:rPr>
        <w:t>分；（北京时间，法定节假日除外）</w:t>
      </w:r>
    </w:p>
    <w:p w14:paraId="2DD0275B">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地点：山西省政府采购网平台线上获取</w:t>
      </w:r>
    </w:p>
    <w:p w14:paraId="43E56265">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方式：只允许在线获取</w:t>
      </w:r>
    </w:p>
    <w:p w14:paraId="6203093D">
      <w:pPr>
        <w:spacing w:line="5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售价（元）：</w:t>
      </w:r>
      <w:r>
        <w:rPr>
          <w:rFonts w:hint="eastAsia" w:ascii="宋体" w:hAnsi="宋体" w:cs="宋体"/>
          <w:color w:val="000000"/>
          <w:sz w:val="24"/>
          <w:highlight w:val="none"/>
          <w:lang w:val="en-US" w:eastAsia="zh-CN"/>
        </w:rPr>
        <w:t>0</w:t>
      </w:r>
      <w:r>
        <w:rPr>
          <w:rFonts w:hint="eastAsia" w:ascii="宋体" w:hAnsi="宋体" w:eastAsia="宋体" w:cs="宋体"/>
          <w:color w:val="000000"/>
          <w:sz w:val="24"/>
          <w:highlight w:val="none"/>
          <w:lang w:val="en-US" w:eastAsia="zh-CN"/>
        </w:rPr>
        <w:t xml:space="preserve">     </w:t>
      </w:r>
    </w:p>
    <w:p w14:paraId="0F3AC8F0">
      <w:pPr>
        <w:spacing w:line="50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四、响应文件提交</w:t>
      </w:r>
    </w:p>
    <w:p w14:paraId="22BBEF0D">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截止时间：</w:t>
      </w:r>
      <w:r>
        <w:rPr>
          <w:rFonts w:hint="eastAsia" w:ascii="宋体" w:hAnsi="宋体" w:eastAsia="宋体" w:cs="宋体"/>
          <w:color w:val="000000"/>
          <w:sz w:val="24"/>
          <w:highlight w:val="none"/>
          <w:lang w:eastAsia="zh-CN"/>
        </w:rPr>
        <w:t>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lang w:eastAsia="zh-CN"/>
        </w:rPr>
        <w:t>年0</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eastAsia="zh-CN"/>
        </w:rPr>
        <w:t>日</w:t>
      </w:r>
      <w:r>
        <w:rPr>
          <w:rFonts w:hint="eastAsia" w:ascii="宋体" w:hAnsi="宋体" w:cs="宋体"/>
          <w:color w:val="000000"/>
          <w:sz w:val="24"/>
          <w:highlight w:val="none"/>
          <w:lang w:val="en-US" w:eastAsia="zh-CN"/>
        </w:rPr>
        <w:t>09</w:t>
      </w:r>
      <w:r>
        <w:rPr>
          <w:rFonts w:hint="eastAsia" w:ascii="宋体" w:hAnsi="宋体" w:eastAsia="宋体" w:cs="宋体"/>
          <w:color w:val="000000"/>
          <w:sz w:val="24"/>
          <w:highlight w:val="none"/>
          <w:lang w:eastAsia="zh-CN"/>
        </w:rPr>
        <w:t>时</w:t>
      </w:r>
      <w:r>
        <w:rPr>
          <w:rFonts w:hint="eastAsia" w:ascii="宋体" w:hAnsi="宋体" w:cs="宋体"/>
          <w:color w:val="000000"/>
          <w:sz w:val="24"/>
          <w:highlight w:val="none"/>
          <w:lang w:val="en-US" w:eastAsia="zh-CN"/>
        </w:rPr>
        <w:t>30</w:t>
      </w:r>
      <w:r>
        <w:rPr>
          <w:rFonts w:hint="eastAsia" w:ascii="宋体" w:hAnsi="宋体" w:eastAsia="宋体" w:cs="宋体"/>
          <w:color w:val="000000"/>
          <w:sz w:val="24"/>
          <w:highlight w:val="none"/>
          <w:lang w:eastAsia="zh-CN"/>
        </w:rPr>
        <w:t>分</w:t>
      </w:r>
      <w:r>
        <w:rPr>
          <w:rFonts w:hint="eastAsia" w:ascii="宋体" w:hAnsi="宋体" w:eastAsia="宋体" w:cs="宋体"/>
          <w:color w:val="000000"/>
          <w:sz w:val="24"/>
          <w:highlight w:val="none"/>
        </w:rPr>
        <w:t>（北京时间）</w:t>
      </w:r>
    </w:p>
    <w:p w14:paraId="08330F8E">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地点：请登录山西省政府采购网投标客户端投标</w:t>
      </w:r>
    </w:p>
    <w:p w14:paraId="5C46F9FA">
      <w:pPr>
        <w:spacing w:line="50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五、响应文件开启</w:t>
      </w:r>
    </w:p>
    <w:p w14:paraId="4B28A1F5">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开启时间：</w:t>
      </w:r>
      <w:r>
        <w:rPr>
          <w:rFonts w:hint="eastAsia" w:ascii="宋体" w:hAnsi="宋体" w:eastAsia="宋体" w:cs="宋体"/>
          <w:color w:val="000000"/>
          <w:sz w:val="24"/>
          <w:highlight w:val="none"/>
          <w:lang w:eastAsia="zh-CN"/>
        </w:rPr>
        <w:t>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lang w:eastAsia="zh-CN"/>
        </w:rPr>
        <w:t>年0</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eastAsia="zh-CN"/>
        </w:rPr>
        <w:t>日</w:t>
      </w:r>
      <w:r>
        <w:rPr>
          <w:rFonts w:hint="eastAsia" w:ascii="宋体" w:hAnsi="宋体" w:cs="宋体"/>
          <w:color w:val="000000"/>
          <w:sz w:val="24"/>
          <w:highlight w:val="none"/>
          <w:lang w:val="en-US" w:eastAsia="zh-CN"/>
        </w:rPr>
        <w:t>09</w:t>
      </w:r>
      <w:r>
        <w:rPr>
          <w:rFonts w:hint="eastAsia" w:ascii="宋体" w:hAnsi="宋体" w:eastAsia="宋体" w:cs="宋体"/>
          <w:color w:val="000000"/>
          <w:sz w:val="24"/>
          <w:highlight w:val="none"/>
          <w:lang w:eastAsia="zh-CN"/>
        </w:rPr>
        <w:t>时</w:t>
      </w:r>
      <w:r>
        <w:rPr>
          <w:rFonts w:hint="eastAsia" w:ascii="宋体" w:hAnsi="宋体" w:cs="宋体"/>
          <w:color w:val="000000"/>
          <w:sz w:val="24"/>
          <w:highlight w:val="none"/>
          <w:lang w:val="en-US" w:eastAsia="zh-CN"/>
        </w:rPr>
        <w:t>30</w:t>
      </w:r>
      <w:r>
        <w:rPr>
          <w:rFonts w:hint="eastAsia" w:ascii="宋体" w:hAnsi="宋体" w:eastAsia="宋体" w:cs="宋体"/>
          <w:color w:val="000000"/>
          <w:sz w:val="24"/>
          <w:highlight w:val="none"/>
          <w:lang w:eastAsia="zh-CN"/>
        </w:rPr>
        <w:t>分</w:t>
      </w:r>
      <w:r>
        <w:rPr>
          <w:rFonts w:hint="eastAsia" w:ascii="宋体" w:hAnsi="宋体" w:eastAsia="宋体" w:cs="宋体"/>
          <w:color w:val="000000"/>
          <w:sz w:val="24"/>
          <w:highlight w:val="none"/>
        </w:rPr>
        <w:t>（北京时间）</w:t>
      </w:r>
    </w:p>
    <w:p w14:paraId="401BE7AC">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地点：山西众标项目管理有限公司会议室</w:t>
      </w:r>
    </w:p>
    <w:p w14:paraId="15C9E837">
      <w:pPr>
        <w:spacing w:line="50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六、公告期限</w:t>
      </w:r>
    </w:p>
    <w:p w14:paraId="3F5858E5">
      <w:pPr>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自本公告发布之日起</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个工作日</w:t>
      </w:r>
    </w:p>
    <w:p w14:paraId="0B009F1F">
      <w:pPr>
        <w:spacing w:line="50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七、其他补充事宜</w:t>
      </w:r>
    </w:p>
    <w:p w14:paraId="54027B6A">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1、针对本项目的质疑需一次性提出，多次提出将不予受理。未按本项目公告规定获取磋商文件的潜在</w:t>
      </w:r>
      <w:r>
        <w:rPr>
          <w:rFonts w:hint="eastAsia" w:ascii="宋体" w:hAnsi="宋体" w:eastAsia="宋体" w:cs="宋体"/>
          <w:color w:val="000000"/>
          <w:sz w:val="24"/>
          <w:lang w:eastAsia="zh-CN"/>
        </w:rPr>
        <w:t>供应商</w:t>
      </w:r>
      <w:r>
        <w:rPr>
          <w:rFonts w:hint="eastAsia" w:ascii="宋体" w:hAnsi="宋体" w:eastAsia="宋体" w:cs="宋体"/>
          <w:color w:val="000000"/>
          <w:sz w:val="24"/>
        </w:rPr>
        <w:t>不得对磋商文件提出质疑。</w:t>
      </w:r>
    </w:p>
    <w:p w14:paraId="3351124E">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2、其他事项：</w:t>
      </w:r>
    </w:p>
    <w:p w14:paraId="09697298">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2.1公告发布媒介：山西政府采购网（http://www.ccgp-shanxi.gov.cn/home.html）</w:t>
      </w:r>
    </w:p>
    <w:p w14:paraId="0F030524">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2.2在线投标响应（电子投标）说明：</w:t>
      </w:r>
    </w:p>
    <w:p w14:paraId="42FC6179">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1）本项目采用电子化交易：电子化交易流程操作指南：“山西省政府采购网&gt;办事指南&gt;下载专区”获取；</w:t>
      </w:r>
    </w:p>
    <w:p w14:paraId="6B2BF445">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供应商</w:t>
      </w:r>
      <w:r>
        <w:rPr>
          <w:rFonts w:hint="eastAsia" w:ascii="宋体" w:hAnsi="宋体" w:eastAsia="宋体" w:cs="宋体"/>
          <w:color w:val="000000"/>
          <w:sz w:val="24"/>
        </w:rPr>
        <w:t>应在提交响应文件前完成CA数字证书办理。（办理事项详见“山西省政府采购网&gt;办事指南&gt;下载专区”）；</w:t>
      </w:r>
    </w:p>
    <w:p w14:paraId="3226D3F7">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eastAsia="zh-CN"/>
        </w:rPr>
        <w:t>供应商</w:t>
      </w:r>
      <w:r>
        <w:rPr>
          <w:rFonts w:hint="eastAsia" w:ascii="宋体" w:hAnsi="宋体" w:eastAsia="宋体" w:cs="宋体"/>
          <w:color w:val="000000"/>
          <w:sz w:val="24"/>
        </w:rPr>
        <w:t>应安装“山西政府采购平台电子投标客户端”，请</w:t>
      </w:r>
      <w:r>
        <w:rPr>
          <w:rFonts w:hint="eastAsia" w:ascii="宋体" w:hAnsi="宋体" w:eastAsia="宋体" w:cs="宋体"/>
          <w:color w:val="000000"/>
          <w:sz w:val="24"/>
          <w:lang w:eastAsia="zh-CN"/>
        </w:rPr>
        <w:t>供应商</w:t>
      </w:r>
      <w:r>
        <w:rPr>
          <w:rFonts w:hint="eastAsia" w:ascii="宋体" w:hAnsi="宋体" w:eastAsia="宋体" w:cs="宋体"/>
          <w:color w:val="000000"/>
          <w:sz w:val="24"/>
        </w:rPr>
        <w:t>自行前往“山西省政府采购网&gt;办事指南&gt;下载专区”获取并安装。</w:t>
      </w:r>
    </w:p>
    <w:p w14:paraId="03D8D597">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4）如有疑问，可致电技术支持热线：95763.</w:t>
      </w:r>
    </w:p>
    <w:p w14:paraId="7E104DFB">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2.3开标时间起30分钟内</w:t>
      </w:r>
      <w:r>
        <w:rPr>
          <w:rFonts w:hint="eastAsia" w:ascii="宋体" w:hAnsi="宋体" w:eastAsia="宋体" w:cs="宋体"/>
          <w:color w:val="000000"/>
          <w:sz w:val="24"/>
          <w:lang w:eastAsia="zh-CN"/>
        </w:rPr>
        <w:t>供应商</w:t>
      </w:r>
      <w:r>
        <w:rPr>
          <w:rFonts w:hint="eastAsia" w:ascii="宋体" w:hAnsi="宋体" w:eastAsia="宋体" w:cs="宋体"/>
          <w:color w:val="000000"/>
          <w:sz w:val="24"/>
        </w:rPr>
        <w:t>可登陆“山西政府采购平台”，在“项目采购&gt;开评标”模块对响应文件进行在线解密。若在规定时间内响应文件无法解密或解密失败，则投标无效。</w:t>
      </w:r>
    </w:p>
    <w:p w14:paraId="57835A04">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2.4成交</w:t>
      </w:r>
      <w:r>
        <w:rPr>
          <w:rFonts w:hint="eastAsia" w:ascii="宋体" w:hAnsi="宋体" w:eastAsia="宋体" w:cs="宋体"/>
          <w:color w:val="000000"/>
          <w:sz w:val="24"/>
          <w:lang w:eastAsia="zh-CN"/>
        </w:rPr>
        <w:t>供应商</w:t>
      </w:r>
      <w:r>
        <w:rPr>
          <w:rFonts w:hint="eastAsia" w:ascii="宋体" w:hAnsi="宋体" w:eastAsia="宋体" w:cs="宋体"/>
          <w:color w:val="000000"/>
          <w:sz w:val="24"/>
        </w:rPr>
        <w:t>应在合同签订前完成山西省政府采购网全部注册步骤并成为正式</w:t>
      </w:r>
      <w:r>
        <w:rPr>
          <w:rFonts w:hint="eastAsia" w:ascii="宋体" w:hAnsi="宋体" w:eastAsia="宋体" w:cs="宋体"/>
          <w:color w:val="000000"/>
          <w:sz w:val="24"/>
          <w:lang w:eastAsia="zh-CN"/>
        </w:rPr>
        <w:t>供应商</w:t>
      </w:r>
      <w:r>
        <w:rPr>
          <w:rFonts w:hint="eastAsia" w:ascii="宋体" w:hAnsi="宋体" w:eastAsia="宋体" w:cs="宋体"/>
          <w:color w:val="000000"/>
          <w:sz w:val="24"/>
        </w:rPr>
        <w:t>。</w:t>
      </w:r>
    </w:p>
    <w:p w14:paraId="5C19FC14">
      <w:pPr>
        <w:spacing w:line="5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val="en-US" w:eastAsia="zh-CN"/>
        </w:rPr>
        <w:t>2.5各供应商可参与多包，最终只允许成交其中一个包。</w:t>
      </w:r>
    </w:p>
    <w:p w14:paraId="6D3BDBAB">
      <w:pPr>
        <w:spacing w:line="50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八、凡对本次采购提出询问，请按以下方式联系</w:t>
      </w:r>
    </w:p>
    <w:p w14:paraId="6ABBE915">
      <w:pPr>
        <w:spacing w:line="500" w:lineRule="exact"/>
        <w:ind w:firstLine="560"/>
        <w:jc w:val="left"/>
        <w:rPr>
          <w:rFonts w:hint="eastAsia" w:ascii="宋体" w:hAnsi="宋体" w:eastAsia="宋体" w:cs="宋体"/>
          <w:sz w:val="24"/>
        </w:rPr>
      </w:pPr>
      <w:r>
        <w:rPr>
          <w:rFonts w:hint="eastAsia" w:ascii="宋体" w:hAnsi="宋体" w:eastAsia="宋体" w:cs="宋体"/>
          <w:sz w:val="24"/>
        </w:rPr>
        <w:t>1.采购人信息</w:t>
      </w:r>
    </w:p>
    <w:p w14:paraId="2CD4B143">
      <w:pPr>
        <w:spacing w:line="500" w:lineRule="exact"/>
        <w:ind w:firstLine="560"/>
        <w:jc w:val="left"/>
        <w:rPr>
          <w:rFonts w:hint="eastAsia" w:ascii="宋体" w:hAnsi="宋体" w:eastAsia="宋体" w:cs="宋体"/>
          <w:sz w:val="24"/>
          <w:lang w:eastAsia="zh-CN"/>
        </w:rPr>
      </w:pPr>
      <w:r>
        <w:rPr>
          <w:rFonts w:hint="eastAsia" w:ascii="宋体" w:hAnsi="宋体" w:eastAsia="宋体" w:cs="宋体"/>
          <w:sz w:val="24"/>
          <w:lang w:eastAsia="zh-CN"/>
        </w:rPr>
        <w:t>名 称：长子县机关事务服务中心</w:t>
      </w:r>
    </w:p>
    <w:p w14:paraId="178041FB">
      <w:pPr>
        <w:spacing w:line="500" w:lineRule="exact"/>
        <w:ind w:firstLine="560"/>
        <w:jc w:val="left"/>
        <w:rPr>
          <w:rFonts w:hint="eastAsia" w:ascii="宋体" w:hAnsi="宋体" w:eastAsia="宋体" w:cs="宋体"/>
          <w:sz w:val="24"/>
          <w:lang w:eastAsia="zh-CN"/>
        </w:rPr>
      </w:pPr>
      <w:r>
        <w:rPr>
          <w:rFonts w:hint="eastAsia" w:ascii="宋体" w:hAnsi="宋体" w:eastAsia="宋体" w:cs="宋体"/>
          <w:sz w:val="24"/>
          <w:lang w:eastAsia="zh-CN"/>
        </w:rPr>
        <w:t>地 址：山西省长子县钟楼街1号</w:t>
      </w:r>
    </w:p>
    <w:p w14:paraId="360D789A">
      <w:pPr>
        <w:spacing w:line="500" w:lineRule="exact"/>
        <w:ind w:firstLine="560"/>
        <w:jc w:val="left"/>
        <w:rPr>
          <w:rFonts w:hint="eastAsia" w:ascii="宋体" w:hAnsi="宋体" w:eastAsia="宋体" w:cs="宋体"/>
          <w:sz w:val="24"/>
          <w:lang w:val="en-US" w:eastAsia="zh-CN"/>
        </w:rPr>
      </w:pPr>
      <w:r>
        <w:rPr>
          <w:rFonts w:hint="eastAsia" w:ascii="宋体" w:hAnsi="宋体" w:eastAsia="宋体" w:cs="宋体"/>
          <w:sz w:val="24"/>
          <w:lang w:eastAsia="zh-CN"/>
        </w:rPr>
        <w:t>联系人：</w:t>
      </w:r>
      <w:r>
        <w:rPr>
          <w:rFonts w:hint="eastAsia" w:ascii="宋体" w:hAnsi="宋体" w:eastAsia="宋体" w:cs="宋体"/>
          <w:sz w:val="24"/>
          <w:lang w:val="en-US" w:eastAsia="zh-CN"/>
        </w:rPr>
        <w:t>韩女士</w:t>
      </w:r>
    </w:p>
    <w:p w14:paraId="5E3CBB83">
      <w:pPr>
        <w:spacing w:line="500" w:lineRule="exact"/>
        <w:ind w:firstLine="560"/>
        <w:jc w:val="left"/>
        <w:rPr>
          <w:rFonts w:hint="eastAsia" w:ascii="宋体" w:hAnsi="宋体" w:eastAsia="宋体" w:cs="宋体"/>
          <w:sz w:val="24"/>
          <w:lang w:eastAsia="zh-CN"/>
        </w:rPr>
      </w:pPr>
      <w:r>
        <w:rPr>
          <w:rFonts w:hint="eastAsia" w:ascii="宋体" w:hAnsi="宋体" w:eastAsia="宋体" w:cs="宋体"/>
          <w:sz w:val="24"/>
          <w:lang w:eastAsia="zh-CN"/>
        </w:rPr>
        <w:t>联系方式：0355-8326613</w:t>
      </w:r>
    </w:p>
    <w:p w14:paraId="5BE0AA5B">
      <w:pPr>
        <w:snapToGrid w:val="0"/>
        <w:spacing w:line="500" w:lineRule="exact"/>
        <w:ind w:firstLine="480" w:firstLineChars="200"/>
        <w:rPr>
          <w:rFonts w:hint="eastAsia" w:ascii="宋体" w:hAnsi="宋体" w:eastAsia="宋体" w:cs="宋体"/>
          <w:sz w:val="24"/>
          <w:szCs w:val="28"/>
          <w:lang w:val="zh-CN"/>
        </w:rPr>
      </w:pPr>
      <w:r>
        <w:rPr>
          <w:rFonts w:hint="eastAsia" w:ascii="宋体" w:hAnsi="宋体" w:eastAsia="宋体" w:cs="宋体"/>
          <w:sz w:val="24"/>
          <w:szCs w:val="28"/>
          <w:lang w:val="zh-CN"/>
        </w:rPr>
        <w:t>2.采购代理机构信息</w:t>
      </w:r>
    </w:p>
    <w:p w14:paraId="2C7A8047">
      <w:pPr>
        <w:snapToGrid w:val="0"/>
        <w:spacing w:line="500" w:lineRule="exact"/>
        <w:ind w:firstLine="480" w:firstLineChars="200"/>
        <w:rPr>
          <w:rFonts w:hint="eastAsia" w:ascii="宋体" w:hAnsi="宋体" w:eastAsia="宋体" w:cs="宋体"/>
          <w:sz w:val="24"/>
          <w:szCs w:val="28"/>
          <w:lang w:val="zh-CN"/>
        </w:rPr>
      </w:pPr>
      <w:r>
        <w:rPr>
          <w:rFonts w:hint="eastAsia" w:ascii="宋体" w:hAnsi="宋体" w:eastAsia="宋体" w:cs="宋体"/>
          <w:sz w:val="24"/>
          <w:szCs w:val="28"/>
          <w:lang w:val="zh-CN"/>
        </w:rPr>
        <w:t>名    称：山西众标项目管理有限公司</w:t>
      </w:r>
    </w:p>
    <w:p w14:paraId="51DDF227">
      <w:pPr>
        <w:snapToGrid w:val="0"/>
        <w:spacing w:line="500" w:lineRule="exact"/>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zh-CN"/>
        </w:rPr>
        <w:t>地    址：</w:t>
      </w:r>
      <w:r>
        <w:rPr>
          <w:rFonts w:hint="eastAsia" w:ascii="宋体" w:hAnsi="宋体" w:eastAsia="宋体" w:cs="宋体"/>
          <w:sz w:val="24"/>
          <w:szCs w:val="28"/>
          <w:lang w:val="en-US" w:eastAsia="zh-CN"/>
        </w:rPr>
        <w:t>山西省长治市长治高新技术产业开发区老顶山物流园清控太行云谷33栋1号房</w:t>
      </w:r>
    </w:p>
    <w:p w14:paraId="528397E0">
      <w:pPr>
        <w:snapToGrid w:val="0"/>
        <w:spacing w:line="500" w:lineRule="exact"/>
        <w:ind w:firstLine="480" w:firstLineChars="200"/>
        <w:rPr>
          <w:rFonts w:hint="eastAsia" w:ascii="宋体" w:hAnsi="宋体" w:eastAsia="宋体" w:cs="宋体"/>
          <w:sz w:val="24"/>
          <w:szCs w:val="28"/>
          <w:lang w:val="zh-CN"/>
        </w:rPr>
      </w:pPr>
      <w:r>
        <w:rPr>
          <w:rFonts w:hint="eastAsia" w:ascii="宋体" w:hAnsi="宋体" w:eastAsia="宋体" w:cs="宋体"/>
          <w:sz w:val="24"/>
          <w:szCs w:val="28"/>
          <w:lang w:val="zh-CN"/>
        </w:rPr>
        <w:t>联系方式：0355-7469666</w:t>
      </w:r>
    </w:p>
    <w:p w14:paraId="3F948F26">
      <w:pPr>
        <w:snapToGrid w:val="0"/>
        <w:spacing w:line="500" w:lineRule="exact"/>
        <w:ind w:firstLine="480" w:firstLineChars="200"/>
        <w:rPr>
          <w:rFonts w:hint="eastAsia" w:ascii="宋体" w:hAnsi="宋体" w:eastAsia="宋体" w:cs="宋体"/>
          <w:sz w:val="24"/>
          <w:szCs w:val="28"/>
          <w:lang w:val="zh-CN"/>
        </w:rPr>
      </w:pPr>
      <w:r>
        <w:rPr>
          <w:rFonts w:hint="eastAsia" w:ascii="宋体" w:hAnsi="宋体" w:eastAsia="宋体" w:cs="宋体"/>
          <w:sz w:val="24"/>
          <w:szCs w:val="28"/>
          <w:lang w:val="zh-CN"/>
        </w:rPr>
        <w:t>3、项目联系方式</w:t>
      </w:r>
    </w:p>
    <w:p w14:paraId="7797C65F">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zh-CN"/>
        </w:rPr>
        <w:t>联 系 人：</w:t>
      </w:r>
      <w:r>
        <w:rPr>
          <w:rFonts w:hint="eastAsia" w:ascii="宋体" w:hAnsi="宋体" w:eastAsia="宋体" w:cs="宋体"/>
          <w:sz w:val="24"/>
          <w:szCs w:val="28"/>
          <w:lang w:val="en-US" w:eastAsia="zh-CN"/>
        </w:rPr>
        <w:t>杨先生</w:t>
      </w:r>
    </w:p>
    <w:p w14:paraId="18A536C7">
      <w:pPr>
        <w:snapToGrid w:val="0"/>
        <w:spacing w:line="500" w:lineRule="exact"/>
        <w:ind w:firstLine="480" w:firstLineChars="200"/>
        <w:rPr>
          <w:rFonts w:hint="eastAsia" w:ascii="宋体" w:hAnsi="宋体" w:eastAsia="宋体" w:cs="宋体"/>
          <w:sz w:val="24"/>
          <w:szCs w:val="28"/>
          <w:lang w:val="zh-CN"/>
        </w:rPr>
      </w:pPr>
      <w:r>
        <w:rPr>
          <w:rFonts w:hint="eastAsia" w:ascii="宋体" w:hAnsi="宋体" w:eastAsia="宋体" w:cs="宋体"/>
          <w:sz w:val="24"/>
          <w:szCs w:val="28"/>
          <w:lang w:val="zh-CN"/>
        </w:rPr>
        <w:t>联系电话：0355-7469666</w:t>
      </w:r>
    </w:p>
    <w:p w14:paraId="636A00AF">
      <w:pPr>
        <w:pStyle w:val="3"/>
        <w:tabs>
          <w:tab w:val="left" w:pos="1100"/>
        </w:tabs>
        <w:jc w:val="left"/>
        <w:rPr>
          <w:rFonts w:hint="eastAsia" w:ascii="宋体" w:hAnsi="宋体" w:eastAsia="宋体" w:cs="宋体"/>
          <w:lang w:eastAsia="zh-CN"/>
        </w:rPr>
      </w:pPr>
    </w:p>
    <w:p w14:paraId="326EA323">
      <w:pPr>
        <w:rPr>
          <w:rFonts w:hint="eastAsia" w:ascii="宋体" w:hAnsi="宋体" w:eastAsia="宋体" w:cs="宋体"/>
          <w:lang w:eastAsia="zh-CN"/>
        </w:rPr>
      </w:pPr>
    </w:p>
    <w:p w14:paraId="19192E3E">
      <w:pPr>
        <w:pStyle w:val="3"/>
        <w:jc w:val="center"/>
        <w:rPr>
          <w:rFonts w:hint="eastAsia" w:ascii="宋体" w:hAnsi="宋体" w:eastAsia="宋体" w:cs="宋体"/>
        </w:rPr>
      </w:pPr>
    </w:p>
    <w:p w14:paraId="330DF5BC">
      <w:pPr>
        <w:bidi w:val="0"/>
        <w:rPr>
          <w:rFonts w:hint="eastAsia" w:ascii="宋体" w:hAnsi="宋体" w:eastAsia="宋体" w:cs="宋体"/>
        </w:rPr>
      </w:pPr>
    </w:p>
    <w:p w14:paraId="43767A29">
      <w:pPr>
        <w:bidi w:val="0"/>
        <w:rPr>
          <w:rFonts w:hint="eastAsia" w:ascii="宋体" w:hAnsi="宋体" w:eastAsia="宋体" w:cs="宋体"/>
        </w:rPr>
      </w:pPr>
    </w:p>
    <w:p w14:paraId="0A01D1BE">
      <w:pPr>
        <w:bidi w:val="0"/>
        <w:rPr>
          <w:rFonts w:hint="eastAsia" w:ascii="宋体" w:hAnsi="宋体" w:eastAsia="宋体" w:cs="宋体"/>
        </w:rPr>
      </w:pPr>
    </w:p>
    <w:p w14:paraId="65A64530">
      <w:pPr>
        <w:bidi w:val="0"/>
        <w:rPr>
          <w:rFonts w:hint="eastAsia" w:ascii="宋体" w:hAnsi="宋体" w:eastAsia="宋体" w:cs="宋体"/>
        </w:rPr>
      </w:pPr>
    </w:p>
    <w:p w14:paraId="31CA7E1B">
      <w:pPr>
        <w:rPr>
          <w:rFonts w:hint="eastAsia" w:ascii="宋体" w:hAnsi="宋体" w:eastAsia="宋体" w:cs="宋体"/>
          <w:b/>
          <w:bCs/>
          <w:sz w:val="36"/>
          <w:szCs w:val="44"/>
        </w:rPr>
      </w:pPr>
      <w:r>
        <w:rPr>
          <w:rFonts w:hint="eastAsia" w:ascii="宋体" w:hAnsi="宋体" w:eastAsia="宋体" w:cs="宋体"/>
          <w:b/>
          <w:bCs/>
          <w:sz w:val="36"/>
          <w:szCs w:val="44"/>
        </w:rPr>
        <w:br w:type="page"/>
      </w:r>
    </w:p>
    <w:p w14:paraId="7201CCC8">
      <w:pPr>
        <w:bidi w:val="0"/>
        <w:jc w:val="center"/>
        <w:rPr>
          <w:rFonts w:hint="eastAsia" w:ascii="宋体" w:hAnsi="宋体" w:eastAsia="宋体" w:cs="宋体"/>
          <w:b/>
          <w:bCs/>
          <w:sz w:val="36"/>
          <w:szCs w:val="44"/>
        </w:rPr>
      </w:pPr>
      <w:r>
        <w:rPr>
          <w:rFonts w:hint="eastAsia" w:ascii="宋体" w:hAnsi="宋体" w:eastAsia="宋体" w:cs="宋体"/>
          <w:b/>
          <w:bCs/>
          <w:sz w:val="36"/>
          <w:szCs w:val="44"/>
        </w:rPr>
        <w:t>第二部分  供应商须知前附表</w:t>
      </w:r>
      <w:bookmarkEnd w:id="14"/>
    </w:p>
    <w:tbl>
      <w:tblPr>
        <w:tblStyle w:val="22"/>
        <w:tblW w:w="5126" w:type="pct"/>
        <w:tblInd w:w="0" w:type="dxa"/>
        <w:tblLayout w:type="autofit"/>
        <w:tblCellMar>
          <w:top w:w="0" w:type="dxa"/>
          <w:left w:w="108" w:type="dxa"/>
          <w:bottom w:w="0" w:type="dxa"/>
          <w:right w:w="108" w:type="dxa"/>
        </w:tblCellMar>
      </w:tblPr>
      <w:tblGrid>
        <w:gridCol w:w="871"/>
        <w:gridCol w:w="1538"/>
        <w:gridCol w:w="6327"/>
      </w:tblGrid>
      <w:tr w14:paraId="40A8FCE1">
        <w:tblPrEx>
          <w:tblCellMar>
            <w:top w:w="0" w:type="dxa"/>
            <w:left w:w="108" w:type="dxa"/>
            <w:bottom w:w="0" w:type="dxa"/>
            <w:right w:w="108" w:type="dxa"/>
          </w:tblCellMar>
        </w:tblPrEx>
        <w:trPr>
          <w:trHeight w:val="486" w:hRule="atLeast"/>
        </w:trPr>
        <w:tc>
          <w:tcPr>
            <w:tcW w:w="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EC19F1">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序号</w:t>
            </w:r>
          </w:p>
        </w:tc>
        <w:tc>
          <w:tcPr>
            <w:tcW w:w="880" w:type="pct"/>
            <w:tcBorders>
              <w:top w:val="single" w:color="000000" w:sz="8" w:space="0"/>
              <w:left w:val="nil"/>
              <w:bottom w:val="single" w:color="000000" w:sz="8" w:space="0"/>
              <w:right w:val="single" w:color="000000" w:sz="8" w:space="0"/>
            </w:tcBorders>
            <w:shd w:val="clear" w:color="auto" w:fill="auto"/>
            <w:vAlign w:val="center"/>
          </w:tcPr>
          <w:p w14:paraId="019F3774">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 xml:space="preserve">内 容           </w:t>
            </w:r>
          </w:p>
        </w:tc>
        <w:tc>
          <w:tcPr>
            <w:tcW w:w="3620" w:type="pct"/>
            <w:tcBorders>
              <w:top w:val="single" w:color="000000" w:sz="8" w:space="0"/>
              <w:left w:val="nil"/>
              <w:bottom w:val="single" w:color="000000" w:sz="8" w:space="0"/>
              <w:right w:val="single" w:color="000000" w:sz="8" w:space="0"/>
            </w:tcBorders>
            <w:shd w:val="clear" w:color="auto" w:fill="auto"/>
            <w:vAlign w:val="center"/>
          </w:tcPr>
          <w:p w14:paraId="5C995A3E">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说明与要求</w:t>
            </w:r>
          </w:p>
        </w:tc>
      </w:tr>
      <w:tr w14:paraId="3F18F643">
        <w:tblPrEx>
          <w:tblCellMar>
            <w:top w:w="0" w:type="dxa"/>
            <w:left w:w="108" w:type="dxa"/>
            <w:bottom w:w="0" w:type="dxa"/>
            <w:right w:w="108" w:type="dxa"/>
          </w:tblCellMar>
        </w:tblPrEx>
        <w:trPr>
          <w:trHeight w:val="622"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6912A17C">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w:t>
            </w:r>
          </w:p>
        </w:tc>
        <w:tc>
          <w:tcPr>
            <w:tcW w:w="880" w:type="pct"/>
            <w:tcBorders>
              <w:top w:val="nil"/>
              <w:left w:val="nil"/>
              <w:bottom w:val="single" w:color="000000" w:sz="8" w:space="0"/>
              <w:right w:val="single" w:color="000000" w:sz="8" w:space="0"/>
            </w:tcBorders>
            <w:shd w:val="clear" w:color="auto" w:fill="auto"/>
            <w:vAlign w:val="center"/>
          </w:tcPr>
          <w:p w14:paraId="74B7F815">
            <w:pPr>
              <w:widowControl/>
              <w:adjustRightInd w:val="0"/>
              <w:spacing w:line="380" w:lineRule="exact"/>
              <w:jc w:val="left"/>
              <w:textAlignment w:val="baseline"/>
              <w:rPr>
                <w:rFonts w:hint="eastAsia" w:ascii="宋体" w:hAnsi="宋体" w:eastAsia="宋体" w:cs="宋体"/>
                <w:color w:val="000000"/>
                <w:szCs w:val="21"/>
                <w:lang w:val="zh-CN"/>
              </w:rPr>
            </w:pPr>
            <w:r>
              <w:rPr>
                <w:rFonts w:hint="eastAsia" w:ascii="宋体" w:hAnsi="宋体" w:eastAsia="宋体" w:cs="宋体"/>
                <w:color w:val="000000"/>
                <w:szCs w:val="21"/>
              </w:rPr>
              <w:t>项目名称</w:t>
            </w:r>
          </w:p>
        </w:tc>
        <w:tc>
          <w:tcPr>
            <w:tcW w:w="3620" w:type="pct"/>
            <w:tcBorders>
              <w:top w:val="nil"/>
              <w:left w:val="nil"/>
              <w:bottom w:val="single" w:color="000000" w:sz="8" w:space="0"/>
              <w:right w:val="single" w:color="000000" w:sz="8" w:space="0"/>
            </w:tcBorders>
            <w:shd w:val="clear" w:color="auto" w:fill="auto"/>
            <w:vAlign w:val="center"/>
          </w:tcPr>
          <w:p w14:paraId="4BCCD9AE">
            <w:pPr>
              <w:widowControl/>
              <w:adjustRightInd w:val="0"/>
              <w:spacing w:line="380" w:lineRule="exact"/>
              <w:jc w:val="left"/>
              <w:textAlignment w:val="baseline"/>
              <w:rPr>
                <w:rFonts w:hint="eastAsia" w:ascii="宋体" w:hAnsi="宋体" w:eastAsia="宋体" w:cs="宋体"/>
                <w:color w:val="000000"/>
                <w:szCs w:val="21"/>
                <w:lang w:val="zh-CN"/>
              </w:rPr>
            </w:pPr>
            <w:r>
              <w:rPr>
                <w:rFonts w:hint="eastAsia" w:ascii="宋体" w:hAnsi="宋体" w:cs="宋体"/>
                <w:color w:val="000000"/>
                <w:szCs w:val="21"/>
                <w:lang w:val="zh-CN"/>
              </w:rPr>
              <w:t>长子县机关事务服务中心劳务服务采购项目二次</w:t>
            </w:r>
          </w:p>
        </w:tc>
      </w:tr>
      <w:tr w14:paraId="2FFC8840">
        <w:tblPrEx>
          <w:tblCellMar>
            <w:top w:w="0" w:type="dxa"/>
            <w:left w:w="108" w:type="dxa"/>
            <w:bottom w:w="0" w:type="dxa"/>
            <w:right w:w="108" w:type="dxa"/>
          </w:tblCellMar>
        </w:tblPrEx>
        <w:trPr>
          <w:trHeight w:val="566"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529F3B64">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w:t>
            </w:r>
          </w:p>
        </w:tc>
        <w:tc>
          <w:tcPr>
            <w:tcW w:w="880" w:type="pct"/>
            <w:tcBorders>
              <w:top w:val="nil"/>
              <w:left w:val="nil"/>
              <w:bottom w:val="single" w:color="000000" w:sz="8" w:space="0"/>
              <w:right w:val="single" w:color="000000" w:sz="8" w:space="0"/>
            </w:tcBorders>
            <w:shd w:val="clear" w:color="auto" w:fill="auto"/>
            <w:vAlign w:val="center"/>
          </w:tcPr>
          <w:p w14:paraId="4A9CBAB0">
            <w:pPr>
              <w:widowControl/>
              <w:adjustRightInd w:val="0"/>
              <w:spacing w:line="380" w:lineRule="exact"/>
              <w:jc w:val="left"/>
              <w:textAlignment w:val="baseline"/>
              <w:rPr>
                <w:rFonts w:hint="eastAsia" w:ascii="宋体" w:hAnsi="宋体" w:eastAsia="宋体" w:cs="宋体"/>
                <w:color w:val="000000"/>
                <w:szCs w:val="21"/>
                <w:lang w:val="zh-CN"/>
              </w:rPr>
            </w:pPr>
            <w:r>
              <w:rPr>
                <w:rFonts w:hint="eastAsia" w:ascii="宋体" w:hAnsi="宋体" w:eastAsia="宋体" w:cs="宋体"/>
                <w:color w:val="000000"/>
                <w:szCs w:val="21"/>
              </w:rPr>
              <w:t>采购单位</w:t>
            </w:r>
          </w:p>
        </w:tc>
        <w:tc>
          <w:tcPr>
            <w:tcW w:w="3620" w:type="pct"/>
            <w:tcBorders>
              <w:top w:val="nil"/>
              <w:left w:val="nil"/>
              <w:bottom w:val="single" w:color="000000" w:sz="8" w:space="0"/>
              <w:right w:val="single" w:color="000000" w:sz="8" w:space="0"/>
            </w:tcBorders>
            <w:shd w:val="clear" w:color="auto" w:fill="auto"/>
            <w:vAlign w:val="center"/>
          </w:tcPr>
          <w:p w14:paraId="7DD509FD">
            <w:pPr>
              <w:widowControl/>
              <w:adjustRightInd w:val="0"/>
              <w:spacing w:line="380" w:lineRule="exact"/>
              <w:jc w:val="left"/>
              <w:textAlignment w:val="baseline"/>
              <w:rPr>
                <w:rFonts w:hint="eastAsia" w:ascii="宋体" w:hAnsi="宋体" w:eastAsia="宋体" w:cs="宋体"/>
                <w:color w:val="000000"/>
                <w:szCs w:val="21"/>
                <w:lang w:val="zh-CN"/>
              </w:rPr>
            </w:pPr>
            <w:r>
              <w:rPr>
                <w:rFonts w:hint="eastAsia" w:ascii="宋体" w:hAnsi="宋体" w:eastAsia="宋体" w:cs="宋体"/>
                <w:color w:val="000000"/>
                <w:szCs w:val="21"/>
                <w:lang w:val="zh-CN"/>
              </w:rPr>
              <w:t>长子县机关事务服务中心</w:t>
            </w:r>
          </w:p>
        </w:tc>
      </w:tr>
      <w:tr w14:paraId="0001B107">
        <w:tblPrEx>
          <w:tblCellMar>
            <w:top w:w="0" w:type="dxa"/>
            <w:left w:w="108" w:type="dxa"/>
            <w:bottom w:w="0" w:type="dxa"/>
            <w:right w:w="108" w:type="dxa"/>
          </w:tblCellMar>
        </w:tblPrEx>
        <w:trPr>
          <w:trHeight w:val="536"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0EF376A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w:t>
            </w:r>
          </w:p>
        </w:tc>
        <w:tc>
          <w:tcPr>
            <w:tcW w:w="880" w:type="pct"/>
            <w:tcBorders>
              <w:top w:val="nil"/>
              <w:left w:val="nil"/>
              <w:bottom w:val="single" w:color="000000" w:sz="8" w:space="0"/>
              <w:right w:val="single" w:color="000000" w:sz="8" w:space="0"/>
            </w:tcBorders>
            <w:shd w:val="clear" w:color="auto" w:fill="auto"/>
            <w:vAlign w:val="center"/>
          </w:tcPr>
          <w:p w14:paraId="3F3F6E20">
            <w:pPr>
              <w:widowControl/>
              <w:adjustRightInd w:val="0"/>
              <w:spacing w:line="380" w:lineRule="exact"/>
              <w:jc w:val="left"/>
              <w:textAlignment w:val="baseline"/>
              <w:rPr>
                <w:rFonts w:hint="eastAsia" w:ascii="宋体" w:hAnsi="宋体" w:eastAsia="宋体" w:cs="宋体"/>
                <w:color w:val="000000"/>
                <w:szCs w:val="21"/>
                <w:lang w:val="zh-CN"/>
              </w:rPr>
            </w:pPr>
            <w:r>
              <w:rPr>
                <w:rFonts w:hint="eastAsia" w:ascii="宋体" w:hAnsi="宋体" w:eastAsia="宋体" w:cs="宋体"/>
                <w:color w:val="000000"/>
                <w:szCs w:val="21"/>
              </w:rPr>
              <w:t>预算金额</w:t>
            </w:r>
          </w:p>
        </w:tc>
        <w:tc>
          <w:tcPr>
            <w:tcW w:w="3620" w:type="pct"/>
            <w:tcBorders>
              <w:top w:val="nil"/>
              <w:left w:val="nil"/>
              <w:bottom w:val="single" w:color="000000" w:sz="8" w:space="0"/>
              <w:right w:val="single" w:color="000000" w:sz="8" w:space="0"/>
            </w:tcBorders>
            <w:shd w:val="clear" w:color="auto" w:fill="auto"/>
            <w:vAlign w:val="center"/>
          </w:tcPr>
          <w:p w14:paraId="74D1B27A">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lang w:val="en-US" w:eastAsia="zh-CN"/>
              </w:rPr>
              <w:t>863000.00</w:t>
            </w:r>
            <w:r>
              <w:rPr>
                <w:rFonts w:hint="eastAsia" w:ascii="宋体" w:hAnsi="宋体" w:eastAsia="宋体" w:cs="宋体"/>
                <w:color w:val="000000"/>
                <w:szCs w:val="21"/>
              </w:rPr>
              <w:t>元（</w:t>
            </w:r>
            <w:r>
              <w:rPr>
                <w:rFonts w:hint="eastAsia" w:ascii="宋体" w:hAnsi="宋体" w:eastAsia="宋体" w:cs="宋体"/>
                <w:color w:val="000000"/>
                <w:szCs w:val="21"/>
                <w:lang w:val="en-US" w:eastAsia="zh-CN"/>
              </w:rPr>
              <w:t>捌拾陆万叁仟元整</w:t>
            </w:r>
            <w:r>
              <w:rPr>
                <w:rFonts w:hint="eastAsia" w:ascii="宋体" w:hAnsi="宋体" w:eastAsia="宋体" w:cs="宋体"/>
                <w:color w:val="000000"/>
                <w:szCs w:val="21"/>
              </w:rPr>
              <w:t>）</w:t>
            </w:r>
          </w:p>
          <w:p w14:paraId="722E5B98">
            <w:pPr>
              <w:widowControl/>
              <w:adjustRightInd w:val="0"/>
              <w:spacing w:line="380" w:lineRule="exact"/>
              <w:jc w:val="left"/>
              <w:textAlignment w:val="baseline"/>
              <w:rPr>
                <w:rFonts w:hint="eastAsia" w:ascii="宋体" w:hAnsi="宋体" w:eastAsia="宋体" w:cs="宋体"/>
                <w:color w:val="000000"/>
                <w:szCs w:val="21"/>
                <w:lang w:val="zh-CN" w:eastAsia="zh-CN"/>
              </w:rPr>
            </w:pPr>
            <w:r>
              <w:rPr>
                <w:rFonts w:hint="eastAsia" w:ascii="宋体" w:hAnsi="宋体" w:cs="宋体"/>
                <w:color w:val="000000"/>
                <w:szCs w:val="21"/>
                <w:lang w:val="en-US" w:eastAsia="zh-CN"/>
              </w:rPr>
              <w:t>其中：</w:t>
            </w:r>
            <w:r>
              <w:rPr>
                <w:rFonts w:hint="eastAsia" w:ascii="宋体" w:hAnsi="宋体" w:eastAsia="宋体" w:cs="宋体"/>
                <w:color w:val="000000"/>
                <w:szCs w:val="21"/>
                <w:lang w:val="zh-CN" w:eastAsia="zh-CN"/>
              </w:rPr>
              <w:t>包1：450000.00元</w:t>
            </w:r>
            <w:r>
              <w:rPr>
                <w:rFonts w:hint="eastAsia" w:ascii="宋体" w:hAnsi="宋体" w:cs="宋体"/>
                <w:color w:val="000000"/>
                <w:szCs w:val="21"/>
                <w:lang w:val="zh-CN" w:eastAsia="zh-CN"/>
              </w:rPr>
              <w:t>（</w:t>
            </w:r>
            <w:r>
              <w:rPr>
                <w:rFonts w:hint="eastAsia" w:ascii="宋体" w:hAnsi="宋体" w:cs="宋体"/>
                <w:color w:val="000000"/>
                <w:szCs w:val="21"/>
                <w:lang w:val="en-US" w:eastAsia="zh-CN"/>
              </w:rPr>
              <w:t>肆拾伍万元整</w:t>
            </w:r>
            <w:r>
              <w:rPr>
                <w:rFonts w:hint="eastAsia" w:ascii="宋体" w:hAnsi="宋体" w:cs="宋体"/>
                <w:color w:val="000000"/>
                <w:szCs w:val="21"/>
                <w:lang w:val="zh-CN" w:eastAsia="zh-CN"/>
              </w:rPr>
              <w:t>）</w:t>
            </w:r>
          </w:p>
          <w:p w14:paraId="4B88A732">
            <w:pPr>
              <w:widowControl/>
              <w:adjustRightInd w:val="0"/>
              <w:spacing w:line="380" w:lineRule="exact"/>
              <w:ind w:firstLine="630" w:firstLineChars="300"/>
              <w:jc w:val="left"/>
              <w:textAlignment w:val="baseline"/>
              <w:rPr>
                <w:rFonts w:hint="eastAsia" w:ascii="宋体" w:hAnsi="宋体" w:eastAsia="宋体" w:cs="宋体"/>
                <w:color w:val="000000"/>
                <w:szCs w:val="21"/>
                <w:lang w:val="zh-CN"/>
              </w:rPr>
            </w:pPr>
            <w:r>
              <w:rPr>
                <w:rFonts w:hint="eastAsia" w:ascii="宋体" w:hAnsi="宋体" w:eastAsia="宋体" w:cs="宋体"/>
                <w:color w:val="000000"/>
                <w:szCs w:val="21"/>
                <w:lang w:val="zh-CN" w:eastAsia="zh-CN"/>
              </w:rPr>
              <w:t>包2：413000.00元</w:t>
            </w:r>
            <w:r>
              <w:rPr>
                <w:rFonts w:hint="eastAsia" w:ascii="宋体" w:hAnsi="宋体" w:cs="宋体"/>
                <w:color w:val="000000"/>
                <w:szCs w:val="21"/>
                <w:lang w:val="zh-CN" w:eastAsia="zh-CN"/>
              </w:rPr>
              <w:t>（</w:t>
            </w:r>
            <w:r>
              <w:rPr>
                <w:rFonts w:hint="eastAsia" w:ascii="宋体" w:hAnsi="宋体" w:eastAsia="宋体" w:cs="宋体"/>
                <w:color w:val="000000"/>
                <w:szCs w:val="21"/>
                <w:lang w:val="zh-CN" w:eastAsia="zh-CN"/>
              </w:rPr>
              <w:fldChar w:fldCharType="begin"/>
            </w:r>
            <w:r>
              <w:rPr>
                <w:rFonts w:hint="eastAsia" w:ascii="宋体" w:hAnsi="宋体" w:eastAsia="宋体" w:cs="宋体"/>
                <w:color w:val="000000"/>
                <w:szCs w:val="21"/>
                <w:lang w:val="zh-CN" w:eastAsia="zh-CN"/>
              </w:rPr>
              <w:instrText xml:space="preserve"> = 413000 \* CHINESENUM4 \* MERGEFORMAT </w:instrText>
            </w:r>
            <w:r>
              <w:rPr>
                <w:rFonts w:hint="eastAsia" w:ascii="宋体" w:hAnsi="宋体" w:eastAsia="宋体" w:cs="宋体"/>
                <w:color w:val="000000"/>
                <w:szCs w:val="21"/>
                <w:lang w:val="zh-CN" w:eastAsia="zh-CN"/>
              </w:rPr>
              <w:fldChar w:fldCharType="separate"/>
            </w:r>
            <w:r>
              <w:t>肆拾壹万叁仟元整</w:t>
            </w:r>
            <w:r>
              <w:rPr>
                <w:rFonts w:hint="eastAsia" w:ascii="宋体" w:hAnsi="宋体" w:eastAsia="宋体" w:cs="宋体"/>
                <w:color w:val="000000"/>
                <w:szCs w:val="21"/>
                <w:lang w:val="zh-CN" w:eastAsia="zh-CN"/>
              </w:rPr>
              <w:fldChar w:fldCharType="end"/>
            </w:r>
            <w:r>
              <w:rPr>
                <w:rFonts w:hint="eastAsia" w:ascii="宋体" w:hAnsi="宋体" w:cs="宋体"/>
                <w:color w:val="000000"/>
                <w:szCs w:val="21"/>
                <w:lang w:val="zh-CN" w:eastAsia="zh-CN"/>
              </w:rPr>
              <w:t>）</w:t>
            </w:r>
          </w:p>
        </w:tc>
      </w:tr>
      <w:tr w14:paraId="2C7A1122">
        <w:tblPrEx>
          <w:tblCellMar>
            <w:top w:w="0" w:type="dxa"/>
            <w:left w:w="108" w:type="dxa"/>
            <w:bottom w:w="0" w:type="dxa"/>
            <w:right w:w="108" w:type="dxa"/>
          </w:tblCellMar>
        </w:tblPrEx>
        <w:trPr>
          <w:trHeight w:val="436" w:hRule="atLeast"/>
        </w:trPr>
        <w:tc>
          <w:tcPr>
            <w:tcW w:w="499" w:type="pct"/>
            <w:vMerge w:val="restart"/>
            <w:tcBorders>
              <w:top w:val="nil"/>
              <w:left w:val="single" w:color="000000" w:sz="8" w:space="0"/>
              <w:bottom w:val="single" w:color="000000" w:sz="8" w:space="0"/>
              <w:right w:val="single" w:color="000000" w:sz="8" w:space="0"/>
            </w:tcBorders>
            <w:shd w:val="clear" w:color="auto" w:fill="auto"/>
            <w:vAlign w:val="center"/>
          </w:tcPr>
          <w:p w14:paraId="50A43DE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4</w:t>
            </w:r>
          </w:p>
        </w:tc>
        <w:tc>
          <w:tcPr>
            <w:tcW w:w="880" w:type="pct"/>
            <w:vMerge w:val="restart"/>
            <w:tcBorders>
              <w:top w:val="nil"/>
              <w:left w:val="nil"/>
              <w:bottom w:val="single" w:color="000000" w:sz="8" w:space="0"/>
              <w:right w:val="single" w:color="000000" w:sz="8" w:space="0"/>
            </w:tcBorders>
            <w:shd w:val="clear" w:color="auto" w:fill="auto"/>
            <w:vAlign w:val="center"/>
          </w:tcPr>
          <w:p w14:paraId="3EC93B21">
            <w:pPr>
              <w:widowControl/>
              <w:adjustRightInd w:val="0"/>
              <w:spacing w:line="380" w:lineRule="exact"/>
              <w:jc w:val="left"/>
              <w:textAlignment w:val="baseline"/>
              <w:rPr>
                <w:rFonts w:hint="eastAsia" w:ascii="宋体" w:hAnsi="宋体" w:eastAsia="宋体" w:cs="宋体"/>
                <w:color w:val="000000"/>
                <w:szCs w:val="21"/>
                <w:lang w:val="zh-CN"/>
              </w:rPr>
            </w:pPr>
            <w:r>
              <w:rPr>
                <w:rFonts w:hint="eastAsia" w:ascii="宋体" w:hAnsi="宋体" w:eastAsia="宋体" w:cs="宋体"/>
                <w:color w:val="000000"/>
                <w:szCs w:val="21"/>
              </w:rPr>
              <w:t>最高限价</w:t>
            </w:r>
          </w:p>
        </w:tc>
        <w:tc>
          <w:tcPr>
            <w:tcW w:w="3620" w:type="pct"/>
            <w:tcBorders>
              <w:top w:val="nil"/>
              <w:left w:val="nil"/>
              <w:bottom w:val="nil"/>
              <w:right w:val="single" w:color="000000" w:sz="8" w:space="0"/>
            </w:tcBorders>
            <w:shd w:val="clear" w:color="auto" w:fill="auto"/>
            <w:vAlign w:val="center"/>
          </w:tcPr>
          <w:p w14:paraId="04AD0745">
            <w:pPr>
              <w:widowControl/>
              <w:adjustRightInd w:val="0"/>
              <w:spacing w:line="380" w:lineRule="exact"/>
              <w:jc w:val="left"/>
              <w:textAlignment w:val="baseline"/>
              <w:rPr>
                <w:rFonts w:hint="eastAsia" w:ascii="宋体" w:hAnsi="宋体" w:eastAsia="宋体" w:cs="宋体"/>
                <w:color w:val="000000"/>
                <w:szCs w:val="21"/>
                <w:lang w:val="zh-CN" w:eastAsia="zh-CN"/>
              </w:rPr>
            </w:pPr>
            <w:r>
              <w:rPr>
                <w:rFonts w:hint="eastAsia" w:ascii="宋体" w:hAnsi="宋体" w:eastAsia="宋体" w:cs="宋体"/>
                <w:color w:val="000000"/>
                <w:szCs w:val="21"/>
                <w:lang w:val="zh-CN" w:eastAsia="zh-CN"/>
              </w:rPr>
              <w:t>包1：450000.00元</w:t>
            </w:r>
            <w:r>
              <w:rPr>
                <w:rFonts w:hint="eastAsia" w:ascii="宋体" w:hAnsi="宋体" w:cs="宋体"/>
                <w:color w:val="000000"/>
                <w:szCs w:val="21"/>
                <w:lang w:val="zh-CN" w:eastAsia="zh-CN"/>
              </w:rPr>
              <w:t>（</w:t>
            </w:r>
            <w:r>
              <w:rPr>
                <w:rFonts w:hint="eastAsia" w:ascii="宋体" w:hAnsi="宋体" w:cs="宋体"/>
                <w:color w:val="000000"/>
                <w:szCs w:val="21"/>
                <w:lang w:val="en-US" w:eastAsia="zh-CN"/>
              </w:rPr>
              <w:t>肆拾伍万元整</w:t>
            </w:r>
            <w:r>
              <w:rPr>
                <w:rFonts w:hint="eastAsia" w:ascii="宋体" w:hAnsi="宋体" w:cs="宋体"/>
                <w:color w:val="000000"/>
                <w:szCs w:val="21"/>
                <w:lang w:val="zh-CN" w:eastAsia="zh-CN"/>
              </w:rPr>
              <w:t>）</w:t>
            </w:r>
          </w:p>
          <w:p w14:paraId="20451061">
            <w:pPr>
              <w:widowControl/>
              <w:adjustRightInd w:val="0"/>
              <w:spacing w:line="380" w:lineRule="exact"/>
              <w:jc w:val="left"/>
              <w:textAlignment w:val="baseline"/>
              <w:rPr>
                <w:rFonts w:hint="eastAsia" w:ascii="宋体" w:hAnsi="宋体" w:eastAsia="宋体" w:cs="宋体"/>
                <w:color w:val="000000"/>
                <w:szCs w:val="21"/>
                <w:lang w:val="zh-CN"/>
              </w:rPr>
            </w:pPr>
            <w:r>
              <w:rPr>
                <w:rFonts w:hint="eastAsia" w:ascii="宋体" w:hAnsi="宋体" w:eastAsia="宋体" w:cs="宋体"/>
                <w:color w:val="000000"/>
                <w:szCs w:val="21"/>
                <w:lang w:val="zh-CN" w:eastAsia="zh-CN"/>
              </w:rPr>
              <w:t>包2：413000.00元</w:t>
            </w:r>
            <w:r>
              <w:rPr>
                <w:rFonts w:hint="eastAsia" w:ascii="宋体" w:hAnsi="宋体" w:cs="宋体"/>
                <w:color w:val="000000"/>
                <w:szCs w:val="21"/>
                <w:lang w:val="zh-CN" w:eastAsia="zh-CN"/>
              </w:rPr>
              <w:t>（</w:t>
            </w:r>
            <w:r>
              <w:rPr>
                <w:rFonts w:hint="eastAsia" w:ascii="宋体" w:hAnsi="宋体" w:eastAsia="宋体" w:cs="宋体"/>
                <w:color w:val="000000"/>
                <w:szCs w:val="21"/>
                <w:lang w:val="zh-CN" w:eastAsia="zh-CN"/>
              </w:rPr>
              <w:fldChar w:fldCharType="begin"/>
            </w:r>
            <w:r>
              <w:rPr>
                <w:rFonts w:hint="eastAsia" w:ascii="宋体" w:hAnsi="宋体" w:eastAsia="宋体" w:cs="宋体"/>
                <w:color w:val="000000"/>
                <w:szCs w:val="21"/>
                <w:lang w:val="zh-CN" w:eastAsia="zh-CN"/>
              </w:rPr>
              <w:instrText xml:space="preserve"> = 413000 \* CHINESENUM4 \* MERGEFORMAT </w:instrText>
            </w:r>
            <w:r>
              <w:rPr>
                <w:rFonts w:hint="eastAsia" w:ascii="宋体" w:hAnsi="宋体" w:eastAsia="宋体" w:cs="宋体"/>
                <w:color w:val="000000"/>
                <w:szCs w:val="21"/>
                <w:lang w:val="zh-CN" w:eastAsia="zh-CN"/>
              </w:rPr>
              <w:fldChar w:fldCharType="separate"/>
            </w:r>
            <w:r>
              <w:t>肆拾壹万叁仟元整</w:t>
            </w:r>
            <w:r>
              <w:rPr>
                <w:rFonts w:hint="eastAsia" w:ascii="宋体" w:hAnsi="宋体" w:eastAsia="宋体" w:cs="宋体"/>
                <w:color w:val="000000"/>
                <w:szCs w:val="21"/>
                <w:lang w:val="zh-CN" w:eastAsia="zh-CN"/>
              </w:rPr>
              <w:fldChar w:fldCharType="end"/>
            </w:r>
            <w:r>
              <w:rPr>
                <w:rFonts w:hint="eastAsia" w:ascii="宋体" w:hAnsi="宋体" w:cs="宋体"/>
                <w:color w:val="000000"/>
                <w:szCs w:val="21"/>
                <w:lang w:val="zh-CN" w:eastAsia="zh-CN"/>
              </w:rPr>
              <w:t>）</w:t>
            </w:r>
          </w:p>
        </w:tc>
      </w:tr>
      <w:tr w14:paraId="3A2E3CE1">
        <w:tblPrEx>
          <w:tblCellMar>
            <w:top w:w="0" w:type="dxa"/>
            <w:left w:w="108" w:type="dxa"/>
            <w:bottom w:w="0" w:type="dxa"/>
            <w:right w:w="108" w:type="dxa"/>
          </w:tblCellMar>
        </w:tblPrEx>
        <w:trPr>
          <w:trHeight w:val="465"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6008DD51">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6A91E474">
            <w:pPr>
              <w:widowControl/>
              <w:adjustRightInd w:val="0"/>
              <w:spacing w:line="380" w:lineRule="exact"/>
              <w:jc w:val="left"/>
              <w:textAlignment w:val="baseline"/>
              <w:rPr>
                <w:rFonts w:hint="eastAsia" w:ascii="宋体" w:hAnsi="宋体" w:eastAsia="宋体" w:cs="宋体"/>
                <w:color w:val="000000"/>
                <w:szCs w:val="21"/>
                <w:lang w:val="zh-CN"/>
              </w:rPr>
            </w:pPr>
          </w:p>
        </w:tc>
        <w:tc>
          <w:tcPr>
            <w:tcW w:w="3620" w:type="pct"/>
            <w:tcBorders>
              <w:top w:val="nil"/>
              <w:left w:val="nil"/>
              <w:bottom w:val="single" w:color="000000" w:sz="8" w:space="0"/>
              <w:right w:val="single" w:color="000000" w:sz="8" w:space="0"/>
            </w:tcBorders>
            <w:shd w:val="clear" w:color="auto" w:fill="auto"/>
            <w:vAlign w:val="center"/>
          </w:tcPr>
          <w:p w14:paraId="521B158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注：</w:t>
            </w:r>
            <w:r>
              <w:rPr>
                <w:rFonts w:hint="eastAsia" w:ascii="宋体" w:hAnsi="宋体" w:cs="宋体"/>
                <w:color w:val="000000"/>
                <w:szCs w:val="21"/>
                <w:lang w:eastAsia="zh-CN"/>
              </w:rPr>
              <w:t>（</w:t>
            </w:r>
            <w:r>
              <w:rPr>
                <w:rFonts w:hint="eastAsia" w:ascii="宋体" w:hAnsi="宋体" w:cs="宋体"/>
                <w:color w:val="000000"/>
                <w:szCs w:val="21"/>
                <w:lang w:val="en-US" w:eastAsia="zh-CN"/>
              </w:rPr>
              <w:t>1）</w:t>
            </w:r>
            <w:r>
              <w:rPr>
                <w:rFonts w:hint="eastAsia" w:ascii="宋体" w:hAnsi="宋体" w:eastAsia="宋体" w:cs="宋体"/>
                <w:color w:val="000000"/>
                <w:szCs w:val="21"/>
              </w:rPr>
              <w:t>供应商的响应报价不得超过其最高限价，否则响应无效。</w:t>
            </w:r>
          </w:p>
          <w:p w14:paraId="15635A6A">
            <w:pPr>
              <w:widowControl/>
              <w:adjustRightInd w:val="0"/>
              <w:spacing w:line="380" w:lineRule="exact"/>
              <w:ind w:firstLine="420" w:firstLineChars="200"/>
              <w:jc w:val="left"/>
              <w:textAlignment w:val="baseline"/>
              <w:rPr>
                <w:rFonts w:hint="eastAsia" w:ascii="宋体" w:hAnsi="宋体" w:eastAsia="宋体" w:cs="宋体"/>
                <w:color w:val="000000"/>
                <w:szCs w:val="21"/>
                <w:lang w:val="zh-CN"/>
              </w:rPr>
            </w:pPr>
            <w:r>
              <w:rPr>
                <w:rFonts w:hint="eastAsia" w:ascii="宋体" w:hAnsi="宋体" w:cs="宋体"/>
                <w:color w:val="000000"/>
                <w:szCs w:val="21"/>
                <w:lang w:eastAsia="zh-CN"/>
              </w:rPr>
              <w:t>（</w:t>
            </w:r>
            <w:r>
              <w:rPr>
                <w:rFonts w:hint="eastAsia" w:ascii="宋体" w:hAnsi="宋体" w:cs="宋体"/>
                <w:color w:val="000000"/>
                <w:szCs w:val="21"/>
                <w:lang w:val="en-US" w:eastAsia="zh-CN"/>
              </w:rPr>
              <w:t>2）</w:t>
            </w:r>
            <w:r>
              <w:rPr>
                <w:rFonts w:hint="eastAsia" w:ascii="宋体" w:hAnsi="宋体" w:eastAsia="宋体" w:cs="宋体"/>
                <w:color w:val="000000"/>
                <w:szCs w:val="21"/>
                <w:lang w:val="zh-CN" w:eastAsia="zh-CN"/>
              </w:rPr>
              <w:t>包含所有履约相关所有服务费用，服务期内采购人不追加任何费用。</w:t>
            </w:r>
          </w:p>
        </w:tc>
      </w:tr>
      <w:tr w14:paraId="3AD79D59">
        <w:tblPrEx>
          <w:tblCellMar>
            <w:top w:w="0" w:type="dxa"/>
            <w:left w:w="108" w:type="dxa"/>
            <w:bottom w:w="0" w:type="dxa"/>
            <w:right w:w="108" w:type="dxa"/>
          </w:tblCellMar>
        </w:tblPrEx>
        <w:trPr>
          <w:trHeight w:val="506"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1C8DBEAF">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5</w:t>
            </w:r>
          </w:p>
        </w:tc>
        <w:tc>
          <w:tcPr>
            <w:tcW w:w="880" w:type="pct"/>
            <w:tcBorders>
              <w:top w:val="nil"/>
              <w:left w:val="nil"/>
              <w:bottom w:val="single" w:color="000000" w:sz="8" w:space="0"/>
              <w:right w:val="single" w:color="000000" w:sz="8" w:space="0"/>
            </w:tcBorders>
            <w:shd w:val="clear" w:color="auto" w:fill="auto"/>
            <w:vAlign w:val="center"/>
          </w:tcPr>
          <w:p w14:paraId="75C09C66">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合同履约期限</w:t>
            </w:r>
          </w:p>
        </w:tc>
        <w:tc>
          <w:tcPr>
            <w:tcW w:w="3620" w:type="pct"/>
            <w:tcBorders>
              <w:top w:val="nil"/>
              <w:left w:val="nil"/>
              <w:bottom w:val="single" w:color="000000" w:sz="8" w:space="0"/>
              <w:right w:val="single" w:color="000000" w:sz="8" w:space="0"/>
            </w:tcBorders>
            <w:shd w:val="clear" w:color="auto" w:fill="auto"/>
            <w:vAlign w:val="center"/>
          </w:tcPr>
          <w:p w14:paraId="3B03B71A">
            <w:pPr>
              <w:widowControl/>
              <w:adjustRightInd w:val="0"/>
              <w:spacing w:line="380" w:lineRule="exact"/>
              <w:jc w:val="left"/>
              <w:textAlignment w:val="baseline"/>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一年（整体服务不超2年）。合同期满经考核合格可续签。</w:t>
            </w:r>
          </w:p>
        </w:tc>
      </w:tr>
      <w:tr w14:paraId="482B9F55">
        <w:tblPrEx>
          <w:tblCellMar>
            <w:top w:w="0" w:type="dxa"/>
            <w:left w:w="108" w:type="dxa"/>
            <w:bottom w:w="0" w:type="dxa"/>
            <w:right w:w="108" w:type="dxa"/>
          </w:tblCellMar>
        </w:tblPrEx>
        <w:trPr>
          <w:trHeight w:val="581"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1FF3060E">
            <w:pPr>
              <w:snapToGrid w:val="0"/>
              <w:spacing w:line="500" w:lineRule="exact"/>
              <w:rPr>
                <w:rFonts w:hint="eastAsia" w:ascii="宋体" w:hAnsi="宋体" w:eastAsia="宋体" w:cs="宋体"/>
                <w:sz w:val="24"/>
                <w:szCs w:val="28"/>
              </w:rPr>
            </w:pPr>
            <w:r>
              <w:rPr>
                <w:rFonts w:hint="eastAsia" w:ascii="宋体" w:hAnsi="宋体" w:eastAsia="宋体" w:cs="宋体"/>
                <w:sz w:val="24"/>
                <w:szCs w:val="28"/>
              </w:rPr>
              <w:t>6</w:t>
            </w:r>
          </w:p>
        </w:tc>
        <w:tc>
          <w:tcPr>
            <w:tcW w:w="880" w:type="pct"/>
            <w:tcBorders>
              <w:top w:val="nil"/>
              <w:left w:val="nil"/>
              <w:bottom w:val="single" w:color="000000" w:sz="8" w:space="0"/>
              <w:right w:val="single" w:color="000000" w:sz="8" w:space="0"/>
            </w:tcBorders>
            <w:shd w:val="clear" w:color="auto" w:fill="auto"/>
            <w:vAlign w:val="center"/>
          </w:tcPr>
          <w:p w14:paraId="1AA10B59">
            <w:pPr>
              <w:widowControl/>
              <w:adjustRightInd w:val="0"/>
              <w:spacing w:line="380" w:lineRule="exact"/>
              <w:jc w:val="left"/>
              <w:textAlignment w:val="baseline"/>
              <w:rPr>
                <w:rFonts w:hint="eastAsia" w:ascii="宋体" w:hAnsi="宋体" w:eastAsia="宋体" w:cs="宋体"/>
                <w:sz w:val="24"/>
                <w:szCs w:val="28"/>
              </w:rPr>
            </w:pPr>
            <w:r>
              <w:rPr>
                <w:rFonts w:hint="eastAsia" w:ascii="宋体" w:hAnsi="宋体" w:eastAsia="宋体" w:cs="宋体"/>
                <w:color w:val="000000"/>
                <w:szCs w:val="21"/>
              </w:rPr>
              <w:t>服务地点</w:t>
            </w:r>
          </w:p>
        </w:tc>
        <w:tc>
          <w:tcPr>
            <w:tcW w:w="3620" w:type="pct"/>
            <w:tcBorders>
              <w:top w:val="nil"/>
              <w:left w:val="nil"/>
              <w:bottom w:val="single" w:color="000000" w:sz="8" w:space="0"/>
              <w:right w:val="single" w:color="000000" w:sz="8" w:space="0"/>
            </w:tcBorders>
            <w:shd w:val="clear" w:color="auto" w:fill="auto"/>
            <w:vAlign w:val="center"/>
          </w:tcPr>
          <w:p w14:paraId="67F7894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lang w:val="en-US" w:eastAsia="zh-CN"/>
              </w:rPr>
              <w:t>采购人指定机关各保障部、业务场所及区域</w:t>
            </w:r>
            <w:r>
              <w:rPr>
                <w:rFonts w:hint="eastAsia" w:ascii="宋体" w:hAnsi="宋体" w:eastAsia="宋体" w:cs="宋体"/>
                <w:color w:val="000000"/>
                <w:szCs w:val="21"/>
              </w:rPr>
              <w:t>。</w:t>
            </w:r>
          </w:p>
        </w:tc>
      </w:tr>
      <w:tr w14:paraId="08F282B8">
        <w:tblPrEx>
          <w:tblCellMar>
            <w:top w:w="0" w:type="dxa"/>
            <w:left w:w="108" w:type="dxa"/>
            <w:bottom w:w="0" w:type="dxa"/>
            <w:right w:w="108" w:type="dxa"/>
          </w:tblCellMar>
        </w:tblPrEx>
        <w:trPr>
          <w:trHeight w:val="380" w:hRule="atLeast"/>
        </w:trPr>
        <w:tc>
          <w:tcPr>
            <w:tcW w:w="499" w:type="pct"/>
            <w:vMerge w:val="restart"/>
            <w:tcBorders>
              <w:top w:val="nil"/>
              <w:left w:val="single" w:color="000000" w:sz="8" w:space="0"/>
              <w:bottom w:val="single" w:color="000000" w:sz="8" w:space="0"/>
              <w:right w:val="single" w:color="000000" w:sz="8" w:space="0"/>
            </w:tcBorders>
            <w:shd w:val="clear" w:color="auto" w:fill="auto"/>
            <w:vAlign w:val="center"/>
          </w:tcPr>
          <w:p w14:paraId="169F9B8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7</w:t>
            </w:r>
          </w:p>
        </w:tc>
        <w:tc>
          <w:tcPr>
            <w:tcW w:w="880" w:type="pct"/>
            <w:vMerge w:val="restart"/>
            <w:tcBorders>
              <w:top w:val="nil"/>
              <w:left w:val="nil"/>
              <w:bottom w:val="single" w:color="000000" w:sz="8" w:space="0"/>
              <w:right w:val="single" w:color="000000" w:sz="8" w:space="0"/>
            </w:tcBorders>
            <w:shd w:val="clear" w:color="auto" w:fill="auto"/>
            <w:vAlign w:val="center"/>
          </w:tcPr>
          <w:p w14:paraId="378DECA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供应商资格</w:t>
            </w:r>
          </w:p>
          <w:p w14:paraId="3313278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条件</w:t>
            </w:r>
          </w:p>
        </w:tc>
        <w:tc>
          <w:tcPr>
            <w:tcW w:w="3620" w:type="pct"/>
            <w:tcBorders>
              <w:top w:val="nil"/>
              <w:left w:val="nil"/>
              <w:bottom w:val="nil"/>
              <w:right w:val="single" w:color="000000" w:sz="8" w:space="0"/>
            </w:tcBorders>
            <w:shd w:val="clear" w:color="auto" w:fill="auto"/>
            <w:vAlign w:val="center"/>
          </w:tcPr>
          <w:p w14:paraId="05521B9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1.满足《中华人民共和国政府采购法》第二十二条规定：</w:t>
            </w:r>
          </w:p>
        </w:tc>
      </w:tr>
      <w:tr w14:paraId="504FDCFC">
        <w:tblPrEx>
          <w:tblCellMar>
            <w:top w:w="0" w:type="dxa"/>
            <w:left w:w="108" w:type="dxa"/>
            <w:bottom w:w="0" w:type="dxa"/>
            <w:right w:w="108" w:type="dxa"/>
          </w:tblCellMar>
        </w:tblPrEx>
        <w:trPr>
          <w:trHeight w:val="30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55F2CE97">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6F5E7166">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39ADAA1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①具有独立承担民事责任的能力；</w:t>
            </w:r>
          </w:p>
        </w:tc>
      </w:tr>
      <w:tr w14:paraId="04AED74C">
        <w:tblPrEx>
          <w:tblCellMar>
            <w:top w:w="0" w:type="dxa"/>
            <w:left w:w="108" w:type="dxa"/>
            <w:bottom w:w="0" w:type="dxa"/>
            <w:right w:w="108" w:type="dxa"/>
          </w:tblCellMar>
        </w:tblPrEx>
        <w:trPr>
          <w:trHeight w:val="30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58CB9029">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16FFFC5A">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1289ADC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②具有良好的商业信誉和健全的财务会计制度；</w:t>
            </w:r>
          </w:p>
        </w:tc>
      </w:tr>
      <w:tr w14:paraId="73868E9F">
        <w:tblPrEx>
          <w:tblCellMar>
            <w:top w:w="0" w:type="dxa"/>
            <w:left w:w="108" w:type="dxa"/>
            <w:bottom w:w="0" w:type="dxa"/>
            <w:right w:w="108" w:type="dxa"/>
          </w:tblCellMar>
        </w:tblPrEx>
        <w:trPr>
          <w:trHeight w:val="30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13093F83">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78F1CFFB">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69C0943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③具有履行合同所必需的设备和专业技术能力；</w:t>
            </w:r>
          </w:p>
        </w:tc>
      </w:tr>
      <w:tr w14:paraId="688958E5">
        <w:tblPrEx>
          <w:tblCellMar>
            <w:top w:w="0" w:type="dxa"/>
            <w:left w:w="108" w:type="dxa"/>
            <w:bottom w:w="0" w:type="dxa"/>
            <w:right w:w="108" w:type="dxa"/>
          </w:tblCellMar>
        </w:tblPrEx>
        <w:trPr>
          <w:trHeight w:val="30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4B0B32BC">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FBC34F4">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502EA760">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④有依法缴纳税收和社会保障资金的良好记录；</w:t>
            </w:r>
          </w:p>
        </w:tc>
      </w:tr>
      <w:tr w14:paraId="755A8C8D">
        <w:tblPrEx>
          <w:tblCellMar>
            <w:top w:w="0" w:type="dxa"/>
            <w:left w:w="108" w:type="dxa"/>
            <w:bottom w:w="0" w:type="dxa"/>
            <w:right w:w="108" w:type="dxa"/>
          </w:tblCellMar>
        </w:tblPrEx>
        <w:trPr>
          <w:trHeight w:val="394"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0D548330">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7FCBBEB6">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1F534D7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⑤参加政府采购活动前三年内，在经营活动中没有重大违法记录；</w:t>
            </w:r>
          </w:p>
        </w:tc>
      </w:tr>
      <w:tr w14:paraId="74EB430B">
        <w:tblPrEx>
          <w:tblCellMar>
            <w:top w:w="0" w:type="dxa"/>
            <w:left w:w="108" w:type="dxa"/>
            <w:bottom w:w="0" w:type="dxa"/>
            <w:right w:w="108" w:type="dxa"/>
          </w:tblCellMar>
        </w:tblPrEx>
        <w:trPr>
          <w:trHeight w:val="346"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6D4CFE93">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6E98142">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41C4602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⑥符合法律、行政法规规定的其他条件。</w:t>
            </w:r>
          </w:p>
        </w:tc>
      </w:tr>
      <w:tr w14:paraId="43713903">
        <w:tblPrEx>
          <w:tblCellMar>
            <w:top w:w="0" w:type="dxa"/>
            <w:left w:w="108" w:type="dxa"/>
            <w:bottom w:w="0" w:type="dxa"/>
            <w:right w:w="108" w:type="dxa"/>
          </w:tblCellMar>
        </w:tblPrEx>
        <w:trPr>
          <w:trHeight w:val="9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1A1D9AFD">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34265307">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26634B56">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2.落实政府采购政策需满足的资格要求：执行政府采购相关政策，本项目专门面向中小企业采购。</w:t>
            </w:r>
          </w:p>
        </w:tc>
      </w:tr>
      <w:tr w14:paraId="78C4783D">
        <w:tblPrEx>
          <w:tblCellMar>
            <w:top w:w="0" w:type="dxa"/>
            <w:left w:w="108" w:type="dxa"/>
            <w:bottom w:w="0" w:type="dxa"/>
            <w:right w:w="108" w:type="dxa"/>
          </w:tblCellMar>
        </w:tblPrEx>
        <w:trPr>
          <w:trHeight w:val="30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1B015DF4">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6CD0317C">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single" w:color="000000" w:sz="8" w:space="0"/>
              <w:right w:val="single" w:color="000000" w:sz="8" w:space="0"/>
            </w:tcBorders>
            <w:shd w:val="clear" w:color="auto" w:fill="auto"/>
            <w:vAlign w:val="center"/>
          </w:tcPr>
          <w:p w14:paraId="324C3B86">
            <w:pPr>
              <w:widowControl/>
              <w:numPr>
                <w:ilvl w:val="0"/>
                <w:numId w:val="3"/>
              </w:numPr>
              <w:adjustRightInd w:val="0"/>
              <w:spacing w:line="380" w:lineRule="exact"/>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本项目的特定资格要求：</w:t>
            </w:r>
          </w:p>
          <w:p w14:paraId="4EA35518">
            <w:pPr>
              <w:widowControl/>
              <w:adjustRightInd w:val="0"/>
              <w:spacing w:line="380" w:lineRule="exact"/>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000000"/>
                <w:szCs w:val="21"/>
                <w:lang w:val="en-US" w:eastAsia="zh-CN"/>
              </w:rPr>
              <w:t>无。</w:t>
            </w:r>
          </w:p>
        </w:tc>
      </w:tr>
      <w:tr w14:paraId="211A974F">
        <w:tblPrEx>
          <w:tblCellMar>
            <w:top w:w="0" w:type="dxa"/>
            <w:left w:w="108" w:type="dxa"/>
            <w:bottom w:w="0" w:type="dxa"/>
            <w:right w:w="108" w:type="dxa"/>
          </w:tblCellMar>
        </w:tblPrEx>
        <w:trPr>
          <w:trHeight w:val="574"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4FCF8C56">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8</w:t>
            </w:r>
          </w:p>
        </w:tc>
        <w:tc>
          <w:tcPr>
            <w:tcW w:w="880" w:type="pct"/>
            <w:tcBorders>
              <w:top w:val="nil"/>
              <w:left w:val="nil"/>
              <w:bottom w:val="single" w:color="000000" w:sz="8" w:space="0"/>
              <w:right w:val="single" w:color="000000" w:sz="8" w:space="0"/>
            </w:tcBorders>
            <w:shd w:val="clear" w:color="auto" w:fill="auto"/>
            <w:vAlign w:val="center"/>
          </w:tcPr>
          <w:p w14:paraId="48BF0BE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响应文件递交</w:t>
            </w:r>
          </w:p>
        </w:tc>
        <w:tc>
          <w:tcPr>
            <w:tcW w:w="3620" w:type="pct"/>
            <w:tcBorders>
              <w:top w:val="nil"/>
              <w:left w:val="nil"/>
              <w:bottom w:val="single" w:color="000000" w:sz="8" w:space="0"/>
              <w:right w:val="single" w:color="000000" w:sz="8" w:space="0"/>
            </w:tcBorders>
            <w:shd w:val="clear" w:color="auto" w:fill="auto"/>
            <w:vAlign w:val="center"/>
          </w:tcPr>
          <w:p w14:paraId="725ACBFB">
            <w:pPr>
              <w:widowControl/>
              <w:adjustRightInd w:val="0"/>
              <w:spacing w:line="380" w:lineRule="exact"/>
              <w:jc w:val="left"/>
              <w:textAlignment w:val="baseline"/>
              <w:rPr>
                <w:rFonts w:hint="eastAsia" w:ascii="宋体" w:hAnsi="宋体" w:eastAsia="宋体" w:cs="宋体"/>
                <w:color w:val="auto"/>
                <w:szCs w:val="21"/>
              </w:rPr>
            </w:pPr>
            <w:r>
              <w:rPr>
                <w:rFonts w:hint="eastAsia" w:ascii="宋体" w:hAnsi="宋体" w:eastAsia="宋体" w:cs="宋体"/>
                <w:color w:val="auto"/>
                <w:szCs w:val="21"/>
              </w:rPr>
              <w:t>供应商需在政采云系统上传加密电子响应文件1份</w:t>
            </w:r>
          </w:p>
        </w:tc>
      </w:tr>
      <w:tr w14:paraId="468E6C60">
        <w:tblPrEx>
          <w:tblCellMar>
            <w:top w:w="0" w:type="dxa"/>
            <w:left w:w="108" w:type="dxa"/>
            <w:bottom w:w="0" w:type="dxa"/>
            <w:right w:w="108" w:type="dxa"/>
          </w:tblCellMar>
        </w:tblPrEx>
        <w:trPr>
          <w:trHeight w:val="90" w:hRule="atLeast"/>
        </w:trPr>
        <w:tc>
          <w:tcPr>
            <w:tcW w:w="499" w:type="pct"/>
            <w:vMerge w:val="restart"/>
            <w:tcBorders>
              <w:top w:val="nil"/>
              <w:left w:val="single" w:color="000000" w:sz="8" w:space="0"/>
              <w:bottom w:val="single" w:color="000000" w:sz="8" w:space="0"/>
              <w:right w:val="single" w:color="000000" w:sz="8" w:space="0"/>
            </w:tcBorders>
            <w:shd w:val="clear" w:color="auto" w:fill="auto"/>
            <w:vAlign w:val="center"/>
          </w:tcPr>
          <w:p w14:paraId="6C865444">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9</w:t>
            </w:r>
          </w:p>
        </w:tc>
        <w:tc>
          <w:tcPr>
            <w:tcW w:w="880" w:type="pct"/>
            <w:vMerge w:val="restart"/>
            <w:tcBorders>
              <w:top w:val="nil"/>
              <w:left w:val="nil"/>
              <w:bottom w:val="single" w:color="000000" w:sz="8" w:space="0"/>
              <w:right w:val="single" w:color="000000" w:sz="8" w:space="0"/>
            </w:tcBorders>
            <w:shd w:val="clear" w:color="auto" w:fill="auto"/>
            <w:vAlign w:val="center"/>
          </w:tcPr>
          <w:p w14:paraId="36738A2E">
            <w:pPr>
              <w:widowControl/>
              <w:adjustRightInd w:val="0"/>
              <w:spacing w:line="380" w:lineRule="exact"/>
              <w:jc w:val="left"/>
              <w:textAlignment w:val="baseline"/>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响应文件递交截止时间及地点</w:t>
            </w:r>
          </w:p>
        </w:tc>
        <w:tc>
          <w:tcPr>
            <w:tcW w:w="3620" w:type="pct"/>
            <w:tcBorders>
              <w:top w:val="nil"/>
              <w:left w:val="nil"/>
              <w:bottom w:val="nil"/>
              <w:right w:val="single" w:color="000000" w:sz="8" w:space="0"/>
            </w:tcBorders>
            <w:shd w:val="clear" w:color="auto" w:fill="auto"/>
            <w:vAlign w:val="center"/>
          </w:tcPr>
          <w:p w14:paraId="5A7C80B3">
            <w:pPr>
              <w:widowControl/>
              <w:adjustRightInd w:val="0"/>
              <w:spacing w:line="380" w:lineRule="exact"/>
              <w:jc w:val="left"/>
              <w:textAlignment w:val="baseline"/>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截止时间：</w:t>
            </w:r>
            <w:r>
              <w:rPr>
                <w:rFonts w:hint="eastAsia" w:ascii="宋体" w:hAnsi="宋体" w:eastAsia="宋体" w:cs="宋体"/>
                <w:color w:val="000000"/>
                <w:szCs w:val="21"/>
                <w:highlight w:val="none"/>
                <w:lang w:eastAsia="zh-CN"/>
              </w:rPr>
              <w:t>202</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年0</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月</w:t>
            </w: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lang w:eastAsia="zh-CN"/>
              </w:rPr>
              <w:t>日</w:t>
            </w:r>
            <w:r>
              <w:rPr>
                <w:rFonts w:hint="eastAsia" w:ascii="宋体" w:hAnsi="宋体" w:eastAsia="宋体" w:cs="宋体"/>
                <w:color w:val="000000"/>
                <w:szCs w:val="21"/>
                <w:highlight w:val="none"/>
                <w:lang w:val="en-US" w:eastAsia="zh-CN"/>
              </w:rPr>
              <w:t>09</w:t>
            </w:r>
            <w:r>
              <w:rPr>
                <w:rFonts w:hint="eastAsia" w:ascii="宋体" w:hAnsi="宋体" w:eastAsia="宋体" w:cs="宋体"/>
                <w:color w:val="000000"/>
                <w:szCs w:val="21"/>
                <w:highlight w:val="none"/>
                <w:lang w:eastAsia="zh-CN"/>
              </w:rPr>
              <w:t>时</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lang w:eastAsia="zh-CN"/>
              </w:rPr>
              <w:t>分</w:t>
            </w:r>
            <w:r>
              <w:rPr>
                <w:rFonts w:hint="eastAsia" w:ascii="宋体" w:hAnsi="宋体" w:eastAsia="宋体" w:cs="宋体"/>
                <w:color w:val="000000"/>
                <w:szCs w:val="21"/>
                <w:highlight w:val="none"/>
              </w:rPr>
              <w:t>（北京时间）</w:t>
            </w:r>
          </w:p>
        </w:tc>
      </w:tr>
      <w:tr w14:paraId="588316C1">
        <w:tblPrEx>
          <w:tblCellMar>
            <w:top w:w="0" w:type="dxa"/>
            <w:left w:w="108" w:type="dxa"/>
            <w:bottom w:w="0" w:type="dxa"/>
            <w:right w:w="108" w:type="dxa"/>
          </w:tblCellMar>
        </w:tblPrEx>
        <w:trPr>
          <w:trHeight w:val="30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40EE6352">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FE3AFF1">
            <w:pPr>
              <w:snapToGrid w:val="0"/>
              <w:spacing w:line="500" w:lineRule="exact"/>
              <w:ind w:firstLine="480" w:firstLineChars="200"/>
              <w:rPr>
                <w:rFonts w:hint="eastAsia" w:ascii="宋体" w:hAnsi="宋体" w:eastAsia="宋体" w:cs="宋体"/>
                <w:sz w:val="24"/>
                <w:szCs w:val="28"/>
              </w:rPr>
            </w:pPr>
          </w:p>
        </w:tc>
        <w:tc>
          <w:tcPr>
            <w:tcW w:w="3620" w:type="pct"/>
            <w:tcBorders>
              <w:top w:val="nil"/>
              <w:left w:val="nil"/>
              <w:bottom w:val="single" w:color="000000" w:sz="8" w:space="0"/>
              <w:right w:val="single" w:color="000000" w:sz="8" w:space="0"/>
            </w:tcBorders>
            <w:shd w:val="clear" w:color="auto" w:fill="auto"/>
            <w:vAlign w:val="center"/>
          </w:tcPr>
          <w:p w14:paraId="2258971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地点：请登录政采云平台响应客户端提交电子版响应文件</w:t>
            </w:r>
          </w:p>
        </w:tc>
      </w:tr>
      <w:tr w14:paraId="7B46EBEC">
        <w:tblPrEx>
          <w:tblCellMar>
            <w:top w:w="0" w:type="dxa"/>
            <w:left w:w="108" w:type="dxa"/>
            <w:bottom w:w="0" w:type="dxa"/>
            <w:right w:w="108" w:type="dxa"/>
          </w:tblCellMar>
        </w:tblPrEx>
        <w:trPr>
          <w:trHeight w:val="577" w:hRule="atLeast"/>
        </w:trPr>
        <w:tc>
          <w:tcPr>
            <w:tcW w:w="499" w:type="pct"/>
            <w:tcBorders>
              <w:top w:val="nil"/>
              <w:left w:val="single" w:color="000000" w:sz="8" w:space="0"/>
              <w:bottom w:val="single" w:color="auto" w:sz="4" w:space="0"/>
              <w:right w:val="single" w:color="000000" w:sz="8" w:space="0"/>
            </w:tcBorders>
            <w:shd w:val="clear" w:color="auto" w:fill="auto"/>
            <w:vAlign w:val="center"/>
          </w:tcPr>
          <w:p w14:paraId="0675C7D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10</w:t>
            </w:r>
          </w:p>
        </w:tc>
        <w:tc>
          <w:tcPr>
            <w:tcW w:w="880" w:type="pct"/>
            <w:tcBorders>
              <w:top w:val="nil"/>
              <w:left w:val="nil"/>
              <w:bottom w:val="single" w:color="auto" w:sz="4" w:space="0"/>
              <w:right w:val="single" w:color="000000" w:sz="8" w:space="0"/>
            </w:tcBorders>
            <w:shd w:val="clear" w:color="auto" w:fill="auto"/>
            <w:vAlign w:val="center"/>
          </w:tcPr>
          <w:p w14:paraId="2A902BA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磋商时间及地点</w:t>
            </w:r>
          </w:p>
        </w:tc>
        <w:tc>
          <w:tcPr>
            <w:tcW w:w="3620" w:type="pct"/>
            <w:tcBorders>
              <w:top w:val="nil"/>
              <w:left w:val="nil"/>
              <w:bottom w:val="single" w:color="auto" w:sz="4" w:space="0"/>
              <w:right w:val="single" w:color="000000" w:sz="8" w:space="0"/>
            </w:tcBorders>
            <w:shd w:val="clear" w:color="auto" w:fill="auto"/>
            <w:vAlign w:val="center"/>
          </w:tcPr>
          <w:p w14:paraId="1EBBDE2A">
            <w:pPr>
              <w:adjustRightInd w:val="0"/>
              <w:spacing w:line="380" w:lineRule="exact"/>
              <w:textAlignment w:val="baseline"/>
              <w:rPr>
                <w:rFonts w:hint="eastAsia" w:ascii="宋体" w:hAnsi="宋体" w:eastAsia="宋体" w:cs="宋体"/>
                <w:color w:val="000000"/>
                <w:szCs w:val="21"/>
              </w:rPr>
            </w:pPr>
            <w:r>
              <w:rPr>
                <w:rFonts w:hint="eastAsia" w:ascii="宋体" w:hAnsi="宋体" w:eastAsia="宋体" w:cs="宋体"/>
                <w:color w:val="000000"/>
                <w:szCs w:val="21"/>
              </w:rPr>
              <w:t>磋商时间：同递交响应文件的截止时间</w:t>
            </w:r>
          </w:p>
          <w:p w14:paraId="426B2677">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磋商地点：山西众标项目管理有限公司（山西省长治市</w:t>
            </w:r>
            <w:r>
              <w:rPr>
                <w:rFonts w:hint="eastAsia" w:ascii="宋体" w:hAnsi="宋体" w:eastAsia="宋体" w:cs="宋体"/>
                <w:color w:val="000000"/>
                <w:szCs w:val="21"/>
                <w:lang w:val="en-US" w:eastAsia="zh-CN"/>
              </w:rPr>
              <w:t>长治高新技术产业开发区老顶山物流园清控太行云谷33栋1号房</w:t>
            </w:r>
            <w:r>
              <w:rPr>
                <w:rFonts w:hint="eastAsia" w:ascii="宋体" w:hAnsi="宋体" w:eastAsia="宋体" w:cs="宋体"/>
                <w:color w:val="000000"/>
                <w:szCs w:val="21"/>
              </w:rPr>
              <w:t>）</w:t>
            </w:r>
          </w:p>
        </w:tc>
      </w:tr>
      <w:tr w14:paraId="295AC59F">
        <w:tblPrEx>
          <w:tblCellMar>
            <w:top w:w="0" w:type="dxa"/>
            <w:left w:w="108" w:type="dxa"/>
            <w:bottom w:w="0" w:type="dxa"/>
            <w:right w:w="108" w:type="dxa"/>
          </w:tblCellMar>
        </w:tblPrEx>
        <w:trPr>
          <w:trHeight w:val="585" w:hRule="atLeast"/>
        </w:trPr>
        <w:tc>
          <w:tcPr>
            <w:tcW w:w="499" w:type="pct"/>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6DE7671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11</w:t>
            </w:r>
          </w:p>
        </w:tc>
        <w:tc>
          <w:tcPr>
            <w:tcW w:w="880" w:type="pct"/>
            <w:vMerge w:val="restart"/>
            <w:tcBorders>
              <w:top w:val="single" w:color="auto" w:sz="4" w:space="0"/>
              <w:left w:val="nil"/>
              <w:bottom w:val="single" w:color="auto" w:sz="4" w:space="0"/>
              <w:right w:val="single" w:color="000000" w:sz="8" w:space="0"/>
            </w:tcBorders>
            <w:shd w:val="clear" w:color="auto" w:fill="auto"/>
            <w:vAlign w:val="center"/>
          </w:tcPr>
          <w:p w14:paraId="1688336F">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供应商应提交的资格证明文件</w:t>
            </w:r>
          </w:p>
        </w:tc>
        <w:tc>
          <w:tcPr>
            <w:tcW w:w="3620" w:type="pct"/>
            <w:tcBorders>
              <w:top w:val="single" w:color="auto" w:sz="4" w:space="0"/>
              <w:left w:val="nil"/>
              <w:bottom w:val="single" w:color="auto" w:sz="4" w:space="0"/>
              <w:right w:val="single" w:color="auto" w:sz="4" w:space="0"/>
            </w:tcBorders>
            <w:shd w:val="clear" w:color="auto" w:fill="auto"/>
            <w:vAlign w:val="center"/>
          </w:tcPr>
          <w:p w14:paraId="1526506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1.有效的营业执照或其他组织的相关证书；</w:t>
            </w:r>
          </w:p>
        </w:tc>
      </w:tr>
      <w:tr w14:paraId="4E41B605">
        <w:tblPrEx>
          <w:tblCellMar>
            <w:top w:w="0" w:type="dxa"/>
            <w:left w:w="108" w:type="dxa"/>
            <w:bottom w:w="0" w:type="dxa"/>
            <w:right w:w="108" w:type="dxa"/>
          </w:tblCellMar>
        </w:tblPrEx>
        <w:trPr>
          <w:trHeight w:val="585" w:hRule="atLeast"/>
        </w:trPr>
        <w:tc>
          <w:tcPr>
            <w:tcW w:w="499" w:type="pct"/>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20EFFBCD">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single" w:color="auto" w:sz="4" w:space="0"/>
              <w:left w:val="nil"/>
              <w:bottom w:val="single" w:color="000000" w:sz="8" w:space="0"/>
              <w:right w:val="single" w:color="000000" w:sz="8" w:space="0"/>
            </w:tcBorders>
            <w:shd w:val="clear" w:color="auto" w:fill="auto"/>
            <w:vAlign w:val="center"/>
          </w:tcPr>
          <w:p w14:paraId="1297BA52">
            <w:pPr>
              <w:snapToGrid w:val="0"/>
              <w:spacing w:line="500" w:lineRule="exact"/>
              <w:ind w:firstLine="480" w:firstLineChars="200"/>
              <w:rPr>
                <w:rFonts w:hint="eastAsia" w:ascii="宋体" w:hAnsi="宋体" w:eastAsia="宋体" w:cs="宋体"/>
                <w:sz w:val="24"/>
                <w:szCs w:val="28"/>
              </w:rPr>
            </w:pPr>
          </w:p>
        </w:tc>
        <w:tc>
          <w:tcPr>
            <w:tcW w:w="3620" w:type="pct"/>
            <w:tcBorders>
              <w:top w:val="single" w:color="auto" w:sz="4" w:space="0"/>
              <w:left w:val="nil"/>
              <w:bottom w:val="nil"/>
              <w:right w:val="single" w:color="000000" w:sz="8" w:space="0"/>
            </w:tcBorders>
            <w:shd w:val="clear" w:color="auto" w:fill="auto"/>
            <w:vAlign w:val="center"/>
          </w:tcPr>
          <w:p w14:paraId="28050FE0">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2.银行基本账户开户许可证或基本存款账户信息；</w:t>
            </w:r>
          </w:p>
        </w:tc>
      </w:tr>
      <w:tr w14:paraId="3C04862E">
        <w:tblPrEx>
          <w:tblCellMar>
            <w:top w:w="0" w:type="dxa"/>
            <w:left w:w="108" w:type="dxa"/>
            <w:bottom w:w="0" w:type="dxa"/>
            <w:right w:w="108" w:type="dxa"/>
          </w:tblCellMar>
        </w:tblPrEx>
        <w:trPr>
          <w:trHeight w:val="45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21D20DB2">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7F13F85C">
            <w:pPr>
              <w:snapToGrid w:val="0"/>
              <w:spacing w:line="500" w:lineRule="exact"/>
              <w:ind w:firstLine="480" w:firstLineChars="200"/>
              <w:rPr>
                <w:rFonts w:hint="eastAsia" w:ascii="宋体" w:hAnsi="宋体" w:eastAsia="宋体" w:cs="宋体"/>
                <w:sz w:val="24"/>
                <w:szCs w:val="28"/>
              </w:rPr>
            </w:pPr>
          </w:p>
        </w:tc>
        <w:tc>
          <w:tcPr>
            <w:tcW w:w="3620" w:type="pct"/>
            <w:tcBorders>
              <w:top w:val="nil"/>
              <w:left w:val="nil"/>
              <w:bottom w:val="nil"/>
              <w:right w:val="single" w:color="000000" w:sz="8" w:space="0"/>
            </w:tcBorders>
            <w:shd w:val="clear" w:color="auto" w:fill="auto"/>
            <w:vAlign w:val="center"/>
          </w:tcPr>
          <w:p w14:paraId="1D86F4B7">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3.中小企业声明函(见‘响应文件格式’)；</w:t>
            </w:r>
          </w:p>
        </w:tc>
      </w:tr>
      <w:tr w14:paraId="39170506">
        <w:tblPrEx>
          <w:tblCellMar>
            <w:top w:w="0" w:type="dxa"/>
            <w:left w:w="108" w:type="dxa"/>
            <w:bottom w:w="0" w:type="dxa"/>
            <w:right w:w="108" w:type="dxa"/>
          </w:tblCellMar>
        </w:tblPrEx>
        <w:trPr>
          <w:trHeight w:val="523"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3A9BCEB2">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89D85F4">
            <w:pPr>
              <w:snapToGrid w:val="0"/>
              <w:spacing w:line="500" w:lineRule="exact"/>
              <w:ind w:firstLine="480" w:firstLineChars="200"/>
              <w:rPr>
                <w:rFonts w:hint="eastAsia" w:ascii="宋体" w:hAnsi="宋体" w:eastAsia="宋体" w:cs="宋体"/>
                <w:sz w:val="24"/>
                <w:szCs w:val="28"/>
              </w:rPr>
            </w:pPr>
          </w:p>
        </w:tc>
        <w:tc>
          <w:tcPr>
            <w:tcW w:w="3620" w:type="pct"/>
            <w:tcBorders>
              <w:top w:val="nil"/>
              <w:left w:val="nil"/>
              <w:bottom w:val="nil"/>
              <w:right w:val="single" w:color="000000" w:sz="8" w:space="0"/>
            </w:tcBorders>
            <w:shd w:val="clear" w:color="auto" w:fill="auto"/>
            <w:vAlign w:val="center"/>
          </w:tcPr>
          <w:p w14:paraId="72D4E70D">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4．长治市政府采购供应商信用承诺函(见“响应文件格式”)；</w:t>
            </w:r>
          </w:p>
        </w:tc>
      </w:tr>
      <w:tr w14:paraId="57680CE8">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3823553D">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58CECF1B">
            <w:pPr>
              <w:snapToGrid w:val="0"/>
              <w:spacing w:line="500" w:lineRule="exact"/>
              <w:ind w:firstLine="480" w:firstLineChars="200"/>
              <w:rPr>
                <w:rFonts w:hint="eastAsia" w:ascii="宋体" w:hAnsi="宋体" w:eastAsia="宋体" w:cs="宋体"/>
                <w:sz w:val="24"/>
                <w:szCs w:val="28"/>
              </w:rPr>
            </w:pPr>
          </w:p>
        </w:tc>
        <w:tc>
          <w:tcPr>
            <w:tcW w:w="3620" w:type="pct"/>
            <w:tcBorders>
              <w:top w:val="nil"/>
              <w:left w:val="nil"/>
              <w:bottom w:val="nil"/>
              <w:right w:val="single" w:color="000000" w:sz="8" w:space="0"/>
            </w:tcBorders>
            <w:shd w:val="clear" w:color="auto" w:fill="auto"/>
            <w:vAlign w:val="center"/>
          </w:tcPr>
          <w:p w14:paraId="59E0CDA4">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5.磋商保证金交纳凭证；</w:t>
            </w:r>
          </w:p>
        </w:tc>
      </w:tr>
      <w:tr w14:paraId="1D6138E7">
        <w:tblPrEx>
          <w:tblCellMar>
            <w:top w:w="0" w:type="dxa"/>
            <w:left w:w="108" w:type="dxa"/>
            <w:bottom w:w="0" w:type="dxa"/>
            <w:right w:w="108" w:type="dxa"/>
          </w:tblCellMar>
        </w:tblPrEx>
        <w:trPr>
          <w:trHeight w:val="9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7D7EDE38">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7B6DDFE3">
            <w:pPr>
              <w:snapToGrid w:val="0"/>
              <w:spacing w:line="500" w:lineRule="exact"/>
              <w:ind w:firstLine="480" w:firstLineChars="200"/>
              <w:rPr>
                <w:rFonts w:hint="eastAsia" w:ascii="宋体" w:hAnsi="宋体" w:eastAsia="宋体" w:cs="宋体"/>
                <w:sz w:val="24"/>
                <w:szCs w:val="28"/>
              </w:rPr>
            </w:pPr>
          </w:p>
        </w:tc>
        <w:tc>
          <w:tcPr>
            <w:tcW w:w="3620" w:type="pct"/>
            <w:tcBorders>
              <w:top w:val="nil"/>
              <w:left w:val="nil"/>
              <w:bottom w:val="nil"/>
              <w:right w:val="single" w:color="000000" w:sz="8" w:space="0"/>
            </w:tcBorders>
            <w:shd w:val="clear" w:color="auto" w:fill="auto"/>
            <w:vAlign w:val="center"/>
          </w:tcPr>
          <w:p w14:paraId="0466F82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须提供磋商保证金交纳凭证扫描件或影印件（须加盖供应商公章）。</w:t>
            </w:r>
          </w:p>
        </w:tc>
      </w:tr>
      <w:tr w14:paraId="75B58056">
        <w:tblPrEx>
          <w:tblCellMar>
            <w:top w:w="0" w:type="dxa"/>
            <w:left w:w="108" w:type="dxa"/>
            <w:bottom w:w="0" w:type="dxa"/>
            <w:right w:w="108" w:type="dxa"/>
          </w:tblCellMar>
        </w:tblPrEx>
        <w:trPr>
          <w:trHeight w:val="9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0F7C2761">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530C6633">
            <w:pPr>
              <w:snapToGrid w:val="0"/>
              <w:spacing w:line="500" w:lineRule="exact"/>
              <w:ind w:firstLine="480" w:firstLineChars="200"/>
              <w:rPr>
                <w:rFonts w:hint="eastAsia" w:ascii="宋体" w:hAnsi="宋体" w:eastAsia="宋体" w:cs="宋体"/>
                <w:sz w:val="24"/>
                <w:szCs w:val="28"/>
              </w:rPr>
            </w:pPr>
          </w:p>
        </w:tc>
        <w:tc>
          <w:tcPr>
            <w:tcW w:w="3620" w:type="pct"/>
            <w:tcBorders>
              <w:top w:val="nil"/>
              <w:left w:val="nil"/>
              <w:bottom w:val="nil"/>
              <w:right w:val="single" w:color="000000" w:sz="8" w:space="0"/>
            </w:tcBorders>
            <w:shd w:val="clear" w:color="auto" w:fill="auto"/>
            <w:vAlign w:val="center"/>
          </w:tcPr>
          <w:p w14:paraId="7B327B2A">
            <w:pPr>
              <w:snapToGrid w:val="0"/>
              <w:spacing w:line="500" w:lineRule="exact"/>
              <w:rPr>
                <w:rFonts w:hint="eastAsia" w:ascii="宋体" w:hAnsi="宋体" w:eastAsia="宋体" w:cs="宋体"/>
                <w:b/>
                <w:bCs/>
                <w:sz w:val="24"/>
                <w:szCs w:val="28"/>
              </w:rPr>
            </w:pPr>
            <w:r>
              <w:rPr>
                <w:rFonts w:hint="eastAsia" w:ascii="宋体" w:hAnsi="宋体" w:eastAsia="宋体" w:cs="宋体"/>
                <w:b/>
                <w:bCs w:val="0"/>
                <w:sz w:val="21"/>
                <w:szCs w:val="21"/>
                <w:highlight w:val="none"/>
                <w:lang w:val="en-US" w:eastAsia="zh-CN"/>
              </w:rPr>
              <w:t>注：“供应商在投标（响应）时，按照规定提供长治市政府采购供应商信用承诺函（详见响应文件格式），无需再提交上述证明材料，采购人有权在签订合同前要求成交供应商提供相关证明材料以核实成交供应商承诺事项的真实性。</w:t>
            </w:r>
          </w:p>
        </w:tc>
      </w:tr>
      <w:tr w14:paraId="17839BD0">
        <w:tblPrEx>
          <w:tblCellMar>
            <w:top w:w="0" w:type="dxa"/>
            <w:left w:w="108" w:type="dxa"/>
            <w:bottom w:w="0" w:type="dxa"/>
            <w:right w:w="108" w:type="dxa"/>
          </w:tblCellMar>
        </w:tblPrEx>
        <w:trPr>
          <w:trHeight w:val="9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742AF347">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009DA6E1">
            <w:pPr>
              <w:snapToGrid w:val="0"/>
              <w:spacing w:line="500" w:lineRule="exact"/>
              <w:ind w:firstLine="480" w:firstLineChars="200"/>
              <w:rPr>
                <w:rFonts w:hint="eastAsia" w:ascii="宋体" w:hAnsi="宋体" w:eastAsia="宋体" w:cs="宋体"/>
                <w:sz w:val="24"/>
                <w:szCs w:val="28"/>
              </w:rPr>
            </w:pPr>
          </w:p>
        </w:tc>
        <w:tc>
          <w:tcPr>
            <w:tcW w:w="3620" w:type="pct"/>
            <w:tcBorders>
              <w:top w:val="nil"/>
              <w:left w:val="nil"/>
              <w:bottom w:val="nil"/>
              <w:right w:val="single" w:color="000000" w:sz="8" w:space="0"/>
            </w:tcBorders>
            <w:shd w:val="clear" w:color="auto" w:fill="auto"/>
            <w:vAlign w:val="center"/>
          </w:tcPr>
          <w:p w14:paraId="30F1AB6D">
            <w:pPr>
              <w:snapToGrid w:val="0"/>
              <w:spacing w:line="500" w:lineRule="exact"/>
              <w:rPr>
                <w:rFonts w:hint="eastAsia" w:ascii="宋体" w:hAnsi="宋体" w:eastAsia="宋体" w:cs="宋体"/>
                <w:sz w:val="24"/>
                <w:szCs w:val="28"/>
              </w:rPr>
            </w:pPr>
            <w:r>
              <w:rPr>
                <w:rFonts w:hint="eastAsia" w:ascii="宋体" w:hAnsi="宋体" w:eastAsia="宋体" w:cs="宋体"/>
                <w:b/>
                <w:bCs/>
                <w:sz w:val="24"/>
                <w:szCs w:val="28"/>
              </w:rPr>
              <w:t>保证金金额及提交要求：</w:t>
            </w:r>
          </w:p>
        </w:tc>
      </w:tr>
      <w:tr w14:paraId="55C78248">
        <w:tblPrEx>
          <w:tblCellMar>
            <w:top w:w="0" w:type="dxa"/>
            <w:left w:w="108" w:type="dxa"/>
            <w:bottom w:w="0" w:type="dxa"/>
            <w:right w:w="108" w:type="dxa"/>
          </w:tblCellMar>
        </w:tblPrEx>
        <w:trPr>
          <w:trHeight w:val="31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162AA672">
            <w:pPr>
              <w:snapToGrid w:val="0"/>
              <w:spacing w:line="500" w:lineRule="exact"/>
              <w:ind w:firstLine="480" w:firstLineChars="200"/>
              <w:rPr>
                <w:rFonts w:hint="eastAsia" w:ascii="宋体" w:hAnsi="宋体" w:eastAsia="宋体" w:cs="宋体"/>
                <w:sz w:val="24"/>
                <w:szCs w:val="28"/>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D6D169C">
            <w:pPr>
              <w:snapToGrid w:val="0"/>
              <w:spacing w:line="500" w:lineRule="exact"/>
              <w:ind w:firstLine="480" w:firstLineChars="200"/>
              <w:rPr>
                <w:rFonts w:hint="eastAsia" w:ascii="宋体" w:hAnsi="宋体" w:eastAsia="宋体" w:cs="宋体"/>
                <w:sz w:val="24"/>
                <w:szCs w:val="28"/>
              </w:rPr>
            </w:pPr>
          </w:p>
        </w:tc>
        <w:tc>
          <w:tcPr>
            <w:tcW w:w="3620" w:type="pct"/>
            <w:tcBorders>
              <w:top w:val="nil"/>
              <w:left w:val="nil"/>
              <w:bottom w:val="nil"/>
              <w:right w:val="single" w:color="000000" w:sz="8" w:space="0"/>
            </w:tcBorders>
            <w:shd w:val="clear" w:color="auto" w:fill="auto"/>
            <w:vAlign w:val="center"/>
          </w:tcPr>
          <w:p w14:paraId="43612952">
            <w:pPr>
              <w:widowControl/>
              <w:adjustRightInd w:val="0"/>
              <w:spacing w:line="360" w:lineRule="auto"/>
              <w:jc w:val="left"/>
              <w:textAlignment w:val="baseline"/>
              <w:rPr>
                <w:rFonts w:hint="default" w:ascii="宋体" w:hAnsi="宋体" w:eastAsia="宋体" w:cs="宋体"/>
                <w:color w:val="000000"/>
                <w:szCs w:val="21"/>
                <w:lang w:val="en-US"/>
              </w:rPr>
            </w:pPr>
            <w:r>
              <w:rPr>
                <w:rFonts w:hint="eastAsia" w:ascii="宋体" w:hAnsi="宋体" w:eastAsia="宋体" w:cs="宋体"/>
                <w:sz w:val="21"/>
                <w:szCs w:val="21"/>
                <w:highlight w:val="none"/>
                <w:lang w:val="en-US" w:eastAsia="zh-CN"/>
              </w:rPr>
              <w:t>磋商保证金的金额：包1</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lang w:val="en-US" w:eastAsia="zh-CN"/>
              </w:rPr>
              <w:t>00元</w:t>
            </w:r>
            <w:r>
              <w:rPr>
                <w:rFonts w:hint="eastAsia" w:ascii="宋体" w:hAnsi="宋体" w:cs="宋体"/>
                <w:sz w:val="21"/>
                <w:szCs w:val="21"/>
                <w:highlight w:val="none"/>
                <w:lang w:val="en-US" w:eastAsia="zh-CN"/>
              </w:rPr>
              <w:t>；包2：4000</w:t>
            </w:r>
            <w:r>
              <w:rPr>
                <w:rFonts w:hint="eastAsia" w:ascii="宋体" w:hAnsi="宋体" w:eastAsia="宋体" w:cs="宋体"/>
                <w:sz w:val="21"/>
                <w:szCs w:val="21"/>
                <w:highlight w:val="none"/>
                <w:lang w:val="en-US" w:eastAsia="zh-CN"/>
              </w:rPr>
              <w:t>元</w:t>
            </w:r>
          </w:p>
        </w:tc>
      </w:tr>
      <w:tr w14:paraId="0A7CC605">
        <w:tblPrEx>
          <w:tblCellMar>
            <w:top w:w="0" w:type="dxa"/>
            <w:left w:w="108" w:type="dxa"/>
            <w:bottom w:w="0" w:type="dxa"/>
            <w:right w:w="108" w:type="dxa"/>
          </w:tblCellMar>
        </w:tblPrEx>
        <w:trPr>
          <w:trHeight w:val="506"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5434E78E">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552E5BA5">
            <w:pPr>
              <w:jc w:val="center"/>
              <w:rPr>
                <w:rFonts w:hint="eastAsia" w:ascii="宋体" w:hAnsi="宋体" w:eastAsia="宋体" w:cs="宋体"/>
                <w:sz w:val="24"/>
                <w:highlight w:val="none"/>
              </w:rPr>
            </w:pPr>
          </w:p>
        </w:tc>
        <w:tc>
          <w:tcPr>
            <w:tcW w:w="3620" w:type="pct"/>
            <w:tcBorders>
              <w:top w:val="nil"/>
              <w:left w:val="nil"/>
              <w:bottom w:val="nil"/>
              <w:right w:val="single" w:color="000000" w:sz="8" w:space="0"/>
            </w:tcBorders>
            <w:shd w:val="clear" w:color="auto" w:fill="auto"/>
            <w:vAlign w:val="center"/>
          </w:tcPr>
          <w:p w14:paraId="3F357D6B">
            <w:pPr>
              <w:widowControl/>
              <w:adjustRightInd w:val="0"/>
              <w:spacing w:line="360" w:lineRule="auto"/>
              <w:jc w:val="left"/>
              <w:textAlignment w:val="baseline"/>
              <w:rPr>
                <w:rFonts w:hint="eastAsia" w:ascii="宋体" w:hAnsi="宋体" w:eastAsia="宋体" w:cs="宋体"/>
                <w:color w:val="000000"/>
                <w:szCs w:val="21"/>
                <w:highlight w:val="none"/>
              </w:rPr>
            </w:pPr>
            <w:r>
              <w:rPr>
                <w:rFonts w:hint="eastAsia" w:ascii="宋体" w:hAnsi="宋体" w:eastAsia="宋体" w:cs="宋体"/>
                <w:sz w:val="21"/>
                <w:szCs w:val="21"/>
                <w:highlight w:val="none"/>
                <w:lang w:val="en-US" w:eastAsia="zh-CN"/>
              </w:rPr>
              <w:t>磋商保证金的形式：支票、汇票、本票或者金融机构、担保机构出具的保函等非现金形式提交。</w:t>
            </w:r>
          </w:p>
        </w:tc>
      </w:tr>
      <w:tr w14:paraId="4749A4AB">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47E717B6">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313ECFD">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0F6AD6FC">
            <w:pPr>
              <w:widowControl/>
              <w:adjustRightInd w:val="0"/>
              <w:spacing w:line="360" w:lineRule="auto"/>
              <w:jc w:val="left"/>
              <w:textAlignment w:val="baseline"/>
              <w:rPr>
                <w:rFonts w:hint="eastAsia" w:ascii="宋体" w:hAnsi="宋体" w:eastAsia="宋体" w:cs="宋体"/>
                <w:color w:val="000000"/>
                <w:szCs w:val="21"/>
              </w:rPr>
            </w:pPr>
            <w:r>
              <w:rPr>
                <w:rFonts w:hint="eastAsia" w:ascii="宋体" w:hAnsi="宋体" w:eastAsia="宋体" w:cs="宋体"/>
                <w:sz w:val="21"/>
                <w:szCs w:val="21"/>
                <w:highlight w:val="none"/>
                <w:lang w:val="en-US" w:eastAsia="zh-CN"/>
              </w:rPr>
              <w:t>（1）采用金融机构、担保机构出具的保函</w:t>
            </w:r>
          </w:p>
        </w:tc>
      </w:tr>
      <w:tr w14:paraId="5EE8F5C9">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74F89032">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5C5C4DF2">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3D6F7F12">
            <w:pPr>
              <w:widowControl/>
              <w:adjustRightInd w:val="0"/>
              <w:spacing w:line="360" w:lineRule="auto"/>
              <w:jc w:val="left"/>
              <w:textAlignment w:val="baseline"/>
              <w:rPr>
                <w:rFonts w:hint="eastAsia" w:ascii="宋体" w:hAnsi="宋体" w:eastAsia="宋体" w:cs="宋体"/>
                <w:color w:val="000000"/>
                <w:szCs w:val="21"/>
              </w:rPr>
            </w:pPr>
            <w:r>
              <w:rPr>
                <w:rFonts w:hint="eastAsia" w:ascii="宋体" w:hAnsi="宋体" w:eastAsia="宋体" w:cs="宋体"/>
                <w:sz w:val="21"/>
                <w:szCs w:val="21"/>
                <w:highlight w:val="none"/>
                <w:lang w:val="en-US" w:eastAsia="zh-CN"/>
              </w:rPr>
              <w:t>供应商提交的保函必须与招标投标项目一致，其有效期应当与投标有效期一致且真实有效。投标人在电子响应文件中需附保函的扫描件并加盖电子公章。</w:t>
            </w:r>
          </w:p>
        </w:tc>
      </w:tr>
      <w:tr w14:paraId="21F1820F">
        <w:tblPrEx>
          <w:tblCellMar>
            <w:top w:w="0" w:type="dxa"/>
            <w:left w:w="108" w:type="dxa"/>
            <w:bottom w:w="0" w:type="dxa"/>
            <w:right w:w="108" w:type="dxa"/>
          </w:tblCellMar>
        </w:tblPrEx>
        <w:trPr>
          <w:trHeight w:val="9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2BF4A807">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3E02104D">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31CFDCAC">
            <w:pPr>
              <w:widowControl/>
              <w:adjustRightInd w:val="0"/>
              <w:spacing w:line="360" w:lineRule="auto"/>
              <w:ind w:firstLine="420" w:firstLineChars="200"/>
              <w:jc w:val="left"/>
              <w:textAlignment w:val="baseline"/>
              <w:rPr>
                <w:rFonts w:hint="eastAsia" w:ascii="宋体" w:hAnsi="宋体" w:eastAsia="宋体" w:cs="宋体"/>
                <w:color w:val="000000"/>
                <w:szCs w:val="21"/>
              </w:rPr>
            </w:pPr>
            <w:r>
              <w:rPr>
                <w:rFonts w:hint="eastAsia" w:ascii="宋体" w:hAnsi="宋体" w:eastAsia="宋体" w:cs="宋体"/>
                <w:sz w:val="21"/>
                <w:szCs w:val="21"/>
                <w:highlight w:val="none"/>
                <w:lang w:val="en-US" w:eastAsia="zh-CN"/>
              </w:rPr>
              <w:t>注：可依据《山西省财政厅关于推广使用政府采购电子保函的通知》投标人通过山西省政府采购网（www.ccgp-shanxi.gov.cn）的电子保函平台进行申请、出函和下载，采购人、代理机构应在线解密投标保函、查看和下载投标及履约保函。</w:t>
            </w:r>
          </w:p>
        </w:tc>
      </w:tr>
      <w:tr w14:paraId="152E6DA3">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77AB669E">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11FE3991">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19812FA6">
            <w:pPr>
              <w:widowControl/>
              <w:adjustRightInd w:val="0"/>
              <w:spacing w:line="360" w:lineRule="auto"/>
              <w:jc w:val="left"/>
              <w:textAlignment w:val="baseline"/>
              <w:rPr>
                <w:rFonts w:hint="eastAsia" w:ascii="宋体" w:hAnsi="宋体" w:eastAsia="宋体" w:cs="宋体"/>
                <w:color w:val="000000"/>
                <w:szCs w:val="21"/>
              </w:rPr>
            </w:pPr>
            <w:r>
              <w:rPr>
                <w:rFonts w:hint="eastAsia" w:ascii="宋体" w:hAnsi="宋体" w:eastAsia="宋体" w:cs="宋体"/>
                <w:sz w:val="21"/>
                <w:szCs w:val="21"/>
                <w:highlight w:val="none"/>
                <w:lang w:val="en-US" w:eastAsia="zh-CN"/>
              </w:rPr>
              <w:t>（2）采用转账方式</w:t>
            </w:r>
          </w:p>
        </w:tc>
      </w:tr>
      <w:tr w14:paraId="569116B8">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3455E965">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115CBF0F">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1AE58F46">
            <w:pPr>
              <w:widowControl/>
              <w:adjustRightInd w:val="0"/>
              <w:spacing w:line="360" w:lineRule="auto"/>
              <w:jc w:val="left"/>
              <w:textAlignment w:val="baseline"/>
              <w:rPr>
                <w:rFonts w:hint="eastAsia" w:ascii="宋体" w:hAnsi="宋体" w:eastAsia="宋体" w:cs="宋体"/>
                <w:color w:val="000000"/>
                <w:szCs w:val="21"/>
              </w:rPr>
            </w:pPr>
            <w:r>
              <w:rPr>
                <w:rFonts w:hint="eastAsia" w:ascii="宋体" w:hAnsi="宋体" w:eastAsia="宋体" w:cs="宋体"/>
                <w:sz w:val="21"/>
                <w:szCs w:val="21"/>
                <w:highlight w:val="none"/>
                <w:lang w:val="en-US" w:eastAsia="zh-CN"/>
              </w:rPr>
              <w:t>递交时限：投标截止时间前</w:t>
            </w:r>
          </w:p>
        </w:tc>
      </w:tr>
      <w:tr w14:paraId="303E0915">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0946ADF3">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5C80C676">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5B5C37C8">
            <w:pPr>
              <w:widowControl/>
              <w:adjustRightInd w:val="0"/>
              <w:spacing w:line="360" w:lineRule="auto"/>
              <w:jc w:val="left"/>
              <w:textAlignment w:val="baseline"/>
              <w:rPr>
                <w:rFonts w:hint="eastAsia" w:ascii="宋体" w:hAnsi="宋体" w:eastAsia="宋体" w:cs="宋体"/>
                <w:kern w:val="0"/>
                <w:sz w:val="24"/>
                <w:lang w:bidi="ar"/>
              </w:rPr>
            </w:pPr>
            <w:r>
              <w:rPr>
                <w:rFonts w:hint="eastAsia" w:ascii="宋体" w:hAnsi="宋体" w:eastAsia="宋体" w:cs="宋体"/>
                <w:sz w:val="21"/>
                <w:szCs w:val="21"/>
                <w:highlight w:val="none"/>
                <w:lang w:val="en-US" w:eastAsia="zh-CN"/>
              </w:rPr>
              <w:t>递交方式：通过本单位基本银行帐户递交</w:t>
            </w:r>
          </w:p>
        </w:tc>
      </w:tr>
      <w:tr w14:paraId="14F49DBE">
        <w:tblPrEx>
          <w:tblCellMar>
            <w:top w:w="0" w:type="dxa"/>
            <w:left w:w="108" w:type="dxa"/>
            <w:bottom w:w="0" w:type="dxa"/>
            <w:right w:w="108" w:type="dxa"/>
          </w:tblCellMar>
        </w:tblPrEx>
        <w:trPr>
          <w:trHeight w:val="9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3C3AE18F">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43CD2BF">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014528DB">
            <w:pPr>
              <w:widowControl/>
              <w:adjustRightInd w:val="0"/>
              <w:spacing w:line="360" w:lineRule="auto"/>
              <w:jc w:val="left"/>
              <w:textAlignment w:val="baseline"/>
              <w:rPr>
                <w:rFonts w:hint="eastAsia" w:ascii="宋体" w:hAnsi="宋体" w:eastAsia="宋体" w:cs="宋体"/>
                <w:kern w:val="0"/>
                <w:sz w:val="24"/>
                <w:lang w:bidi="ar"/>
              </w:rPr>
            </w:pPr>
            <w:r>
              <w:rPr>
                <w:rFonts w:hint="eastAsia" w:ascii="宋体" w:hAnsi="宋体" w:eastAsia="宋体" w:cs="宋体"/>
                <w:sz w:val="21"/>
                <w:szCs w:val="21"/>
                <w:highlight w:val="none"/>
                <w:lang w:val="en-US" w:eastAsia="zh-CN"/>
              </w:rPr>
              <w:t>招标代理机构的开户银行及账号如下：</w:t>
            </w:r>
          </w:p>
        </w:tc>
      </w:tr>
      <w:tr w14:paraId="33C2C2F0">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7F2995F1">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6870B406">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227B2D6C">
            <w:pPr>
              <w:widowControl/>
              <w:adjustRightInd w:val="0"/>
              <w:spacing w:line="360" w:lineRule="auto"/>
              <w:jc w:val="left"/>
              <w:textAlignment w:val="baseline"/>
              <w:rPr>
                <w:rFonts w:hint="eastAsia" w:ascii="宋体" w:hAnsi="宋体" w:eastAsia="宋体" w:cs="宋体"/>
                <w:kern w:val="0"/>
                <w:sz w:val="24"/>
                <w:lang w:bidi="ar"/>
              </w:rPr>
            </w:pPr>
            <w:r>
              <w:rPr>
                <w:rFonts w:hint="eastAsia" w:ascii="宋体" w:hAnsi="宋体" w:eastAsia="宋体" w:cs="宋体"/>
                <w:sz w:val="21"/>
                <w:szCs w:val="21"/>
                <w:highlight w:val="none"/>
                <w:lang w:val="en-US" w:eastAsia="zh-CN"/>
              </w:rPr>
              <w:t>收款单位：山西众标项目管理有限公司</w:t>
            </w:r>
          </w:p>
        </w:tc>
      </w:tr>
      <w:tr w14:paraId="3FD8CDCF">
        <w:tblPrEx>
          <w:tblCellMar>
            <w:top w:w="0" w:type="dxa"/>
            <w:left w:w="108" w:type="dxa"/>
            <w:bottom w:w="0" w:type="dxa"/>
            <w:right w:w="108" w:type="dxa"/>
          </w:tblCellMar>
        </w:tblPrEx>
        <w:trPr>
          <w:trHeight w:val="409"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244110CA">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722DDFD8">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7F2C25C7">
            <w:pPr>
              <w:widowControl/>
              <w:adjustRightInd w:val="0"/>
              <w:spacing w:line="360" w:lineRule="auto"/>
              <w:jc w:val="left"/>
              <w:textAlignment w:val="baseline"/>
              <w:rPr>
                <w:rFonts w:hint="eastAsia" w:ascii="宋体" w:hAnsi="宋体" w:eastAsia="宋体" w:cs="宋体"/>
                <w:sz w:val="24"/>
              </w:rPr>
            </w:pPr>
            <w:r>
              <w:rPr>
                <w:rFonts w:hint="eastAsia" w:ascii="宋体" w:hAnsi="宋体" w:eastAsia="宋体" w:cs="宋体"/>
                <w:sz w:val="21"/>
                <w:szCs w:val="21"/>
                <w:highlight w:val="none"/>
                <w:lang w:val="en-US" w:eastAsia="zh-CN"/>
              </w:rPr>
              <w:t>开户行：中国银行股份有限公司长治太行东街支行</w:t>
            </w:r>
          </w:p>
        </w:tc>
      </w:tr>
      <w:tr w14:paraId="1EEE8440">
        <w:tblPrEx>
          <w:tblCellMar>
            <w:top w:w="0" w:type="dxa"/>
            <w:left w:w="108" w:type="dxa"/>
            <w:bottom w:w="0" w:type="dxa"/>
            <w:right w:w="108" w:type="dxa"/>
          </w:tblCellMar>
        </w:tblPrEx>
        <w:trPr>
          <w:trHeight w:val="438"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44036065">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0A391AA9">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47A80EC4">
            <w:pPr>
              <w:widowControl/>
              <w:adjustRightInd w:val="0"/>
              <w:spacing w:line="360" w:lineRule="auto"/>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账号：141767478550</w:t>
            </w:r>
          </w:p>
          <w:p w14:paraId="7D792AD0">
            <w:pPr>
              <w:widowControl/>
              <w:adjustRightInd w:val="0"/>
              <w:spacing w:line="360" w:lineRule="auto"/>
              <w:jc w:val="left"/>
              <w:textAlignment w:val="baseline"/>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备注：项目名称及包号。</w:t>
            </w:r>
          </w:p>
        </w:tc>
      </w:tr>
      <w:tr w14:paraId="04129404">
        <w:tblPrEx>
          <w:tblCellMar>
            <w:top w:w="0" w:type="dxa"/>
            <w:left w:w="108" w:type="dxa"/>
            <w:bottom w:w="0" w:type="dxa"/>
            <w:right w:w="108" w:type="dxa"/>
          </w:tblCellMar>
        </w:tblPrEx>
        <w:trPr>
          <w:trHeight w:val="613"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38214B43">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7D187FDF">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3D30723E">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注：（1）第1-</w:t>
            </w:r>
            <w:r>
              <w:rPr>
                <w:rFonts w:hint="eastAsia" w:ascii="宋体" w:hAnsi="宋体" w:cs="宋体"/>
                <w:color w:val="000000"/>
                <w:szCs w:val="21"/>
                <w:lang w:val="en-US" w:eastAsia="zh-CN"/>
              </w:rPr>
              <w:t>5</w:t>
            </w:r>
            <w:r>
              <w:rPr>
                <w:rFonts w:hint="eastAsia" w:ascii="宋体" w:hAnsi="宋体" w:eastAsia="宋体" w:cs="宋体"/>
                <w:color w:val="000000"/>
                <w:szCs w:val="21"/>
              </w:rPr>
              <w:t>项资格证明文件，若有一项未提供或无效，将导致其不具备磋商资格，且不允许在开启后补正。</w:t>
            </w:r>
          </w:p>
        </w:tc>
      </w:tr>
      <w:tr w14:paraId="53C65F20">
        <w:tblPrEx>
          <w:tblCellMar>
            <w:top w:w="0" w:type="dxa"/>
            <w:left w:w="108" w:type="dxa"/>
            <w:bottom w:w="0" w:type="dxa"/>
            <w:right w:w="108" w:type="dxa"/>
          </w:tblCellMar>
        </w:tblPrEx>
        <w:trPr>
          <w:trHeight w:val="65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6C666329">
            <w:pPr>
              <w:jc w:val="center"/>
              <w:rPr>
                <w:rFonts w:hint="eastAsia" w:ascii="宋体" w:hAnsi="宋体" w:eastAsia="宋体" w:cs="宋体"/>
                <w:sz w:val="24"/>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26E1E3C9">
            <w:pPr>
              <w:jc w:val="center"/>
              <w:rPr>
                <w:rFonts w:hint="eastAsia" w:ascii="宋体" w:hAnsi="宋体" w:eastAsia="宋体" w:cs="宋体"/>
                <w:sz w:val="24"/>
              </w:rPr>
            </w:pPr>
          </w:p>
        </w:tc>
        <w:tc>
          <w:tcPr>
            <w:tcW w:w="3620" w:type="pct"/>
            <w:tcBorders>
              <w:top w:val="nil"/>
              <w:left w:val="nil"/>
              <w:bottom w:val="nil"/>
              <w:right w:val="single" w:color="000000" w:sz="8" w:space="0"/>
            </w:tcBorders>
            <w:shd w:val="clear" w:color="auto" w:fill="auto"/>
            <w:vAlign w:val="center"/>
          </w:tcPr>
          <w:p w14:paraId="69BBD42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（2）若供应商存在失信记录情形、被列入重大税收违法失信主体名单的，其响应将作无效处理。</w:t>
            </w:r>
          </w:p>
        </w:tc>
      </w:tr>
      <w:tr w14:paraId="4A8A1C3F">
        <w:tblPrEx>
          <w:tblCellMar>
            <w:top w:w="0" w:type="dxa"/>
            <w:left w:w="108" w:type="dxa"/>
            <w:bottom w:w="0" w:type="dxa"/>
            <w:right w:w="108" w:type="dxa"/>
          </w:tblCellMar>
        </w:tblPrEx>
        <w:trPr>
          <w:trHeight w:val="585" w:hRule="atLeast"/>
        </w:trPr>
        <w:tc>
          <w:tcPr>
            <w:tcW w:w="499" w:type="pct"/>
            <w:vMerge w:val="continue"/>
            <w:tcBorders>
              <w:top w:val="nil"/>
              <w:left w:val="single" w:color="auto" w:sz="4" w:space="0"/>
              <w:bottom w:val="single" w:color="auto" w:sz="4" w:space="0"/>
              <w:right w:val="single" w:color="000000" w:sz="8" w:space="0"/>
            </w:tcBorders>
            <w:shd w:val="clear" w:color="auto" w:fill="auto"/>
            <w:vAlign w:val="center"/>
          </w:tcPr>
          <w:p w14:paraId="27766916">
            <w:pPr>
              <w:jc w:val="center"/>
              <w:rPr>
                <w:rFonts w:hint="eastAsia" w:ascii="宋体" w:hAnsi="宋体" w:eastAsia="宋体" w:cs="宋体"/>
                <w:sz w:val="24"/>
              </w:rPr>
            </w:pPr>
          </w:p>
        </w:tc>
        <w:tc>
          <w:tcPr>
            <w:tcW w:w="880" w:type="pct"/>
            <w:vMerge w:val="continue"/>
            <w:tcBorders>
              <w:top w:val="nil"/>
              <w:left w:val="nil"/>
              <w:bottom w:val="single" w:color="auto" w:sz="4" w:space="0"/>
              <w:right w:val="single" w:color="000000" w:sz="8" w:space="0"/>
            </w:tcBorders>
            <w:shd w:val="clear" w:color="auto" w:fill="auto"/>
            <w:vAlign w:val="center"/>
          </w:tcPr>
          <w:p w14:paraId="1940F458">
            <w:pPr>
              <w:jc w:val="center"/>
              <w:rPr>
                <w:rFonts w:hint="eastAsia" w:ascii="宋体" w:hAnsi="宋体" w:eastAsia="宋体" w:cs="宋体"/>
                <w:sz w:val="24"/>
              </w:rPr>
            </w:pPr>
          </w:p>
        </w:tc>
        <w:tc>
          <w:tcPr>
            <w:tcW w:w="3620" w:type="pct"/>
            <w:tcBorders>
              <w:top w:val="nil"/>
              <w:left w:val="nil"/>
              <w:bottom w:val="single" w:color="auto" w:sz="4" w:space="0"/>
              <w:right w:val="single" w:color="000000" w:sz="8" w:space="0"/>
            </w:tcBorders>
            <w:shd w:val="clear" w:color="auto" w:fill="auto"/>
            <w:vAlign w:val="center"/>
          </w:tcPr>
          <w:p w14:paraId="7A8D43F0">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（3）以上所有资格证明文件均需加盖供应商数字证书电子CA章。</w:t>
            </w:r>
          </w:p>
        </w:tc>
      </w:tr>
      <w:tr w14:paraId="589D8EE1">
        <w:tblPrEx>
          <w:tblCellMar>
            <w:top w:w="0" w:type="dxa"/>
            <w:left w:w="108" w:type="dxa"/>
            <w:bottom w:w="0" w:type="dxa"/>
            <w:right w:w="108" w:type="dxa"/>
          </w:tblCellMar>
        </w:tblPrEx>
        <w:trPr>
          <w:trHeight w:val="490" w:hRule="atLeast"/>
        </w:trPr>
        <w:tc>
          <w:tcPr>
            <w:tcW w:w="499" w:type="pct"/>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775E684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12</w:t>
            </w:r>
          </w:p>
        </w:tc>
        <w:tc>
          <w:tcPr>
            <w:tcW w:w="880" w:type="pct"/>
            <w:vMerge w:val="restart"/>
            <w:tcBorders>
              <w:top w:val="single" w:color="auto" w:sz="4" w:space="0"/>
              <w:left w:val="nil"/>
              <w:bottom w:val="single" w:color="000000" w:sz="8" w:space="0"/>
              <w:right w:val="single" w:color="000000" w:sz="8" w:space="0"/>
            </w:tcBorders>
            <w:shd w:val="clear" w:color="auto" w:fill="auto"/>
            <w:vAlign w:val="center"/>
          </w:tcPr>
          <w:p w14:paraId="1367497D">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供应商应提交的商务、技术文件</w:t>
            </w:r>
          </w:p>
        </w:tc>
        <w:tc>
          <w:tcPr>
            <w:tcW w:w="3620" w:type="pct"/>
            <w:tcBorders>
              <w:top w:val="single" w:color="auto" w:sz="4" w:space="0"/>
              <w:left w:val="nil"/>
              <w:bottom w:val="nil"/>
              <w:right w:val="single" w:color="auto" w:sz="4" w:space="0"/>
            </w:tcBorders>
            <w:shd w:val="clear" w:color="auto" w:fill="auto"/>
            <w:vAlign w:val="center"/>
          </w:tcPr>
          <w:p w14:paraId="36206AE0">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*1.法定代表人（负责人）身份证明书（见‘响应文件格式’）；</w:t>
            </w:r>
          </w:p>
        </w:tc>
      </w:tr>
      <w:tr w14:paraId="29A26DA7">
        <w:tblPrEx>
          <w:tblCellMar>
            <w:top w:w="0" w:type="dxa"/>
            <w:left w:w="108" w:type="dxa"/>
            <w:bottom w:w="0" w:type="dxa"/>
            <w:right w:w="108" w:type="dxa"/>
          </w:tblCellMar>
        </w:tblPrEx>
        <w:trPr>
          <w:trHeight w:val="41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0B00D59D">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5AC9E495">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auto" w:sz="4" w:space="0"/>
            </w:tcBorders>
            <w:shd w:val="clear" w:color="auto" w:fill="auto"/>
            <w:vAlign w:val="center"/>
          </w:tcPr>
          <w:p w14:paraId="1EBD0DF7">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*2.法定代表人（负责人）授权委托书（见‘响应文件格式’）</w:t>
            </w:r>
          </w:p>
        </w:tc>
      </w:tr>
      <w:tr w14:paraId="082AE30B">
        <w:tblPrEx>
          <w:tblCellMar>
            <w:top w:w="0" w:type="dxa"/>
            <w:left w:w="108" w:type="dxa"/>
            <w:bottom w:w="0" w:type="dxa"/>
            <w:right w:w="108" w:type="dxa"/>
          </w:tblCellMar>
        </w:tblPrEx>
        <w:trPr>
          <w:trHeight w:val="436" w:hRule="atLeast"/>
        </w:trPr>
        <w:tc>
          <w:tcPr>
            <w:tcW w:w="499" w:type="pct"/>
            <w:vMerge w:val="continue"/>
            <w:tcBorders>
              <w:top w:val="nil"/>
              <w:left w:val="single" w:color="auto" w:sz="4" w:space="0"/>
              <w:bottom w:val="single" w:color="auto" w:sz="4" w:space="0"/>
              <w:right w:val="single" w:color="000000" w:sz="8" w:space="0"/>
            </w:tcBorders>
            <w:shd w:val="clear" w:color="auto" w:fill="auto"/>
            <w:vAlign w:val="center"/>
          </w:tcPr>
          <w:p w14:paraId="26CEEF2C">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auto" w:sz="4" w:space="0"/>
              <w:right w:val="single" w:color="000000" w:sz="8" w:space="0"/>
            </w:tcBorders>
            <w:shd w:val="clear" w:color="auto" w:fill="auto"/>
            <w:vAlign w:val="center"/>
          </w:tcPr>
          <w:p w14:paraId="4CEF9E25">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single" w:color="auto" w:sz="4" w:space="0"/>
              <w:right w:val="single" w:color="auto" w:sz="4" w:space="0"/>
            </w:tcBorders>
            <w:shd w:val="clear" w:color="auto" w:fill="auto"/>
            <w:vAlign w:val="center"/>
          </w:tcPr>
          <w:p w14:paraId="24850FCE">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若供应商代表为法定代表人（负责人）的可不提供；</w:t>
            </w:r>
          </w:p>
        </w:tc>
      </w:tr>
      <w:tr w14:paraId="34DC48C0">
        <w:tblPrEx>
          <w:tblCellMar>
            <w:top w:w="0" w:type="dxa"/>
            <w:left w:w="108" w:type="dxa"/>
            <w:bottom w:w="0" w:type="dxa"/>
            <w:right w:w="108" w:type="dxa"/>
          </w:tblCellMar>
        </w:tblPrEx>
        <w:trPr>
          <w:trHeight w:val="755" w:hRule="atLeast"/>
        </w:trPr>
        <w:tc>
          <w:tcPr>
            <w:tcW w:w="499" w:type="pct"/>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6A2B4F32">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single" w:color="auto" w:sz="4" w:space="0"/>
              <w:left w:val="nil"/>
              <w:bottom w:val="single" w:color="000000" w:sz="8" w:space="0"/>
              <w:right w:val="single" w:color="000000" w:sz="8" w:space="0"/>
            </w:tcBorders>
            <w:shd w:val="clear" w:color="auto" w:fill="auto"/>
            <w:vAlign w:val="center"/>
          </w:tcPr>
          <w:p w14:paraId="197E4857">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single" w:color="auto" w:sz="4" w:space="0"/>
              <w:left w:val="nil"/>
              <w:bottom w:val="nil"/>
              <w:right w:val="single" w:color="000000" w:sz="8" w:space="0"/>
            </w:tcBorders>
            <w:shd w:val="clear" w:color="auto" w:fill="auto"/>
            <w:vAlign w:val="center"/>
          </w:tcPr>
          <w:p w14:paraId="52FFDDFC">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*3.磋商函（在磋商函中除可填报项目有关内容外，对磋商函的任何实质性修改将导致报价无效；见‘响应文件格式’）；</w:t>
            </w:r>
          </w:p>
        </w:tc>
      </w:tr>
      <w:tr w14:paraId="2487C23A">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3E783A0D">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4607883">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0195AA7A">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*4.报价一览表 (见‘响应文件格式’)；</w:t>
            </w:r>
          </w:p>
        </w:tc>
      </w:tr>
      <w:tr w14:paraId="17D21D09">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6B4E2639">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37811A6E">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555CB78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*5.商务条款响应表（见‘响应文件格式’）；</w:t>
            </w:r>
          </w:p>
        </w:tc>
      </w:tr>
      <w:tr w14:paraId="397CB4AB">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12758126">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50977900">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68E0468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*6.技术规范响应及偏离表(见‘响应文件格式’)；</w:t>
            </w:r>
          </w:p>
        </w:tc>
      </w:tr>
      <w:tr w14:paraId="0F24B113">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20237CA5">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75AE1B1B">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791B0BBC">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7.政策要求</w:t>
            </w:r>
          </w:p>
        </w:tc>
      </w:tr>
      <w:tr w14:paraId="7C5BEA2C">
        <w:tblPrEx>
          <w:tblCellMar>
            <w:top w:w="0" w:type="dxa"/>
            <w:left w:w="108" w:type="dxa"/>
            <w:bottom w:w="0" w:type="dxa"/>
            <w:right w:w="108" w:type="dxa"/>
          </w:tblCellMar>
        </w:tblPrEx>
        <w:trPr>
          <w:trHeight w:val="58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18AD544B">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6CCEE7B3">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17D4C92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8.响应文件递交截止日近三年内完成的类似项目合同案例列表及相关证明资料(见‘响应文件格式’)；</w:t>
            </w:r>
          </w:p>
        </w:tc>
      </w:tr>
      <w:tr w14:paraId="08E011EC">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352AD848">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34A7FBAC">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21C1A3BE">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9.技术方案（格式自拟）；</w:t>
            </w:r>
          </w:p>
        </w:tc>
      </w:tr>
      <w:tr w14:paraId="73D03D18">
        <w:tblPrEx>
          <w:tblCellMar>
            <w:top w:w="0" w:type="dxa"/>
            <w:left w:w="108" w:type="dxa"/>
            <w:bottom w:w="0" w:type="dxa"/>
            <w:right w:w="108" w:type="dxa"/>
          </w:tblCellMar>
        </w:tblPrEx>
        <w:trPr>
          <w:trHeight w:val="48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587E39DD">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6EDE817">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000000" w:sz="8" w:space="0"/>
            </w:tcBorders>
            <w:shd w:val="clear" w:color="auto" w:fill="auto"/>
            <w:vAlign w:val="center"/>
          </w:tcPr>
          <w:p w14:paraId="7DE9CEF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10.供应商认为需要提供的其他商务、技术材料（格式自拟）。</w:t>
            </w:r>
          </w:p>
        </w:tc>
      </w:tr>
      <w:tr w14:paraId="36305E48">
        <w:tblPrEx>
          <w:tblCellMar>
            <w:top w:w="0" w:type="dxa"/>
            <w:left w:w="108" w:type="dxa"/>
            <w:bottom w:w="0" w:type="dxa"/>
            <w:right w:w="108" w:type="dxa"/>
          </w:tblCellMar>
        </w:tblPrEx>
        <w:trPr>
          <w:trHeight w:val="58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04E30493">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6BB7EF69">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single" w:color="000000" w:sz="8" w:space="0"/>
              <w:right w:val="single" w:color="000000" w:sz="8" w:space="0"/>
            </w:tcBorders>
            <w:shd w:val="clear" w:color="auto" w:fill="auto"/>
            <w:vAlign w:val="center"/>
          </w:tcPr>
          <w:p w14:paraId="2F0009FC">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加*的商务、技术文件若有一项未提供或无效，将导致其不具备磋商资格，且不允许在解密后补正。</w:t>
            </w:r>
          </w:p>
        </w:tc>
      </w:tr>
      <w:tr w14:paraId="1140D1AE">
        <w:tblPrEx>
          <w:tblCellMar>
            <w:top w:w="0" w:type="dxa"/>
            <w:left w:w="108" w:type="dxa"/>
            <w:bottom w:w="0" w:type="dxa"/>
            <w:right w:w="108" w:type="dxa"/>
          </w:tblCellMar>
        </w:tblPrEx>
        <w:trPr>
          <w:trHeight w:val="585" w:hRule="atLeast"/>
        </w:trPr>
        <w:tc>
          <w:tcPr>
            <w:tcW w:w="499" w:type="pct"/>
            <w:vMerge w:val="restart"/>
            <w:tcBorders>
              <w:top w:val="nil"/>
              <w:left w:val="single" w:color="000000" w:sz="8" w:space="0"/>
              <w:bottom w:val="single" w:color="000000" w:sz="8" w:space="0"/>
              <w:right w:val="single" w:color="000000" w:sz="8" w:space="0"/>
            </w:tcBorders>
            <w:shd w:val="clear" w:color="auto" w:fill="auto"/>
            <w:vAlign w:val="center"/>
          </w:tcPr>
          <w:p w14:paraId="1F6ADD0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13</w:t>
            </w:r>
          </w:p>
        </w:tc>
        <w:tc>
          <w:tcPr>
            <w:tcW w:w="880" w:type="pct"/>
            <w:vMerge w:val="restart"/>
            <w:tcBorders>
              <w:top w:val="nil"/>
              <w:left w:val="nil"/>
              <w:bottom w:val="single" w:color="000000" w:sz="8" w:space="0"/>
              <w:right w:val="single" w:color="000000" w:sz="8" w:space="0"/>
            </w:tcBorders>
            <w:shd w:val="clear" w:color="auto" w:fill="auto"/>
            <w:vAlign w:val="center"/>
          </w:tcPr>
          <w:p w14:paraId="197587F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报价</w:t>
            </w:r>
          </w:p>
        </w:tc>
        <w:tc>
          <w:tcPr>
            <w:tcW w:w="3620" w:type="pct"/>
            <w:tcBorders>
              <w:top w:val="nil"/>
              <w:left w:val="nil"/>
              <w:bottom w:val="single" w:color="000000" w:sz="8" w:space="0"/>
              <w:right w:val="single" w:color="000000" w:sz="8" w:space="0"/>
            </w:tcBorders>
            <w:shd w:val="clear" w:color="auto" w:fill="auto"/>
            <w:vAlign w:val="center"/>
          </w:tcPr>
          <w:p w14:paraId="641BF6C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供应商就磋商文件“第五部分 采购需求”规定的内容进行唯一报价。</w:t>
            </w:r>
          </w:p>
        </w:tc>
      </w:tr>
      <w:tr w14:paraId="4E26AEAF">
        <w:tblPrEx>
          <w:tblCellMar>
            <w:top w:w="0" w:type="dxa"/>
            <w:left w:w="108" w:type="dxa"/>
            <w:bottom w:w="0" w:type="dxa"/>
            <w:right w:w="108" w:type="dxa"/>
          </w:tblCellMar>
        </w:tblPrEx>
        <w:trPr>
          <w:trHeight w:val="585"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702085E5">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5291E885">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single" w:color="000000" w:sz="8" w:space="0"/>
              <w:right w:val="single" w:color="000000" w:sz="8" w:space="0"/>
            </w:tcBorders>
            <w:shd w:val="clear" w:color="auto" w:fill="auto"/>
            <w:vAlign w:val="center"/>
          </w:tcPr>
          <w:p w14:paraId="7B3D59EE">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供应商按照磋商文件要求进行第二轮报价，即最终报价。</w:t>
            </w:r>
          </w:p>
        </w:tc>
      </w:tr>
      <w:tr w14:paraId="27EE0796">
        <w:tblPrEx>
          <w:tblCellMar>
            <w:top w:w="0" w:type="dxa"/>
            <w:left w:w="108" w:type="dxa"/>
            <w:bottom w:w="0" w:type="dxa"/>
            <w:right w:w="108" w:type="dxa"/>
          </w:tblCellMar>
        </w:tblPrEx>
        <w:trPr>
          <w:trHeight w:val="461"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34FB9A64">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14</w:t>
            </w:r>
          </w:p>
        </w:tc>
        <w:tc>
          <w:tcPr>
            <w:tcW w:w="880" w:type="pct"/>
            <w:tcBorders>
              <w:top w:val="nil"/>
              <w:left w:val="nil"/>
              <w:bottom w:val="single" w:color="000000" w:sz="8" w:space="0"/>
              <w:right w:val="single" w:color="000000" w:sz="8" w:space="0"/>
            </w:tcBorders>
            <w:shd w:val="clear" w:color="auto" w:fill="auto"/>
            <w:vAlign w:val="center"/>
          </w:tcPr>
          <w:p w14:paraId="0E7EE9EF">
            <w:pPr>
              <w:widowControl/>
              <w:adjustRightInd w:val="0"/>
              <w:spacing w:line="380" w:lineRule="exact"/>
              <w:jc w:val="left"/>
              <w:textAlignment w:val="baseline"/>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所属行业</w:t>
            </w:r>
          </w:p>
        </w:tc>
        <w:tc>
          <w:tcPr>
            <w:tcW w:w="3620" w:type="pct"/>
            <w:tcBorders>
              <w:top w:val="nil"/>
              <w:left w:val="nil"/>
              <w:bottom w:val="single" w:color="000000" w:sz="8" w:space="0"/>
              <w:right w:val="single" w:color="000000" w:sz="8" w:space="0"/>
            </w:tcBorders>
            <w:shd w:val="clear" w:color="auto" w:fill="auto"/>
            <w:vAlign w:val="center"/>
          </w:tcPr>
          <w:p w14:paraId="35485D52">
            <w:pPr>
              <w:widowControl/>
              <w:adjustRightInd w:val="0"/>
              <w:spacing w:line="380" w:lineRule="exact"/>
              <w:jc w:val="left"/>
              <w:textAlignment w:val="baseline"/>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租赁和商业服务业</w:t>
            </w:r>
          </w:p>
        </w:tc>
      </w:tr>
      <w:tr w14:paraId="5BE1A3B7">
        <w:tblPrEx>
          <w:tblCellMar>
            <w:top w:w="0" w:type="dxa"/>
            <w:left w:w="108" w:type="dxa"/>
            <w:bottom w:w="0" w:type="dxa"/>
            <w:right w:w="108" w:type="dxa"/>
          </w:tblCellMar>
        </w:tblPrEx>
        <w:trPr>
          <w:trHeight w:val="300"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345CF41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15</w:t>
            </w:r>
          </w:p>
        </w:tc>
        <w:tc>
          <w:tcPr>
            <w:tcW w:w="880" w:type="pct"/>
            <w:tcBorders>
              <w:top w:val="nil"/>
              <w:left w:val="nil"/>
              <w:bottom w:val="single" w:color="000000" w:sz="8" w:space="0"/>
              <w:right w:val="single" w:color="000000" w:sz="8" w:space="0"/>
            </w:tcBorders>
            <w:shd w:val="clear" w:color="auto" w:fill="auto"/>
            <w:vAlign w:val="center"/>
          </w:tcPr>
          <w:p w14:paraId="0CCA73DF">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响应文件编制及注意事项</w:t>
            </w:r>
          </w:p>
        </w:tc>
        <w:tc>
          <w:tcPr>
            <w:tcW w:w="3620" w:type="pct"/>
            <w:tcBorders>
              <w:top w:val="nil"/>
              <w:left w:val="nil"/>
              <w:bottom w:val="single" w:color="000000" w:sz="8" w:space="0"/>
              <w:right w:val="single" w:color="000000" w:sz="8" w:space="0"/>
            </w:tcBorders>
            <w:shd w:val="clear" w:color="auto" w:fill="auto"/>
            <w:vAlign w:val="center"/>
          </w:tcPr>
          <w:p w14:paraId="33AAF32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详见磋商文件“第七部分 响应文件格式”</w:t>
            </w:r>
          </w:p>
        </w:tc>
      </w:tr>
      <w:tr w14:paraId="7052EF47">
        <w:tblPrEx>
          <w:tblCellMar>
            <w:top w:w="0" w:type="dxa"/>
            <w:left w:w="108" w:type="dxa"/>
            <w:bottom w:w="0" w:type="dxa"/>
            <w:right w:w="108" w:type="dxa"/>
          </w:tblCellMar>
        </w:tblPrEx>
        <w:trPr>
          <w:trHeight w:val="870"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325D98D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16</w:t>
            </w:r>
          </w:p>
        </w:tc>
        <w:tc>
          <w:tcPr>
            <w:tcW w:w="880" w:type="pct"/>
            <w:tcBorders>
              <w:top w:val="nil"/>
              <w:left w:val="nil"/>
              <w:bottom w:val="single" w:color="000000" w:sz="8" w:space="0"/>
              <w:right w:val="single" w:color="000000" w:sz="8" w:space="0"/>
            </w:tcBorders>
            <w:shd w:val="clear" w:color="auto" w:fill="auto"/>
            <w:vAlign w:val="center"/>
          </w:tcPr>
          <w:p w14:paraId="0834C4F7">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磋商有效期</w:t>
            </w:r>
          </w:p>
        </w:tc>
        <w:tc>
          <w:tcPr>
            <w:tcW w:w="3620" w:type="pct"/>
            <w:tcBorders>
              <w:top w:val="nil"/>
              <w:left w:val="nil"/>
              <w:bottom w:val="single" w:color="000000" w:sz="8" w:space="0"/>
              <w:right w:val="single" w:color="000000" w:sz="8" w:space="0"/>
            </w:tcBorders>
            <w:shd w:val="clear" w:color="auto" w:fill="auto"/>
            <w:vAlign w:val="center"/>
          </w:tcPr>
          <w:p w14:paraId="71C4A35A">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磋商有效期自提交响应文件的截止之日起算90日历天，详见磋商文件“第三部分 供应商须知第5项响应文件有效期”。</w:t>
            </w:r>
          </w:p>
        </w:tc>
      </w:tr>
      <w:tr w14:paraId="44FE7CB6">
        <w:tblPrEx>
          <w:tblCellMar>
            <w:top w:w="0" w:type="dxa"/>
            <w:left w:w="108" w:type="dxa"/>
            <w:bottom w:w="0" w:type="dxa"/>
            <w:right w:w="108" w:type="dxa"/>
          </w:tblCellMar>
        </w:tblPrEx>
        <w:trPr>
          <w:trHeight w:val="475"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60F54C9C">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17</w:t>
            </w:r>
          </w:p>
        </w:tc>
        <w:tc>
          <w:tcPr>
            <w:tcW w:w="880" w:type="pct"/>
            <w:tcBorders>
              <w:top w:val="nil"/>
              <w:left w:val="nil"/>
              <w:bottom w:val="single" w:color="000000" w:sz="8" w:space="0"/>
              <w:right w:val="single" w:color="000000" w:sz="8" w:space="0"/>
            </w:tcBorders>
            <w:shd w:val="clear" w:color="auto" w:fill="auto"/>
            <w:vAlign w:val="center"/>
          </w:tcPr>
          <w:p w14:paraId="1113FFE6">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技术选择性方案</w:t>
            </w:r>
          </w:p>
        </w:tc>
        <w:tc>
          <w:tcPr>
            <w:tcW w:w="3620" w:type="pct"/>
            <w:tcBorders>
              <w:top w:val="nil"/>
              <w:left w:val="nil"/>
              <w:bottom w:val="single" w:color="000000" w:sz="8" w:space="0"/>
              <w:right w:val="single" w:color="000000" w:sz="8" w:space="0"/>
            </w:tcBorders>
            <w:shd w:val="clear" w:color="auto" w:fill="auto"/>
            <w:vAlign w:val="center"/>
          </w:tcPr>
          <w:p w14:paraId="3BC5C92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不接受</w:t>
            </w:r>
          </w:p>
        </w:tc>
      </w:tr>
      <w:tr w14:paraId="7D4C6659">
        <w:tblPrEx>
          <w:tblCellMar>
            <w:top w:w="0" w:type="dxa"/>
            <w:left w:w="108" w:type="dxa"/>
            <w:bottom w:w="0" w:type="dxa"/>
            <w:right w:w="108" w:type="dxa"/>
          </w:tblCellMar>
        </w:tblPrEx>
        <w:trPr>
          <w:trHeight w:val="300"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6ACC1340">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18</w:t>
            </w:r>
          </w:p>
        </w:tc>
        <w:tc>
          <w:tcPr>
            <w:tcW w:w="880" w:type="pct"/>
            <w:tcBorders>
              <w:top w:val="nil"/>
              <w:left w:val="nil"/>
              <w:bottom w:val="single" w:color="000000" w:sz="8" w:space="0"/>
              <w:right w:val="single" w:color="000000" w:sz="8" w:space="0"/>
            </w:tcBorders>
            <w:shd w:val="clear" w:color="auto" w:fill="auto"/>
            <w:vAlign w:val="center"/>
          </w:tcPr>
          <w:p w14:paraId="70555D0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联合体</w:t>
            </w:r>
          </w:p>
        </w:tc>
        <w:tc>
          <w:tcPr>
            <w:tcW w:w="3620" w:type="pct"/>
            <w:tcBorders>
              <w:top w:val="nil"/>
              <w:left w:val="nil"/>
              <w:bottom w:val="single" w:color="000000" w:sz="8" w:space="0"/>
              <w:right w:val="single" w:color="000000" w:sz="8" w:space="0"/>
            </w:tcBorders>
            <w:shd w:val="clear" w:color="auto" w:fill="auto"/>
            <w:vAlign w:val="center"/>
          </w:tcPr>
          <w:p w14:paraId="2C12D54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不接受</w:t>
            </w:r>
          </w:p>
        </w:tc>
      </w:tr>
      <w:tr w14:paraId="77E69708">
        <w:tblPrEx>
          <w:tblCellMar>
            <w:top w:w="0" w:type="dxa"/>
            <w:left w:w="108" w:type="dxa"/>
            <w:bottom w:w="0" w:type="dxa"/>
            <w:right w:w="108" w:type="dxa"/>
          </w:tblCellMar>
        </w:tblPrEx>
        <w:trPr>
          <w:trHeight w:val="300"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1DB2607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19</w:t>
            </w:r>
          </w:p>
        </w:tc>
        <w:tc>
          <w:tcPr>
            <w:tcW w:w="880" w:type="pct"/>
            <w:tcBorders>
              <w:top w:val="nil"/>
              <w:left w:val="nil"/>
              <w:bottom w:val="single" w:color="000000" w:sz="8" w:space="0"/>
              <w:right w:val="single" w:color="000000" w:sz="8" w:space="0"/>
            </w:tcBorders>
            <w:shd w:val="clear" w:color="auto" w:fill="auto"/>
            <w:vAlign w:val="center"/>
          </w:tcPr>
          <w:p w14:paraId="274BE8AA">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分包</w:t>
            </w:r>
          </w:p>
        </w:tc>
        <w:tc>
          <w:tcPr>
            <w:tcW w:w="3620" w:type="pct"/>
            <w:tcBorders>
              <w:top w:val="nil"/>
              <w:left w:val="nil"/>
              <w:bottom w:val="single" w:color="000000" w:sz="8" w:space="0"/>
              <w:right w:val="single" w:color="000000" w:sz="8" w:space="0"/>
            </w:tcBorders>
            <w:shd w:val="clear" w:color="auto" w:fill="auto"/>
            <w:vAlign w:val="center"/>
          </w:tcPr>
          <w:p w14:paraId="58633C4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不接受</w:t>
            </w:r>
          </w:p>
        </w:tc>
      </w:tr>
      <w:tr w14:paraId="6CE549E6">
        <w:tblPrEx>
          <w:tblCellMar>
            <w:top w:w="0" w:type="dxa"/>
            <w:left w:w="108" w:type="dxa"/>
            <w:bottom w:w="0" w:type="dxa"/>
            <w:right w:w="108" w:type="dxa"/>
          </w:tblCellMar>
        </w:tblPrEx>
        <w:trPr>
          <w:trHeight w:val="505" w:hRule="atLeast"/>
        </w:trPr>
        <w:tc>
          <w:tcPr>
            <w:tcW w:w="499" w:type="pct"/>
            <w:tcBorders>
              <w:top w:val="nil"/>
              <w:left w:val="single" w:color="000000" w:sz="8" w:space="0"/>
              <w:bottom w:val="single" w:color="000000" w:sz="8" w:space="0"/>
              <w:right w:val="single" w:color="000000" w:sz="8" w:space="0"/>
            </w:tcBorders>
            <w:shd w:val="clear" w:color="auto" w:fill="auto"/>
            <w:vAlign w:val="center"/>
          </w:tcPr>
          <w:p w14:paraId="6A3640A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20</w:t>
            </w:r>
          </w:p>
        </w:tc>
        <w:tc>
          <w:tcPr>
            <w:tcW w:w="880" w:type="pct"/>
            <w:tcBorders>
              <w:top w:val="nil"/>
              <w:left w:val="nil"/>
              <w:bottom w:val="single" w:color="000000" w:sz="8" w:space="0"/>
              <w:right w:val="single" w:color="000000" w:sz="8" w:space="0"/>
            </w:tcBorders>
            <w:shd w:val="clear" w:color="auto" w:fill="auto"/>
            <w:vAlign w:val="center"/>
          </w:tcPr>
          <w:p w14:paraId="2146EF4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合同期内调价</w:t>
            </w:r>
          </w:p>
        </w:tc>
        <w:tc>
          <w:tcPr>
            <w:tcW w:w="3620" w:type="pct"/>
            <w:tcBorders>
              <w:top w:val="nil"/>
              <w:left w:val="nil"/>
              <w:bottom w:val="single" w:color="000000" w:sz="8" w:space="0"/>
              <w:right w:val="single" w:color="000000" w:sz="8" w:space="0"/>
            </w:tcBorders>
            <w:shd w:val="clear" w:color="auto" w:fill="auto"/>
            <w:vAlign w:val="center"/>
          </w:tcPr>
          <w:p w14:paraId="52E93EDD">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不接受</w:t>
            </w:r>
          </w:p>
        </w:tc>
      </w:tr>
      <w:tr w14:paraId="322F38E6">
        <w:tblPrEx>
          <w:tblCellMar>
            <w:top w:w="0" w:type="dxa"/>
            <w:left w:w="108" w:type="dxa"/>
            <w:bottom w:w="0" w:type="dxa"/>
            <w:right w:w="108" w:type="dxa"/>
          </w:tblCellMar>
        </w:tblPrEx>
        <w:trPr>
          <w:trHeight w:val="380" w:hRule="atLeast"/>
        </w:trPr>
        <w:tc>
          <w:tcPr>
            <w:tcW w:w="499" w:type="pct"/>
            <w:vMerge w:val="restart"/>
            <w:tcBorders>
              <w:top w:val="nil"/>
              <w:left w:val="single" w:color="000000" w:sz="8" w:space="0"/>
              <w:bottom w:val="single" w:color="000000" w:sz="8" w:space="0"/>
              <w:right w:val="single" w:color="000000" w:sz="8" w:space="0"/>
            </w:tcBorders>
            <w:shd w:val="clear" w:color="auto" w:fill="auto"/>
            <w:vAlign w:val="center"/>
          </w:tcPr>
          <w:p w14:paraId="5A91623F">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21</w:t>
            </w:r>
          </w:p>
        </w:tc>
        <w:tc>
          <w:tcPr>
            <w:tcW w:w="880" w:type="pct"/>
            <w:vMerge w:val="restart"/>
            <w:tcBorders>
              <w:top w:val="nil"/>
              <w:left w:val="nil"/>
              <w:bottom w:val="single" w:color="000000" w:sz="8" w:space="0"/>
              <w:right w:val="single" w:color="000000" w:sz="8" w:space="0"/>
            </w:tcBorders>
            <w:shd w:val="clear" w:color="auto" w:fill="auto"/>
            <w:vAlign w:val="center"/>
          </w:tcPr>
          <w:p w14:paraId="5B1CF57D">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采购资金支付程序及方式</w:t>
            </w:r>
          </w:p>
        </w:tc>
        <w:tc>
          <w:tcPr>
            <w:tcW w:w="3620" w:type="pct"/>
            <w:vMerge w:val="restart"/>
            <w:tcBorders>
              <w:top w:val="nil"/>
              <w:left w:val="nil"/>
              <w:bottom w:val="single" w:color="000000" w:sz="8" w:space="0"/>
              <w:right w:val="single" w:color="000000" w:sz="8" w:space="0"/>
            </w:tcBorders>
            <w:shd w:val="clear" w:color="auto" w:fill="auto"/>
            <w:vAlign w:val="center"/>
          </w:tcPr>
          <w:p w14:paraId="1E9404EF">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详见“第五部分  采购需求”。</w:t>
            </w:r>
          </w:p>
        </w:tc>
      </w:tr>
      <w:tr w14:paraId="1C878E6C">
        <w:tblPrEx>
          <w:tblCellMar>
            <w:top w:w="0" w:type="dxa"/>
            <w:left w:w="108" w:type="dxa"/>
            <w:bottom w:w="0" w:type="dxa"/>
            <w:right w:w="108" w:type="dxa"/>
          </w:tblCellMar>
        </w:tblPrEx>
        <w:trPr>
          <w:trHeight w:val="38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59FEF257">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259E18FA">
            <w:pPr>
              <w:widowControl/>
              <w:adjustRightInd w:val="0"/>
              <w:spacing w:line="380" w:lineRule="exact"/>
              <w:jc w:val="left"/>
              <w:textAlignment w:val="baseline"/>
              <w:rPr>
                <w:rFonts w:hint="eastAsia" w:ascii="宋体" w:hAnsi="宋体" w:eastAsia="宋体" w:cs="宋体"/>
                <w:color w:val="000000"/>
                <w:szCs w:val="21"/>
              </w:rPr>
            </w:pPr>
          </w:p>
        </w:tc>
        <w:tc>
          <w:tcPr>
            <w:tcW w:w="3620" w:type="pct"/>
            <w:vMerge w:val="continue"/>
            <w:tcBorders>
              <w:top w:val="nil"/>
              <w:left w:val="nil"/>
              <w:bottom w:val="single" w:color="000000" w:sz="8" w:space="0"/>
              <w:right w:val="single" w:color="000000" w:sz="8" w:space="0"/>
            </w:tcBorders>
            <w:shd w:val="clear" w:color="auto" w:fill="auto"/>
            <w:vAlign w:val="center"/>
          </w:tcPr>
          <w:p w14:paraId="06C3484D">
            <w:pPr>
              <w:widowControl/>
              <w:adjustRightInd w:val="0"/>
              <w:spacing w:line="380" w:lineRule="exact"/>
              <w:jc w:val="left"/>
              <w:textAlignment w:val="baseline"/>
              <w:rPr>
                <w:rFonts w:hint="eastAsia" w:ascii="宋体" w:hAnsi="宋体" w:eastAsia="宋体" w:cs="宋体"/>
                <w:color w:val="000000"/>
                <w:szCs w:val="21"/>
              </w:rPr>
            </w:pPr>
          </w:p>
        </w:tc>
      </w:tr>
      <w:tr w14:paraId="4661160B">
        <w:tblPrEx>
          <w:tblCellMar>
            <w:top w:w="0" w:type="dxa"/>
            <w:left w:w="108" w:type="dxa"/>
            <w:bottom w:w="0" w:type="dxa"/>
            <w:right w:w="108" w:type="dxa"/>
          </w:tblCellMar>
        </w:tblPrEx>
        <w:trPr>
          <w:trHeight w:val="38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25FD8C93">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3BC2418C">
            <w:pPr>
              <w:widowControl/>
              <w:adjustRightInd w:val="0"/>
              <w:spacing w:line="380" w:lineRule="exact"/>
              <w:jc w:val="left"/>
              <w:textAlignment w:val="baseline"/>
              <w:rPr>
                <w:rFonts w:hint="eastAsia" w:ascii="宋体" w:hAnsi="宋体" w:eastAsia="宋体" w:cs="宋体"/>
                <w:color w:val="000000"/>
                <w:szCs w:val="21"/>
              </w:rPr>
            </w:pPr>
          </w:p>
        </w:tc>
        <w:tc>
          <w:tcPr>
            <w:tcW w:w="3620" w:type="pct"/>
            <w:vMerge w:val="continue"/>
            <w:tcBorders>
              <w:top w:val="nil"/>
              <w:left w:val="nil"/>
              <w:bottom w:val="single" w:color="000000" w:sz="8" w:space="0"/>
              <w:right w:val="single" w:color="000000" w:sz="8" w:space="0"/>
            </w:tcBorders>
            <w:shd w:val="clear" w:color="auto" w:fill="auto"/>
            <w:vAlign w:val="center"/>
          </w:tcPr>
          <w:p w14:paraId="558D6499">
            <w:pPr>
              <w:widowControl/>
              <w:adjustRightInd w:val="0"/>
              <w:spacing w:line="380" w:lineRule="exact"/>
              <w:jc w:val="left"/>
              <w:textAlignment w:val="baseline"/>
              <w:rPr>
                <w:rFonts w:hint="eastAsia" w:ascii="宋体" w:hAnsi="宋体" w:eastAsia="宋体" w:cs="宋体"/>
                <w:color w:val="000000"/>
                <w:szCs w:val="21"/>
              </w:rPr>
            </w:pPr>
          </w:p>
        </w:tc>
      </w:tr>
      <w:tr w14:paraId="687AB960">
        <w:tblPrEx>
          <w:tblCellMar>
            <w:top w:w="0" w:type="dxa"/>
            <w:left w:w="108" w:type="dxa"/>
            <w:bottom w:w="0" w:type="dxa"/>
            <w:right w:w="108" w:type="dxa"/>
          </w:tblCellMar>
        </w:tblPrEx>
        <w:trPr>
          <w:trHeight w:val="300" w:hRule="atLeast"/>
        </w:trPr>
        <w:tc>
          <w:tcPr>
            <w:tcW w:w="499" w:type="pct"/>
            <w:vMerge w:val="restart"/>
            <w:tcBorders>
              <w:top w:val="nil"/>
              <w:left w:val="single" w:color="000000" w:sz="8" w:space="0"/>
              <w:bottom w:val="single" w:color="000000" w:sz="8" w:space="0"/>
              <w:right w:val="single" w:color="000000" w:sz="8" w:space="0"/>
            </w:tcBorders>
            <w:shd w:val="clear" w:color="auto" w:fill="auto"/>
            <w:vAlign w:val="center"/>
          </w:tcPr>
          <w:p w14:paraId="55C429A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22</w:t>
            </w:r>
          </w:p>
        </w:tc>
        <w:tc>
          <w:tcPr>
            <w:tcW w:w="880" w:type="pct"/>
            <w:vMerge w:val="restart"/>
            <w:tcBorders>
              <w:top w:val="nil"/>
              <w:left w:val="nil"/>
              <w:right w:val="single" w:color="000000" w:sz="8" w:space="0"/>
            </w:tcBorders>
            <w:shd w:val="clear" w:color="auto" w:fill="auto"/>
            <w:vAlign w:val="center"/>
          </w:tcPr>
          <w:p w14:paraId="0FBD1B92">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履约保证金</w:t>
            </w:r>
          </w:p>
        </w:tc>
        <w:tc>
          <w:tcPr>
            <w:tcW w:w="3620" w:type="pct"/>
            <w:tcBorders>
              <w:top w:val="single" w:color="000000" w:sz="8" w:space="0"/>
              <w:left w:val="nil"/>
              <w:bottom w:val="nil"/>
              <w:right w:val="single" w:color="000000" w:sz="8" w:space="0"/>
            </w:tcBorders>
            <w:shd w:val="clear" w:color="auto" w:fill="auto"/>
            <w:vAlign w:val="center"/>
          </w:tcPr>
          <w:p w14:paraId="511E1EC7">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 收取</w:t>
            </w:r>
          </w:p>
        </w:tc>
      </w:tr>
      <w:tr w14:paraId="13CCB691">
        <w:tblPrEx>
          <w:tblCellMar>
            <w:top w:w="0" w:type="dxa"/>
            <w:left w:w="108" w:type="dxa"/>
            <w:bottom w:w="0" w:type="dxa"/>
            <w:right w:w="108" w:type="dxa"/>
          </w:tblCellMar>
        </w:tblPrEx>
        <w:trPr>
          <w:trHeight w:val="300" w:hRule="atLeast"/>
        </w:trPr>
        <w:tc>
          <w:tcPr>
            <w:tcW w:w="499" w:type="pct"/>
            <w:vMerge w:val="continue"/>
            <w:tcBorders>
              <w:top w:val="nil"/>
              <w:left w:val="single" w:color="000000" w:sz="8" w:space="0"/>
              <w:bottom w:val="single" w:color="000000" w:sz="8" w:space="0"/>
              <w:right w:val="single" w:color="000000" w:sz="8" w:space="0"/>
            </w:tcBorders>
            <w:shd w:val="clear" w:color="auto" w:fill="auto"/>
            <w:vAlign w:val="center"/>
          </w:tcPr>
          <w:p w14:paraId="6C5EA0B0">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left w:val="nil"/>
              <w:bottom w:val="single" w:color="000000" w:sz="8" w:space="0"/>
              <w:right w:val="single" w:color="000000" w:sz="8" w:space="0"/>
            </w:tcBorders>
            <w:shd w:val="clear" w:color="auto" w:fill="auto"/>
            <w:vAlign w:val="center"/>
          </w:tcPr>
          <w:p w14:paraId="60E7BEB5">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single" w:color="000000" w:sz="8" w:space="0"/>
              <w:right w:val="single" w:color="000000" w:sz="8" w:space="0"/>
            </w:tcBorders>
            <w:shd w:val="clear" w:color="auto" w:fill="auto"/>
            <w:vAlign w:val="center"/>
          </w:tcPr>
          <w:p w14:paraId="18E66DB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☑不收取</w:t>
            </w:r>
          </w:p>
        </w:tc>
      </w:tr>
      <w:tr w14:paraId="31EAF6BF">
        <w:tblPrEx>
          <w:tblCellMar>
            <w:top w:w="0" w:type="dxa"/>
            <w:left w:w="108" w:type="dxa"/>
            <w:bottom w:w="0" w:type="dxa"/>
            <w:right w:w="108" w:type="dxa"/>
          </w:tblCellMar>
        </w:tblPrEx>
        <w:trPr>
          <w:trHeight w:val="742" w:hRule="atLeast"/>
        </w:trPr>
        <w:tc>
          <w:tcPr>
            <w:tcW w:w="499" w:type="pct"/>
            <w:tcBorders>
              <w:top w:val="nil"/>
              <w:left w:val="single" w:color="000000" w:sz="8" w:space="0"/>
              <w:bottom w:val="single" w:color="auto" w:sz="4" w:space="0"/>
              <w:right w:val="single" w:color="000000" w:sz="8" w:space="0"/>
            </w:tcBorders>
            <w:shd w:val="clear" w:color="auto" w:fill="auto"/>
            <w:vAlign w:val="center"/>
          </w:tcPr>
          <w:p w14:paraId="50F62840">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23</w:t>
            </w:r>
          </w:p>
        </w:tc>
        <w:tc>
          <w:tcPr>
            <w:tcW w:w="880" w:type="pct"/>
            <w:tcBorders>
              <w:top w:val="nil"/>
              <w:left w:val="nil"/>
              <w:bottom w:val="single" w:color="auto" w:sz="4" w:space="0"/>
              <w:right w:val="single" w:color="000000" w:sz="8" w:space="0"/>
            </w:tcBorders>
            <w:shd w:val="clear" w:color="auto" w:fill="auto"/>
            <w:vAlign w:val="center"/>
          </w:tcPr>
          <w:p w14:paraId="3C49547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采购合同</w:t>
            </w:r>
          </w:p>
        </w:tc>
        <w:tc>
          <w:tcPr>
            <w:tcW w:w="3620" w:type="pct"/>
            <w:tcBorders>
              <w:top w:val="nil"/>
              <w:left w:val="nil"/>
              <w:bottom w:val="single" w:color="auto" w:sz="4" w:space="0"/>
              <w:right w:val="single" w:color="000000" w:sz="8" w:space="0"/>
            </w:tcBorders>
            <w:shd w:val="clear" w:color="auto" w:fill="auto"/>
            <w:vAlign w:val="center"/>
          </w:tcPr>
          <w:p w14:paraId="7966841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成交供应商应在接到成交通知书10日内与采购人签订《政府采购合同》最长不得超过30日。</w:t>
            </w:r>
          </w:p>
        </w:tc>
      </w:tr>
      <w:tr w14:paraId="1C70CD39">
        <w:tblPrEx>
          <w:tblCellMar>
            <w:top w:w="0" w:type="dxa"/>
            <w:left w:w="108" w:type="dxa"/>
            <w:bottom w:w="0" w:type="dxa"/>
            <w:right w:w="108" w:type="dxa"/>
          </w:tblCellMar>
        </w:tblPrEx>
        <w:trPr>
          <w:trHeight w:val="380" w:hRule="atLeast"/>
        </w:trPr>
        <w:tc>
          <w:tcPr>
            <w:tcW w:w="499" w:type="pct"/>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5ABE0A9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24</w:t>
            </w:r>
          </w:p>
        </w:tc>
        <w:tc>
          <w:tcPr>
            <w:tcW w:w="880" w:type="pct"/>
            <w:vMerge w:val="restart"/>
            <w:tcBorders>
              <w:top w:val="single" w:color="auto" w:sz="4" w:space="0"/>
              <w:left w:val="nil"/>
              <w:bottom w:val="single" w:color="auto" w:sz="4" w:space="0"/>
              <w:right w:val="single" w:color="000000" w:sz="8" w:space="0"/>
            </w:tcBorders>
            <w:shd w:val="clear" w:color="auto" w:fill="auto"/>
            <w:vAlign w:val="center"/>
          </w:tcPr>
          <w:p w14:paraId="522D743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政府采购相关政策要求</w:t>
            </w:r>
          </w:p>
        </w:tc>
        <w:tc>
          <w:tcPr>
            <w:tcW w:w="3620" w:type="pct"/>
            <w:vMerge w:val="restart"/>
            <w:tcBorders>
              <w:top w:val="single" w:color="auto" w:sz="4" w:space="0"/>
              <w:left w:val="nil"/>
              <w:bottom w:val="single" w:color="auto" w:sz="4" w:space="0"/>
              <w:right w:val="single" w:color="auto" w:sz="4" w:space="0"/>
            </w:tcBorders>
            <w:shd w:val="clear" w:color="auto" w:fill="auto"/>
            <w:vAlign w:val="center"/>
          </w:tcPr>
          <w:p w14:paraId="678810F4">
            <w:pPr>
              <w:spacing w:line="380" w:lineRule="exact"/>
              <w:rPr>
                <w:rFonts w:hint="eastAsia" w:ascii="宋体" w:hAnsi="宋体" w:eastAsia="宋体" w:cs="宋体"/>
                <w:color w:val="000000"/>
                <w:szCs w:val="21"/>
              </w:rPr>
            </w:pPr>
            <w:r>
              <w:rPr>
                <w:rFonts w:hint="eastAsia" w:ascii="宋体" w:hAnsi="宋体" w:eastAsia="宋体" w:cs="宋体"/>
                <w:color w:val="000000"/>
                <w:szCs w:val="21"/>
              </w:rPr>
              <w:t>政策性因素</w:t>
            </w:r>
          </w:p>
          <w:p w14:paraId="5826235E">
            <w:pPr>
              <w:spacing w:line="380" w:lineRule="exact"/>
              <w:rPr>
                <w:rFonts w:hint="eastAsia" w:ascii="宋体" w:hAnsi="宋体" w:eastAsia="宋体" w:cs="宋体"/>
                <w:color w:val="000000"/>
                <w:szCs w:val="21"/>
              </w:rPr>
            </w:pPr>
            <w:r>
              <w:rPr>
                <w:rFonts w:hint="eastAsia" w:ascii="宋体" w:hAnsi="宋体" w:eastAsia="宋体" w:cs="宋体"/>
                <w:color w:val="000000"/>
                <w:szCs w:val="21"/>
              </w:rPr>
              <w:t>依据政府采购政策因素的相关规定，如果报价单位所提供的货物、服务、服务满足下述要求并经专家组全体成员集体认定通过，予以考虑执行。</w:t>
            </w:r>
          </w:p>
          <w:p w14:paraId="6493064D">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1.本项目涉及进口产品的要求：</w:t>
            </w:r>
          </w:p>
          <w:p w14:paraId="7DDD3A50">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（1）采购货物未特别注明“进口产品”字样的，均必须采购国产产品，即非“通过中国海关报关验放进入中国境内且产自关境外的产品”，投标货物各项技术标准必须符合国家强制性标准。</w:t>
            </w:r>
          </w:p>
          <w:p w14:paraId="5528D04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0273600E">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2.本项目涉及“节能产品、环境标志产品品目清单”政府强制采购产品的要求：</w:t>
            </w:r>
          </w:p>
          <w:p w14:paraId="6D41F07C">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（1）本项目采购标的物中如包含政府强制采购产品的，供应商必须投报“节能产品、环境标志产品品目清单”范围内的产品；</w:t>
            </w:r>
          </w:p>
          <w:p w14:paraId="11D1A98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（2）本文件未列出政府强制采购产品的，供应商可投报“节能产品、环境标志产品品目清单”中政府优先采购产品或“节能产品、环境标志产品品目清单”范围以外的产品；</w:t>
            </w:r>
          </w:p>
          <w:p w14:paraId="5E9CBA9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0C1D280F">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3.采购项目中如含有计算机，必须预装正版操作系统软件产品，项目中所采购的其它软件必须为正版软件。</w:t>
            </w:r>
          </w:p>
          <w:p w14:paraId="69A50B0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4.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4068D7E2">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5.中小企业参加本项目投标要求：</w:t>
            </w:r>
          </w:p>
          <w:p w14:paraId="6B7FAEA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依据《政府采购促进中小企业发展管理办法》（财库〔2020〕46号）的通知、《关于进一步加大政府采购支持中小企业力度的通知》（财库〔2022〕19号）、《中小企业划型标准规定》（工信部联企业〔2011〕300号）规定的划分标准，货物由中小企业制造，即货物由中小企业生产且使用该中小企业商号或者注册商标。若本项目不专门面向中小企业，在本项目中满足采购需求、质量相等的情况下，对属于小微企业的报价给予15％的扣除，用扣除后的价格参与评审。</w:t>
            </w:r>
          </w:p>
          <w:p w14:paraId="3BFBBE4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参加政府采购活动的中小企业应当按照《政府采购促进中小企业发展管理办法》（财库〔2020〕46号）的规定提供《中小企业声明函》，否则不得享受相关中小企业扶持政策。若提供声明函内容不实，属于提供虚假材料谋取中标、成交的，依照《中华人民共和国政府采购法》等国家有关规定追究相应责任。</w:t>
            </w:r>
          </w:p>
          <w:p w14:paraId="6FF071AA">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（2）依据《政府采购促进中小企业发展管理办法》（财库〔2020〕46号）规定享受扶持政策获得政府采购合同的，小微企业不得将合同分包给大型企业，中型企业不得将合同分包给大型企业。</w:t>
            </w:r>
          </w:p>
          <w:p w14:paraId="05BD7DDB">
            <w:pPr>
              <w:pStyle w:val="26"/>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山西省财政厅关于进一步加大政府采购支持中小企业力度助力扎实稳住经济的通知》（晋财购〔2022〕6号）规定，对各采购单位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15</w:t>
            </w:r>
            <w:r>
              <w:rPr>
                <w:rFonts w:hint="eastAsia" w:ascii="宋体" w:hAnsi="宋体" w:eastAsia="宋体" w:cs="宋体"/>
                <w:szCs w:val="21"/>
              </w:rPr>
              <w:t>%</w:t>
            </w:r>
            <w:r>
              <w:rPr>
                <w:rFonts w:hint="eastAsia" w:ascii="宋体" w:hAnsi="宋体" w:eastAsia="宋体" w:cs="宋体"/>
                <w:sz w:val="21"/>
                <w:szCs w:val="21"/>
              </w:rPr>
              <w:t>，特殊情况的不应低于10</w:t>
            </w:r>
            <w:r>
              <w:rPr>
                <w:rFonts w:hint="eastAsia" w:ascii="宋体" w:hAnsi="宋体" w:eastAsia="宋体" w:cs="宋体"/>
                <w:szCs w:val="21"/>
              </w:rPr>
              <w:t>%</w:t>
            </w:r>
            <w:r>
              <w:rPr>
                <w:rFonts w:hint="eastAsia" w:ascii="宋体" w:hAnsi="宋体" w:eastAsia="宋体" w:cs="宋体"/>
                <w:sz w:val="21"/>
                <w:szCs w:val="21"/>
              </w:rPr>
              <w:t>，采用大中型企业与小微企业组成联合体或者大中型企业向小微企业分包采购合同的，评审优惠幅度为5</w:t>
            </w:r>
            <w:r>
              <w:rPr>
                <w:rFonts w:hint="eastAsia" w:ascii="宋体" w:hAnsi="宋体" w:eastAsia="宋体" w:cs="宋体"/>
                <w:szCs w:val="21"/>
              </w:rPr>
              <w:t>%</w:t>
            </w:r>
            <w:r>
              <w:rPr>
                <w:rFonts w:hint="eastAsia" w:ascii="宋体" w:hAnsi="宋体" w:eastAsia="宋体" w:cs="宋体"/>
                <w:sz w:val="21"/>
                <w:szCs w:val="21"/>
              </w:rPr>
              <w:t>，特殊情况的不应低于4</w:t>
            </w:r>
            <w:r>
              <w:rPr>
                <w:rFonts w:hint="eastAsia" w:ascii="宋体" w:hAnsi="宋体" w:eastAsia="宋体" w:cs="宋体"/>
                <w:szCs w:val="21"/>
              </w:rPr>
              <w:t>%</w:t>
            </w:r>
            <w:r>
              <w:rPr>
                <w:rFonts w:hint="eastAsia" w:ascii="宋体" w:hAnsi="宋体" w:eastAsia="宋体" w:cs="宋体"/>
                <w:sz w:val="21"/>
                <w:szCs w:val="21"/>
              </w:rPr>
              <w:t>。政府采购工程项目给予小微企业的价格扣除优惠为4</w:t>
            </w:r>
            <w:r>
              <w:rPr>
                <w:rFonts w:hint="eastAsia" w:ascii="宋体" w:hAnsi="宋体" w:eastAsia="宋体" w:cs="宋体"/>
                <w:szCs w:val="21"/>
              </w:rPr>
              <w:t>%</w:t>
            </w:r>
            <w:r>
              <w:rPr>
                <w:rFonts w:hint="eastAsia" w:ascii="宋体" w:hAnsi="宋体" w:eastAsia="宋体" w:cs="宋体"/>
                <w:sz w:val="21"/>
                <w:szCs w:val="21"/>
              </w:rPr>
              <w:t>或者在原报价得分的基础上增加其价格得分的3</w:t>
            </w:r>
            <w:r>
              <w:rPr>
                <w:rFonts w:hint="eastAsia" w:ascii="宋体" w:hAnsi="宋体" w:eastAsia="宋体" w:cs="宋体"/>
                <w:szCs w:val="21"/>
              </w:rPr>
              <w:t>%</w:t>
            </w:r>
            <w:r>
              <w:rPr>
                <w:rFonts w:hint="eastAsia" w:ascii="宋体" w:hAnsi="宋体" w:eastAsia="宋体" w:cs="宋体"/>
                <w:sz w:val="21"/>
                <w:szCs w:val="21"/>
              </w:rPr>
              <w:t>，采用大中型企业与小微企业组成联合体或者大中型企业向小微企业分包采购合同的，评审优惠幅度为１</w:t>
            </w:r>
            <w:r>
              <w:rPr>
                <w:rFonts w:hint="eastAsia" w:ascii="宋体" w:hAnsi="宋体" w:eastAsia="宋体" w:cs="宋体"/>
                <w:szCs w:val="21"/>
              </w:rPr>
              <w:t>%</w:t>
            </w:r>
            <w:r>
              <w:rPr>
                <w:rFonts w:hint="eastAsia" w:ascii="宋体" w:hAnsi="宋体" w:eastAsia="宋体" w:cs="宋体"/>
                <w:sz w:val="21"/>
                <w:szCs w:val="21"/>
              </w:rPr>
              <w:t>或者在原报价得分的基础上增加其价格得分的1</w:t>
            </w:r>
            <w:r>
              <w:rPr>
                <w:rFonts w:hint="eastAsia" w:ascii="宋体" w:hAnsi="宋体" w:eastAsia="宋体" w:cs="宋体"/>
                <w:szCs w:val="21"/>
              </w:rPr>
              <w:t>%</w:t>
            </w:r>
            <w:r>
              <w:rPr>
                <w:rFonts w:hint="eastAsia" w:ascii="宋体" w:hAnsi="宋体" w:eastAsia="宋体" w:cs="宋体"/>
                <w:sz w:val="21"/>
                <w:szCs w:val="21"/>
              </w:rPr>
              <w:t xml:space="preserve">。中小企业参加政府采购活动，应当出具《中小企业声明函》，否则不得享受相关中小企业扶持政策，声明函格式见附件。小型、微型企业提供中型企业制造的货物的，视同为中型企业。 </w:t>
            </w:r>
          </w:p>
          <w:p w14:paraId="355FFF82">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b/>
                <w:bCs/>
                <w:szCs w:val="21"/>
              </w:rPr>
              <w:t>注：本项目专门面向中小企业，故不再执行价格优惠政策。</w:t>
            </w:r>
          </w:p>
          <w:p w14:paraId="4B6A32C2">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6.残疾人福利性单位参加本项目投标的要求：</w:t>
            </w:r>
          </w:p>
          <w:p w14:paraId="70C5259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（1）须根据财库〔2017〕141号《关于促进残疾人就业政府采购政策的通知》的要求，如实填写残疾人福利性单位声明函，残疾人福利性单位参加本项目投标时，给予15%的价格扣除，用扣除后的价格参与评审。</w:t>
            </w:r>
          </w:p>
          <w:p w14:paraId="3A16AEBA">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（2）享受政府采购支持政策的残疾人福利性单位应当同时满足以下条件：</w:t>
            </w:r>
          </w:p>
          <w:p w14:paraId="2823BD4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A.安置的残疾人占本单位在职职工人数的比例不低于25%（含25%），并且安置的残疾人人数不少于10人（含10人）；</w:t>
            </w:r>
          </w:p>
          <w:p w14:paraId="0B50F5AA">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B.依法与安置的每位残疾人签订了一年以上（含一年）的劳动合同或服务协议；</w:t>
            </w:r>
          </w:p>
          <w:p w14:paraId="2992464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C.为安置的每位残疾人按月足额缴纳了基本养老保险、基本医疗保险、失业保险、工伤保险和生育保险等社会保险费；</w:t>
            </w:r>
          </w:p>
          <w:p w14:paraId="1303964E">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D.通过银行等金融机构向安置的每位残疾人，按月支付了不低于单位所在区县适用的经省级人民政府批准的月最低工资标准的工资；</w:t>
            </w:r>
          </w:p>
          <w:p w14:paraId="78C3EE6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E．提供本单位制造的货物、承担的工程或者服务（以下简称产品），或者提供其他残疾人福利性单位制造的货物（不包括使用非残疾人福利性单位注册商标的货物）。</w:t>
            </w:r>
          </w:p>
          <w:p w14:paraId="3366D63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224BAD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（3）供应商提供的《残疾人福利性单位声明函》与事实不符的，依照《政府采购法》第七十七条第一款的规定追究法律责任。</w:t>
            </w:r>
          </w:p>
          <w:p w14:paraId="1827FAC9">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63F344F">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7．监狱企业参加本项目：</w:t>
            </w:r>
          </w:p>
          <w:p w14:paraId="350D70D2">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依据《财政部司法部关于政府采购支持监狱企业发展有关问题的通知》(财库〔2014〕68号)规定，监狱企业视同小型、微型企业，享受预留份额、评审中价格扣除等政府采购促进中小企业发展的政府采购政策。</w:t>
            </w:r>
          </w:p>
          <w:p w14:paraId="4932E0E7">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8.政府采购支持绿色、创新等方面发展。</w:t>
            </w:r>
          </w:p>
          <w:p w14:paraId="6B69F38D">
            <w:pPr>
              <w:widowControl/>
              <w:numPr>
                <w:ilvl w:val="0"/>
                <w:numId w:val="0"/>
              </w:numPr>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9.</w:t>
            </w:r>
            <w:r>
              <w:rPr>
                <w:rFonts w:hint="eastAsia" w:ascii="宋体" w:hAnsi="宋体" w:eastAsia="宋体" w:cs="宋体"/>
                <w:color w:val="000000"/>
                <w:szCs w:val="21"/>
              </w:rPr>
              <w:t>《山西省财政厅关于做好2024年度政府采购脱贫地区农副产品工作的通知》。</w:t>
            </w:r>
          </w:p>
          <w:p w14:paraId="69BFC69E">
            <w:pPr>
              <w:widowControl/>
              <w:numPr>
                <w:ilvl w:val="0"/>
                <w:numId w:val="0"/>
              </w:numPr>
              <w:adjustRightInd w:val="0"/>
              <w:spacing w:line="380" w:lineRule="exact"/>
              <w:jc w:val="left"/>
              <w:textAlignment w:val="baseline"/>
              <w:rPr>
                <w:rFonts w:hint="eastAsia" w:ascii="宋体" w:hAnsi="宋体" w:eastAsia="宋体" w:cs="宋体"/>
                <w:color w:val="000000"/>
                <w:szCs w:val="21"/>
                <w:lang w:val="en-US" w:eastAsia="zh-CN"/>
              </w:rPr>
            </w:pPr>
            <w:r>
              <w:rPr>
                <w:rFonts w:hint="eastAsia" w:ascii="宋体" w:hAnsi="宋体" w:eastAsia="宋体" w:cs="宋体"/>
                <w:color w:val="000000"/>
                <w:kern w:val="2"/>
                <w:sz w:val="21"/>
                <w:szCs w:val="21"/>
                <w:lang w:val="en-US" w:eastAsia="zh-CN" w:bidi="ar-SA"/>
              </w:rPr>
              <w:t>10.</w:t>
            </w:r>
            <w:r>
              <w:rPr>
                <w:rFonts w:hint="eastAsia" w:ascii="宋体" w:hAnsi="宋体" w:eastAsia="宋体" w:cs="宋体"/>
                <w:color w:val="000000"/>
                <w:szCs w:val="21"/>
                <w:lang w:val="en-US" w:eastAsia="zh-CN"/>
              </w:rPr>
              <w:t>《关于推动解决政府采购异常低价问题的通知》（财库〔2026〕2号）二、强化政府采购异常低价审查</w:t>
            </w:r>
          </w:p>
          <w:p w14:paraId="1F6AE114">
            <w:pPr>
              <w:widowControl/>
              <w:numPr>
                <w:ilvl w:val="0"/>
                <w:numId w:val="0"/>
              </w:numPr>
              <w:adjustRightInd w:val="0"/>
              <w:spacing w:line="380" w:lineRule="exact"/>
              <w:jc w:val="left"/>
              <w:textAlignment w:val="baseline"/>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（一）采购人应当在采购文件中明确，政府采购评审中出现下列情形之一的，评审委员会应当启动异常低价投标（响应）审查程序：</w:t>
            </w:r>
          </w:p>
          <w:p w14:paraId="7310717D">
            <w:pPr>
              <w:widowControl/>
              <w:numPr>
                <w:ilvl w:val="0"/>
                <w:numId w:val="0"/>
              </w:numPr>
              <w:adjustRightInd w:val="0"/>
              <w:spacing w:line="380" w:lineRule="exact"/>
              <w:jc w:val="left"/>
              <w:textAlignment w:val="baseline"/>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1.投标（响应）报价低于全部通过符合性审查供应商投标（响应）报价平均值50%的，即投标（响应）报价&lt;全部通过符合性审查供应商投标（响应）报价平均值×50%；</w:t>
            </w:r>
          </w:p>
          <w:p w14:paraId="03E1B567">
            <w:pPr>
              <w:widowControl/>
              <w:numPr>
                <w:ilvl w:val="0"/>
                <w:numId w:val="0"/>
              </w:numPr>
              <w:adjustRightInd w:val="0"/>
              <w:spacing w:line="380" w:lineRule="exact"/>
              <w:jc w:val="left"/>
              <w:textAlignment w:val="baseline"/>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2.投标（响应）报价低于通过符合性审查的次低报价供应商投标（响应）报价50%的，即投标（响应）报价&lt;通过符合性审查的次低报价供应商投标（响应）报价×50%；</w:t>
            </w:r>
          </w:p>
          <w:p w14:paraId="164579CA">
            <w:pPr>
              <w:widowControl/>
              <w:numPr>
                <w:ilvl w:val="0"/>
                <w:numId w:val="0"/>
              </w:numPr>
              <w:adjustRightInd w:val="0"/>
              <w:spacing w:line="380" w:lineRule="exact"/>
              <w:jc w:val="left"/>
              <w:textAlignment w:val="baseline"/>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3.投标（响应）报价低于采购项目最高限价45%的，即投标（响应）报价&lt;采购项目最高限价×45%；</w:t>
            </w:r>
          </w:p>
          <w:p w14:paraId="29EBF327">
            <w:pPr>
              <w:widowControl/>
              <w:numPr>
                <w:ilvl w:val="0"/>
                <w:numId w:val="0"/>
              </w:numPr>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lang w:val="en-US" w:eastAsia="zh-CN"/>
              </w:rPr>
              <w:t>4.评审委员会基于专业判断，认为供应商报价过低，有可能影响产品质量或者不能诚信履约的其他情形。</w:t>
            </w:r>
          </w:p>
        </w:tc>
      </w:tr>
      <w:tr w14:paraId="67AC5B4C">
        <w:tblPrEx>
          <w:tblCellMar>
            <w:top w:w="0" w:type="dxa"/>
            <w:left w:w="108" w:type="dxa"/>
            <w:bottom w:w="0" w:type="dxa"/>
            <w:right w:w="108" w:type="dxa"/>
          </w:tblCellMar>
        </w:tblPrEx>
        <w:trPr>
          <w:trHeight w:val="312" w:hRule="atLeast"/>
        </w:trPr>
        <w:tc>
          <w:tcPr>
            <w:tcW w:w="499" w:type="pct"/>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1E105E9F">
            <w:pPr>
              <w:jc w:val="center"/>
              <w:rPr>
                <w:rFonts w:hint="eastAsia" w:ascii="宋体" w:hAnsi="宋体" w:eastAsia="宋体" w:cs="宋体"/>
                <w:sz w:val="24"/>
              </w:rPr>
            </w:pPr>
          </w:p>
        </w:tc>
        <w:tc>
          <w:tcPr>
            <w:tcW w:w="880" w:type="pct"/>
            <w:vMerge w:val="continue"/>
            <w:tcBorders>
              <w:top w:val="single" w:color="auto" w:sz="4" w:space="0"/>
              <w:left w:val="nil"/>
              <w:bottom w:val="single" w:color="auto" w:sz="4" w:space="0"/>
              <w:right w:val="single" w:color="000000" w:sz="8" w:space="0"/>
            </w:tcBorders>
            <w:shd w:val="clear" w:color="auto" w:fill="auto"/>
            <w:vAlign w:val="center"/>
          </w:tcPr>
          <w:p w14:paraId="11D42DBA">
            <w:pPr>
              <w:jc w:val="center"/>
              <w:rPr>
                <w:rFonts w:hint="eastAsia" w:ascii="宋体" w:hAnsi="宋体" w:eastAsia="宋体" w:cs="宋体"/>
                <w:sz w:val="24"/>
              </w:rPr>
            </w:pPr>
          </w:p>
        </w:tc>
        <w:tc>
          <w:tcPr>
            <w:tcW w:w="3620" w:type="pct"/>
            <w:vMerge w:val="continue"/>
            <w:tcBorders>
              <w:top w:val="single" w:color="auto" w:sz="4" w:space="0"/>
              <w:left w:val="nil"/>
              <w:bottom w:val="single" w:color="auto" w:sz="4" w:space="0"/>
              <w:right w:val="single" w:color="auto" w:sz="4" w:space="0"/>
            </w:tcBorders>
            <w:shd w:val="clear" w:color="auto" w:fill="auto"/>
            <w:vAlign w:val="center"/>
          </w:tcPr>
          <w:p w14:paraId="035B5810">
            <w:pPr>
              <w:jc w:val="left"/>
              <w:rPr>
                <w:rFonts w:hint="eastAsia" w:ascii="宋体" w:hAnsi="宋体" w:eastAsia="宋体" w:cs="宋体"/>
                <w:sz w:val="24"/>
              </w:rPr>
            </w:pPr>
          </w:p>
        </w:tc>
      </w:tr>
      <w:tr w14:paraId="11D9B92C">
        <w:tblPrEx>
          <w:tblCellMar>
            <w:top w:w="0" w:type="dxa"/>
            <w:left w:w="108" w:type="dxa"/>
            <w:bottom w:w="0" w:type="dxa"/>
            <w:right w:w="108" w:type="dxa"/>
          </w:tblCellMar>
        </w:tblPrEx>
        <w:trPr>
          <w:trHeight w:val="380" w:hRule="atLeast"/>
        </w:trPr>
        <w:tc>
          <w:tcPr>
            <w:tcW w:w="499" w:type="pct"/>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3EB794D6">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25</w:t>
            </w:r>
          </w:p>
        </w:tc>
        <w:tc>
          <w:tcPr>
            <w:tcW w:w="880" w:type="pct"/>
            <w:vMerge w:val="restart"/>
            <w:tcBorders>
              <w:top w:val="single" w:color="auto" w:sz="4" w:space="0"/>
              <w:left w:val="nil"/>
              <w:bottom w:val="single" w:color="auto" w:sz="4" w:space="0"/>
              <w:right w:val="single" w:color="000000" w:sz="8" w:space="0"/>
            </w:tcBorders>
            <w:shd w:val="clear" w:color="auto" w:fill="auto"/>
            <w:vAlign w:val="center"/>
          </w:tcPr>
          <w:p w14:paraId="3946F87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确定成交</w:t>
            </w:r>
          </w:p>
          <w:p w14:paraId="0444011E">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供应商</w:t>
            </w:r>
          </w:p>
        </w:tc>
        <w:tc>
          <w:tcPr>
            <w:tcW w:w="3620" w:type="pct"/>
            <w:vMerge w:val="restart"/>
            <w:tcBorders>
              <w:top w:val="single" w:color="auto" w:sz="4" w:space="0"/>
              <w:left w:val="nil"/>
              <w:bottom w:val="single" w:color="auto" w:sz="4" w:space="0"/>
              <w:right w:val="single" w:color="000000" w:sz="8" w:space="0"/>
            </w:tcBorders>
            <w:shd w:val="clear" w:color="auto" w:fill="auto"/>
            <w:vAlign w:val="center"/>
          </w:tcPr>
          <w:p w14:paraId="3C3D7A9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本项目采用综合评分法方法。</w:t>
            </w:r>
          </w:p>
          <w:p w14:paraId="211710A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评审小组推荐，</w:t>
            </w:r>
            <w:r>
              <w:rPr>
                <w:rFonts w:hint="eastAsia" w:ascii="宋体" w:hAnsi="宋体" w:cs="宋体"/>
                <w:color w:val="000000"/>
                <w:szCs w:val="21"/>
                <w:lang w:val="en-US" w:eastAsia="zh-CN"/>
              </w:rPr>
              <w:t>各包</w:t>
            </w:r>
            <w:r>
              <w:rPr>
                <w:rFonts w:hint="eastAsia" w:ascii="宋体" w:hAnsi="宋体" w:eastAsia="宋体" w:cs="宋体"/>
                <w:color w:val="000000"/>
                <w:szCs w:val="21"/>
              </w:rPr>
              <w:t>成交人的确定最终由采购人确认。</w:t>
            </w:r>
          </w:p>
        </w:tc>
      </w:tr>
      <w:tr w14:paraId="0A77DDD2">
        <w:tblPrEx>
          <w:tblCellMar>
            <w:top w:w="0" w:type="dxa"/>
            <w:left w:w="108" w:type="dxa"/>
            <w:bottom w:w="0" w:type="dxa"/>
            <w:right w:w="108" w:type="dxa"/>
          </w:tblCellMar>
        </w:tblPrEx>
        <w:trPr>
          <w:trHeight w:val="380" w:hRule="atLeast"/>
        </w:trPr>
        <w:tc>
          <w:tcPr>
            <w:tcW w:w="499"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D57C267">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single" w:color="auto" w:sz="4" w:space="0"/>
              <w:left w:val="nil"/>
              <w:bottom w:val="single" w:color="auto" w:sz="4" w:space="0"/>
              <w:right w:val="single" w:color="000000" w:sz="8" w:space="0"/>
            </w:tcBorders>
            <w:shd w:val="clear" w:color="auto" w:fill="auto"/>
            <w:vAlign w:val="center"/>
          </w:tcPr>
          <w:p w14:paraId="31505FEF">
            <w:pPr>
              <w:widowControl/>
              <w:adjustRightInd w:val="0"/>
              <w:spacing w:line="380" w:lineRule="exact"/>
              <w:jc w:val="left"/>
              <w:textAlignment w:val="baseline"/>
              <w:rPr>
                <w:rFonts w:hint="eastAsia" w:ascii="宋体" w:hAnsi="宋体" w:eastAsia="宋体" w:cs="宋体"/>
                <w:color w:val="000000"/>
                <w:szCs w:val="21"/>
              </w:rPr>
            </w:pPr>
          </w:p>
        </w:tc>
        <w:tc>
          <w:tcPr>
            <w:tcW w:w="3620" w:type="pct"/>
            <w:vMerge w:val="continue"/>
            <w:tcBorders>
              <w:top w:val="single" w:color="auto" w:sz="4" w:space="0"/>
              <w:left w:val="nil"/>
              <w:bottom w:val="single" w:color="auto" w:sz="4" w:space="0"/>
              <w:right w:val="single" w:color="000000" w:sz="8" w:space="0"/>
            </w:tcBorders>
            <w:shd w:val="clear" w:color="auto" w:fill="auto"/>
            <w:vAlign w:val="center"/>
          </w:tcPr>
          <w:p w14:paraId="1F20ADE3">
            <w:pPr>
              <w:widowControl/>
              <w:adjustRightInd w:val="0"/>
              <w:spacing w:line="380" w:lineRule="exact"/>
              <w:jc w:val="left"/>
              <w:textAlignment w:val="baseline"/>
              <w:rPr>
                <w:rFonts w:hint="eastAsia" w:ascii="宋体" w:hAnsi="宋体" w:eastAsia="宋体" w:cs="宋体"/>
                <w:color w:val="000000"/>
                <w:szCs w:val="21"/>
              </w:rPr>
            </w:pPr>
          </w:p>
        </w:tc>
      </w:tr>
      <w:tr w14:paraId="645BD8AD">
        <w:tblPrEx>
          <w:tblCellMar>
            <w:top w:w="0" w:type="dxa"/>
            <w:left w:w="108" w:type="dxa"/>
            <w:bottom w:w="0" w:type="dxa"/>
            <w:right w:w="108" w:type="dxa"/>
          </w:tblCellMar>
        </w:tblPrEx>
        <w:trPr>
          <w:trHeight w:val="1230" w:hRule="atLeast"/>
        </w:trPr>
        <w:tc>
          <w:tcPr>
            <w:tcW w:w="499" w:type="pct"/>
            <w:tcBorders>
              <w:top w:val="single" w:color="auto" w:sz="4" w:space="0"/>
              <w:left w:val="single" w:color="000000" w:sz="8" w:space="0"/>
              <w:bottom w:val="single" w:color="auto" w:sz="4" w:space="0"/>
              <w:right w:val="single" w:color="000000" w:sz="8" w:space="0"/>
            </w:tcBorders>
            <w:shd w:val="clear" w:color="auto" w:fill="auto"/>
            <w:vAlign w:val="center"/>
          </w:tcPr>
          <w:p w14:paraId="406FD47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26</w:t>
            </w:r>
          </w:p>
        </w:tc>
        <w:tc>
          <w:tcPr>
            <w:tcW w:w="880" w:type="pct"/>
            <w:tcBorders>
              <w:top w:val="single" w:color="auto" w:sz="4" w:space="0"/>
              <w:left w:val="nil"/>
              <w:bottom w:val="single" w:color="auto" w:sz="4" w:space="0"/>
              <w:right w:val="single" w:color="000000" w:sz="8" w:space="0"/>
            </w:tcBorders>
            <w:shd w:val="clear" w:color="auto" w:fill="auto"/>
            <w:vAlign w:val="center"/>
          </w:tcPr>
          <w:p w14:paraId="06B443B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成交服务费</w:t>
            </w:r>
          </w:p>
        </w:tc>
        <w:tc>
          <w:tcPr>
            <w:tcW w:w="3620" w:type="pct"/>
            <w:tcBorders>
              <w:top w:val="single" w:color="auto" w:sz="4" w:space="0"/>
              <w:left w:val="nil"/>
              <w:bottom w:val="single" w:color="auto" w:sz="4" w:space="0"/>
              <w:right w:val="single" w:color="000000" w:sz="8" w:space="0"/>
            </w:tcBorders>
            <w:shd w:val="clear" w:color="auto" w:fill="auto"/>
            <w:vAlign w:val="center"/>
          </w:tcPr>
          <w:p w14:paraId="7C6C867E">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szCs w:val="21"/>
              </w:rPr>
              <w:t>参照招标代理服务费按《招标代理服务收费管理暂行办法》计价格[2002]1980号文和发改价格[2011]534号文及采购代理协议，由</w:t>
            </w:r>
            <w:r>
              <w:rPr>
                <w:rFonts w:hint="eastAsia" w:ascii="宋体" w:hAnsi="宋体" w:cs="宋体"/>
                <w:szCs w:val="21"/>
                <w:lang w:val="en-US" w:eastAsia="zh-CN"/>
              </w:rPr>
              <w:t>各包</w:t>
            </w:r>
            <w:r>
              <w:rPr>
                <w:rFonts w:hint="eastAsia" w:ascii="宋体" w:hAnsi="宋体" w:eastAsia="宋体" w:cs="宋体"/>
                <w:szCs w:val="21"/>
              </w:rPr>
              <w:t>成交人支付。</w:t>
            </w:r>
          </w:p>
        </w:tc>
      </w:tr>
      <w:tr w14:paraId="28FA1C20">
        <w:tblPrEx>
          <w:tblCellMar>
            <w:top w:w="0" w:type="dxa"/>
            <w:left w:w="108" w:type="dxa"/>
            <w:bottom w:w="0" w:type="dxa"/>
            <w:right w:w="108" w:type="dxa"/>
          </w:tblCellMar>
        </w:tblPrEx>
        <w:trPr>
          <w:trHeight w:val="1055" w:hRule="atLeast"/>
        </w:trPr>
        <w:tc>
          <w:tcPr>
            <w:tcW w:w="499" w:type="pct"/>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77698987">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27</w:t>
            </w:r>
          </w:p>
        </w:tc>
        <w:tc>
          <w:tcPr>
            <w:tcW w:w="880" w:type="pct"/>
            <w:vMerge w:val="restart"/>
            <w:tcBorders>
              <w:top w:val="single" w:color="auto" w:sz="4" w:space="0"/>
              <w:left w:val="nil"/>
              <w:bottom w:val="single" w:color="000000" w:sz="8" w:space="0"/>
              <w:right w:val="single" w:color="000000" w:sz="8" w:space="0"/>
            </w:tcBorders>
            <w:shd w:val="clear" w:color="auto" w:fill="auto"/>
            <w:vAlign w:val="center"/>
          </w:tcPr>
          <w:p w14:paraId="4D5514D4">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响应文件编制</w:t>
            </w:r>
          </w:p>
        </w:tc>
        <w:tc>
          <w:tcPr>
            <w:tcW w:w="3620" w:type="pct"/>
            <w:tcBorders>
              <w:top w:val="single" w:color="auto" w:sz="4" w:space="0"/>
              <w:left w:val="nil"/>
              <w:bottom w:val="nil"/>
              <w:right w:val="single" w:color="auto" w:sz="4" w:space="0"/>
            </w:tcBorders>
            <w:shd w:val="clear" w:color="auto" w:fill="auto"/>
            <w:vAlign w:val="center"/>
          </w:tcPr>
          <w:p w14:paraId="1BA84F71">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1.供应商应使用政采云系统的响应文件编制工具，按照操作手册编制电子响应文件，并使用数字证书（CA）按照磋商文件规定签字、签章。同时使用数字证书（CA）对响应文件进行加密。</w:t>
            </w:r>
          </w:p>
        </w:tc>
      </w:tr>
      <w:tr w14:paraId="4B44CCB0">
        <w:tblPrEx>
          <w:tblCellMar>
            <w:top w:w="0" w:type="dxa"/>
            <w:left w:w="108" w:type="dxa"/>
            <w:bottom w:w="0" w:type="dxa"/>
            <w:right w:w="108" w:type="dxa"/>
          </w:tblCellMar>
        </w:tblPrEx>
        <w:trPr>
          <w:trHeight w:val="810" w:hRule="atLeast"/>
        </w:trPr>
        <w:tc>
          <w:tcPr>
            <w:tcW w:w="499" w:type="pct"/>
            <w:vMerge w:val="continue"/>
            <w:tcBorders>
              <w:top w:val="nil"/>
              <w:left w:val="single" w:color="auto" w:sz="4" w:space="0"/>
              <w:bottom w:val="single" w:color="auto" w:sz="4" w:space="0"/>
              <w:right w:val="single" w:color="000000" w:sz="8" w:space="0"/>
            </w:tcBorders>
            <w:shd w:val="clear" w:color="auto" w:fill="auto"/>
            <w:vAlign w:val="center"/>
          </w:tcPr>
          <w:p w14:paraId="5B6EA3CC">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auto" w:sz="4" w:space="0"/>
              <w:right w:val="single" w:color="000000" w:sz="8" w:space="0"/>
            </w:tcBorders>
            <w:shd w:val="clear" w:color="auto" w:fill="auto"/>
            <w:vAlign w:val="center"/>
          </w:tcPr>
          <w:p w14:paraId="239C88EB">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single" w:color="auto" w:sz="4" w:space="0"/>
              <w:right w:val="single" w:color="auto" w:sz="4" w:space="0"/>
            </w:tcBorders>
            <w:shd w:val="clear" w:color="auto" w:fill="auto"/>
            <w:vAlign w:val="center"/>
          </w:tcPr>
          <w:p w14:paraId="59100E12">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2.在上传电子响应文件时，需对应系统中每个模块要求，形成独立的PDF格式文件，按照指定对应模块，逐条完成上传，保存后提交。</w:t>
            </w:r>
          </w:p>
        </w:tc>
      </w:tr>
      <w:tr w14:paraId="0A32E4DF">
        <w:tblPrEx>
          <w:tblCellMar>
            <w:top w:w="0" w:type="dxa"/>
            <w:left w:w="108" w:type="dxa"/>
            <w:bottom w:w="0" w:type="dxa"/>
            <w:right w:w="108" w:type="dxa"/>
          </w:tblCellMar>
        </w:tblPrEx>
        <w:trPr>
          <w:trHeight w:val="1440" w:hRule="atLeast"/>
        </w:trPr>
        <w:tc>
          <w:tcPr>
            <w:tcW w:w="499" w:type="pct"/>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1AA4F2B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28</w:t>
            </w:r>
          </w:p>
        </w:tc>
        <w:tc>
          <w:tcPr>
            <w:tcW w:w="880" w:type="pct"/>
            <w:vMerge w:val="restart"/>
            <w:tcBorders>
              <w:top w:val="single" w:color="auto" w:sz="4" w:space="0"/>
              <w:left w:val="nil"/>
              <w:bottom w:val="single" w:color="000000" w:sz="8" w:space="0"/>
              <w:right w:val="single" w:color="000000" w:sz="8" w:space="0"/>
            </w:tcBorders>
            <w:shd w:val="clear" w:color="auto" w:fill="auto"/>
            <w:vAlign w:val="center"/>
          </w:tcPr>
          <w:p w14:paraId="6F243B8B">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电子响应文件解密</w:t>
            </w:r>
          </w:p>
        </w:tc>
        <w:tc>
          <w:tcPr>
            <w:tcW w:w="3620" w:type="pct"/>
            <w:tcBorders>
              <w:top w:val="single" w:color="auto" w:sz="4" w:space="0"/>
              <w:left w:val="nil"/>
              <w:bottom w:val="nil"/>
              <w:right w:val="single" w:color="auto" w:sz="4" w:space="0"/>
            </w:tcBorders>
            <w:shd w:val="clear" w:color="auto" w:fill="auto"/>
            <w:vAlign w:val="center"/>
          </w:tcPr>
          <w:p w14:paraId="22094553">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在磋商文件规定的响应文件开启时间后，采购代理机构会在政采云系统发出解密指令，供应商在收到解密指令后，须使用加密响应文件时所使用的数字证书（CA）对已递交（上传）的电子响应文件进行解密（可远程解密）。</w:t>
            </w:r>
          </w:p>
        </w:tc>
      </w:tr>
      <w:tr w14:paraId="66E46954">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2749AC05">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0B1884CE">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auto" w:sz="4" w:space="0"/>
            </w:tcBorders>
            <w:shd w:val="clear" w:color="auto" w:fill="auto"/>
            <w:vAlign w:val="center"/>
          </w:tcPr>
          <w:p w14:paraId="67B6476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2.电子响应文件解密时间：30分钟</w:t>
            </w:r>
          </w:p>
        </w:tc>
      </w:tr>
      <w:tr w14:paraId="60AF147E">
        <w:tblPrEx>
          <w:tblCellMar>
            <w:top w:w="0" w:type="dxa"/>
            <w:left w:w="108" w:type="dxa"/>
            <w:bottom w:w="0" w:type="dxa"/>
            <w:right w:w="108" w:type="dxa"/>
          </w:tblCellMar>
        </w:tblPrEx>
        <w:trPr>
          <w:trHeight w:val="87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0A079A7A">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65A5F067">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auto" w:sz="4" w:space="0"/>
            </w:tcBorders>
            <w:shd w:val="clear" w:color="auto" w:fill="auto"/>
            <w:vAlign w:val="center"/>
          </w:tcPr>
          <w:p w14:paraId="188A5AAF">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3.电子响应文件解密流程：使用用户名密码或电子CA登录政采云系统→项目采购→开标评标→找到对应项目→解密→输入CA密码→开始下载→解密完成。</w:t>
            </w:r>
          </w:p>
        </w:tc>
      </w:tr>
      <w:tr w14:paraId="1F8CC385">
        <w:tblPrEx>
          <w:tblCellMar>
            <w:top w:w="0" w:type="dxa"/>
            <w:left w:w="108" w:type="dxa"/>
            <w:bottom w:w="0" w:type="dxa"/>
            <w:right w:w="108" w:type="dxa"/>
          </w:tblCellMar>
        </w:tblPrEx>
        <w:trPr>
          <w:trHeight w:val="58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5293A502">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224D0705">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auto" w:sz="4" w:space="0"/>
            </w:tcBorders>
            <w:shd w:val="clear" w:color="auto" w:fill="auto"/>
            <w:vAlign w:val="center"/>
          </w:tcPr>
          <w:p w14:paraId="73B7667C">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4.因供应商原因造成响应文件未解密的，视为撤销其响应文件，包括以下情形：</w:t>
            </w:r>
          </w:p>
        </w:tc>
      </w:tr>
      <w:tr w14:paraId="19941527">
        <w:tblPrEx>
          <w:tblCellMar>
            <w:top w:w="0" w:type="dxa"/>
            <w:left w:w="108" w:type="dxa"/>
            <w:bottom w:w="0" w:type="dxa"/>
            <w:right w:w="108" w:type="dxa"/>
          </w:tblCellMar>
        </w:tblPrEx>
        <w:trPr>
          <w:trHeight w:val="300"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4C7F1B50">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4F2F5B30">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auto" w:sz="4" w:space="0"/>
            </w:tcBorders>
            <w:shd w:val="clear" w:color="auto" w:fill="auto"/>
            <w:vAlign w:val="center"/>
          </w:tcPr>
          <w:p w14:paraId="6F2D0F56">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（1)供应商未在规定时间内解密响应文件的；</w:t>
            </w:r>
          </w:p>
        </w:tc>
      </w:tr>
      <w:tr w14:paraId="128B4FF9">
        <w:tblPrEx>
          <w:tblCellMar>
            <w:top w:w="0" w:type="dxa"/>
            <w:left w:w="108" w:type="dxa"/>
            <w:bottom w:w="0" w:type="dxa"/>
            <w:right w:w="108" w:type="dxa"/>
          </w:tblCellMar>
        </w:tblPrEx>
        <w:trPr>
          <w:trHeight w:val="45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372067B5">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3D459D58">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nil"/>
              <w:right w:val="single" w:color="auto" w:sz="4" w:space="0"/>
            </w:tcBorders>
            <w:shd w:val="clear" w:color="auto" w:fill="auto"/>
            <w:vAlign w:val="center"/>
          </w:tcPr>
          <w:p w14:paraId="64E497A8">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（2)供应商使用非本次响应加密用CA数字证书解密的；</w:t>
            </w:r>
          </w:p>
        </w:tc>
      </w:tr>
      <w:tr w14:paraId="03A87A74">
        <w:tblPrEx>
          <w:tblCellMar>
            <w:top w:w="0" w:type="dxa"/>
            <w:left w:w="108" w:type="dxa"/>
            <w:bottom w:w="0" w:type="dxa"/>
            <w:right w:w="108" w:type="dxa"/>
          </w:tblCellMar>
        </w:tblPrEx>
        <w:trPr>
          <w:trHeight w:val="40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2D69B89F">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64652D1E">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single" w:color="000000" w:sz="8" w:space="0"/>
              <w:right w:val="single" w:color="auto" w:sz="4" w:space="0"/>
            </w:tcBorders>
            <w:shd w:val="clear" w:color="auto" w:fill="auto"/>
            <w:vAlign w:val="center"/>
          </w:tcPr>
          <w:p w14:paraId="7005266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（3)供应商使用的CA数字证书属于注销或无效或损坏的。</w:t>
            </w:r>
          </w:p>
        </w:tc>
      </w:tr>
      <w:tr w14:paraId="3519F6FA">
        <w:tblPrEx>
          <w:tblCellMar>
            <w:top w:w="0" w:type="dxa"/>
            <w:left w:w="108" w:type="dxa"/>
            <w:bottom w:w="0" w:type="dxa"/>
            <w:right w:w="108" w:type="dxa"/>
          </w:tblCellMar>
        </w:tblPrEx>
        <w:trPr>
          <w:trHeight w:val="1155" w:hRule="atLeast"/>
        </w:trPr>
        <w:tc>
          <w:tcPr>
            <w:tcW w:w="499" w:type="pct"/>
            <w:vMerge w:val="restart"/>
            <w:tcBorders>
              <w:top w:val="nil"/>
              <w:left w:val="single" w:color="auto" w:sz="4" w:space="0"/>
              <w:bottom w:val="single" w:color="000000" w:sz="8" w:space="0"/>
              <w:right w:val="single" w:color="000000" w:sz="8" w:space="0"/>
            </w:tcBorders>
            <w:shd w:val="clear" w:color="auto" w:fill="auto"/>
            <w:vAlign w:val="center"/>
          </w:tcPr>
          <w:p w14:paraId="73468FE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29</w:t>
            </w:r>
          </w:p>
        </w:tc>
        <w:tc>
          <w:tcPr>
            <w:tcW w:w="880" w:type="pct"/>
            <w:vMerge w:val="restart"/>
            <w:tcBorders>
              <w:top w:val="nil"/>
              <w:left w:val="nil"/>
              <w:bottom w:val="single" w:color="000000" w:sz="8" w:space="0"/>
              <w:right w:val="single" w:color="000000" w:sz="8" w:space="0"/>
            </w:tcBorders>
            <w:shd w:val="clear" w:color="auto" w:fill="auto"/>
            <w:vAlign w:val="center"/>
          </w:tcPr>
          <w:p w14:paraId="471689AA">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其他</w:t>
            </w:r>
          </w:p>
        </w:tc>
        <w:tc>
          <w:tcPr>
            <w:tcW w:w="3620" w:type="pct"/>
            <w:tcBorders>
              <w:top w:val="nil"/>
              <w:left w:val="nil"/>
              <w:bottom w:val="nil"/>
              <w:right w:val="single" w:color="auto" w:sz="4" w:space="0"/>
            </w:tcBorders>
            <w:shd w:val="clear" w:color="auto" w:fill="auto"/>
            <w:vAlign w:val="center"/>
          </w:tcPr>
          <w:p w14:paraId="34CF7F45">
            <w:pPr>
              <w:widowControl/>
              <w:adjustRightInd w:val="0"/>
              <w:spacing w:line="380" w:lineRule="exact"/>
              <w:jc w:val="left"/>
              <w:textAlignment w:val="baseline"/>
              <w:rPr>
                <w:rFonts w:hint="eastAsia" w:ascii="宋体" w:hAnsi="宋体" w:eastAsia="宋体" w:cs="宋体"/>
                <w:szCs w:val="21"/>
              </w:rPr>
            </w:pPr>
            <w:r>
              <w:rPr>
                <w:rFonts w:hint="eastAsia" w:ascii="宋体" w:hAnsi="宋体" w:eastAsia="宋体" w:cs="宋体"/>
                <w:szCs w:val="21"/>
              </w:rPr>
              <w:t>1.本项目采购活动的全过程，均采用电子形式进行。在评审过程中，当政采云系统出现异常情形或断网断电时，严格按照《山西省财政厅关于全面推进政府采购全流程电子化工作的通知》执行。</w:t>
            </w:r>
          </w:p>
        </w:tc>
      </w:tr>
      <w:tr w14:paraId="451AB12B">
        <w:tblPrEx>
          <w:tblCellMar>
            <w:top w:w="0" w:type="dxa"/>
            <w:left w:w="108" w:type="dxa"/>
            <w:bottom w:w="0" w:type="dxa"/>
            <w:right w:w="108" w:type="dxa"/>
          </w:tblCellMar>
        </w:tblPrEx>
        <w:trPr>
          <w:trHeight w:val="585" w:hRule="atLeast"/>
        </w:trPr>
        <w:tc>
          <w:tcPr>
            <w:tcW w:w="499" w:type="pct"/>
            <w:vMerge w:val="continue"/>
            <w:tcBorders>
              <w:top w:val="nil"/>
              <w:left w:val="single" w:color="auto" w:sz="4" w:space="0"/>
              <w:bottom w:val="single" w:color="000000" w:sz="8" w:space="0"/>
              <w:right w:val="single" w:color="000000" w:sz="8" w:space="0"/>
            </w:tcBorders>
            <w:shd w:val="clear" w:color="auto" w:fill="auto"/>
            <w:vAlign w:val="center"/>
          </w:tcPr>
          <w:p w14:paraId="476B3A56">
            <w:pPr>
              <w:widowControl/>
              <w:adjustRightInd w:val="0"/>
              <w:spacing w:line="380" w:lineRule="exact"/>
              <w:jc w:val="left"/>
              <w:textAlignment w:val="baseline"/>
              <w:rPr>
                <w:rFonts w:hint="eastAsia" w:ascii="宋体" w:hAnsi="宋体" w:eastAsia="宋体" w:cs="宋体"/>
                <w:color w:val="000000"/>
                <w:szCs w:val="21"/>
              </w:rPr>
            </w:pPr>
          </w:p>
        </w:tc>
        <w:tc>
          <w:tcPr>
            <w:tcW w:w="880" w:type="pct"/>
            <w:vMerge w:val="continue"/>
            <w:tcBorders>
              <w:top w:val="nil"/>
              <w:left w:val="nil"/>
              <w:bottom w:val="single" w:color="000000" w:sz="8" w:space="0"/>
              <w:right w:val="single" w:color="000000" w:sz="8" w:space="0"/>
            </w:tcBorders>
            <w:shd w:val="clear" w:color="auto" w:fill="auto"/>
            <w:vAlign w:val="center"/>
          </w:tcPr>
          <w:p w14:paraId="2BD34558">
            <w:pPr>
              <w:widowControl/>
              <w:adjustRightInd w:val="0"/>
              <w:spacing w:line="380" w:lineRule="exact"/>
              <w:jc w:val="left"/>
              <w:textAlignment w:val="baseline"/>
              <w:rPr>
                <w:rFonts w:hint="eastAsia" w:ascii="宋体" w:hAnsi="宋体" w:eastAsia="宋体" w:cs="宋体"/>
                <w:color w:val="000000"/>
                <w:szCs w:val="21"/>
              </w:rPr>
            </w:pPr>
          </w:p>
        </w:tc>
        <w:tc>
          <w:tcPr>
            <w:tcW w:w="3620" w:type="pct"/>
            <w:tcBorders>
              <w:top w:val="nil"/>
              <w:left w:val="nil"/>
              <w:bottom w:val="single" w:color="000000" w:sz="8" w:space="0"/>
              <w:right w:val="single" w:color="auto" w:sz="4" w:space="0"/>
            </w:tcBorders>
            <w:shd w:val="clear" w:color="auto" w:fill="auto"/>
            <w:vAlign w:val="center"/>
          </w:tcPr>
          <w:p w14:paraId="63CD0868">
            <w:pPr>
              <w:widowControl/>
              <w:adjustRightInd w:val="0"/>
              <w:spacing w:line="380" w:lineRule="exact"/>
              <w:jc w:val="left"/>
              <w:textAlignment w:val="baseline"/>
              <w:rPr>
                <w:rFonts w:hint="eastAsia" w:ascii="宋体" w:hAnsi="宋体" w:eastAsia="宋体" w:cs="宋体"/>
                <w:szCs w:val="21"/>
              </w:rPr>
            </w:pPr>
            <w:r>
              <w:rPr>
                <w:rFonts w:hint="eastAsia" w:ascii="宋体" w:hAnsi="宋体" w:eastAsia="宋体" w:cs="宋体"/>
                <w:szCs w:val="21"/>
              </w:rPr>
              <w:t>2.针对本项目的质疑需一次性提出，多次提出将不予受理。未按本项目公告规定获取磋商文件的潜在</w:t>
            </w:r>
            <w:r>
              <w:rPr>
                <w:rFonts w:hint="eastAsia" w:ascii="宋体" w:hAnsi="宋体" w:eastAsia="宋体" w:cs="宋体"/>
                <w:szCs w:val="21"/>
                <w:lang w:eastAsia="zh-CN"/>
              </w:rPr>
              <w:t>供应商</w:t>
            </w:r>
            <w:r>
              <w:rPr>
                <w:rFonts w:hint="eastAsia" w:ascii="宋体" w:hAnsi="宋体" w:eastAsia="宋体" w:cs="宋体"/>
                <w:szCs w:val="21"/>
              </w:rPr>
              <w:t>不得对磋商文件提出质疑。</w:t>
            </w:r>
          </w:p>
        </w:tc>
      </w:tr>
      <w:tr w14:paraId="5EBDFD3D">
        <w:tblPrEx>
          <w:tblCellMar>
            <w:top w:w="0" w:type="dxa"/>
            <w:left w:w="108" w:type="dxa"/>
            <w:bottom w:w="0" w:type="dxa"/>
            <w:right w:w="108" w:type="dxa"/>
          </w:tblCellMar>
        </w:tblPrEx>
        <w:trPr>
          <w:trHeight w:val="585" w:hRule="atLeast"/>
        </w:trPr>
        <w:tc>
          <w:tcPr>
            <w:tcW w:w="499" w:type="pct"/>
            <w:tcBorders>
              <w:top w:val="nil"/>
              <w:left w:val="single" w:color="auto" w:sz="4" w:space="0"/>
              <w:bottom w:val="single" w:color="000000" w:sz="8" w:space="0"/>
              <w:right w:val="single" w:color="000000" w:sz="8" w:space="0"/>
            </w:tcBorders>
            <w:shd w:val="clear" w:color="auto" w:fill="auto"/>
            <w:vAlign w:val="center"/>
          </w:tcPr>
          <w:p w14:paraId="645E228D">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30</w:t>
            </w:r>
          </w:p>
        </w:tc>
        <w:tc>
          <w:tcPr>
            <w:tcW w:w="880" w:type="pct"/>
            <w:tcBorders>
              <w:top w:val="nil"/>
              <w:left w:val="nil"/>
              <w:bottom w:val="single" w:color="000000" w:sz="8" w:space="0"/>
              <w:right w:val="single" w:color="000000" w:sz="8" w:space="0"/>
            </w:tcBorders>
            <w:shd w:val="clear" w:color="auto" w:fill="auto"/>
            <w:vAlign w:val="center"/>
          </w:tcPr>
          <w:p w14:paraId="2101CA87">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szCs w:val="21"/>
              </w:rPr>
              <w:t>政采智贷</w:t>
            </w:r>
          </w:p>
        </w:tc>
        <w:tc>
          <w:tcPr>
            <w:tcW w:w="3620" w:type="pct"/>
            <w:tcBorders>
              <w:top w:val="nil"/>
              <w:left w:val="nil"/>
              <w:bottom w:val="single" w:color="000000" w:sz="8" w:space="0"/>
              <w:right w:val="single" w:color="auto" w:sz="4" w:space="0"/>
            </w:tcBorders>
            <w:shd w:val="clear" w:color="auto" w:fill="auto"/>
            <w:vAlign w:val="center"/>
          </w:tcPr>
          <w:p w14:paraId="6BE1A745">
            <w:pPr>
              <w:widowControl/>
              <w:adjustRightInd w:val="0"/>
              <w:spacing w:line="380" w:lineRule="exact"/>
              <w:jc w:val="left"/>
              <w:textAlignment w:val="baseline"/>
              <w:rPr>
                <w:rFonts w:hint="eastAsia" w:ascii="宋体" w:hAnsi="宋体" w:eastAsia="宋体" w:cs="宋体"/>
                <w:color w:val="000000"/>
                <w:szCs w:val="21"/>
              </w:rPr>
            </w:pPr>
            <w:r>
              <w:rPr>
                <w:rFonts w:hint="eastAsia" w:ascii="宋体" w:hAnsi="宋体" w:eastAsia="宋体" w:cs="宋体"/>
                <w:szCs w:val="21"/>
              </w:rPr>
              <w:t>凡符合要求且自愿选择“政采智贷”的中标单位，可在“中国政府采购网山西分网（山西省政府采购网，http： //www.ccgp-shanxi.gov.cn/）”，点击“政采智贷”，进入“山西政府采购信用融资平台”页面，按照《山西省“政采智贷”业务操作指南》办理该项业务。同时，参与“政采智贷”的</w:t>
            </w:r>
            <w:r>
              <w:rPr>
                <w:rFonts w:hint="eastAsia" w:ascii="宋体" w:hAnsi="宋体" w:eastAsia="宋体" w:cs="宋体"/>
                <w:szCs w:val="21"/>
                <w:lang w:eastAsia="zh-CN"/>
              </w:rPr>
              <w:t>供应商</w:t>
            </w:r>
            <w:r>
              <w:rPr>
                <w:rFonts w:hint="eastAsia" w:ascii="宋体" w:hAnsi="宋体" w:eastAsia="宋体" w:cs="宋体"/>
                <w:szCs w:val="21"/>
              </w:rPr>
              <w:t>，应严格按照政府采购合同履约，严格按照信贷合同偿还债务。</w:t>
            </w:r>
          </w:p>
        </w:tc>
      </w:tr>
      <w:tr w14:paraId="677E103D">
        <w:tblPrEx>
          <w:tblCellMar>
            <w:top w:w="0" w:type="dxa"/>
            <w:left w:w="108" w:type="dxa"/>
            <w:bottom w:w="0" w:type="dxa"/>
            <w:right w:w="108" w:type="dxa"/>
          </w:tblCellMar>
        </w:tblPrEx>
        <w:trPr>
          <w:trHeight w:val="466" w:hRule="atLeast"/>
        </w:trPr>
        <w:tc>
          <w:tcPr>
            <w:tcW w:w="5000" w:type="pct"/>
            <w:gridSpan w:val="3"/>
            <w:tcBorders>
              <w:top w:val="nil"/>
              <w:left w:val="single" w:color="auto" w:sz="4" w:space="0"/>
              <w:bottom w:val="single" w:color="auto" w:sz="4" w:space="0"/>
              <w:right w:val="single" w:color="auto" w:sz="4" w:space="0"/>
            </w:tcBorders>
            <w:shd w:val="clear" w:color="auto" w:fill="auto"/>
            <w:vAlign w:val="center"/>
          </w:tcPr>
          <w:p w14:paraId="2A1F8C91">
            <w:pPr>
              <w:widowControl/>
              <w:jc w:val="left"/>
              <w:textAlignment w:val="center"/>
              <w:rPr>
                <w:rFonts w:hint="eastAsia" w:ascii="宋体" w:hAnsi="宋体" w:eastAsia="宋体" w:cs="宋体"/>
                <w:b/>
                <w:bCs/>
                <w:sz w:val="24"/>
              </w:rPr>
            </w:pPr>
            <w:r>
              <w:rPr>
                <w:rFonts w:hint="eastAsia" w:ascii="宋体" w:hAnsi="宋体" w:eastAsia="宋体" w:cs="宋体"/>
                <w:b/>
                <w:bCs/>
                <w:kern w:val="0"/>
                <w:sz w:val="22"/>
                <w:szCs w:val="22"/>
                <w:lang w:bidi="ar"/>
              </w:rPr>
              <w:t>注：本前附表内容与供应商须知内容不一致的，以前附表内容为准。</w:t>
            </w:r>
          </w:p>
        </w:tc>
      </w:tr>
    </w:tbl>
    <w:p w14:paraId="70E2FBE7">
      <w:pPr>
        <w:pStyle w:val="6"/>
        <w:ind w:left="0" w:leftChars="0"/>
        <w:rPr>
          <w:rFonts w:hint="eastAsia" w:ascii="宋体" w:hAnsi="宋体" w:eastAsia="宋体" w:cs="宋体"/>
        </w:rPr>
      </w:pPr>
      <w:r>
        <w:rPr>
          <w:rFonts w:hint="eastAsia" w:ascii="宋体" w:hAnsi="宋体" w:eastAsia="宋体" w:cs="宋体"/>
        </w:rPr>
        <w:br w:type="page"/>
      </w:r>
    </w:p>
    <w:p w14:paraId="586BDB08">
      <w:pPr>
        <w:pStyle w:val="3"/>
        <w:jc w:val="center"/>
        <w:rPr>
          <w:rFonts w:hint="eastAsia" w:ascii="宋体" w:hAnsi="宋体" w:eastAsia="宋体" w:cs="宋体"/>
        </w:rPr>
      </w:pPr>
      <w:bookmarkStart w:id="15" w:name="_Toc23261"/>
      <w:r>
        <w:rPr>
          <w:rFonts w:hint="eastAsia" w:ascii="宋体" w:hAnsi="宋体" w:eastAsia="宋体" w:cs="宋体"/>
        </w:rPr>
        <w:t>第三部分 供应商须知</w:t>
      </w:r>
      <w:bookmarkEnd w:id="15"/>
    </w:p>
    <w:p w14:paraId="3424FFEB">
      <w:pPr>
        <w:spacing w:line="360" w:lineRule="auto"/>
        <w:jc w:val="center"/>
        <w:rPr>
          <w:rFonts w:hint="eastAsia" w:ascii="宋体" w:hAnsi="宋体" w:eastAsia="宋体" w:cs="宋体"/>
          <w:b/>
          <w:sz w:val="24"/>
        </w:rPr>
      </w:pPr>
      <w:r>
        <w:rPr>
          <w:rFonts w:hint="eastAsia" w:ascii="宋体" w:hAnsi="宋体" w:eastAsia="宋体" w:cs="宋体"/>
          <w:b/>
          <w:sz w:val="24"/>
        </w:rPr>
        <w:t>（一） 总则</w:t>
      </w:r>
    </w:p>
    <w:p w14:paraId="144E20DB">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1.适用范围</w:t>
      </w:r>
    </w:p>
    <w:p w14:paraId="4A36A233">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1.1本磋商文件仅适用于本次采购活动的全过程。</w:t>
      </w:r>
    </w:p>
    <w:p w14:paraId="2E392BFC">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2.定义</w:t>
      </w:r>
    </w:p>
    <w:p w14:paraId="3047148D">
      <w:pPr>
        <w:spacing w:line="360" w:lineRule="auto"/>
        <w:ind w:firstLine="480" w:firstLineChars="200"/>
        <w:rPr>
          <w:rFonts w:hint="eastAsia" w:ascii="宋体" w:hAnsi="宋体" w:eastAsia="宋体" w:cs="宋体"/>
          <w:sz w:val="24"/>
        </w:rPr>
      </w:pPr>
      <w:r>
        <w:rPr>
          <w:rFonts w:hint="eastAsia" w:ascii="宋体" w:hAnsi="宋体" w:eastAsia="宋体" w:cs="宋体"/>
          <w:sz w:val="24"/>
        </w:rPr>
        <w:t>2.1“采购代理机构”指在采购方委托的范围内依法开展磋商活动，组织本次磋商活动的执行机构，即山西众标项目管理有限公司。</w:t>
      </w:r>
    </w:p>
    <w:p w14:paraId="64798068">
      <w:pPr>
        <w:spacing w:line="360" w:lineRule="auto"/>
        <w:ind w:firstLine="480"/>
        <w:rPr>
          <w:rFonts w:hint="eastAsia" w:ascii="宋体" w:hAnsi="宋体" w:eastAsia="宋体" w:cs="宋体"/>
          <w:sz w:val="24"/>
        </w:rPr>
      </w:pPr>
      <w:r>
        <w:rPr>
          <w:rFonts w:hint="eastAsia" w:ascii="宋体" w:hAnsi="宋体" w:eastAsia="宋体" w:cs="宋体"/>
          <w:sz w:val="24"/>
        </w:rPr>
        <w:t>2.2“采购人”是指依法进行本次磋商活动的国家机关、事业单位、团体组织，即本次采购活动的采购单位。</w:t>
      </w:r>
    </w:p>
    <w:p w14:paraId="64199B38">
      <w:pPr>
        <w:spacing w:line="360" w:lineRule="auto"/>
        <w:ind w:firstLine="480" w:firstLineChars="200"/>
        <w:rPr>
          <w:rFonts w:hint="eastAsia" w:ascii="宋体" w:hAnsi="宋体" w:eastAsia="宋体" w:cs="宋体"/>
          <w:sz w:val="24"/>
        </w:rPr>
      </w:pPr>
      <w:r>
        <w:rPr>
          <w:rFonts w:hint="eastAsia" w:ascii="宋体" w:hAnsi="宋体" w:eastAsia="宋体" w:cs="宋体"/>
          <w:sz w:val="24"/>
        </w:rPr>
        <w:t>2.3“供应商”是指按磋商公告规定获取磋商文件并提交响应文件的供应商。</w:t>
      </w:r>
    </w:p>
    <w:p w14:paraId="10E67A6F">
      <w:pPr>
        <w:spacing w:line="360" w:lineRule="auto"/>
        <w:ind w:firstLine="480" w:firstLineChars="200"/>
        <w:rPr>
          <w:rFonts w:hint="eastAsia" w:ascii="宋体" w:hAnsi="宋体" w:eastAsia="宋体" w:cs="宋体"/>
          <w:sz w:val="24"/>
        </w:rPr>
      </w:pPr>
      <w:r>
        <w:rPr>
          <w:rFonts w:hint="eastAsia" w:ascii="宋体" w:hAnsi="宋体" w:eastAsia="宋体" w:cs="宋体"/>
          <w:sz w:val="24"/>
        </w:rPr>
        <w:t>2.4“成交供应商”是指经过磋商小组评审或经采购人确认后，符合本次采购要求的供应商。</w:t>
      </w:r>
    </w:p>
    <w:p w14:paraId="1A3BA15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2.5“服务”指磋商文件规定的供应商为完成采购项目所需承担的全部义务。</w:t>
      </w:r>
    </w:p>
    <w:p w14:paraId="696A51D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2.6“服务承诺”是指为了保障项目顺利实施由供应商承担的提供项目实施前、实施中、实施后的服务和供应商承诺的其他类似服务。</w:t>
      </w:r>
    </w:p>
    <w:p w14:paraId="275E0B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2.7“欺诈行为”是指为了影响采购过程或合同实施过程虚报、谎报、隐瞒事实，以假充真，以次充好，虚假承诺，损害国家公共利益的行为。</w:t>
      </w:r>
    </w:p>
    <w:p w14:paraId="4744073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64DD2211">
      <w:pPr>
        <w:spacing w:line="360" w:lineRule="auto"/>
        <w:ind w:firstLine="480" w:firstLineChars="200"/>
        <w:jc w:val="left"/>
        <w:rPr>
          <w:rFonts w:hint="eastAsia" w:ascii="宋体" w:hAnsi="宋体" w:eastAsia="宋体" w:cs="宋体"/>
          <w:sz w:val="20"/>
          <w:szCs w:val="22"/>
        </w:rPr>
      </w:pPr>
      <w:r>
        <w:rPr>
          <w:rFonts w:hint="eastAsia" w:ascii="宋体" w:hAnsi="宋体" w:eastAsia="宋体" w:cs="宋体"/>
          <w:sz w:val="24"/>
        </w:rPr>
        <w:t>2.9“响应文件”：是指供应商应磋商文件的条件和要求，按规定编制并按时递交的文件。</w:t>
      </w:r>
    </w:p>
    <w:p w14:paraId="2B6086CA">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3.供应商资格</w:t>
      </w:r>
    </w:p>
    <w:p w14:paraId="6E893FA6">
      <w:pPr>
        <w:tabs>
          <w:tab w:val="left" w:pos="567"/>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符合《中华人民共和国政府采购法》第二十二条、《中华人民共和国政府采购法实施条例》第十七条等相关法律法规规定的供应商参加政府采购活动应当具备的条件，及有能力承担采购过程及履行采购合同中的全部责任与义务。需按供应商须知前附表第11项“供应商应提交的资格证明文件”要求提供有效资格证明文件。</w:t>
      </w:r>
    </w:p>
    <w:p w14:paraId="4B85271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3.2本项目的特定资格要求：</w:t>
      </w:r>
      <w:r>
        <w:rPr>
          <w:rFonts w:hint="eastAsia" w:ascii="宋体" w:hAnsi="宋体" w:eastAsia="宋体" w:cs="宋体"/>
          <w:sz w:val="24"/>
          <w:lang w:val="en-US" w:eastAsia="zh-CN"/>
        </w:rPr>
        <w:t>无。</w:t>
      </w:r>
    </w:p>
    <w:p w14:paraId="57DE84C4">
      <w:pPr>
        <w:spacing w:line="360" w:lineRule="auto"/>
        <w:ind w:firstLine="480" w:firstLineChars="200"/>
        <w:rPr>
          <w:rFonts w:hint="eastAsia" w:ascii="宋体" w:hAnsi="宋体" w:eastAsia="宋体" w:cs="宋体"/>
          <w:sz w:val="24"/>
        </w:rPr>
      </w:pPr>
      <w:r>
        <w:rPr>
          <w:rFonts w:hint="eastAsia" w:ascii="宋体" w:hAnsi="宋体" w:eastAsia="宋体" w:cs="宋体"/>
          <w:sz w:val="24"/>
        </w:rPr>
        <w:t>3.3符合磋商公告有关要求，承认并履行磋商文件各项规定。</w:t>
      </w:r>
    </w:p>
    <w:p w14:paraId="4F87929E">
      <w:pPr>
        <w:spacing w:line="360" w:lineRule="auto"/>
        <w:ind w:firstLine="480" w:firstLineChars="200"/>
        <w:rPr>
          <w:rFonts w:hint="eastAsia" w:ascii="宋体" w:hAnsi="宋体" w:eastAsia="宋体" w:cs="宋体"/>
          <w:sz w:val="20"/>
          <w:szCs w:val="22"/>
        </w:rPr>
      </w:pPr>
      <w:r>
        <w:rPr>
          <w:rFonts w:hint="eastAsia" w:ascii="宋体" w:hAnsi="宋体" w:eastAsia="宋体" w:cs="宋体"/>
          <w:sz w:val="24"/>
        </w:rPr>
        <w:t>3.4关于关联企业：除联合体外，法定代表人或单位负责人为同一个人或者存在直接控股、管理关系的不同供应商，不得同时参加同一项目或同一子项目的磋商活动。如同时参加，则评审时将同时被拒绝。</w:t>
      </w:r>
    </w:p>
    <w:p w14:paraId="55084462">
      <w:pPr>
        <w:spacing w:line="360" w:lineRule="auto"/>
        <w:ind w:firstLine="480" w:firstLineChars="200"/>
        <w:rPr>
          <w:rFonts w:hint="eastAsia" w:ascii="宋体" w:hAnsi="宋体" w:eastAsia="宋体" w:cs="宋体"/>
          <w:sz w:val="24"/>
        </w:rPr>
      </w:pPr>
      <w:r>
        <w:rPr>
          <w:rFonts w:hint="eastAsia" w:ascii="宋体" w:hAnsi="宋体" w:eastAsia="宋体" w:cs="宋体"/>
          <w:sz w:val="24"/>
        </w:rPr>
        <w:t>3.5关于中小企业参与磋商：中小企业是指符合《政府采购促进中小企业发展管理办法》（财库[2020]46号）规定的供应商。中小企业参与磋商应提供《中小企业声明函》。</w:t>
      </w:r>
    </w:p>
    <w:p w14:paraId="57B59B76">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监狱企业参加时，提供由省级以上监狱管理局、戒毒管理局（含新疆生产建设兵团）出具的属于监狱企业的证明文件，不再提供《中小企业声明函》。</w:t>
      </w:r>
    </w:p>
    <w:p w14:paraId="5A12C67E">
      <w:pPr>
        <w:spacing w:line="360" w:lineRule="auto"/>
        <w:ind w:firstLine="480" w:firstLineChars="200"/>
        <w:rPr>
          <w:rFonts w:hint="eastAsia" w:ascii="宋体" w:hAnsi="宋体" w:eastAsia="宋体" w:cs="宋体"/>
          <w:sz w:val="24"/>
        </w:rPr>
      </w:pPr>
      <w:r>
        <w:rPr>
          <w:rFonts w:hint="eastAsia" w:ascii="宋体" w:hAnsi="宋体" w:eastAsia="宋体" w:cs="宋体"/>
          <w:sz w:val="24"/>
        </w:rPr>
        <w:t>残疾人福利性单位视同为小型、微型企业。</w:t>
      </w:r>
    </w:p>
    <w:p w14:paraId="2D9BBFA7">
      <w:pPr>
        <w:spacing w:line="360" w:lineRule="auto"/>
        <w:ind w:firstLine="480" w:firstLineChars="200"/>
        <w:rPr>
          <w:rFonts w:hint="eastAsia" w:ascii="宋体" w:hAnsi="宋体" w:eastAsia="宋体" w:cs="宋体"/>
          <w:sz w:val="20"/>
          <w:szCs w:val="22"/>
        </w:rPr>
      </w:pPr>
      <w:r>
        <w:rPr>
          <w:rFonts w:hint="eastAsia" w:ascii="宋体" w:hAnsi="宋体" w:eastAsia="宋体" w:cs="宋体"/>
          <w:sz w:val="24"/>
        </w:rPr>
        <w:t>3.6关于分公司参加磋商：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2BEF9F7">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4.知识产权</w:t>
      </w:r>
    </w:p>
    <w:p w14:paraId="3E4DFB94">
      <w:pPr>
        <w:spacing w:line="360" w:lineRule="auto"/>
        <w:ind w:firstLine="480" w:firstLineChars="200"/>
        <w:rPr>
          <w:rFonts w:hint="eastAsia" w:ascii="宋体" w:hAnsi="宋体" w:eastAsia="宋体" w:cs="宋体"/>
          <w:sz w:val="24"/>
        </w:rPr>
      </w:pPr>
      <w:r>
        <w:rPr>
          <w:rFonts w:hint="eastAsia" w:ascii="宋体" w:hAnsi="宋体" w:eastAsia="宋体" w:cs="宋体"/>
          <w:sz w:val="24"/>
        </w:rPr>
        <w:t>4.1供应商须保证，采购人在中华人民共和国境内使用货物、资料、技术、服务或其任何一部分时，享有不受限制的无偿使用权，且免受第三方提出的包括但不限于因侵犯其专利权、商标权或工业设计权等知识产权而引起的法律或经济纠纷。如因采购人使用而遭受第三方主张权利的，供应商须承担全部赔偿责任，包括但不限于采购人、采购代理机构的责任。</w:t>
      </w:r>
    </w:p>
    <w:p w14:paraId="2FDEAEAE">
      <w:pPr>
        <w:spacing w:line="360" w:lineRule="auto"/>
        <w:ind w:firstLine="480" w:firstLineChars="200"/>
        <w:rPr>
          <w:rFonts w:hint="eastAsia" w:ascii="宋体" w:hAnsi="宋体" w:eastAsia="宋体" w:cs="宋体"/>
          <w:sz w:val="24"/>
        </w:rPr>
      </w:pPr>
      <w:r>
        <w:rPr>
          <w:rFonts w:hint="eastAsia" w:ascii="宋体" w:hAnsi="宋体" w:eastAsia="宋体" w:cs="宋体"/>
          <w:sz w:val="24"/>
        </w:rPr>
        <w:t>4.2如供应商不拥有货物、资料、技术、服务等的知识产权，则报价中已包含采购人使用该知识的一切相关费用；否则，由此造成的一切损失由供应商承担。</w:t>
      </w:r>
    </w:p>
    <w:p w14:paraId="6172CC1B">
      <w:pPr>
        <w:spacing w:line="360" w:lineRule="auto"/>
        <w:ind w:firstLine="480" w:firstLineChars="200"/>
        <w:rPr>
          <w:rFonts w:hint="eastAsia" w:ascii="宋体" w:hAnsi="宋体" w:eastAsia="宋体" w:cs="宋体"/>
          <w:sz w:val="24"/>
        </w:rPr>
      </w:pPr>
      <w:r>
        <w:rPr>
          <w:rFonts w:hint="eastAsia" w:ascii="宋体" w:hAnsi="宋体" w:eastAsia="宋体" w:cs="宋体"/>
          <w:sz w:val="24"/>
        </w:rPr>
        <w:t>4.3供应商如欲在项目实施过程中采用自有知识成果，须在响应文件中声明，并提供相关知识产权证明文件。使用该知识成果后，供应商须提供开发接口和开发手册等技术文档。</w:t>
      </w:r>
    </w:p>
    <w:p w14:paraId="3F103E2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5.响应文件有效期</w:t>
      </w:r>
    </w:p>
    <w:p w14:paraId="7B00BE23">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5.1磋商有效期自提交响应文件的截止之日起算90日历天，有效期短于该规定期限的响应无效。</w:t>
      </w:r>
    </w:p>
    <w:p w14:paraId="5710D7BE">
      <w:pPr>
        <w:spacing w:line="360" w:lineRule="auto"/>
        <w:ind w:firstLine="480" w:firstLineChars="200"/>
        <w:rPr>
          <w:rFonts w:hint="eastAsia" w:ascii="宋体" w:hAnsi="宋体" w:eastAsia="宋体" w:cs="宋体"/>
          <w:sz w:val="24"/>
        </w:rPr>
      </w:pPr>
      <w:r>
        <w:rPr>
          <w:rFonts w:hint="eastAsia" w:ascii="宋体" w:hAnsi="宋体" w:eastAsia="宋体" w:cs="宋体"/>
          <w:sz w:val="24"/>
        </w:rPr>
        <w:t>5.2在特殊情况下，采购人或采购代理机构可与供应商协商延长磋商有效期。</w:t>
      </w:r>
    </w:p>
    <w:p w14:paraId="7457D1E9">
      <w:pPr>
        <w:spacing w:line="360" w:lineRule="auto"/>
        <w:ind w:firstLine="480" w:firstLineChars="200"/>
        <w:rPr>
          <w:rFonts w:hint="eastAsia" w:ascii="宋体" w:hAnsi="宋体" w:eastAsia="宋体" w:cs="宋体"/>
          <w:sz w:val="24"/>
        </w:rPr>
      </w:pPr>
      <w:r>
        <w:rPr>
          <w:rFonts w:hint="eastAsia" w:ascii="宋体" w:hAnsi="宋体" w:eastAsia="宋体" w:cs="宋体"/>
          <w:sz w:val="24"/>
        </w:rPr>
        <w:t>5.3项目履约期限超过“提交响应文件的截止之日起算90日历天”的，磋商有效期延长至合同全面履行完毕。同意延长响应文件有效期时，本须知关于磋商保证金的退还与没收规定仍适用。</w:t>
      </w:r>
    </w:p>
    <w:p w14:paraId="7A80A7A2">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6.磋商费用</w:t>
      </w:r>
    </w:p>
    <w:p w14:paraId="380D7C8C">
      <w:pPr>
        <w:spacing w:line="360" w:lineRule="auto"/>
        <w:ind w:firstLine="480" w:firstLineChars="200"/>
        <w:rPr>
          <w:rFonts w:hint="eastAsia" w:ascii="宋体" w:hAnsi="宋体" w:eastAsia="宋体" w:cs="宋体"/>
          <w:sz w:val="24"/>
        </w:rPr>
      </w:pPr>
      <w:r>
        <w:rPr>
          <w:rFonts w:hint="eastAsia" w:ascii="宋体" w:hAnsi="宋体" w:eastAsia="宋体" w:cs="宋体"/>
          <w:sz w:val="24"/>
        </w:rPr>
        <w:t>6.1无论评审结果如何，供应商应自行承担参加磋商相关的全部费用，采购代理机构或采购人在任何情况下均无义务和责任承担这些费用。</w:t>
      </w:r>
    </w:p>
    <w:p w14:paraId="67026768">
      <w:pPr>
        <w:spacing w:line="360" w:lineRule="auto"/>
        <w:ind w:firstLine="482" w:firstLineChars="200"/>
        <w:rPr>
          <w:rFonts w:hint="eastAsia" w:ascii="宋体" w:hAnsi="宋体" w:eastAsia="宋体" w:cs="宋体"/>
          <w:sz w:val="24"/>
        </w:rPr>
      </w:pPr>
      <w:r>
        <w:rPr>
          <w:rFonts w:hint="eastAsia" w:ascii="宋体" w:hAnsi="宋体" w:eastAsia="宋体" w:cs="宋体"/>
          <w:b/>
          <w:sz w:val="24"/>
        </w:rPr>
        <w:t>7.采购代理机构的权利</w:t>
      </w:r>
    </w:p>
    <w:p w14:paraId="2EAC6351">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rPr>
        <w:t>7.1采购代理机构依据《中华人民共和国政府采购法》、《中华人民共和国政府采购法实施条例》、《政府采购竞争性磋商采购管理暂行办法》和有关法律法规及规章规定，执行取消本次采购任务的情况下，无需对受影响的供应商承担任何责任。</w:t>
      </w:r>
    </w:p>
    <w:p w14:paraId="49361F54">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8.通知</w:t>
      </w:r>
    </w:p>
    <w:p w14:paraId="09C82B25">
      <w:pPr>
        <w:spacing w:line="360" w:lineRule="auto"/>
        <w:ind w:firstLine="480" w:firstLineChars="200"/>
        <w:rPr>
          <w:rFonts w:hint="eastAsia" w:ascii="宋体" w:hAnsi="宋体" w:eastAsia="宋体" w:cs="宋体"/>
          <w:sz w:val="24"/>
        </w:rPr>
      </w:pPr>
      <w:r>
        <w:rPr>
          <w:rFonts w:hint="eastAsia" w:ascii="宋体" w:hAnsi="宋体" w:eastAsia="宋体" w:cs="宋体"/>
          <w:sz w:val="24"/>
        </w:rPr>
        <w:t>8.1对与本项目有关的通知，代理机构将通过山西政府采购平台政采云系统中发出（视同书面通知），因线路故障导致通知延迟或无法查看，代理机构或采购方将不承担任何责任，有关的磋商活动可以继续有效地进行。</w:t>
      </w:r>
    </w:p>
    <w:p w14:paraId="0BE7697C">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9.合格的服务</w:t>
      </w:r>
    </w:p>
    <w:p w14:paraId="20D0D15F">
      <w:pPr>
        <w:spacing w:line="360" w:lineRule="auto"/>
        <w:ind w:firstLine="480" w:firstLineChars="200"/>
        <w:rPr>
          <w:rFonts w:hint="eastAsia" w:ascii="宋体" w:hAnsi="宋体" w:eastAsia="宋体" w:cs="宋体"/>
          <w:sz w:val="24"/>
        </w:rPr>
      </w:pPr>
      <w:r>
        <w:rPr>
          <w:rFonts w:hint="eastAsia" w:ascii="宋体" w:hAnsi="宋体" w:eastAsia="宋体" w:cs="宋体"/>
          <w:sz w:val="24"/>
        </w:rPr>
        <w:t>9.1供应商所提供的服务应当没有侵犯任何第三方的知识产权、技术秘密等合法权利。</w:t>
      </w:r>
    </w:p>
    <w:p w14:paraId="7E27C10A">
      <w:pPr>
        <w:spacing w:line="360" w:lineRule="auto"/>
        <w:ind w:firstLine="480" w:firstLineChars="200"/>
        <w:rPr>
          <w:rFonts w:hint="eastAsia" w:ascii="宋体" w:hAnsi="宋体" w:eastAsia="宋体" w:cs="宋体"/>
          <w:sz w:val="24"/>
        </w:rPr>
      </w:pPr>
      <w:r>
        <w:rPr>
          <w:rFonts w:hint="eastAsia" w:ascii="宋体" w:hAnsi="宋体" w:eastAsia="宋体" w:cs="宋体"/>
          <w:sz w:val="24"/>
        </w:rPr>
        <w:t>9.2供应商提供的服务应当符合磋商文件的要求，并且其质量完全符合国家标准、行业标准或地方标准。</w:t>
      </w:r>
    </w:p>
    <w:p w14:paraId="148FADA4">
      <w:pPr>
        <w:spacing w:line="360" w:lineRule="auto"/>
        <w:ind w:firstLine="480" w:firstLineChars="200"/>
        <w:rPr>
          <w:rFonts w:hint="eastAsia" w:ascii="宋体" w:hAnsi="宋体" w:eastAsia="宋体" w:cs="宋体"/>
          <w:sz w:val="24"/>
        </w:rPr>
      </w:pPr>
      <w:r>
        <w:rPr>
          <w:rFonts w:hint="eastAsia" w:ascii="宋体" w:hAnsi="宋体" w:eastAsia="宋体" w:cs="宋体"/>
          <w:sz w:val="24"/>
        </w:rPr>
        <w:t>9.3系统软件、通用软件必须是具有在中国境内的合法使用权或版权的正版软件，涉及到第三方提出侵权或知识产权的起诉及支付版税等费用由供应商承担所有责任及费用。</w:t>
      </w:r>
    </w:p>
    <w:p w14:paraId="2DEFD8B3">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10.解释权</w:t>
      </w:r>
    </w:p>
    <w:p w14:paraId="0EEF366D">
      <w:pPr>
        <w:spacing w:line="360" w:lineRule="auto"/>
        <w:ind w:firstLine="480" w:firstLineChars="200"/>
        <w:rPr>
          <w:rFonts w:hint="eastAsia" w:ascii="宋体" w:hAnsi="宋体" w:eastAsia="宋体" w:cs="宋体"/>
          <w:sz w:val="24"/>
        </w:rPr>
      </w:pPr>
      <w:r>
        <w:rPr>
          <w:rFonts w:hint="eastAsia" w:ascii="宋体" w:hAnsi="宋体" w:eastAsia="宋体" w:cs="宋体"/>
          <w:sz w:val="24"/>
        </w:rPr>
        <w:t>10.1本次磋商活动的最终解释权归为采购人、采购代理机构。</w:t>
      </w:r>
    </w:p>
    <w:p w14:paraId="05246273">
      <w:pPr>
        <w:spacing w:line="360" w:lineRule="auto"/>
        <w:ind w:firstLine="480" w:firstLineChars="200"/>
        <w:rPr>
          <w:rFonts w:hint="eastAsia" w:ascii="宋体" w:hAnsi="宋体" w:eastAsia="宋体" w:cs="宋体"/>
          <w:sz w:val="24"/>
        </w:rPr>
      </w:pPr>
      <w:r>
        <w:rPr>
          <w:rFonts w:hint="eastAsia" w:ascii="宋体" w:hAnsi="宋体" w:eastAsia="宋体" w:cs="宋体"/>
          <w:sz w:val="24"/>
        </w:rPr>
        <w:t>10.2当对一个问题有多种解释时以采购人、采购代理机构的解释为准。</w:t>
      </w:r>
    </w:p>
    <w:p w14:paraId="40E3E211">
      <w:pPr>
        <w:spacing w:line="360" w:lineRule="auto"/>
        <w:ind w:firstLine="480" w:firstLineChars="200"/>
        <w:rPr>
          <w:rFonts w:hint="eastAsia" w:ascii="宋体" w:hAnsi="宋体" w:eastAsia="宋体" w:cs="宋体"/>
          <w:sz w:val="24"/>
        </w:rPr>
      </w:pPr>
      <w:r>
        <w:rPr>
          <w:rFonts w:hint="eastAsia" w:ascii="宋体" w:hAnsi="宋体" w:eastAsia="宋体" w:cs="宋体"/>
          <w:sz w:val="24"/>
        </w:rPr>
        <w:t>10.3本文件未作须知明示，而又有相关法律、法规规定的，采购人、采购代理机构将依据相关法律法规的规定进行解释。</w:t>
      </w:r>
    </w:p>
    <w:p w14:paraId="36013503">
      <w:pPr>
        <w:spacing w:line="360" w:lineRule="auto"/>
        <w:ind w:firstLine="482" w:firstLineChars="200"/>
        <w:jc w:val="center"/>
        <w:rPr>
          <w:rFonts w:hint="eastAsia" w:ascii="宋体" w:hAnsi="宋体" w:eastAsia="宋体" w:cs="宋体"/>
          <w:b/>
          <w:sz w:val="24"/>
        </w:rPr>
      </w:pPr>
      <w:r>
        <w:rPr>
          <w:rFonts w:hint="eastAsia" w:ascii="宋体" w:hAnsi="宋体" w:eastAsia="宋体" w:cs="宋体"/>
          <w:b/>
          <w:sz w:val="24"/>
        </w:rPr>
        <w:t>(二) 磋商文件</w:t>
      </w:r>
    </w:p>
    <w:p w14:paraId="0C1AD4B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11.磋商文件的构成</w:t>
      </w:r>
    </w:p>
    <w:p w14:paraId="7B02389A">
      <w:pPr>
        <w:spacing w:line="360" w:lineRule="auto"/>
        <w:ind w:firstLine="480" w:firstLineChars="200"/>
        <w:rPr>
          <w:rFonts w:hint="eastAsia" w:ascii="宋体" w:hAnsi="宋体" w:eastAsia="宋体" w:cs="宋体"/>
          <w:sz w:val="24"/>
        </w:rPr>
      </w:pPr>
      <w:r>
        <w:rPr>
          <w:rFonts w:hint="eastAsia" w:ascii="宋体" w:hAnsi="宋体" w:eastAsia="宋体" w:cs="宋体"/>
          <w:sz w:val="24"/>
        </w:rPr>
        <w:t>11.1磋商文件包括：</w:t>
      </w:r>
    </w:p>
    <w:p w14:paraId="4D4C74A3">
      <w:pPr>
        <w:spacing w:line="360" w:lineRule="auto"/>
        <w:ind w:firstLine="480" w:firstLineChars="200"/>
        <w:rPr>
          <w:rFonts w:hint="eastAsia" w:ascii="宋体" w:hAnsi="宋体" w:eastAsia="宋体" w:cs="宋体"/>
          <w:sz w:val="24"/>
        </w:rPr>
      </w:pPr>
      <w:r>
        <w:rPr>
          <w:rFonts w:hint="eastAsia" w:ascii="宋体" w:hAnsi="宋体" w:eastAsia="宋体" w:cs="宋体"/>
          <w:sz w:val="24"/>
        </w:rPr>
        <w:t>（1）磋商公告</w:t>
      </w:r>
    </w:p>
    <w:p w14:paraId="46DBD19D">
      <w:pPr>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（2）供应商须知前附表</w:t>
      </w:r>
    </w:p>
    <w:p w14:paraId="5A02902F">
      <w:pPr>
        <w:spacing w:line="360" w:lineRule="auto"/>
        <w:ind w:firstLine="480" w:firstLineChars="200"/>
        <w:rPr>
          <w:rFonts w:hint="eastAsia" w:ascii="宋体" w:hAnsi="宋体" w:eastAsia="宋体" w:cs="宋体"/>
          <w:sz w:val="24"/>
        </w:rPr>
      </w:pPr>
      <w:r>
        <w:rPr>
          <w:rFonts w:hint="eastAsia" w:ascii="宋体" w:hAnsi="宋体" w:eastAsia="宋体" w:cs="宋体"/>
          <w:sz w:val="24"/>
        </w:rPr>
        <w:t>（3）供应商须知</w:t>
      </w:r>
    </w:p>
    <w:p w14:paraId="33B769FA">
      <w:pPr>
        <w:spacing w:line="360" w:lineRule="auto"/>
        <w:ind w:firstLine="480" w:firstLineChars="200"/>
        <w:rPr>
          <w:rFonts w:hint="eastAsia" w:ascii="宋体" w:hAnsi="宋体" w:eastAsia="宋体" w:cs="宋体"/>
          <w:sz w:val="24"/>
        </w:rPr>
      </w:pPr>
      <w:r>
        <w:rPr>
          <w:rFonts w:hint="eastAsia" w:ascii="宋体" w:hAnsi="宋体" w:eastAsia="宋体" w:cs="宋体"/>
          <w:sz w:val="24"/>
        </w:rPr>
        <w:t>（4）评审方法和标准</w:t>
      </w:r>
    </w:p>
    <w:p w14:paraId="532E2680">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p w14:paraId="7545AA72">
      <w:pPr>
        <w:spacing w:line="360" w:lineRule="auto"/>
        <w:ind w:firstLine="480" w:firstLineChars="200"/>
        <w:rPr>
          <w:rFonts w:hint="eastAsia" w:ascii="宋体" w:hAnsi="宋体" w:eastAsia="宋体" w:cs="宋体"/>
          <w:sz w:val="24"/>
        </w:rPr>
      </w:pPr>
      <w:r>
        <w:rPr>
          <w:rFonts w:hint="eastAsia" w:ascii="宋体" w:hAnsi="宋体" w:eastAsia="宋体" w:cs="宋体"/>
          <w:sz w:val="24"/>
        </w:rPr>
        <w:t>（6）合同文本</w:t>
      </w:r>
    </w:p>
    <w:p w14:paraId="381BD08F">
      <w:pPr>
        <w:spacing w:line="360" w:lineRule="auto"/>
        <w:ind w:firstLine="480" w:firstLineChars="200"/>
        <w:rPr>
          <w:rFonts w:hint="eastAsia" w:ascii="宋体" w:hAnsi="宋体" w:eastAsia="宋体" w:cs="宋体"/>
          <w:sz w:val="24"/>
        </w:rPr>
      </w:pPr>
      <w:r>
        <w:rPr>
          <w:rFonts w:hint="eastAsia" w:ascii="宋体" w:hAnsi="宋体" w:eastAsia="宋体" w:cs="宋体"/>
          <w:sz w:val="24"/>
        </w:rPr>
        <w:t>（7）响应文件格式</w:t>
      </w:r>
    </w:p>
    <w:p w14:paraId="3F7467EC">
      <w:pPr>
        <w:spacing w:line="360" w:lineRule="auto"/>
        <w:ind w:firstLine="480" w:firstLineChars="200"/>
        <w:rPr>
          <w:rFonts w:hint="eastAsia" w:ascii="宋体" w:hAnsi="宋体" w:eastAsia="宋体" w:cs="宋体"/>
          <w:sz w:val="24"/>
        </w:rPr>
      </w:pPr>
      <w:r>
        <w:rPr>
          <w:rFonts w:hint="eastAsia" w:ascii="宋体" w:hAnsi="宋体" w:eastAsia="宋体" w:cs="宋体"/>
          <w:sz w:val="24"/>
        </w:rPr>
        <w:t>11.2参与磋商活动的各方应对磋商文件和响应文件中的商业和技术等秘密保密，违者应对由此造成的后果承担法律责任</w:t>
      </w:r>
    </w:p>
    <w:p w14:paraId="4460D99D">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11.3供应商应详细阅读磋商文件的全部内容。如果没有按照磋商文件要求提交全部资料或者没有对磋商文件在各方面都做出实质性响应，有可能被确定为响应无效。</w:t>
      </w:r>
    </w:p>
    <w:p w14:paraId="4EAAE3B4">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12.磋商文件的澄清和修改</w:t>
      </w:r>
    </w:p>
    <w:p w14:paraId="263A7379">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12.1磋商文件的澄清</w:t>
      </w:r>
    </w:p>
    <w:p w14:paraId="1893A529">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12.1.1任何已下载了磋商文件的</w:t>
      </w:r>
      <w:r>
        <w:rPr>
          <w:rFonts w:hint="eastAsia" w:ascii="宋体" w:hAnsi="宋体" w:eastAsia="宋体" w:cs="宋体"/>
          <w:sz w:val="24"/>
          <w:szCs w:val="24"/>
          <w:lang w:eastAsia="zh-CN"/>
        </w:rPr>
        <w:t>供应商</w:t>
      </w:r>
      <w:r>
        <w:rPr>
          <w:rFonts w:hint="eastAsia" w:ascii="宋体" w:hAnsi="宋体" w:eastAsia="宋体" w:cs="宋体"/>
          <w:sz w:val="24"/>
          <w:szCs w:val="24"/>
        </w:rPr>
        <w:t>应仔细阅读和检查磋商文件的全部内容，如发现缺页或附件不全，均可要求对磋商文件进行澄清，但所要求的澄清必须在山西省政府采购网向采购代理机构提问。</w:t>
      </w:r>
    </w:p>
    <w:p w14:paraId="6AF650B9">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12.1.2采购代理机构对澄清的处理原则：采购代理机构认为需要澄清的，将在发布本项目磋商公告的媒体上发布更正公告。</w:t>
      </w:r>
    </w:p>
    <w:p w14:paraId="64E5180A">
      <w:pPr>
        <w:pStyle w:val="29"/>
        <w:spacing w:line="360" w:lineRule="auto"/>
        <w:ind w:left="0" w:firstLine="480" w:firstLineChars="200"/>
        <w:jc w:val="both"/>
        <w:rPr>
          <w:rFonts w:hint="eastAsia" w:ascii="宋体" w:hAnsi="宋体" w:eastAsia="宋体" w:cs="宋体"/>
          <w:sz w:val="24"/>
          <w:szCs w:val="24"/>
        </w:rPr>
      </w:pPr>
      <w:bookmarkStart w:id="16" w:name="_Toc152045545"/>
      <w:bookmarkStart w:id="17" w:name="_Toc144974513"/>
      <w:bookmarkStart w:id="18" w:name="_Toc394927445"/>
      <w:bookmarkStart w:id="19" w:name="_Toc152042321"/>
      <w:bookmarkStart w:id="20" w:name="_Toc238552212"/>
      <w:bookmarkStart w:id="21" w:name="_Toc238797567"/>
      <w:r>
        <w:rPr>
          <w:rFonts w:hint="eastAsia" w:ascii="宋体" w:hAnsi="宋体" w:eastAsia="宋体" w:cs="宋体"/>
          <w:sz w:val="24"/>
          <w:szCs w:val="24"/>
        </w:rPr>
        <w:t>12.2磋商文件的修改</w:t>
      </w:r>
      <w:bookmarkEnd w:id="16"/>
      <w:bookmarkEnd w:id="17"/>
      <w:bookmarkEnd w:id="18"/>
      <w:bookmarkEnd w:id="19"/>
      <w:bookmarkEnd w:id="20"/>
      <w:bookmarkEnd w:id="21"/>
    </w:p>
    <w:p w14:paraId="7617DDE3">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12.2.1采购代理机构有权对磋商文件中的相关事项，以公告更正的方式进行必要的修改，并在发布本项目磋商公告的媒体上发布变更公告。</w:t>
      </w:r>
    </w:p>
    <w:p w14:paraId="7FC3457F">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12.2.2更正公告或变更公告应当+在提交响应文件截止之日5日前发出。</w:t>
      </w:r>
    </w:p>
    <w:p w14:paraId="69689AEC">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12.2.3更正公告或变更公告的内容是磋商文件的必要组成部分，对所有</w:t>
      </w:r>
      <w:r>
        <w:rPr>
          <w:rFonts w:hint="eastAsia" w:ascii="宋体" w:hAnsi="宋体" w:eastAsia="宋体" w:cs="宋体"/>
          <w:sz w:val="24"/>
          <w:szCs w:val="24"/>
          <w:lang w:eastAsia="zh-CN"/>
        </w:rPr>
        <w:t>供应商</w:t>
      </w:r>
      <w:r>
        <w:rPr>
          <w:rFonts w:hint="eastAsia" w:ascii="宋体" w:hAnsi="宋体" w:eastAsia="宋体" w:cs="宋体"/>
          <w:sz w:val="24"/>
          <w:szCs w:val="24"/>
        </w:rPr>
        <w:t>均具有约束力，提请供应商要特别注意。</w:t>
      </w:r>
    </w:p>
    <w:p w14:paraId="6157EFE7">
      <w:pPr>
        <w:pStyle w:val="30"/>
        <w:spacing w:before="0" w:beforeAutospacing="0" w:after="0" w:afterAutospacing="0" w:line="360" w:lineRule="auto"/>
        <w:jc w:val="center"/>
        <w:rPr>
          <w:rFonts w:hint="eastAsia" w:ascii="宋体" w:hAnsi="宋体" w:eastAsia="宋体" w:cs="宋体"/>
          <w:b/>
        </w:rPr>
      </w:pPr>
      <w:r>
        <w:rPr>
          <w:rFonts w:hint="eastAsia" w:ascii="宋体" w:hAnsi="宋体" w:eastAsia="宋体" w:cs="宋体"/>
          <w:b/>
        </w:rPr>
        <w:t>(三) 响应文件</w:t>
      </w:r>
    </w:p>
    <w:p w14:paraId="124721A8">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13.响应文件的构成及相关要求</w:t>
      </w:r>
    </w:p>
    <w:p w14:paraId="60E1162E">
      <w:pPr>
        <w:spacing w:line="360" w:lineRule="auto"/>
        <w:ind w:firstLine="480" w:firstLineChars="200"/>
        <w:rPr>
          <w:rFonts w:hint="eastAsia" w:ascii="宋体" w:hAnsi="宋体" w:eastAsia="宋体" w:cs="宋体"/>
          <w:sz w:val="24"/>
        </w:rPr>
      </w:pPr>
      <w:r>
        <w:rPr>
          <w:rFonts w:hint="eastAsia" w:ascii="宋体" w:hAnsi="宋体" w:eastAsia="宋体" w:cs="宋体"/>
          <w:sz w:val="24"/>
        </w:rPr>
        <w:t>13.1响应文件由资格证明文件和商务技术文件两部分组成。</w:t>
      </w:r>
    </w:p>
    <w:p w14:paraId="553597C7">
      <w:pPr>
        <w:spacing w:line="360" w:lineRule="auto"/>
        <w:ind w:firstLine="480" w:firstLineChars="200"/>
        <w:rPr>
          <w:rFonts w:hint="eastAsia" w:ascii="宋体" w:hAnsi="宋体" w:eastAsia="宋体" w:cs="宋体"/>
          <w:sz w:val="24"/>
        </w:rPr>
      </w:pPr>
      <w:r>
        <w:rPr>
          <w:rFonts w:hint="eastAsia" w:ascii="宋体" w:hAnsi="宋体" w:eastAsia="宋体" w:cs="宋体"/>
          <w:sz w:val="24"/>
        </w:rPr>
        <w:t>资格证明文件：指供应商提交的证明其有资格参加磋商的文件。</w:t>
      </w:r>
    </w:p>
    <w:p w14:paraId="07D9D7C1">
      <w:pPr>
        <w:spacing w:line="360" w:lineRule="auto"/>
        <w:ind w:firstLine="480" w:firstLineChars="200"/>
        <w:rPr>
          <w:rFonts w:hint="eastAsia" w:ascii="宋体" w:hAnsi="宋体" w:eastAsia="宋体" w:cs="宋体"/>
          <w:sz w:val="24"/>
        </w:rPr>
      </w:pPr>
      <w:r>
        <w:rPr>
          <w:rFonts w:hint="eastAsia" w:ascii="宋体" w:hAnsi="宋体" w:eastAsia="宋体" w:cs="宋体"/>
          <w:sz w:val="24"/>
        </w:rPr>
        <w:t>商务、技术文件：指供应商提交的能够证明其成交后有能力履行合同的文件和提供的服务符合本磋商文件规定和政策性要求的文件。</w:t>
      </w:r>
    </w:p>
    <w:p w14:paraId="3E753F85">
      <w:pPr>
        <w:spacing w:line="360" w:lineRule="auto"/>
        <w:ind w:firstLine="480" w:firstLineChars="200"/>
        <w:rPr>
          <w:rFonts w:hint="eastAsia" w:ascii="宋体" w:hAnsi="宋体" w:eastAsia="宋体" w:cs="宋体"/>
          <w:sz w:val="20"/>
          <w:szCs w:val="22"/>
        </w:rPr>
      </w:pPr>
      <w:r>
        <w:rPr>
          <w:rFonts w:hint="eastAsia" w:ascii="宋体" w:hAnsi="宋体" w:eastAsia="宋体" w:cs="宋体"/>
          <w:sz w:val="24"/>
        </w:rPr>
        <w:t>本次磋商，供应商应按磋商文件供应商须知前附表要求，提交资格证明文件和商务、技术文件及供应商自行编写的其他文件。资格证明文件、商务技术文件中的加“</w:t>
      </w:r>
      <w:r>
        <w:rPr>
          <w:rFonts w:hint="eastAsia" w:ascii="宋体" w:hAnsi="宋体" w:eastAsia="宋体" w:cs="宋体"/>
          <w:kern w:val="0"/>
          <w:sz w:val="22"/>
          <w:szCs w:val="22"/>
          <w:lang w:bidi="ar"/>
        </w:rPr>
        <w:t>*</w:t>
      </w:r>
      <w:r>
        <w:rPr>
          <w:rFonts w:hint="eastAsia" w:ascii="宋体" w:hAnsi="宋体" w:eastAsia="宋体" w:cs="宋体"/>
          <w:sz w:val="24"/>
        </w:rPr>
        <w:t>”项、商务技术要求中加“</w:t>
      </w:r>
      <w:r>
        <w:rPr>
          <w:rFonts w:hint="eastAsia" w:ascii="宋体" w:hAnsi="宋体" w:eastAsia="宋体" w:cs="宋体"/>
          <w:kern w:val="0"/>
          <w:sz w:val="22"/>
          <w:szCs w:val="22"/>
          <w:lang w:bidi="ar"/>
        </w:rPr>
        <w:t>*</w:t>
      </w:r>
      <w:r>
        <w:rPr>
          <w:rFonts w:hint="eastAsia" w:ascii="宋体" w:hAnsi="宋体" w:eastAsia="宋体" w:cs="宋体"/>
          <w:sz w:val="24"/>
        </w:rPr>
        <w:t>”指标、政策性要求中国家强制性因素若有缺失或无效或商务技术文件未实质性响应磋商文件要求，将作无效报价处理。</w:t>
      </w:r>
    </w:p>
    <w:p w14:paraId="7A899651">
      <w:pPr>
        <w:spacing w:line="360" w:lineRule="auto"/>
        <w:ind w:firstLine="480" w:firstLineChars="200"/>
        <w:rPr>
          <w:rFonts w:hint="eastAsia" w:ascii="宋体" w:hAnsi="宋体" w:eastAsia="宋体" w:cs="宋体"/>
          <w:sz w:val="24"/>
        </w:rPr>
      </w:pPr>
      <w:r>
        <w:rPr>
          <w:rFonts w:hint="eastAsia" w:ascii="宋体" w:hAnsi="宋体" w:eastAsia="宋体" w:cs="宋体"/>
          <w:sz w:val="24"/>
        </w:rPr>
        <w:t>13.2 响应文件其他要求</w:t>
      </w:r>
    </w:p>
    <w:p w14:paraId="0EB43AE8">
      <w:pPr>
        <w:spacing w:line="360" w:lineRule="auto"/>
        <w:ind w:firstLine="480" w:firstLineChars="200"/>
        <w:rPr>
          <w:rFonts w:hint="eastAsia" w:ascii="宋体" w:hAnsi="宋体" w:eastAsia="宋体" w:cs="宋体"/>
          <w:sz w:val="24"/>
        </w:rPr>
      </w:pPr>
      <w:r>
        <w:rPr>
          <w:rFonts w:hint="eastAsia" w:ascii="宋体" w:hAnsi="宋体" w:eastAsia="宋体" w:cs="宋体"/>
          <w:sz w:val="24"/>
        </w:rPr>
        <w:t>13.2.1编排要求</w:t>
      </w:r>
    </w:p>
    <w:p w14:paraId="1F8AF5E4">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规格幅面（A4）；按照磋商文件第七部分格式要求和系统中的编排顺序，统一编目、正序编排页码（响应文件中扫描件或影印件及宣传资料等均须与响应文件正文一起逐页编排页码）。由于编排混乱导致响应文件被误读或查找不到，其责任应当由供应商承担。</w:t>
      </w:r>
    </w:p>
    <w:p w14:paraId="53507DD1">
      <w:pPr>
        <w:spacing w:line="360" w:lineRule="auto"/>
        <w:ind w:firstLine="480" w:firstLineChars="200"/>
        <w:rPr>
          <w:rFonts w:hint="eastAsia" w:ascii="宋体" w:hAnsi="宋体" w:eastAsia="宋体" w:cs="宋体"/>
          <w:sz w:val="24"/>
        </w:rPr>
      </w:pPr>
      <w:r>
        <w:rPr>
          <w:rFonts w:hint="eastAsia" w:ascii="宋体" w:hAnsi="宋体" w:eastAsia="宋体" w:cs="宋体"/>
          <w:sz w:val="24"/>
        </w:rPr>
        <w:t>13.2.2格式要求</w:t>
      </w:r>
    </w:p>
    <w:p w14:paraId="3B34EED2">
      <w:pPr>
        <w:spacing w:line="360" w:lineRule="auto"/>
        <w:ind w:firstLine="480" w:firstLineChars="200"/>
        <w:rPr>
          <w:rFonts w:hint="eastAsia" w:ascii="宋体" w:hAnsi="宋体" w:eastAsia="宋体" w:cs="宋体"/>
          <w:sz w:val="24"/>
        </w:rPr>
      </w:pPr>
      <w:r>
        <w:rPr>
          <w:rFonts w:hint="eastAsia" w:ascii="宋体" w:hAnsi="宋体" w:eastAsia="宋体" w:cs="宋体"/>
          <w:sz w:val="24"/>
        </w:rPr>
        <w:t>本磋商文件第七部分已提供“响应文件格式”的，需按照格式要求编制和上传（供应商可以对所提供的格式进行扩展，但不得更改格式内容），没有提供格式的，供应商自拟。</w:t>
      </w:r>
    </w:p>
    <w:p w14:paraId="18B4C893">
      <w:pPr>
        <w:spacing w:line="360" w:lineRule="auto"/>
        <w:ind w:firstLine="480" w:firstLineChars="200"/>
        <w:rPr>
          <w:rFonts w:hint="eastAsia" w:ascii="宋体" w:hAnsi="宋体" w:eastAsia="宋体" w:cs="宋体"/>
          <w:sz w:val="24"/>
        </w:rPr>
      </w:pPr>
      <w:r>
        <w:rPr>
          <w:rFonts w:hint="eastAsia" w:ascii="宋体" w:hAnsi="宋体" w:eastAsia="宋体" w:cs="宋体"/>
          <w:sz w:val="24"/>
        </w:rPr>
        <w:t>13.2.3响应文件的份数、加密</w:t>
      </w:r>
    </w:p>
    <w:p w14:paraId="5962FE44">
      <w:pPr>
        <w:spacing w:line="360" w:lineRule="auto"/>
        <w:ind w:firstLine="480" w:firstLineChars="200"/>
        <w:rPr>
          <w:rFonts w:hint="eastAsia" w:ascii="宋体" w:hAnsi="宋体" w:eastAsia="宋体" w:cs="宋体"/>
          <w:sz w:val="24"/>
        </w:rPr>
      </w:pPr>
      <w:r>
        <w:rPr>
          <w:rFonts w:hint="eastAsia" w:ascii="宋体" w:hAnsi="宋体" w:eastAsia="宋体" w:cs="宋体"/>
          <w:sz w:val="24"/>
        </w:rPr>
        <w:t>13.2.3.1响应文件的份数</w:t>
      </w:r>
    </w:p>
    <w:p w14:paraId="5EF6DCA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本次磋商须提交的响应文件份数详见供应商须知前附表。</w:t>
      </w:r>
    </w:p>
    <w:p w14:paraId="1969BB68">
      <w:pPr>
        <w:spacing w:line="360" w:lineRule="auto"/>
        <w:ind w:firstLine="480" w:firstLineChars="200"/>
        <w:rPr>
          <w:rFonts w:hint="eastAsia" w:ascii="宋体" w:hAnsi="宋体" w:eastAsia="宋体" w:cs="宋体"/>
          <w:sz w:val="24"/>
        </w:rPr>
      </w:pPr>
      <w:r>
        <w:rPr>
          <w:rFonts w:hint="eastAsia" w:ascii="宋体" w:hAnsi="宋体" w:eastAsia="宋体" w:cs="宋体"/>
          <w:sz w:val="24"/>
        </w:rPr>
        <w:t>13.2.3.2响应文件加密</w:t>
      </w:r>
    </w:p>
    <w:p w14:paraId="3C78FD28">
      <w:pPr>
        <w:spacing w:line="360" w:lineRule="auto"/>
        <w:ind w:firstLine="480" w:firstLineChars="200"/>
        <w:rPr>
          <w:rFonts w:hint="eastAsia" w:ascii="宋体" w:hAnsi="宋体" w:eastAsia="宋体" w:cs="宋体"/>
          <w:sz w:val="20"/>
          <w:szCs w:val="22"/>
        </w:rPr>
      </w:pPr>
      <w:r>
        <w:rPr>
          <w:rFonts w:hint="eastAsia" w:ascii="宋体" w:hAnsi="宋体" w:eastAsia="宋体" w:cs="宋体"/>
          <w:sz w:val="24"/>
        </w:rPr>
        <w:t>系统中上传的电子响应文件须使用数字电子CA（单位、法人或个人）进行加密。</w:t>
      </w:r>
    </w:p>
    <w:p w14:paraId="47F7F942">
      <w:pPr>
        <w:spacing w:line="360" w:lineRule="auto"/>
        <w:ind w:firstLine="480" w:firstLineChars="200"/>
        <w:rPr>
          <w:rFonts w:hint="eastAsia" w:ascii="宋体" w:hAnsi="宋体" w:eastAsia="宋体" w:cs="宋体"/>
          <w:sz w:val="24"/>
        </w:rPr>
      </w:pPr>
      <w:r>
        <w:rPr>
          <w:rFonts w:hint="eastAsia" w:ascii="宋体" w:hAnsi="宋体" w:eastAsia="宋体" w:cs="宋体"/>
          <w:sz w:val="24"/>
        </w:rPr>
        <w:t>13.3供应商提供与政采云系统上传内容完全一致的电子文档并在其存储介质上标注“响应文件、供应商全称”等字样，存储介质一经递交不予退还。</w:t>
      </w:r>
    </w:p>
    <w:p w14:paraId="6411502D">
      <w:pPr>
        <w:spacing w:line="360" w:lineRule="auto"/>
        <w:ind w:firstLine="480" w:firstLineChars="200"/>
        <w:rPr>
          <w:rFonts w:hint="eastAsia" w:ascii="宋体" w:hAnsi="宋体" w:eastAsia="宋体" w:cs="宋体"/>
          <w:sz w:val="24"/>
        </w:rPr>
      </w:pPr>
      <w:r>
        <w:rPr>
          <w:rFonts w:hint="eastAsia" w:ascii="宋体" w:hAnsi="宋体" w:eastAsia="宋体" w:cs="宋体"/>
          <w:sz w:val="24"/>
        </w:rPr>
        <w:t>13.4响应文件均以电子文档为准。</w:t>
      </w:r>
    </w:p>
    <w:p w14:paraId="048544C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14.响应文件的编制</w:t>
      </w:r>
    </w:p>
    <w:p w14:paraId="7C5FCDE5">
      <w:pPr>
        <w:spacing w:line="360" w:lineRule="auto"/>
        <w:ind w:firstLine="480" w:firstLineChars="200"/>
        <w:rPr>
          <w:rFonts w:hint="eastAsia" w:ascii="宋体" w:hAnsi="宋体" w:eastAsia="宋体" w:cs="宋体"/>
          <w:sz w:val="24"/>
        </w:rPr>
      </w:pPr>
      <w:r>
        <w:rPr>
          <w:rFonts w:hint="eastAsia" w:ascii="宋体" w:hAnsi="宋体" w:eastAsia="宋体" w:cs="宋体"/>
          <w:sz w:val="24"/>
        </w:rPr>
        <w:t>14.1供应商应详细审阅磋商文件的全部内容，按照磋商文件的要求认真编制响应文件，保证所提供的全部资料合法、真实、完整、有效，以使其响应文件对磋商文件做出实质性响应。</w:t>
      </w:r>
    </w:p>
    <w:p w14:paraId="590A3C4F">
      <w:pPr>
        <w:spacing w:line="360" w:lineRule="auto"/>
        <w:ind w:firstLine="480" w:firstLineChars="200"/>
        <w:rPr>
          <w:rFonts w:hint="eastAsia" w:ascii="宋体" w:hAnsi="宋体" w:eastAsia="宋体" w:cs="宋体"/>
          <w:sz w:val="24"/>
        </w:rPr>
      </w:pPr>
      <w:r>
        <w:rPr>
          <w:rFonts w:hint="eastAsia" w:ascii="宋体" w:hAnsi="宋体" w:eastAsia="宋体" w:cs="宋体"/>
          <w:sz w:val="24"/>
        </w:rPr>
        <w:t>14.2供应商资质证书（或资格证明）处于年检、换证、升级、变更等期间，除法律法规或发证机构有书面材料明确表明供应商资质（或资格）有效外，一律不予认可。</w:t>
      </w:r>
    </w:p>
    <w:p w14:paraId="6A42D289">
      <w:pPr>
        <w:spacing w:line="360" w:lineRule="auto"/>
        <w:ind w:firstLine="480" w:firstLineChars="200"/>
        <w:rPr>
          <w:rFonts w:hint="eastAsia" w:ascii="宋体" w:hAnsi="宋体" w:eastAsia="宋体" w:cs="宋体"/>
          <w:sz w:val="24"/>
        </w:rPr>
      </w:pPr>
      <w:r>
        <w:rPr>
          <w:rFonts w:hint="eastAsia" w:ascii="宋体" w:hAnsi="宋体" w:eastAsia="宋体" w:cs="宋体"/>
          <w:sz w:val="24"/>
        </w:rPr>
        <w:t>14.3响应文件应严格按照磋商文件第七部分的要求提交，并按规定的统一格式逐项填写，不准有空项、缺项；无相应内容可填的项应填写“无”、“没有相应指标”、“/”等明确的回答。响应文件未按规定提交或留有空项，将被视为不完整响应的响应文件，其响应文件有可能被拒绝。</w:t>
      </w:r>
    </w:p>
    <w:p w14:paraId="5696AF56">
      <w:pPr>
        <w:spacing w:line="360" w:lineRule="auto"/>
        <w:ind w:firstLine="480" w:firstLineChars="200"/>
        <w:rPr>
          <w:rFonts w:hint="eastAsia" w:ascii="宋体" w:hAnsi="宋体" w:eastAsia="宋体" w:cs="宋体"/>
          <w:sz w:val="24"/>
        </w:rPr>
      </w:pPr>
      <w:r>
        <w:rPr>
          <w:rFonts w:hint="eastAsia" w:ascii="宋体" w:hAnsi="宋体" w:eastAsia="宋体" w:cs="宋体"/>
          <w:sz w:val="24"/>
        </w:rPr>
        <w:t>14.5供应商必须对响应文件所提供的全部资料的真实性可靠性负责，并接受磋商小组对其中任何资料进一步审查的要求。</w:t>
      </w:r>
    </w:p>
    <w:p w14:paraId="05652D48">
      <w:pPr>
        <w:spacing w:line="360" w:lineRule="auto"/>
        <w:ind w:firstLine="480" w:firstLineChars="200"/>
        <w:rPr>
          <w:rFonts w:hint="eastAsia" w:ascii="宋体" w:hAnsi="宋体" w:eastAsia="宋体" w:cs="宋体"/>
          <w:sz w:val="24"/>
        </w:rPr>
      </w:pPr>
      <w:r>
        <w:rPr>
          <w:rFonts w:hint="eastAsia" w:ascii="宋体" w:hAnsi="宋体" w:eastAsia="宋体" w:cs="宋体"/>
          <w:sz w:val="24"/>
        </w:rPr>
        <w:t>14.6为提倡诚实信用的磋商行为，特别要求供应商应本着诚信精神，在本次响应文件中按照磋商文件要求，以审慎的态度明确、清楚地披露各项内容。一旦在评审中被发现存在重大偏离或被认定为属于重大偏离，则磋商小组有权决定对该响应予以拒绝。</w:t>
      </w:r>
    </w:p>
    <w:p w14:paraId="780D689D">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15.响应文件的语言及计量单位</w:t>
      </w:r>
    </w:p>
    <w:p w14:paraId="539FC4E8">
      <w:pPr>
        <w:spacing w:line="360" w:lineRule="auto"/>
        <w:ind w:firstLine="480" w:firstLineChars="200"/>
        <w:rPr>
          <w:rFonts w:hint="eastAsia" w:ascii="宋体" w:hAnsi="宋体" w:eastAsia="宋体" w:cs="宋体"/>
          <w:sz w:val="24"/>
        </w:rPr>
      </w:pPr>
      <w:r>
        <w:rPr>
          <w:rFonts w:hint="eastAsia" w:ascii="宋体" w:hAnsi="宋体" w:eastAsia="宋体" w:cs="宋体"/>
          <w:sz w:val="24"/>
        </w:rPr>
        <w:t>15.1响应文件以及供应商与采购代理机构就有关磋商的所有来往的文字、函电统一使用中文。</w:t>
      </w:r>
    </w:p>
    <w:p w14:paraId="3E2E90BD">
      <w:pPr>
        <w:spacing w:line="360" w:lineRule="auto"/>
        <w:ind w:firstLine="480" w:firstLineChars="200"/>
        <w:rPr>
          <w:rFonts w:hint="eastAsia" w:ascii="宋体" w:hAnsi="宋体" w:eastAsia="宋体" w:cs="宋体"/>
          <w:sz w:val="24"/>
        </w:rPr>
      </w:pPr>
      <w:r>
        <w:rPr>
          <w:rFonts w:hint="eastAsia" w:ascii="宋体" w:hAnsi="宋体" w:eastAsia="宋体" w:cs="宋体"/>
          <w:sz w:val="24"/>
        </w:rPr>
        <w:t>15.2响应文件中的计量单位，除磋商文件有特殊规定外，一律使用中华人民共和国法定计量单位。</w:t>
      </w:r>
    </w:p>
    <w:p w14:paraId="36E3B5FC">
      <w:pPr>
        <w:spacing w:line="360" w:lineRule="auto"/>
        <w:ind w:firstLine="480" w:firstLineChars="200"/>
        <w:rPr>
          <w:rFonts w:hint="eastAsia" w:ascii="宋体" w:hAnsi="宋体" w:eastAsia="宋体" w:cs="宋体"/>
          <w:sz w:val="24"/>
        </w:rPr>
      </w:pPr>
      <w:r>
        <w:rPr>
          <w:rFonts w:hint="eastAsia" w:ascii="宋体" w:hAnsi="宋体" w:eastAsia="宋体" w:cs="宋体"/>
          <w:sz w:val="24"/>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168F5E3C">
      <w:pPr>
        <w:spacing w:line="360" w:lineRule="auto"/>
        <w:ind w:firstLine="480" w:firstLineChars="200"/>
        <w:rPr>
          <w:rFonts w:hint="eastAsia" w:ascii="宋体" w:hAnsi="宋体" w:eastAsia="宋体" w:cs="宋体"/>
          <w:sz w:val="20"/>
          <w:szCs w:val="22"/>
        </w:rPr>
      </w:pPr>
      <w:r>
        <w:rPr>
          <w:rFonts w:hint="eastAsia" w:ascii="宋体" w:hAnsi="宋体" w:eastAsia="宋体" w:cs="宋体"/>
          <w:sz w:val="24"/>
        </w:rPr>
        <w:t>原版为外文的证书类、证明类文件，与供应商名称或其它实际情况不符的，供应商应当提供相关证明文件。</w:t>
      </w:r>
    </w:p>
    <w:p w14:paraId="37A6A7F7">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16.磋商报价</w:t>
      </w:r>
    </w:p>
    <w:p w14:paraId="08799FAE">
      <w:pPr>
        <w:spacing w:line="360" w:lineRule="auto"/>
        <w:ind w:firstLine="480" w:firstLineChars="200"/>
        <w:rPr>
          <w:rFonts w:hint="eastAsia" w:ascii="宋体" w:hAnsi="宋体" w:eastAsia="宋体" w:cs="宋体"/>
          <w:sz w:val="20"/>
          <w:szCs w:val="22"/>
        </w:rPr>
      </w:pPr>
      <w:r>
        <w:rPr>
          <w:rFonts w:hint="eastAsia" w:ascii="宋体" w:hAnsi="宋体" w:eastAsia="宋体" w:cs="宋体"/>
          <w:sz w:val="24"/>
        </w:rPr>
        <w:t>16.1所有磋商报价均以人民币“元”为计算单位（保留两位小数）。</w:t>
      </w:r>
    </w:p>
    <w:p w14:paraId="26172A7D">
      <w:pPr>
        <w:spacing w:line="360" w:lineRule="auto"/>
        <w:ind w:firstLine="480" w:firstLineChars="200"/>
        <w:rPr>
          <w:rFonts w:hint="eastAsia" w:ascii="宋体" w:hAnsi="宋体" w:eastAsia="宋体" w:cs="宋体"/>
          <w:sz w:val="24"/>
        </w:rPr>
      </w:pPr>
      <w:r>
        <w:rPr>
          <w:rFonts w:hint="eastAsia" w:ascii="宋体" w:hAnsi="宋体" w:eastAsia="宋体" w:cs="宋体"/>
          <w:sz w:val="24"/>
        </w:rPr>
        <w:t>16.2供应商应根据自身经营状况和工商营业执照确定的经营范围，按照第五部分“采购需求”服务内容进行唯一报价，具体要求详见第二部分“供应商须知前附表”，采购代理机构不接受有任何选择性的报价。</w:t>
      </w:r>
    </w:p>
    <w:p w14:paraId="7BC710D8">
      <w:pPr>
        <w:spacing w:line="360" w:lineRule="auto"/>
        <w:ind w:firstLine="480" w:firstLineChars="200"/>
        <w:rPr>
          <w:rFonts w:hint="eastAsia" w:ascii="宋体" w:hAnsi="宋体" w:eastAsia="宋体" w:cs="宋体"/>
          <w:sz w:val="24"/>
        </w:rPr>
      </w:pPr>
      <w:r>
        <w:rPr>
          <w:rFonts w:hint="eastAsia" w:ascii="宋体" w:hAnsi="宋体" w:eastAsia="宋体" w:cs="宋体"/>
          <w:sz w:val="24"/>
        </w:rPr>
        <w:t>16.3只要投报了一个确定数额的总价，无论分项价格是否全部填报了相应的金额或免费字样，报价应被视为已经包含了但并不限于各项相关服务的费用。在其它情况下，由于分项报价填报不完整、不清楚或存在其它任何失误，所导致的任何不利后果均应当由</w:t>
      </w:r>
      <w:r>
        <w:rPr>
          <w:rFonts w:hint="eastAsia" w:ascii="宋体" w:hAnsi="宋体" w:eastAsia="宋体" w:cs="宋体"/>
          <w:sz w:val="24"/>
          <w:lang w:eastAsia="zh-CN"/>
        </w:rPr>
        <w:t>供应商</w:t>
      </w:r>
      <w:r>
        <w:rPr>
          <w:rFonts w:hint="eastAsia" w:ascii="宋体" w:hAnsi="宋体" w:eastAsia="宋体" w:cs="宋体"/>
          <w:sz w:val="24"/>
        </w:rPr>
        <w:t>自行承担。</w:t>
      </w:r>
    </w:p>
    <w:p w14:paraId="31CCCBEF">
      <w:pPr>
        <w:spacing w:line="360" w:lineRule="auto"/>
        <w:ind w:firstLine="480" w:firstLineChars="200"/>
        <w:rPr>
          <w:rFonts w:hint="eastAsia" w:ascii="宋体" w:hAnsi="宋体" w:eastAsia="宋体" w:cs="宋体"/>
          <w:sz w:val="24"/>
        </w:rPr>
      </w:pPr>
      <w:r>
        <w:rPr>
          <w:rFonts w:hint="eastAsia" w:ascii="宋体" w:hAnsi="宋体" w:eastAsia="宋体" w:cs="宋体"/>
          <w:sz w:val="24"/>
        </w:rPr>
        <w:t>16.4 响应文件报价出现前后不一致的，按照下列规定修正：</w:t>
      </w:r>
    </w:p>
    <w:p w14:paraId="5D32A085">
      <w:pPr>
        <w:spacing w:line="360" w:lineRule="auto"/>
        <w:ind w:firstLine="480" w:firstLineChars="200"/>
        <w:rPr>
          <w:rFonts w:hint="eastAsia" w:ascii="宋体" w:hAnsi="宋体" w:eastAsia="宋体" w:cs="宋体"/>
          <w:sz w:val="24"/>
        </w:rPr>
      </w:pPr>
      <w:r>
        <w:rPr>
          <w:rFonts w:hint="eastAsia" w:ascii="宋体" w:hAnsi="宋体" w:eastAsia="宋体" w:cs="宋体"/>
          <w:sz w:val="24"/>
        </w:rPr>
        <w:t>(1)大写金额和小写金额不一致的，以大写金额为准；</w:t>
      </w:r>
    </w:p>
    <w:p w14:paraId="4CF884BE">
      <w:pPr>
        <w:spacing w:line="360" w:lineRule="auto"/>
        <w:ind w:firstLine="480" w:firstLineChars="200"/>
        <w:rPr>
          <w:rFonts w:hint="eastAsia" w:ascii="宋体" w:hAnsi="宋体" w:eastAsia="宋体" w:cs="宋体"/>
          <w:sz w:val="24"/>
        </w:rPr>
      </w:pPr>
      <w:r>
        <w:rPr>
          <w:rFonts w:hint="eastAsia" w:ascii="宋体" w:hAnsi="宋体" w:eastAsia="宋体" w:cs="宋体"/>
          <w:sz w:val="24"/>
        </w:rPr>
        <w:t>(2)单价金额小数点或者百分比有明显错位的，以《报价表》的总价为准，并修改单价；</w:t>
      </w:r>
    </w:p>
    <w:p w14:paraId="0C8F6012">
      <w:pPr>
        <w:spacing w:line="360" w:lineRule="auto"/>
        <w:ind w:firstLine="480" w:firstLineChars="200"/>
        <w:rPr>
          <w:rFonts w:hint="eastAsia" w:ascii="宋体" w:hAnsi="宋体" w:eastAsia="宋体" w:cs="宋体"/>
          <w:sz w:val="24"/>
        </w:rPr>
      </w:pPr>
      <w:r>
        <w:rPr>
          <w:rFonts w:hint="eastAsia" w:ascii="宋体" w:hAnsi="宋体" w:eastAsia="宋体" w:cs="宋体"/>
          <w:sz w:val="24"/>
        </w:rPr>
        <w:t>(3)总价金额与按单价汇总金额不一致的，以单价金额计算结果为准。</w:t>
      </w:r>
    </w:p>
    <w:p w14:paraId="4E1650E0">
      <w:pPr>
        <w:spacing w:line="360" w:lineRule="auto"/>
        <w:ind w:firstLine="480" w:firstLineChars="200"/>
        <w:rPr>
          <w:rFonts w:hint="eastAsia" w:ascii="宋体" w:hAnsi="宋体" w:eastAsia="宋体" w:cs="宋体"/>
          <w:sz w:val="24"/>
        </w:rPr>
      </w:pPr>
      <w:r>
        <w:rPr>
          <w:rFonts w:hint="eastAsia" w:ascii="宋体" w:hAnsi="宋体" w:eastAsia="宋体" w:cs="宋体"/>
          <w:sz w:val="24"/>
        </w:rPr>
        <w:t>同时出现两种以上不一致的，供应商须按照上述规定的顺序进行修正并书面确认，经确认后的报价对供应商产生约束力。</w:t>
      </w:r>
    </w:p>
    <w:p w14:paraId="071D8596">
      <w:pPr>
        <w:spacing w:line="360" w:lineRule="auto"/>
        <w:ind w:firstLine="480" w:firstLineChars="200"/>
        <w:rPr>
          <w:rFonts w:hint="eastAsia" w:ascii="宋体" w:hAnsi="宋体" w:eastAsia="宋体" w:cs="宋体"/>
          <w:sz w:val="24"/>
        </w:rPr>
      </w:pPr>
      <w:r>
        <w:rPr>
          <w:rFonts w:hint="eastAsia" w:ascii="宋体" w:hAnsi="宋体" w:eastAsia="宋体" w:cs="宋体"/>
          <w:sz w:val="24"/>
        </w:rPr>
        <w:t>16.5供应商应按报价要求的内容认真填报“报价一览表”。</w:t>
      </w:r>
    </w:p>
    <w:p w14:paraId="778B0C47">
      <w:pPr>
        <w:spacing w:line="360" w:lineRule="auto"/>
        <w:ind w:firstLine="480" w:firstLineChars="200"/>
        <w:rPr>
          <w:rFonts w:hint="eastAsia" w:ascii="宋体" w:hAnsi="宋体" w:eastAsia="宋体" w:cs="宋体"/>
          <w:sz w:val="24"/>
        </w:rPr>
      </w:pPr>
      <w:r>
        <w:rPr>
          <w:rFonts w:hint="eastAsia" w:ascii="宋体" w:hAnsi="宋体" w:eastAsia="宋体" w:cs="宋体"/>
          <w:sz w:val="24"/>
        </w:rPr>
        <w:t>16.6本次磋商不接受可选择方案的报价。</w:t>
      </w:r>
    </w:p>
    <w:p w14:paraId="19F10448">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17.磋商保证金</w:t>
      </w:r>
    </w:p>
    <w:p w14:paraId="1AE92B3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17.1供应商应在提交响应文件截止时间前，按供应商须知前附表向采购代理机构足额交纳磋商保证金。未按要求交纳磋商保证金的，响应无效。</w:t>
      </w:r>
    </w:p>
    <w:p w14:paraId="2C8E34D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17.2供应商在响应文件开启时间前撤回已提交的响应文件的，代理机构应当自收到供应商书面撤回通知之日起5个工作日内，退还已收取的磋商保证金，但因供应商自身原因导致无法及时退还的除外。</w:t>
      </w:r>
    </w:p>
    <w:p w14:paraId="5BC9D125">
      <w:pPr>
        <w:spacing w:line="360" w:lineRule="auto"/>
        <w:ind w:firstLine="480" w:firstLineChars="200"/>
        <w:rPr>
          <w:rFonts w:hint="eastAsia" w:ascii="宋体" w:hAnsi="宋体" w:eastAsia="宋体" w:cs="宋体"/>
          <w:sz w:val="24"/>
        </w:rPr>
      </w:pPr>
      <w:r>
        <w:rPr>
          <w:rFonts w:hint="eastAsia" w:ascii="宋体" w:hAnsi="宋体" w:eastAsia="宋体" w:cs="宋体"/>
          <w:sz w:val="24"/>
        </w:rPr>
        <w:t>17.3采购代理机构自成交通知书发出之日起5个工作日内无息退还未成交供应商的磋商保证金；自采购合同签订之日起5个工作日内无息退还成交供应商的磋商保证金。</w:t>
      </w:r>
    </w:p>
    <w:p w14:paraId="71FE44FE">
      <w:pPr>
        <w:spacing w:line="360" w:lineRule="auto"/>
        <w:ind w:firstLine="480" w:firstLineChars="200"/>
        <w:rPr>
          <w:rFonts w:hint="eastAsia" w:ascii="宋体" w:hAnsi="宋体" w:eastAsia="宋体" w:cs="宋体"/>
          <w:sz w:val="24"/>
        </w:rPr>
      </w:pPr>
      <w:r>
        <w:rPr>
          <w:rFonts w:hint="eastAsia" w:ascii="宋体" w:hAnsi="宋体" w:eastAsia="宋体" w:cs="宋体"/>
          <w:sz w:val="24"/>
        </w:rPr>
        <w:t>17.4发生下列情况之一，磋商保证金将不予退还：</w:t>
      </w:r>
    </w:p>
    <w:p w14:paraId="409B960D">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（1）供应商在提交响应文件截止时间后撤回响应文件的；</w:t>
      </w:r>
    </w:p>
    <w:p w14:paraId="31720BA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（2）供应商在响应文件中提供虚假材料的；</w:t>
      </w:r>
    </w:p>
    <w:p w14:paraId="79076E75">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（3）除因不可抗力或磋商文件认可的情形以外，成交供应商不与采购人签订合同的;</w:t>
      </w:r>
    </w:p>
    <w:p w14:paraId="61F38022">
      <w:pPr>
        <w:spacing w:line="360" w:lineRule="auto"/>
        <w:ind w:firstLine="480" w:firstLineChars="200"/>
        <w:rPr>
          <w:rFonts w:hint="eastAsia" w:ascii="宋体" w:hAnsi="宋体" w:eastAsia="宋体" w:cs="宋体"/>
          <w:sz w:val="24"/>
        </w:rPr>
      </w:pPr>
      <w:r>
        <w:rPr>
          <w:rFonts w:hint="eastAsia" w:ascii="宋体" w:hAnsi="宋体" w:eastAsia="宋体" w:cs="宋体"/>
          <w:sz w:val="24"/>
        </w:rPr>
        <w:t>（4）供应商与采购人、其他供应商或者采购代理机构恶意串通的；</w:t>
      </w:r>
    </w:p>
    <w:p w14:paraId="08A37784">
      <w:pPr>
        <w:spacing w:line="360" w:lineRule="auto"/>
        <w:ind w:firstLine="480" w:firstLineChars="200"/>
        <w:rPr>
          <w:rFonts w:hint="eastAsia" w:ascii="宋体" w:hAnsi="宋体" w:eastAsia="宋体" w:cs="宋体"/>
          <w:sz w:val="24"/>
        </w:rPr>
      </w:pPr>
      <w:r>
        <w:rPr>
          <w:rFonts w:hint="eastAsia" w:ascii="宋体" w:hAnsi="宋体" w:eastAsia="宋体" w:cs="宋体"/>
          <w:sz w:val="24"/>
        </w:rPr>
        <w:t>（5）磋商文件规定的其他情形；</w:t>
      </w:r>
    </w:p>
    <w:p w14:paraId="3EB1121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18.响应文件签署及其他规定</w:t>
      </w:r>
    </w:p>
    <w:p w14:paraId="7D126A15">
      <w:pPr>
        <w:spacing w:line="360" w:lineRule="auto"/>
        <w:ind w:firstLine="480" w:firstLineChars="200"/>
        <w:rPr>
          <w:rFonts w:hint="eastAsia" w:ascii="宋体" w:hAnsi="宋体" w:eastAsia="宋体" w:cs="宋体"/>
          <w:sz w:val="24"/>
        </w:rPr>
      </w:pPr>
      <w:r>
        <w:rPr>
          <w:rFonts w:hint="eastAsia" w:ascii="宋体" w:hAnsi="宋体" w:eastAsia="宋体" w:cs="宋体"/>
          <w:sz w:val="24"/>
        </w:rPr>
        <w:t>18.1组成响应文件的各种文件均应遵守本款规定。</w:t>
      </w:r>
    </w:p>
    <w:p w14:paraId="4681F1BA">
      <w:pPr>
        <w:pStyle w:val="27"/>
        <w:numPr>
          <w:ilvl w:val="0"/>
          <w:numId w:val="0"/>
        </w:numPr>
        <w:adjustRightInd/>
        <w:snapToGrid w:val="0"/>
        <w:spacing w:line="360" w:lineRule="auto"/>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18.2供应商在响应文件及相关文件的签订、履行、通知等事项的文件中的“单位盖章”、“印章”、“公章”等处均仅指与当事人名称全称相一致的电子CA章，不得使用其它（如带有“专用章”等字样）印章，否则将按响应无效处理。</w:t>
      </w:r>
    </w:p>
    <w:p w14:paraId="2A1C8BA1">
      <w:pPr>
        <w:spacing w:line="360" w:lineRule="auto"/>
        <w:ind w:firstLine="480" w:firstLineChars="200"/>
        <w:rPr>
          <w:rFonts w:hint="eastAsia" w:ascii="宋体" w:hAnsi="宋体" w:eastAsia="宋体" w:cs="宋体"/>
          <w:sz w:val="24"/>
        </w:rPr>
      </w:pPr>
      <w:r>
        <w:rPr>
          <w:rFonts w:hint="eastAsia" w:ascii="宋体" w:hAnsi="宋体" w:eastAsia="宋体" w:cs="宋体"/>
          <w:sz w:val="24"/>
        </w:rPr>
        <w:t>18.3响应文件的签署应清晰工整，因响应文件字迹潦草或表达不清所引起的不利后果由供应商承担。</w:t>
      </w:r>
    </w:p>
    <w:p w14:paraId="2854E054">
      <w:pPr>
        <w:spacing w:line="360" w:lineRule="auto"/>
        <w:ind w:firstLine="480" w:firstLineChars="200"/>
        <w:rPr>
          <w:rFonts w:hint="eastAsia" w:ascii="宋体" w:hAnsi="宋体" w:eastAsia="宋体" w:cs="宋体"/>
          <w:sz w:val="24"/>
        </w:rPr>
      </w:pPr>
      <w:r>
        <w:rPr>
          <w:rFonts w:hint="eastAsia" w:ascii="宋体" w:hAnsi="宋体" w:eastAsia="宋体" w:cs="宋体"/>
          <w:sz w:val="24"/>
        </w:rPr>
        <w:t>18.5响应文件须逐页盖章。</w:t>
      </w:r>
    </w:p>
    <w:p w14:paraId="3EF2205F">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19.响应文件解密</w:t>
      </w:r>
    </w:p>
    <w:p w14:paraId="4B44586B">
      <w:pPr>
        <w:spacing w:line="360" w:lineRule="auto"/>
        <w:ind w:firstLine="480" w:firstLineChars="200"/>
        <w:rPr>
          <w:rFonts w:hint="eastAsia" w:ascii="宋体" w:hAnsi="宋体" w:eastAsia="宋体" w:cs="宋体"/>
          <w:sz w:val="24"/>
        </w:rPr>
      </w:pPr>
      <w:r>
        <w:rPr>
          <w:rFonts w:hint="eastAsia" w:ascii="宋体" w:hAnsi="宋体" w:eastAsia="宋体" w:cs="宋体"/>
          <w:sz w:val="24"/>
        </w:rPr>
        <w:t>19.1采购代理机构在开启时间止发出解密指令，供应商接到解密信息后，在规定的解密时间内使用加密电子文件时的电子CA进行解密（可远程解密）。</w:t>
      </w:r>
    </w:p>
    <w:p w14:paraId="24DE0B93">
      <w:pPr>
        <w:spacing w:line="360" w:lineRule="auto"/>
        <w:ind w:firstLine="480" w:firstLineChars="200"/>
        <w:rPr>
          <w:rFonts w:hint="eastAsia" w:ascii="宋体" w:hAnsi="宋体" w:eastAsia="宋体" w:cs="宋体"/>
          <w:sz w:val="24"/>
        </w:rPr>
      </w:pPr>
      <w:r>
        <w:rPr>
          <w:rFonts w:hint="eastAsia" w:ascii="宋体" w:hAnsi="宋体" w:eastAsia="宋体" w:cs="宋体"/>
          <w:sz w:val="24"/>
        </w:rPr>
        <w:t>19.2解密截止时间后，供应商将无法对响应文件进行解密。除特殊情形需请示财政部门采用其他方式外，代理机构不得以任何理由延期解密。</w:t>
      </w:r>
    </w:p>
    <w:p w14:paraId="321B683E">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19.3在响应文件解密截止时间后完成解密的供应商不足法定磋商家数时，不得进行下一步评审程序。</w:t>
      </w:r>
    </w:p>
    <w:p w14:paraId="372F966F">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20.响应文件的补充、修改和撤回</w:t>
      </w:r>
    </w:p>
    <w:p w14:paraId="102B48E5">
      <w:pPr>
        <w:spacing w:line="360" w:lineRule="auto"/>
        <w:ind w:firstLine="480" w:firstLineChars="200"/>
        <w:rPr>
          <w:rFonts w:hint="eastAsia" w:ascii="宋体" w:hAnsi="宋体" w:eastAsia="宋体" w:cs="宋体"/>
          <w:sz w:val="24"/>
        </w:rPr>
      </w:pPr>
      <w:r>
        <w:rPr>
          <w:rFonts w:hint="eastAsia" w:ascii="宋体" w:hAnsi="宋体" w:eastAsia="宋体" w:cs="宋体"/>
          <w:sz w:val="24"/>
        </w:rPr>
        <w:t>20.1供应商在响应文件解密截止时间前，可以对响应文件进行补充、修改，补充、修改的内容作为响应文件的组成部分。补充、修改内容需在“政采云系统”中加密上传，未进行上传的补充、修改内容无效。</w:t>
      </w:r>
    </w:p>
    <w:p w14:paraId="53677FF2">
      <w:pPr>
        <w:spacing w:line="360" w:lineRule="auto"/>
        <w:ind w:firstLine="480" w:firstLineChars="200"/>
        <w:rPr>
          <w:rFonts w:hint="eastAsia" w:ascii="宋体" w:hAnsi="宋体" w:eastAsia="宋体" w:cs="宋体"/>
          <w:sz w:val="24"/>
        </w:rPr>
      </w:pPr>
      <w:r>
        <w:rPr>
          <w:rFonts w:hint="eastAsia" w:ascii="宋体" w:hAnsi="宋体" w:eastAsia="宋体" w:cs="宋体"/>
          <w:sz w:val="24"/>
        </w:rPr>
        <w:t>20.2补充、修改的内容应当按照磋商文件要求签署、盖章，否则，按无效处理。</w:t>
      </w:r>
    </w:p>
    <w:p w14:paraId="4579766C">
      <w:pPr>
        <w:spacing w:line="360" w:lineRule="auto"/>
        <w:ind w:firstLine="480" w:firstLineChars="200"/>
        <w:rPr>
          <w:rFonts w:hint="eastAsia" w:ascii="宋体" w:hAnsi="宋体" w:eastAsia="宋体" w:cs="宋体"/>
          <w:sz w:val="24"/>
        </w:rPr>
      </w:pPr>
      <w:r>
        <w:rPr>
          <w:rFonts w:hint="eastAsia" w:ascii="宋体" w:hAnsi="宋体" w:eastAsia="宋体" w:cs="宋体"/>
          <w:sz w:val="24"/>
        </w:rPr>
        <w:t>20.3在响应文件解密截止时间之后，供应商不得对其已解密的响应文件（含补充、修改）进行撤回。</w:t>
      </w:r>
    </w:p>
    <w:p w14:paraId="3298B377">
      <w:pPr>
        <w:spacing w:line="360" w:lineRule="auto"/>
        <w:ind w:firstLine="480" w:firstLineChars="200"/>
        <w:rPr>
          <w:rFonts w:hint="eastAsia" w:ascii="宋体" w:hAnsi="宋体" w:eastAsia="宋体" w:cs="宋体"/>
          <w:sz w:val="24"/>
        </w:rPr>
      </w:pPr>
      <w:r>
        <w:rPr>
          <w:rFonts w:hint="eastAsia" w:ascii="宋体" w:hAnsi="宋体" w:eastAsia="宋体" w:cs="宋体"/>
          <w:sz w:val="24"/>
        </w:rPr>
        <w:t>20.4在磋商截止时间之前，</w:t>
      </w:r>
      <w:r>
        <w:rPr>
          <w:rFonts w:hint="eastAsia" w:ascii="宋体" w:hAnsi="宋体" w:eastAsia="宋体" w:cs="宋体"/>
          <w:sz w:val="24"/>
          <w:lang w:eastAsia="zh-CN"/>
        </w:rPr>
        <w:t>供应商</w:t>
      </w:r>
      <w:r>
        <w:rPr>
          <w:rFonts w:hint="eastAsia" w:ascii="宋体" w:hAnsi="宋体" w:eastAsia="宋体" w:cs="宋体"/>
          <w:sz w:val="24"/>
        </w:rPr>
        <w:t>可以修改已上传的响应文件。但应当对修改后响应文件重新加密和上传。新上传的响应文件将自动覆盖原响应文件。</w:t>
      </w:r>
    </w:p>
    <w:p w14:paraId="04803CFE">
      <w:pPr>
        <w:spacing w:line="360" w:lineRule="auto"/>
        <w:ind w:firstLine="2891" w:firstLineChars="1200"/>
        <w:rPr>
          <w:rFonts w:hint="eastAsia" w:ascii="宋体" w:hAnsi="宋体" w:eastAsia="宋体" w:cs="宋体"/>
          <w:b/>
          <w:sz w:val="24"/>
        </w:rPr>
      </w:pPr>
      <w:r>
        <w:rPr>
          <w:rFonts w:hint="eastAsia" w:ascii="宋体" w:hAnsi="宋体" w:eastAsia="宋体" w:cs="宋体"/>
          <w:b/>
          <w:sz w:val="24"/>
        </w:rPr>
        <w:t>(四) 响应文件的提交</w:t>
      </w:r>
    </w:p>
    <w:p w14:paraId="197AD2F7">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21.响应文件递交</w:t>
      </w:r>
    </w:p>
    <w:p w14:paraId="251E9498">
      <w:pPr>
        <w:spacing w:line="360" w:lineRule="auto"/>
        <w:ind w:firstLine="480" w:firstLineChars="200"/>
        <w:rPr>
          <w:rFonts w:hint="eastAsia" w:ascii="宋体" w:hAnsi="宋体" w:eastAsia="宋体" w:cs="宋体"/>
          <w:sz w:val="24"/>
        </w:rPr>
      </w:pPr>
      <w:r>
        <w:rPr>
          <w:rFonts w:hint="eastAsia" w:ascii="宋体" w:hAnsi="宋体" w:eastAsia="宋体" w:cs="宋体"/>
          <w:sz w:val="24"/>
        </w:rPr>
        <w:t>21.1提交响应文件截止时间以《磋商公告》或《澄清公告》公告时间为准。延长提交响应文件截止时间的采购项目，采购代理机构和供应商的权利及义务将受到新的提交响应文件截止时间的约束。</w:t>
      </w:r>
    </w:p>
    <w:p w14:paraId="6DBD3DD8">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22.串通</w:t>
      </w:r>
    </w:p>
    <w:p w14:paraId="2DA88659">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22.1有下列情形之一的，属于供应商相互串通：</w:t>
      </w:r>
    </w:p>
    <w:p w14:paraId="23D5FA04">
      <w:pPr>
        <w:spacing w:line="360" w:lineRule="auto"/>
        <w:ind w:firstLine="480"/>
        <w:rPr>
          <w:rFonts w:hint="eastAsia" w:ascii="宋体" w:hAnsi="宋体" w:eastAsia="宋体" w:cs="宋体"/>
          <w:sz w:val="24"/>
          <w:shd w:val="clear" w:color="auto" w:fill="FFFFFF"/>
        </w:rPr>
      </w:pPr>
      <w:r>
        <w:rPr>
          <w:rFonts w:hint="eastAsia" w:ascii="宋体" w:hAnsi="宋体" w:eastAsia="宋体" w:cs="宋体"/>
          <w:sz w:val="24"/>
          <w:shd w:val="clear" w:color="auto" w:fill="FFFFFF"/>
        </w:rPr>
        <w:t>（1）供应商之间协商报价、技术方案等响应文件的实质性内容；</w:t>
      </w:r>
    </w:p>
    <w:p w14:paraId="2A8CA93F">
      <w:pPr>
        <w:spacing w:line="360" w:lineRule="auto"/>
        <w:ind w:firstLine="480"/>
        <w:rPr>
          <w:rFonts w:hint="eastAsia" w:ascii="宋体" w:hAnsi="宋体" w:eastAsia="宋体" w:cs="宋体"/>
          <w:sz w:val="24"/>
          <w:shd w:val="clear" w:color="auto" w:fill="FFFFFF"/>
        </w:rPr>
      </w:pPr>
      <w:r>
        <w:rPr>
          <w:rFonts w:hint="eastAsia" w:ascii="宋体" w:hAnsi="宋体" w:eastAsia="宋体" w:cs="宋体"/>
          <w:sz w:val="24"/>
          <w:shd w:val="clear" w:color="auto" w:fill="FFFFFF"/>
        </w:rPr>
        <w:t>（2）属于同一集团、协会、商会等组织成员的供应商按照该组织要求协同参加采购活动；</w:t>
      </w:r>
    </w:p>
    <w:p w14:paraId="65EAF95A">
      <w:pPr>
        <w:spacing w:line="360" w:lineRule="auto"/>
        <w:ind w:firstLine="480"/>
        <w:rPr>
          <w:rFonts w:hint="eastAsia" w:ascii="宋体" w:hAnsi="宋体" w:eastAsia="宋体" w:cs="宋体"/>
          <w:sz w:val="24"/>
          <w:shd w:val="clear" w:color="auto" w:fill="FFFFFF"/>
        </w:rPr>
      </w:pPr>
      <w:r>
        <w:rPr>
          <w:rFonts w:hint="eastAsia" w:ascii="宋体" w:hAnsi="宋体" w:eastAsia="宋体" w:cs="宋体"/>
          <w:sz w:val="24"/>
          <w:shd w:val="clear" w:color="auto" w:fill="FFFFFF"/>
        </w:rPr>
        <w:t>（3）供应商之间事先约定由某一特定供应商成交；</w:t>
      </w:r>
    </w:p>
    <w:p w14:paraId="1FF4CEB4">
      <w:pPr>
        <w:spacing w:line="360" w:lineRule="auto"/>
        <w:ind w:firstLine="480"/>
        <w:rPr>
          <w:rFonts w:hint="eastAsia" w:ascii="宋体" w:hAnsi="宋体" w:eastAsia="宋体" w:cs="宋体"/>
          <w:sz w:val="24"/>
          <w:shd w:val="clear" w:color="auto" w:fill="FFFFFF"/>
        </w:rPr>
      </w:pPr>
      <w:r>
        <w:rPr>
          <w:rFonts w:hint="eastAsia" w:ascii="宋体" w:hAnsi="宋体" w:eastAsia="宋体" w:cs="宋体"/>
          <w:sz w:val="24"/>
          <w:shd w:val="clear" w:color="auto" w:fill="FFFFFF"/>
        </w:rPr>
        <w:t>（4）供应商之间商定部分供应商放弃参加政府采购活动或者放弃成交；</w:t>
      </w:r>
    </w:p>
    <w:p w14:paraId="5002063D">
      <w:pPr>
        <w:spacing w:line="360" w:lineRule="auto"/>
        <w:ind w:firstLine="480"/>
        <w:rPr>
          <w:rFonts w:hint="eastAsia" w:ascii="宋体" w:hAnsi="宋体" w:eastAsia="宋体" w:cs="宋体"/>
          <w:sz w:val="24"/>
          <w:shd w:val="clear" w:color="auto" w:fill="FFFFFF"/>
        </w:rPr>
      </w:pPr>
      <w:r>
        <w:rPr>
          <w:rFonts w:hint="eastAsia" w:ascii="宋体" w:hAnsi="宋体" w:eastAsia="宋体" w:cs="宋体"/>
          <w:sz w:val="24"/>
          <w:shd w:val="clear" w:color="auto" w:fill="FFFFFF"/>
        </w:rPr>
        <w:t>（5）供应商相互之间为谋求特定供应商成交或者排斥其他供应商的其他串通行为。</w:t>
      </w:r>
    </w:p>
    <w:p w14:paraId="6881614C">
      <w:pPr>
        <w:spacing w:line="360" w:lineRule="auto"/>
        <w:ind w:firstLine="480" w:firstLineChars="200"/>
        <w:rPr>
          <w:rFonts w:hint="eastAsia" w:ascii="宋体" w:hAnsi="宋体" w:eastAsia="宋体" w:cs="宋体"/>
          <w:sz w:val="24"/>
        </w:rPr>
      </w:pPr>
      <w:r>
        <w:rPr>
          <w:rFonts w:hint="eastAsia" w:ascii="宋体" w:hAnsi="宋体" w:eastAsia="宋体" w:cs="宋体"/>
          <w:sz w:val="24"/>
        </w:rPr>
        <w:t>22.2有下列情形之一的，视为供应商相互串通：</w:t>
      </w:r>
    </w:p>
    <w:p w14:paraId="30595959">
      <w:pPr>
        <w:spacing w:line="360" w:lineRule="auto"/>
        <w:ind w:firstLine="480"/>
        <w:rPr>
          <w:rFonts w:hint="eastAsia" w:ascii="宋体" w:hAnsi="宋体" w:eastAsia="宋体" w:cs="宋体"/>
          <w:sz w:val="24"/>
        </w:rPr>
      </w:pPr>
      <w:r>
        <w:rPr>
          <w:rFonts w:hint="eastAsia" w:ascii="宋体" w:hAnsi="宋体" w:eastAsia="宋体" w:cs="宋体"/>
          <w:sz w:val="24"/>
        </w:rPr>
        <w:t>（1）不同供应商的响应文件由同一单位或者个人编制；</w:t>
      </w:r>
    </w:p>
    <w:p w14:paraId="60CCE2DD">
      <w:pPr>
        <w:spacing w:line="360" w:lineRule="auto"/>
        <w:ind w:firstLine="480"/>
        <w:rPr>
          <w:rFonts w:hint="eastAsia" w:ascii="宋体" w:hAnsi="宋体" w:eastAsia="宋体" w:cs="宋体"/>
          <w:sz w:val="24"/>
        </w:rPr>
      </w:pPr>
      <w:r>
        <w:rPr>
          <w:rFonts w:hint="eastAsia" w:ascii="宋体" w:hAnsi="宋体" w:eastAsia="宋体" w:cs="宋体"/>
          <w:sz w:val="24"/>
        </w:rPr>
        <w:t>（2）不同供应商委托同一单位或者个人办理磋商事宜；</w:t>
      </w:r>
    </w:p>
    <w:p w14:paraId="12132674">
      <w:pPr>
        <w:spacing w:line="360" w:lineRule="auto"/>
        <w:ind w:firstLine="480"/>
        <w:rPr>
          <w:rFonts w:hint="eastAsia" w:ascii="宋体" w:hAnsi="宋体" w:eastAsia="宋体" w:cs="宋体"/>
          <w:sz w:val="24"/>
        </w:rPr>
      </w:pPr>
      <w:r>
        <w:rPr>
          <w:rFonts w:hint="eastAsia" w:ascii="宋体" w:hAnsi="宋体" w:eastAsia="宋体" w:cs="宋体"/>
          <w:sz w:val="24"/>
        </w:rPr>
        <w:t>（3）不同供应商的响应文件载明的项目管理成员或者联系人员为同一人；</w:t>
      </w:r>
    </w:p>
    <w:p w14:paraId="4767EBFB">
      <w:pPr>
        <w:spacing w:line="360" w:lineRule="auto"/>
        <w:ind w:firstLine="480"/>
        <w:rPr>
          <w:rFonts w:hint="eastAsia" w:ascii="宋体" w:hAnsi="宋体" w:eastAsia="宋体" w:cs="宋体"/>
          <w:sz w:val="24"/>
        </w:rPr>
      </w:pPr>
      <w:r>
        <w:rPr>
          <w:rFonts w:hint="eastAsia" w:ascii="宋体" w:hAnsi="宋体" w:eastAsia="宋体" w:cs="宋体"/>
          <w:sz w:val="24"/>
        </w:rPr>
        <w:t>（4）不同供应商的响应文件异常一致或者报价呈规律性差异；</w:t>
      </w:r>
    </w:p>
    <w:p w14:paraId="62C3393C">
      <w:pPr>
        <w:spacing w:line="360" w:lineRule="auto"/>
        <w:ind w:firstLine="480"/>
        <w:rPr>
          <w:rFonts w:hint="eastAsia" w:ascii="宋体" w:hAnsi="宋体" w:eastAsia="宋体" w:cs="宋体"/>
          <w:sz w:val="24"/>
        </w:rPr>
      </w:pPr>
      <w:r>
        <w:rPr>
          <w:rFonts w:hint="eastAsia" w:ascii="宋体" w:hAnsi="宋体" w:eastAsia="宋体" w:cs="宋体"/>
          <w:sz w:val="24"/>
        </w:rPr>
        <w:t>（5）不同供应商的响应文件相互混装；</w:t>
      </w:r>
    </w:p>
    <w:p w14:paraId="4F78EBC1">
      <w:pPr>
        <w:spacing w:line="360" w:lineRule="auto"/>
        <w:ind w:firstLine="480"/>
        <w:rPr>
          <w:rStyle w:val="31"/>
          <w:rFonts w:hint="eastAsia" w:ascii="宋体" w:hAnsi="宋体" w:eastAsia="宋体" w:cs="宋体"/>
          <w:sz w:val="24"/>
        </w:rPr>
      </w:pPr>
      <w:r>
        <w:rPr>
          <w:rFonts w:hint="eastAsia" w:ascii="宋体" w:hAnsi="宋体" w:eastAsia="宋体" w:cs="宋体"/>
          <w:sz w:val="24"/>
        </w:rPr>
        <w:t>（6）不同供应商的磋商保证金从同一单位或个人的账户转出。</w:t>
      </w:r>
    </w:p>
    <w:p w14:paraId="73F67091">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23.弄虚作假</w:t>
      </w:r>
    </w:p>
    <w:p w14:paraId="3B27A3AF">
      <w:pPr>
        <w:spacing w:line="360" w:lineRule="auto"/>
        <w:ind w:firstLine="480" w:firstLineChars="200"/>
        <w:rPr>
          <w:rFonts w:hint="eastAsia" w:ascii="宋体" w:hAnsi="宋体" w:eastAsia="宋体" w:cs="宋体"/>
          <w:sz w:val="24"/>
        </w:rPr>
      </w:pPr>
      <w:r>
        <w:rPr>
          <w:rFonts w:hint="eastAsia" w:ascii="宋体" w:hAnsi="宋体" w:eastAsia="宋体" w:cs="宋体"/>
          <w:sz w:val="24"/>
        </w:rPr>
        <w:t>23.1有下列情形之一的，属于供应商弄虚作假的行为：</w:t>
      </w:r>
    </w:p>
    <w:p w14:paraId="2FE48C10">
      <w:pPr>
        <w:spacing w:line="360" w:lineRule="auto"/>
        <w:ind w:firstLine="480"/>
        <w:rPr>
          <w:rFonts w:hint="eastAsia" w:ascii="宋体" w:hAnsi="宋体" w:eastAsia="宋体" w:cs="宋体"/>
          <w:sz w:val="24"/>
        </w:rPr>
      </w:pPr>
      <w:r>
        <w:rPr>
          <w:rFonts w:hint="eastAsia" w:ascii="宋体" w:hAnsi="宋体" w:eastAsia="宋体" w:cs="宋体"/>
          <w:sz w:val="24"/>
        </w:rPr>
        <w:t>（1）使用伪造、变造的许可证件、印章或票据凭证等；</w:t>
      </w:r>
    </w:p>
    <w:p w14:paraId="3B5CE97D">
      <w:pPr>
        <w:spacing w:line="360" w:lineRule="auto"/>
        <w:ind w:firstLine="480"/>
        <w:rPr>
          <w:rFonts w:hint="eastAsia" w:ascii="宋体" w:hAnsi="宋体" w:eastAsia="宋体" w:cs="宋体"/>
          <w:sz w:val="24"/>
        </w:rPr>
      </w:pPr>
      <w:r>
        <w:rPr>
          <w:rFonts w:hint="eastAsia" w:ascii="宋体" w:hAnsi="宋体" w:eastAsia="宋体" w:cs="宋体"/>
          <w:sz w:val="24"/>
        </w:rPr>
        <w:t>（2）提供虚假的材料、检验报告、财务状况或者业绩；</w:t>
      </w:r>
    </w:p>
    <w:p w14:paraId="08671173">
      <w:pPr>
        <w:spacing w:line="360" w:lineRule="auto"/>
        <w:ind w:firstLine="480"/>
        <w:rPr>
          <w:rFonts w:hint="eastAsia" w:ascii="宋体" w:hAnsi="宋体" w:eastAsia="宋体" w:cs="宋体"/>
          <w:sz w:val="24"/>
        </w:rPr>
      </w:pPr>
      <w:r>
        <w:rPr>
          <w:rFonts w:hint="eastAsia" w:ascii="宋体" w:hAnsi="宋体" w:eastAsia="宋体" w:cs="宋体"/>
          <w:sz w:val="24"/>
        </w:rPr>
        <w:t>（3）提供虚假的项目负责人或者主要技术人员简历、劳动关系证明；</w:t>
      </w:r>
    </w:p>
    <w:p w14:paraId="7FDA1548">
      <w:pPr>
        <w:spacing w:line="360" w:lineRule="auto"/>
        <w:ind w:firstLine="480"/>
        <w:rPr>
          <w:rFonts w:hint="eastAsia" w:ascii="宋体" w:hAnsi="宋体" w:eastAsia="宋体" w:cs="宋体"/>
          <w:sz w:val="24"/>
        </w:rPr>
      </w:pPr>
      <w:r>
        <w:rPr>
          <w:rFonts w:hint="eastAsia" w:ascii="宋体" w:hAnsi="宋体" w:eastAsia="宋体" w:cs="宋体"/>
          <w:sz w:val="24"/>
        </w:rPr>
        <w:t>（4）提供虚假的信用状况；</w:t>
      </w:r>
    </w:p>
    <w:p w14:paraId="4428E238">
      <w:pPr>
        <w:spacing w:line="360" w:lineRule="auto"/>
        <w:ind w:firstLine="480"/>
        <w:rPr>
          <w:rFonts w:hint="eastAsia" w:ascii="宋体" w:hAnsi="宋体" w:eastAsia="宋体" w:cs="宋体"/>
          <w:sz w:val="24"/>
        </w:rPr>
      </w:pPr>
      <w:r>
        <w:rPr>
          <w:rFonts w:hint="eastAsia" w:ascii="宋体" w:hAnsi="宋体" w:eastAsia="宋体" w:cs="宋体"/>
          <w:sz w:val="24"/>
        </w:rPr>
        <w:t>（5）冒名顶替他人签字；</w:t>
      </w:r>
    </w:p>
    <w:p w14:paraId="5D86642A">
      <w:pPr>
        <w:spacing w:line="360" w:lineRule="auto"/>
        <w:ind w:firstLine="480"/>
        <w:rPr>
          <w:rFonts w:hint="eastAsia" w:ascii="宋体" w:hAnsi="宋体" w:eastAsia="宋体" w:cs="宋体"/>
          <w:sz w:val="24"/>
        </w:rPr>
      </w:pPr>
      <w:r>
        <w:rPr>
          <w:rFonts w:hint="eastAsia" w:ascii="宋体" w:hAnsi="宋体" w:eastAsia="宋体" w:cs="宋体"/>
          <w:sz w:val="24"/>
        </w:rPr>
        <w:t>（6）提供虚假的技术参数或服务方案；</w:t>
      </w:r>
    </w:p>
    <w:p w14:paraId="0E06A056">
      <w:pPr>
        <w:spacing w:line="360" w:lineRule="auto"/>
        <w:ind w:firstLine="480"/>
        <w:rPr>
          <w:rFonts w:hint="eastAsia" w:ascii="宋体" w:hAnsi="宋体" w:eastAsia="宋体" w:cs="宋体"/>
          <w:sz w:val="24"/>
        </w:rPr>
      </w:pPr>
      <w:r>
        <w:rPr>
          <w:rFonts w:hint="eastAsia" w:ascii="宋体" w:hAnsi="宋体" w:eastAsia="宋体" w:cs="宋体"/>
          <w:sz w:val="24"/>
        </w:rPr>
        <w:t>（7）其他弄虚作假的行为。</w:t>
      </w:r>
    </w:p>
    <w:p w14:paraId="6027282E">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24.供应商存在下列情况之一的，响应文件无效：</w:t>
      </w:r>
    </w:p>
    <w:p w14:paraId="7F6229CA">
      <w:pPr>
        <w:spacing w:line="360" w:lineRule="auto"/>
        <w:ind w:firstLine="480" w:firstLineChars="200"/>
        <w:rPr>
          <w:rFonts w:hint="eastAsia" w:ascii="宋体" w:hAnsi="宋体" w:eastAsia="宋体" w:cs="宋体"/>
          <w:sz w:val="24"/>
        </w:rPr>
      </w:pPr>
      <w:r>
        <w:rPr>
          <w:rFonts w:hint="eastAsia" w:ascii="宋体" w:hAnsi="宋体" w:eastAsia="宋体" w:cs="宋体"/>
          <w:sz w:val="24"/>
        </w:rPr>
        <w:t>24.1获取磋商文件时签署的单位名称与其递交的响应文件中公章不一致的；</w:t>
      </w:r>
    </w:p>
    <w:p w14:paraId="3BC95789">
      <w:pPr>
        <w:spacing w:line="360" w:lineRule="auto"/>
        <w:ind w:firstLine="480" w:firstLineChars="200"/>
        <w:rPr>
          <w:rFonts w:hint="eastAsia" w:ascii="宋体" w:hAnsi="宋体" w:eastAsia="宋体" w:cs="宋体"/>
          <w:sz w:val="24"/>
        </w:rPr>
      </w:pPr>
      <w:r>
        <w:rPr>
          <w:rFonts w:hint="eastAsia" w:ascii="宋体" w:hAnsi="宋体" w:eastAsia="宋体" w:cs="宋体"/>
          <w:sz w:val="24"/>
        </w:rPr>
        <w:t>24.2未按照磋商文件的规定提交磋商保证金、响应文件的；</w:t>
      </w:r>
    </w:p>
    <w:p w14:paraId="59E295D3">
      <w:pPr>
        <w:spacing w:line="360" w:lineRule="auto"/>
        <w:ind w:firstLine="480" w:firstLineChars="200"/>
        <w:rPr>
          <w:rFonts w:hint="eastAsia" w:ascii="宋体" w:hAnsi="宋体" w:eastAsia="宋体" w:cs="宋体"/>
          <w:sz w:val="24"/>
        </w:rPr>
      </w:pPr>
      <w:r>
        <w:rPr>
          <w:rFonts w:hint="eastAsia" w:ascii="宋体" w:hAnsi="宋体" w:eastAsia="宋体" w:cs="宋体"/>
          <w:sz w:val="24"/>
        </w:rPr>
        <w:t>24.3未按磋商文件要求提供证明材料的；</w:t>
      </w:r>
    </w:p>
    <w:p w14:paraId="7421A487">
      <w:pPr>
        <w:spacing w:line="360" w:lineRule="auto"/>
        <w:ind w:firstLine="480" w:firstLineChars="200"/>
        <w:rPr>
          <w:rFonts w:hint="eastAsia" w:ascii="宋体" w:hAnsi="宋体" w:eastAsia="宋体" w:cs="宋体"/>
          <w:sz w:val="24"/>
        </w:rPr>
      </w:pPr>
      <w:r>
        <w:rPr>
          <w:rFonts w:hint="eastAsia" w:ascii="宋体" w:hAnsi="宋体" w:eastAsia="宋体" w:cs="宋体"/>
          <w:sz w:val="24"/>
        </w:rPr>
        <w:t>24.4不具备磋商文件中规定的资格要求的；</w:t>
      </w:r>
    </w:p>
    <w:p w14:paraId="4BF9AF54">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24.5供应商信用记录查询被列入失信被执行人、重大税收违法失信主体名单、政府采购严重违法失信行为记录名单的；</w:t>
      </w:r>
    </w:p>
    <w:p w14:paraId="7904DF49">
      <w:pPr>
        <w:spacing w:line="360" w:lineRule="auto"/>
        <w:ind w:firstLine="480" w:firstLineChars="200"/>
        <w:rPr>
          <w:rFonts w:hint="eastAsia" w:ascii="宋体" w:hAnsi="宋体" w:eastAsia="宋体" w:cs="宋体"/>
          <w:sz w:val="24"/>
        </w:rPr>
      </w:pPr>
      <w:r>
        <w:rPr>
          <w:rFonts w:hint="eastAsia" w:ascii="宋体" w:hAnsi="宋体" w:eastAsia="宋体" w:cs="宋体"/>
          <w:sz w:val="24"/>
        </w:rPr>
        <w:t>24.6供应商通过受让或者租借等方式获取的资格、资质证书参与磋商的；</w:t>
      </w:r>
    </w:p>
    <w:p w14:paraId="214E6145">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24.7如接受联合体响应，响应文件没有提交联合体协议的；</w:t>
      </w:r>
    </w:p>
    <w:p w14:paraId="1714997C">
      <w:pPr>
        <w:spacing w:line="360" w:lineRule="auto"/>
        <w:ind w:firstLine="480" w:firstLineChars="200"/>
        <w:rPr>
          <w:rFonts w:hint="eastAsia" w:ascii="宋体" w:hAnsi="宋体" w:eastAsia="宋体" w:cs="宋体"/>
          <w:sz w:val="24"/>
        </w:rPr>
      </w:pPr>
      <w:r>
        <w:rPr>
          <w:rFonts w:hint="eastAsia" w:ascii="宋体" w:hAnsi="宋体" w:eastAsia="宋体" w:cs="宋体"/>
          <w:sz w:val="24"/>
        </w:rPr>
        <w:t>24.8响应文件未按磋商文件要求</w:t>
      </w:r>
      <w:r>
        <w:rPr>
          <w:rFonts w:hint="eastAsia" w:ascii="宋体" w:hAnsi="宋体" w:eastAsia="宋体" w:cs="宋体"/>
          <w:sz w:val="24"/>
          <w:shd w:val="clear" w:color="auto" w:fill="FFFFFF"/>
        </w:rPr>
        <w:t>签署、签字、盖章的</w:t>
      </w:r>
      <w:r>
        <w:rPr>
          <w:rFonts w:hint="eastAsia" w:ascii="宋体" w:hAnsi="宋体" w:eastAsia="宋体" w:cs="宋体"/>
          <w:sz w:val="24"/>
        </w:rPr>
        <w:t>；</w:t>
      </w:r>
    </w:p>
    <w:p w14:paraId="1843716F">
      <w:pPr>
        <w:spacing w:line="360" w:lineRule="auto"/>
        <w:ind w:firstLine="480" w:firstLineChars="200"/>
        <w:rPr>
          <w:rFonts w:hint="eastAsia" w:ascii="宋体" w:hAnsi="宋体" w:eastAsia="宋体" w:cs="宋体"/>
          <w:sz w:val="24"/>
        </w:rPr>
      </w:pPr>
      <w:r>
        <w:rPr>
          <w:rFonts w:hint="eastAsia" w:ascii="宋体" w:hAnsi="宋体" w:eastAsia="宋体" w:cs="宋体"/>
          <w:sz w:val="24"/>
        </w:rPr>
        <w:t>24.9响应报价出现明显错误，供应商拒绝按照“第三部分 供应商须知14.4”的规定进行修正的；</w:t>
      </w:r>
    </w:p>
    <w:p w14:paraId="30CC1D36">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24.10磋商小组认为供应商的报价明显低于其他通过符合性审查供应商的报价，且供应商不能证明其报价合理性的；</w:t>
      </w:r>
    </w:p>
    <w:p w14:paraId="541250E1">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24.11磋商文件中明确要求的事项，而响应文件中未做出明确响应的；</w:t>
      </w:r>
    </w:p>
    <w:p w14:paraId="2F64CC66">
      <w:pPr>
        <w:spacing w:line="360" w:lineRule="auto"/>
        <w:ind w:firstLine="480" w:firstLineChars="200"/>
        <w:rPr>
          <w:rFonts w:hint="eastAsia" w:ascii="宋体" w:hAnsi="宋体" w:eastAsia="宋体" w:cs="宋体"/>
          <w:sz w:val="24"/>
        </w:rPr>
      </w:pPr>
      <w:r>
        <w:rPr>
          <w:rFonts w:hint="eastAsia" w:ascii="宋体" w:hAnsi="宋体" w:eastAsia="宋体" w:cs="宋体"/>
          <w:sz w:val="24"/>
        </w:rPr>
        <w:t>24.12响应文件中的非中文数据或资料未提供其中文译文，磋商小组无法评判的；</w:t>
      </w:r>
    </w:p>
    <w:p w14:paraId="719BB3BB">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24.13同一供应商提交两个以上不同的响应文件或者响应报价的，但磋商文件要求提交备选响应方案的除外；</w:t>
      </w:r>
    </w:p>
    <w:p w14:paraId="7053C64B">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rPr>
        <w:t>24.14磋商小组要求澄清的事项，供应商在规定时限内未做出解释，作出的解释不合理或不能提供证明材料的；</w:t>
      </w:r>
    </w:p>
    <w:p w14:paraId="7BA2B2AF">
      <w:pPr>
        <w:spacing w:line="36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24.15响应文件未对合同履约期限（服务期）、响应文件有效期、采购需求等做出实质性响应的；</w:t>
      </w:r>
    </w:p>
    <w:p w14:paraId="546F15B5">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24.16供应商在评审过程中所进行的试图影响评审结果的一切不符合法律或磋商规定的活动；</w:t>
      </w:r>
    </w:p>
    <w:p w14:paraId="43E3421E">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rPr>
        <w:t>24.17供应商相互串通参与磋商、弄虚作假的；</w:t>
      </w:r>
    </w:p>
    <w:p w14:paraId="267385DD">
      <w:pPr>
        <w:spacing w:line="360" w:lineRule="auto"/>
        <w:ind w:firstLine="480" w:firstLineChars="200"/>
        <w:rPr>
          <w:rFonts w:hint="eastAsia" w:ascii="宋体" w:hAnsi="宋体" w:eastAsia="宋体" w:cs="宋体"/>
          <w:sz w:val="24"/>
        </w:rPr>
      </w:pPr>
      <w:r>
        <w:rPr>
          <w:rFonts w:hint="eastAsia" w:ascii="宋体" w:hAnsi="宋体" w:eastAsia="宋体" w:cs="宋体"/>
          <w:sz w:val="24"/>
        </w:rPr>
        <w:t>24.18响应文件含有采购人不能接受的附加条件的；</w:t>
      </w:r>
    </w:p>
    <w:p w14:paraId="394D2169">
      <w:pPr>
        <w:spacing w:line="360" w:lineRule="auto"/>
        <w:ind w:firstLine="480" w:firstLineChars="200"/>
        <w:rPr>
          <w:rFonts w:hint="eastAsia" w:ascii="宋体" w:hAnsi="宋体" w:eastAsia="宋体" w:cs="宋体"/>
          <w:sz w:val="24"/>
        </w:rPr>
      </w:pPr>
      <w:r>
        <w:rPr>
          <w:rFonts w:hint="eastAsia" w:ascii="宋体" w:hAnsi="宋体" w:eastAsia="宋体" w:cs="宋体"/>
          <w:sz w:val="24"/>
        </w:rPr>
        <w:t>24.19法律、法规和磋商文件规定的其他无效情形；</w:t>
      </w:r>
    </w:p>
    <w:p w14:paraId="22B94FDE">
      <w:pPr>
        <w:numPr>
          <w:ilvl w:val="0"/>
          <w:numId w:val="0"/>
        </w:numPr>
        <w:spacing w:line="360" w:lineRule="auto"/>
        <w:ind w:firstLine="482" w:firstLineChars="200"/>
        <w:rPr>
          <w:rFonts w:hint="eastAsia" w:ascii="宋体" w:hAnsi="宋体" w:eastAsia="宋体" w:cs="宋体"/>
          <w:b/>
          <w:sz w:val="24"/>
        </w:rPr>
      </w:pPr>
      <w:r>
        <w:rPr>
          <w:rFonts w:hint="eastAsia" w:ascii="宋体" w:hAnsi="宋体" w:eastAsia="宋体" w:cs="宋体"/>
          <w:b/>
          <w:bCs w:val="0"/>
          <w:sz w:val="24"/>
          <w:shd w:val="clear" w:color="auto" w:fill="FFFFFF"/>
          <w:lang w:val="en-US" w:eastAsia="zh-CN"/>
        </w:rPr>
        <w:t>25.</w:t>
      </w:r>
      <w:r>
        <w:rPr>
          <w:rFonts w:hint="eastAsia" w:ascii="宋体" w:hAnsi="宋体" w:eastAsia="宋体" w:cs="宋体"/>
          <w:b w:val="0"/>
          <w:bCs/>
          <w:sz w:val="24"/>
          <w:shd w:val="clear" w:color="auto" w:fill="FFFFFF"/>
        </w:rPr>
        <w:t>出现下列情形之一的，采购人或者采购代理机构应当终止竞争性磋商采购活动，发布项目终止公告并说明原因，重新开展采购活动</w:t>
      </w:r>
      <w:r>
        <w:rPr>
          <w:rFonts w:hint="eastAsia" w:ascii="宋体" w:hAnsi="宋体" w:eastAsia="宋体" w:cs="宋体"/>
          <w:sz w:val="24"/>
        </w:rPr>
        <w:t>：</w:t>
      </w:r>
      <w:r>
        <w:rPr>
          <w:rFonts w:hint="eastAsia" w:ascii="宋体" w:hAnsi="宋体" w:eastAsia="宋体" w:cs="宋体"/>
          <w:sz w:val="24"/>
        </w:rPr>
        <w:br w:type="textWrapping"/>
      </w:r>
      <w:r>
        <w:rPr>
          <w:rFonts w:hint="eastAsia" w:ascii="宋体" w:hAnsi="宋体" w:eastAsia="宋体" w:cs="宋体"/>
          <w:sz w:val="24"/>
        </w:rPr>
        <w:t>　　（一）因情况变化，不再符合规定的竞争性磋商采购方式适用情形的；</w:t>
      </w:r>
      <w:r>
        <w:rPr>
          <w:rFonts w:hint="eastAsia" w:ascii="宋体" w:hAnsi="宋体" w:eastAsia="宋体" w:cs="宋体"/>
          <w:sz w:val="24"/>
        </w:rPr>
        <w:br w:type="textWrapping"/>
      </w:r>
      <w:r>
        <w:rPr>
          <w:rFonts w:hint="eastAsia" w:ascii="宋体" w:hAnsi="宋体" w:eastAsia="宋体" w:cs="宋体"/>
          <w:sz w:val="24"/>
        </w:rPr>
        <w:t>　　（二）出现影响采购公正的违法、违规行为的；</w:t>
      </w:r>
      <w:r>
        <w:rPr>
          <w:rFonts w:hint="eastAsia" w:ascii="宋体" w:hAnsi="宋体" w:eastAsia="宋体" w:cs="宋体"/>
          <w:sz w:val="24"/>
        </w:rPr>
        <w:br w:type="textWrapping"/>
      </w:r>
      <w:r>
        <w:rPr>
          <w:rFonts w:hint="eastAsia" w:ascii="宋体" w:hAnsi="宋体" w:eastAsia="宋体" w:cs="宋体"/>
          <w:sz w:val="24"/>
        </w:rPr>
        <w:t>　　（三）除《政府采购竞争性磋商采购方式管理暂行办法》第二十一条第三款规定的情形和《财政部关于政府采购竞争性磋商采购方式管理暂行办法有关问题的补充通知》外，在采购过程中符合要求的供应商或者报价未超过采购预算的供应商不足3家的。</w:t>
      </w:r>
      <w:r>
        <w:rPr>
          <w:rFonts w:hint="eastAsia" w:ascii="宋体" w:hAnsi="宋体" w:eastAsia="宋体" w:cs="宋体"/>
          <w:sz w:val="24"/>
        </w:rPr>
        <w:br w:type="textWrapping"/>
      </w:r>
      <w:r>
        <w:rPr>
          <w:rFonts w:hint="eastAsia" w:ascii="宋体" w:hAnsi="宋体" w:eastAsia="宋体" w:cs="宋体"/>
          <w:sz w:val="24"/>
        </w:rPr>
        <w:t>　　第三十五条　在采购活动中因重大变故，采购任务取消的，采购人或者采购代理机构应当终止采购活动，通知所有参加采购活动的供应商，并将项目实施情况和采购任务取消原因报送本级财政部门。</w:t>
      </w:r>
      <w:r>
        <w:rPr>
          <w:rFonts w:hint="eastAsia" w:ascii="宋体" w:hAnsi="宋体" w:eastAsia="宋体" w:cs="宋体"/>
          <w:b/>
          <w:sz w:val="24"/>
        </w:rPr>
        <w:t xml:space="preserve"> </w:t>
      </w:r>
    </w:p>
    <w:p w14:paraId="5D9C77B2">
      <w:pPr>
        <w:spacing w:line="360" w:lineRule="auto"/>
        <w:ind w:firstLine="241" w:firstLineChars="100"/>
        <w:jc w:val="center"/>
        <w:rPr>
          <w:rFonts w:hint="eastAsia" w:ascii="宋体" w:hAnsi="宋体" w:eastAsia="宋体" w:cs="宋体"/>
          <w:b/>
          <w:sz w:val="24"/>
        </w:rPr>
      </w:pPr>
      <w:r>
        <w:rPr>
          <w:rFonts w:hint="eastAsia" w:ascii="宋体" w:hAnsi="宋体" w:eastAsia="宋体" w:cs="宋体"/>
          <w:b/>
          <w:sz w:val="24"/>
        </w:rPr>
        <w:t xml:space="preserve">(五) </w:t>
      </w:r>
      <w:r>
        <w:rPr>
          <w:rStyle w:val="31"/>
          <w:rFonts w:hint="eastAsia" w:ascii="宋体" w:hAnsi="宋体" w:eastAsia="宋体" w:cs="宋体"/>
          <w:b/>
          <w:bCs/>
          <w:sz w:val="24"/>
          <w:lang w:val="zh-TW" w:eastAsia="zh-TW"/>
        </w:rPr>
        <w:t>响应文件的开启</w:t>
      </w:r>
    </w:p>
    <w:p w14:paraId="172930B5">
      <w:pPr>
        <w:pStyle w:val="32"/>
        <w:keepNext w:val="0"/>
        <w:numPr>
          <w:ilvl w:val="0"/>
          <w:numId w:val="0"/>
        </w:numPr>
        <w:snapToGrid w:val="0"/>
        <w:spacing w:before="120" w:beforeLines="50" w:after="120" w:afterLines="50"/>
        <w:ind w:firstLine="482" w:firstLineChars="200"/>
        <w:jc w:val="left"/>
        <w:outlineLvl w:val="9"/>
        <w:rPr>
          <w:rFonts w:hint="eastAsia" w:ascii="宋体" w:hAnsi="宋体" w:eastAsia="宋体" w:cs="宋体"/>
          <w:b/>
          <w:sz w:val="24"/>
          <w:szCs w:val="24"/>
          <w:shd w:val="clear" w:color="auto" w:fill="FFFFFF"/>
        </w:rPr>
      </w:pPr>
      <w:bookmarkStart w:id="22" w:name="_Toc104232617"/>
      <w:bookmarkStart w:id="23" w:name="_Toc25285"/>
      <w:r>
        <w:rPr>
          <w:rFonts w:hint="eastAsia" w:ascii="宋体" w:hAnsi="宋体" w:eastAsia="宋体" w:cs="宋体"/>
          <w:b/>
          <w:sz w:val="24"/>
          <w:szCs w:val="24"/>
          <w:shd w:val="clear" w:color="auto" w:fill="FFFFFF"/>
        </w:rPr>
        <w:t>26.响应文件的开启</w:t>
      </w:r>
      <w:bookmarkEnd w:id="22"/>
      <w:bookmarkEnd w:id="23"/>
    </w:p>
    <w:p w14:paraId="1EAA118A">
      <w:pPr>
        <w:spacing w:line="360" w:lineRule="auto"/>
        <w:ind w:firstLine="480" w:firstLineChars="200"/>
        <w:rPr>
          <w:rFonts w:hint="eastAsia" w:ascii="宋体" w:hAnsi="宋体" w:eastAsia="宋体" w:cs="宋体"/>
          <w:sz w:val="24"/>
        </w:rPr>
      </w:pPr>
      <w:r>
        <w:rPr>
          <w:rFonts w:hint="eastAsia" w:ascii="宋体" w:hAnsi="宋体" w:eastAsia="宋体" w:cs="宋体"/>
          <w:sz w:val="24"/>
        </w:rPr>
        <w:t>26.1采购代理机构按照《磋商公告》或《澄清公告》规定的时间和地点组织响应文件的开启。</w:t>
      </w:r>
    </w:p>
    <w:p w14:paraId="3F52BEB9">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26.2采购代理机构在响应文件开启时间，发出响应文件解密指令。</w:t>
      </w:r>
    </w:p>
    <w:p w14:paraId="41710CA0">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26.3开启过程，采购人、采购代理机构相关工作人员有需要回避的情形的，应主动提出回避。</w:t>
      </w:r>
    </w:p>
    <w:p w14:paraId="0641E7EC">
      <w:pPr>
        <w:spacing w:line="360" w:lineRule="auto"/>
        <w:jc w:val="center"/>
        <w:rPr>
          <w:rFonts w:hint="eastAsia" w:ascii="宋体" w:hAnsi="宋体" w:eastAsia="宋体" w:cs="宋体"/>
          <w:b/>
          <w:sz w:val="24"/>
        </w:rPr>
      </w:pPr>
    </w:p>
    <w:p w14:paraId="10F42478">
      <w:pPr>
        <w:spacing w:line="360" w:lineRule="auto"/>
        <w:jc w:val="center"/>
        <w:rPr>
          <w:rFonts w:hint="eastAsia" w:ascii="宋体" w:hAnsi="宋体" w:eastAsia="宋体" w:cs="宋体"/>
          <w:b/>
          <w:sz w:val="24"/>
        </w:rPr>
      </w:pPr>
      <w:r>
        <w:rPr>
          <w:rFonts w:hint="eastAsia" w:ascii="宋体" w:hAnsi="宋体" w:eastAsia="宋体" w:cs="宋体"/>
          <w:b/>
          <w:sz w:val="24"/>
        </w:rPr>
        <w:t>(六) 磋商</w:t>
      </w:r>
    </w:p>
    <w:p w14:paraId="34FABAB8">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27.组建磋商小组</w:t>
      </w:r>
    </w:p>
    <w:p w14:paraId="69BE128D">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27.1</w:t>
      </w:r>
      <w:r>
        <w:rPr>
          <w:rFonts w:hint="eastAsia" w:ascii="宋体" w:hAnsi="宋体" w:eastAsia="宋体" w:cs="宋体"/>
          <w:sz w:val="24"/>
        </w:rPr>
        <w:t>采购代理机构</w:t>
      </w:r>
      <w:r>
        <w:rPr>
          <w:rFonts w:hint="eastAsia" w:ascii="宋体" w:hAnsi="宋体" w:eastAsia="宋体" w:cs="宋体"/>
          <w:sz w:val="24"/>
          <w:shd w:val="clear" w:color="auto" w:fill="FFFFFF"/>
        </w:rPr>
        <w:t>将根据有关法律法规和本磋商文件的规定，结合本项目的特点组建磋商小组，对磋商响应文件进行评估和比较。磋商小组评审专家从政府采购评审专家库随机抽取。由评审专家3人组成，其中评审专家人数不得少于磋商小组总成员的三分之二。对所有参加磋商的供应商的响应文件，按照磋商文件要求进行资格性和符合性审查，并对3家及以上实质性响应磋商文件要求的供应商，按照磋商文件规定的磋商程序，与供应商分别进行磋商。</w:t>
      </w:r>
    </w:p>
    <w:p w14:paraId="4A51C632">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27.2磋商小组的组成人员</w:t>
      </w:r>
      <w:r>
        <w:rPr>
          <w:rFonts w:hint="eastAsia" w:ascii="宋体" w:hAnsi="宋体" w:eastAsia="宋体" w:cs="宋体"/>
          <w:sz w:val="24"/>
        </w:rPr>
        <w:t>为采购人或采购代理机构就磋商文件征询过意见的专家，不得参加本项目评审。</w:t>
      </w:r>
    </w:p>
    <w:p w14:paraId="4A6346B3">
      <w:pPr>
        <w:spacing w:line="360" w:lineRule="auto"/>
        <w:ind w:left="538" w:leftChars="256"/>
        <w:rPr>
          <w:rFonts w:hint="eastAsia" w:ascii="宋体" w:hAnsi="宋体" w:eastAsia="宋体" w:cs="宋体"/>
          <w:sz w:val="24"/>
        </w:rPr>
      </w:pPr>
      <w:r>
        <w:rPr>
          <w:rFonts w:hint="eastAsia" w:ascii="宋体" w:hAnsi="宋体" w:eastAsia="宋体" w:cs="宋体"/>
          <w:sz w:val="24"/>
        </w:rPr>
        <w:t>27.3</w:t>
      </w:r>
      <w:r>
        <w:rPr>
          <w:rFonts w:hint="eastAsia" w:ascii="宋体" w:hAnsi="宋体" w:eastAsia="宋体" w:cs="宋体"/>
          <w:sz w:val="24"/>
          <w:shd w:val="clear" w:color="auto" w:fill="FFFFFF"/>
        </w:rPr>
        <w:t>磋商小组的组成人员</w:t>
      </w:r>
      <w:r>
        <w:rPr>
          <w:rFonts w:hint="eastAsia" w:ascii="宋体" w:hAnsi="宋体" w:eastAsia="宋体" w:cs="宋体"/>
          <w:sz w:val="24"/>
        </w:rPr>
        <w:t>与供应商有下列利害关系之一的，应当回避：</w:t>
      </w:r>
    </w:p>
    <w:p w14:paraId="297D0D79">
      <w:pPr>
        <w:spacing w:line="360" w:lineRule="auto"/>
        <w:ind w:firstLine="480" w:firstLineChars="200"/>
        <w:rPr>
          <w:rFonts w:hint="eastAsia" w:ascii="宋体" w:hAnsi="宋体" w:eastAsia="宋体" w:cs="宋体"/>
          <w:sz w:val="24"/>
        </w:rPr>
      </w:pPr>
      <w:r>
        <w:rPr>
          <w:rFonts w:hint="eastAsia" w:ascii="宋体" w:hAnsi="宋体" w:eastAsia="宋体" w:cs="宋体"/>
          <w:sz w:val="24"/>
        </w:rPr>
        <w:t>（1）参加采购活动前3年内与供应商存在劳动关系；</w:t>
      </w:r>
    </w:p>
    <w:p w14:paraId="5046A355">
      <w:pPr>
        <w:spacing w:line="360" w:lineRule="auto"/>
        <w:ind w:firstLine="480" w:firstLineChars="200"/>
        <w:rPr>
          <w:rFonts w:hint="eastAsia" w:ascii="宋体" w:hAnsi="宋体" w:eastAsia="宋体" w:cs="宋体"/>
          <w:sz w:val="24"/>
        </w:rPr>
      </w:pPr>
      <w:r>
        <w:rPr>
          <w:rFonts w:hint="eastAsia" w:ascii="宋体" w:hAnsi="宋体" w:eastAsia="宋体" w:cs="宋体"/>
          <w:sz w:val="24"/>
        </w:rPr>
        <w:t>（2）参加采购活动前3年内担任供应商的董事、监事；</w:t>
      </w:r>
    </w:p>
    <w:p w14:paraId="523BE391">
      <w:pPr>
        <w:spacing w:line="360" w:lineRule="auto"/>
        <w:ind w:firstLine="480" w:firstLineChars="200"/>
        <w:rPr>
          <w:rFonts w:hint="eastAsia" w:ascii="宋体" w:hAnsi="宋体" w:eastAsia="宋体" w:cs="宋体"/>
          <w:sz w:val="24"/>
        </w:rPr>
      </w:pPr>
      <w:r>
        <w:rPr>
          <w:rFonts w:hint="eastAsia" w:ascii="宋体" w:hAnsi="宋体" w:eastAsia="宋体" w:cs="宋体"/>
          <w:sz w:val="24"/>
        </w:rPr>
        <w:t>（3）参加采购活动前3年内是供应商的控股股东或者实际控制人；</w:t>
      </w:r>
    </w:p>
    <w:p w14:paraId="17A46C72">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（4）与供应商的法定代表人或者负责人有夫妻、直系血亲、三代以内旁系血亲或者近姻亲关系；</w:t>
      </w:r>
    </w:p>
    <w:p w14:paraId="094CCB99">
      <w:pPr>
        <w:spacing w:line="360" w:lineRule="auto"/>
        <w:ind w:firstLine="480" w:firstLineChars="200"/>
        <w:rPr>
          <w:rFonts w:hint="eastAsia" w:ascii="宋体" w:hAnsi="宋体" w:eastAsia="宋体" w:cs="宋体"/>
          <w:sz w:val="24"/>
        </w:rPr>
      </w:pPr>
      <w:r>
        <w:rPr>
          <w:rFonts w:hint="eastAsia" w:ascii="宋体" w:hAnsi="宋体" w:eastAsia="宋体" w:cs="宋体"/>
          <w:sz w:val="24"/>
        </w:rPr>
        <w:t>（5）与供应商有其他可能影响政府采购活动公平、公正进行的关系。</w:t>
      </w:r>
    </w:p>
    <w:p w14:paraId="585CDB6D">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27.4评审专家由采购代理机构从山西省政府采购评审专家库中，通过随机抽取方式产生。对技术复杂、专业性强的采购项目，通过随机方式难以确定合适评审专家的，经主管预算单位同意，采购人可以自行选定相应专业领域的评审专家。</w:t>
      </w:r>
    </w:p>
    <w:p w14:paraId="51ABA153">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27.5磋商中因评审专家缺席、回避或者健康等特殊原因，导致磋商小组成员组成不符合相关规定的，代理机构应当补足后继续磋商。被更换的磋商小组成员所做出的磋商意见无效。</w:t>
      </w:r>
    </w:p>
    <w:p w14:paraId="2834F395">
      <w:pPr>
        <w:tabs>
          <w:tab w:val="left" w:pos="567"/>
        </w:tabs>
        <w:snapToGrid w:val="0"/>
        <w:spacing w:line="360" w:lineRule="auto"/>
        <w:ind w:firstLine="480" w:firstLineChars="200"/>
        <w:jc w:val="left"/>
        <w:rPr>
          <w:rFonts w:hint="eastAsia" w:ascii="宋体" w:hAnsi="宋体" w:eastAsia="宋体" w:cs="宋体"/>
          <w:sz w:val="20"/>
          <w:szCs w:val="22"/>
        </w:rPr>
      </w:pPr>
      <w:r>
        <w:rPr>
          <w:rFonts w:hint="eastAsia" w:ascii="宋体" w:hAnsi="宋体" w:eastAsia="宋体" w:cs="宋体"/>
          <w:sz w:val="24"/>
          <w:shd w:val="clear" w:color="auto" w:fill="FFFFFF"/>
        </w:rPr>
        <w:t>27.6代理机构应当将变更、重新组建磋商小组的情况予以记录，并随磋商文件一并存档。</w:t>
      </w:r>
    </w:p>
    <w:p w14:paraId="1DC8D4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28.磋商小组职责</w:t>
      </w:r>
    </w:p>
    <w:p w14:paraId="36A65A00">
      <w:pPr>
        <w:spacing w:line="360" w:lineRule="auto"/>
        <w:ind w:firstLine="480" w:firstLineChars="200"/>
        <w:rPr>
          <w:rFonts w:hint="eastAsia" w:ascii="宋体" w:hAnsi="宋体" w:eastAsia="宋体" w:cs="宋体"/>
          <w:sz w:val="24"/>
        </w:rPr>
      </w:pPr>
      <w:r>
        <w:rPr>
          <w:rFonts w:hint="eastAsia" w:ascii="宋体" w:hAnsi="宋体" w:eastAsia="宋体" w:cs="宋体"/>
          <w:sz w:val="24"/>
        </w:rPr>
        <w:t>28.1磋商小组按照客观、公正、审慎的原则，依据磋商文件规定对供应商进行资格审查、符合性审查，并按照评审程序、评审方法及评审标准进行独立评审。</w:t>
      </w:r>
    </w:p>
    <w:p w14:paraId="43BF1357">
      <w:pPr>
        <w:spacing w:line="360" w:lineRule="auto"/>
        <w:ind w:firstLine="480" w:firstLineChars="200"/>
        <w:rPr>
          <w:rFonts w:hint="eastAsia" w:ascii="宋体" w:hAnsi="宋体" w:eastAsia="宋体" w:cs="宋体"/>
          <w:sz w:val="24"/>
        </w:rPr>
      </w:pPr>
      <w:r>
        <w:rPr>
          <w:rFonts w:hint="eastAsia" w:ascii="宋体" w:hAnsi="宋体" w:eastAsia="宋体" w:cs="宋体"/>
          <w:sz w:val="24"/>
        </w:rPr>
        <w:t>28.2磋商小组对需要共同认定的事项存在争议的，按照“少数服从多数”的原则做出结论。</w:t>
      </w:r>
    </w:p>
    <w:p w14:paraId="23F40198">
      <w:pPr>
        <w:spacing w:line="360" w:lineRule="auto"/>
        <w:ind w:firstLine="480" w:firstLineChars="200"/>
        <w:rPr>
          <w:rStyle w:val="31"/>
          <w:rFonts w:hint="eastAsia" w:ascii="宋体" w:hAnsi="宋体" w:eastAsia="宋体" w:cs="宋体"/>
          <w:sz w:val="24"/>
          <w:lang w:val="zh-TW" w:eastAsia="zh-TW"/>
        </w:rPr>
      </w:pPr>
      <w:r>
        <w:rPr>
          <w:rFonts w:hint="eastAsia" w:ascii="宋体" w:hAnsi="宋体" w:eastAsia="宋体" w:cs="宋体"/>
          <w:sz w:val="24"/>
        </w:rPr>
        <w:t>28.3推荐成交候选人。</w:t>
      </w:r>
    </w:p>
    <w:p w14:paraId="2E52C104">
      <w:pPr>
        <w:spacing w:line="360" w:lineRule="auto"/>
        <w:ind w:firstLine="200"/>
        <w:jc w:val="center"/>
        <w:rPr>
          <w:rFonts w:hint="eastAsia" w:ascii="宋体" w:hAnsi="宋体" w:eastAsia="宋体" w:cs="宋体"/>
          <w:b/>
          <w:sz w:val="24"/>
        </w:rPr>
      </w:pPr>
      <w:r>
        <w:rPr>
          <w:rFonts w:hint="eastAsia" w:ascii="宋体" w:hAnsi="宋体" w:eastAsia="宋体" w:cs="宋体"/>
          <w:b/>
          <w:sz w:val="24"/>
        </w:rPr>
        <w:t>(七) 签订合同</w:t>
      </w:r>
    </w:p>
    <w:p w14:paraId="084E5464">
      <w:pPr>
        <w:spacing w:line="360" w:lineRule="auto"/>
        <w:ind w:firstLine="482" w:firstLineChars="200"/>
        <w:rPr>
          <w:rFonts w:hint="eastAsia" w:ascii="宋体" w:hAnsi="宋体" w:eastAsia="宋体" w:cs="宋体"/>
          <w:sz w:val="24"/>
        </w:rPr>
      </w:pPr>
      <w:r>
        <w:rPr>
          <w:rFonts w:hint="eastAsia" w:ascii="宋体" w:hAnsi="宋体" w:eastAsia="宋体" w:cs="宋体"/>
          <w:b/>
          <w:sz w:val="24"/>
        </w:rPr>
        <w:t>29.</w:t>
      </w:r>
      <w:r>
        <w:rPr>
          <w:rFonts w:hint="eastAsia" w:ascii="宋体" w:hAnsi="宋体" w:eastAsia="宋体" w:cs="宋体"/>
          <w:b/>
          <w:bCs/>
          <w:sz w:val="24"/>
        </w:rPr>
        <w:t>成交通知</w:t>
      </w:r>
    </w:p>
    <w:p w14:paraId="5CD97275">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29.1代理机构或采购方应当在成交供应商确定后2个工作日内，在中国政府采购网山西分网发布成交结果，同时向成交供应商发出成交通知书，并将磋商文件随成交结果同时公告。成交结果公告应当包括：</w:t>
      </w:r>
    </w:p>
    <w:p w14:paraId="4886F2F9">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（1）采购方和代理机构的名称、地址和联系方式；</w:t>
      </w:r>
    </w:p>
    <w:p w14:paraId="0C064530">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（2）项目名称和项目编号；</w:t>
      </w:r>
    </w:p>
    <w:p w14:paraId="4B9E2EC3">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（3）成交供应商名称、地址和成交金额；</w:t>
      </w:r>
    </w:p>
    <w:p w14:paraId="5A2A93B3">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（4）主要成交标的的名称、规格型号、数量、单价、服务要求；</w:t>
      </w:r>
    </w:p>
    <w:p w14:paraId="38E06490">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（5）磋商小组成员名单。</w:t>
      </w:r>
    </w:p>
    <w:p w14:paraId="067D1EA3">
      <w:pPr>
        <w:spacing w:line="360" w:lineRule="auto"/>
        <w:ind w:firstLine="480"/>
        <w:rPr>
          <w:rFonts w:hint="eastAsia" w:ascii="宋体" w:hAnsi="宋体" w:eastAsia="宋体" w:cs="宋体"/>
          <w:sz w:val="24"/>
        </w:rPr>
      </w:pPr>
      <w:r>
        <w:rPr>
          <w:rFonts w:hint="eastAsia" w:ascii="宋体" w:hAnsi="宋体" w:eastAsia="宋体" w:cs="宋体"/>
          <w:sz w:val="24"/>
        </w:rPr>
        <w:t>29.2成交通知书对采购人和成交供应商具有同等法律效力。成交通知书发出以后，采购人改变成交结果或成交供应商放弃成交，应当承担相应的法律责任，出现争议的，报财政部门处理。</w:t>
      </w:r>
    </w:p>
    <w:p w14:paraId="14A8AA6A">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30.履约保证金（如涉及）</w:t>
      </w:r>
    </w:p>
    <w:p w14:paraId="5A92AA0A">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30.1成交供应商应按照采购人或采购代理机构的要求于签订采购合同前，足额缴纳履约保证金。</w:t>
      </w:r>
    </w:p>
    <w:p w14:paraId="5F9077F0">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30.2成交供应商不按照采购人或采购代理机构要求提交履约保证金的，取消其成交资格。</w:t>
      </w:r>
    </w:p>
    <w:p w14:paraId="59A22338">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30.3当成交供应商全面完成采购合同事项并验收合格后，采购人或采购代理机构如数退还</w:t>
      </w:r>
      <w:r>
        <w:rPr>
          <w:rFonts w:hint="eastAsia" w:ascii="宋体" w:hAnsi="宋体" w:eastAsia="宋体" w:cs="宋体"/>
          <w:sz w:val="24"/>
        </w:rPr>
        <w:t>履约保证金</w:t>
      </w:r>
      <w:r>
        <w:rPr>
          <w:rFonts w:hint="eastAsia" w:ascii="宋体" w:hAnsi="宋体" w:eastAsia="宋体" w:cs="宋体"/>
          <w:sz w:val="24"/>
          <w:shd w:val="clear" w:color="auto" w:fill="FFFFFF"/>
        </w:rPr>
        <w:t>（不计利息）。</w:t>
      </w:r>
    </w:p>
    <w:p w14:paraId="75A9437E">
      <w:pPr>
        <w:spacing w:line="360" w:lineRule="auto"/>
        <w:ind w:firstLine="480" w:firstLineChars="200"/>
        <w:rPr>
          <w:rStyle w:val="31"/>
          <w:rFonts w:hint="eastAsia" w:ascii="宋体" w:hAnsi="宋体" w:eastAsia="宋体" w:cs="宋体"/>
          <w:sz w:val="24"/>
        </w:rPr>
      </w:pPr>
      <w:r>
        <w:rPr>
          <w:rFonts w:hint="eastAsia" w:ascii="宋体" w:hAnsi="宋体" w:eastAsia="宋体" w:cs="宋体"/>
          <w:sz w:val="24"/>
          <w:shd w:val="clear" w:color="auto" w:fill="FFFFFF"/>
        </w:rPr>
        <w:t>30.4如果成交供应商未按双方签订合同事项履约，则没收其全部履约保证金；给采购人造成的损失超过履约保证金数额的，还应当对超过部分予以赔偿。</w:t>
      </w:r>
    </w:p>
    <w:p w14:paraId="33414CB6">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31.签订合同</w:t>
      </w:r>
    </w:p>
    <w:p w14:paraId="04ADEBB1">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31.1除不可抗力等因素外，成交通知书发出后，采购方改变成交结果，或者成交供应商拒绝签订合同的，应当承担相应的责任。</w:t>
      </w:r>
    </w:p>
    <w:p w14:paraId="336CF7E3">
      <w:pPr>
        <w:spacing w:line="36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31.2成交供应商拒绝签订合同的，采购方可以确定其他供应商作为成交供应商，并签订合同；也可以重新开展磋商活动。拒绝签订合同的成交供应商不得参加对该项目重新开展的磋商活动。</w:t>
      </w:r>
    </w:p>
    <w:p w14:paraId="710E306F">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31.3磋商文件、磋商文件的澄清及修改、成交供应商的响应文件、成交供应商在评审过程当中的答复澄清事项等均为此次采购合同附件，并具有法律效力。</w:t>
      </w:r>
    </w:p>
    <w:p w14:paraId="2F43B603">
      <w:pPr>
        <w:spacing w:line="360" w:lineRule="auto"/>
        <w:ind w:firstLine="480" w:firstLineChars="200"/>
        <w:rPr>
          <w:rFonts w:hint="eastAsia" w:ascii="宋体" w:hAnsi="宋体" w:eastAsia="宋体" w:cs="宋体"/>
          <w:sz w:val="20"/>
          <w:szCs w:val="22"/>
        </w:rPr>
      </w:pPr>
      <w:r>
        <w:rPr>
          <w:rFonts w:hint="eastAsia" w:ascii="宋体" w:hAnsi="宋体" w:eastAsia="宋体" w:cs="宋体"/>
          <w:sz w:val="24"/>
          <w:shd w:val="clear" w:color="auto" w:fill="FFFFFF"/>
        </w:rPr>
        <w:t>31</w:t>
      </w:r>
      <w:r>
        <w:rPr>
          <w:rFonts w:hint="eastAsia" w:ascii="宋体" w:hAnsi="宋体" w:eastAsia="宋体" w:cs="宋体"/>
          <w:sz w:val="24"/>
        </w:rPr>
        <w:t>.4成交供应商不得再与采购人签订背离合同实质性内容的其他协议或声明。</w:t>
      </w:r>
    </w:p>
    <w:p w14:paraId="75FE9547">
      <w:pPr>
        <w:spacing w:line="36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31</w:t>
      </w:r>
      <w:r>
        <w:rPr>
          <w:rFonts w:hint="eastAsia" w:ascii="宋体" w:hAnsi="宋体" w:eastAsia="宋体" w:cs="宋体"/>
          <w:sz w:val="24"/>
        </w:rPr>
        <w:t>.5成交供应商应在接到成交通知书10日内与采购人签订书面合同，最长不得超过30日。所签订的合同不得对磋商文件确定的事项和成交供应商响应文件作实质性修改。采购人不得向成交供应商提出任何不合理的要求作为签订合同的条件。</w:t>
      </w:r>
    </w:p>
    <w:p w14:paraId="39D7065D">
      <w:pPr>
        <w:pStyle w:val="33"/>
        <w:spacing w:line="360" w:lineRule="auto"/>
        <w:ind w:firstLine="480"/>
        <w:jc w:val="left"/>
        <w:rPr>
          <w:rFonts w:hint="eastAsia" w:ascii="宋体" w:hAnsi="宋体" w:eastAsia="宋体" w:cs="宋体"/>
          <w:sz w:val="24"/>
        </w:rPr>
      </w:pPr>
      <w:r>
        <w:rPr>
          <w:rFonts w:hint="eastAsia" w:ascii="宋体" w:hAnsi="宋体" w:eastAsia="宋体" w:cs="宋体"/>
          <w:sz w:val="24"/>
          <w:shd w:val="clear" w:color="auto" w:fill="FFFFFF"/>
        </w:rPr>
        <w:t>31</w:t>
      </w:r>
      <w:r>
        <w:rPr>
          <w:rFonts w:hint="eastAsia" w:ascii="宋体" w:hAnsi="宋体" w:eastAsia="宋体" w:cs="宋体"/>
          <w:sz w:val="24"/>
        </w:rPr>
        <w:t>.9除磋商文件要求可以转包、分包情形外，成交供应商不得转包、分包，亦不得将合同全部及任何权利、义务向第三方转让。代理机构或采购方有权决定按照成交供应商成交后毁标、终止或解除合同等依约处理。</w:t>
      </w:r>
    </w:p>
    <w:p w14:paraId="5373D7F2">
      <w:pPr>
        <w:pStyle w:val="33"/>
        <w:spacing w:line="360" w:lineRule="auto"/>
        <w:ind w:firstLine="480"/>
        <w:jc w:val="left"/>
        <w:rPr>
          <w:rFonts w:hint="eastAsia" w:ascii="宋体" w:hAnsi="宋体" w:eastAsia="宋体" w:cs="宋体"/>
          <w:sz w:val="24"/>
        </w:rPr>
      </w:pPr>
      <w:r>
        <w:rPr>
          <w:rFonts w:hint="eastAsia" w:ascii="宋体" w:hAnsi="宋体" w:eastAsia="宋体" w:cs="宋体"/>
          <w:sz w:val="24"/>
          <w:shd w:val="clear" w:color="auto" w:fill="FFFFFF"/>
        </w:rPr>
        <w:t>31</w:t>
      </w:r>
      <w:r>
        <w:rPr>
          <w:rFonts w:hint="eastAsia" w:ascii="宋体" w:hAnsi="宋体" w:eastAsia="宋体" w:cs="宋体"/>
          <w:sz w:val="24"/>
        </w:rPr>
        <w:t>.10采购方与成交供应商应当根据合同约定依法履行合同义务，否则，应承担赔偿责任。</w:t>
      </w:r>
    </w:p>
    <w:p w14:paraId="67D327A7">
      <w:pPr>
        <w:pStyle w:val="33"/>
        <w:spacing w:line="360" w:lineRule="auto"/>
        <w:ind w:firstLine="480"/>
        <w:jc w:val="left"/>
        <w:rPr>
          <w:rFonts w:hint="eastAsia" w:ascii="宋体" w:hAnsi="宋体" w:eastAsia="宋体" w:cs="宋体"/>
          <w:sz w:val="24"/>
        </w:rPr>
      </w:pPr>
      <w:r>
        <w:rPr>
          <w:rFonts w:hint="eastAsia" w:ascii="宋体" w:hAnsi="宋体" w:eastAsia="宋体" w:cs="宋体"/>
          <w:sz w:val="24"/>
          <w:shd w:val="clear" w:color="auto" w:fill="FFFFFF"/>
        </w:rPr>
        <w:t>31</w:t>
      </w:r>
      <w:r>
        <w:rPr>
          <w:rFonts w:hint="eastAsia" w:ascii="宋体" w:hAnsi="宋体" w:eastAsia="宋体" w:cs="宋体"/>
          <w:sz w:val="24"/>
        </w:rPr>
        <w:t>.11成交供应商应当自合同或补充合同签订之日起五个工作日内将合同报代理机构备案。</w:t>
      </w:r>
    </w:p>
    <w:p w14:paraId="01F267E4">
      <w:pPr>
        <w:pStyle w:val="18"/>
        <w:spacing w:line="360" w:lineRule="auto"/>
        <w:ind w:firstLine="482" w:firstLineChars="200"/>
        <w:rPr>
          <w:rFonts w:hint="eastAsia" w:ascii="宋体" w:hAnsi="宋体" w:eastAsia="宋体" w:cs="宋体"/>
          <w:b/>
          <w:kern w:val="2"/>
          <w:sz w:val="24"/>
          <w:szCs w:val="24"/>
          <w:shd w:val="clear" w:color="auto" w:fill="FFFFFF"/>
        </w:rPr>
      </w:pPr>
      <w:r>
        <w:rPr>
          <w:rFonts w:hint="eastAsia" w:ascii="宋体" w:hAnsi="宋体" w:eastAsia="宋体" w:cs="宋体"/>
          <w:b/>
          <w:kern w:val="2"/>
          <w:sz w:val="24"/>
          <w:szCs w:val="24"/>
          <w:shd w:val="clear" w:color="auto" w:fill="FFFFFF"/>
        </w:rPr>
        <w:t>32.成交服务费</w:t>
      </w:r>
    </w:p>
    <w:p w14:paraId="2C7840B3">
      <w:pPr>
        <w:pStyle w:val="33"/>
        <w:spacing w:line="360" w:lineRule="auto"/>
        <w:ind w:firstLine="480"/>
        <w:jc w:val="left"/>
        <w:rPr>
          <w:rFonts w:hint="eastAsia" w:ascii="宋体" w:hAnsi="宋体" w:eastAsia="宋体" w:cs="宋体"/>
          <w:sz w:val="24"/>
        </w:rPr>
      </w:pPr>
      <w:r>
        <w:rPr>
          <w:rFonts w:hint="eastAsia" w:ascii="宋体" w:hAnsi="宋体" w:eastAsia="宋体" w:cs="宋体"/>
          <w:sz w:val="24"/>
        </w:rPr>
        <w:t>32.1参照招标代理服务费按《招标代理服务收费管理暂行办法》计价格[2002]1980号文和发改价格[2011]534号文及采购代理协议，由</w:t>
      </w:r>
      <w:r>
        <w:rPr>
          <w:rFonts w:hint="eastAsia" w:ascii="宋体" w:hAnsi="宋体" w:cs="宋体"/>
          <w:sz w:val="24"/>
          <w:lang w:val="en-US" w:eastAsia="zh-CN"/>
        </w:rPr>
        <w:t>各包</w:t>
      </w:r>
      <w:r>
        <w:rPr>
          <w:rFonts w:hint="eastAsia" w:ascii="宋体" w:hAnsi="宋体" w:eastAsia="宋体" w:cs="宋体"/>
          <w:sz w:val="24"/>
        </w:rPr>
        <w:t>成交人支付。请供应商在测算报价时充分考虑这一因素。</w:t>
      </w:r>
    </w:p>
    <w:p w14:paraId="3BEDD18D">
      <w:pPr>
        <w:pStyle w:val="33"/>
        <w:spacing w:line="360" w:lineRule="auto"/>
        <w:ind w:firstLine="480"/>
        <w:jc w:val="left"/>
        <w:rPr>
          <w:rFonts w:hint="eastAsia" w:ascii="宋体" w:hAnsi="宋体" w:eastAsia="宋体" w:cs="宋体"/>
          <w:b/>
          <w:sz w:val="20"/>
          <w:szCs w:val="20"/>
        </w:rPr>
      </w:pPr>
      <w:r>
        <w:rPr>
          <w:rFonts w:hint="eastAsia" w:ascii="宋体" w:hAnsi="宋体" w:eastAsia="宋体" w:cs="宋体"/>
          <w:sz w:val="24"/>
        </w:rPr>
        <w:t>32.2</w:t>
      </w:r>
      <w:r>
        <w:rPr>
          <w:rFonts w:hint="eastAsia" w:ascii="宋体" w:hAnsi="宋体" w:eastAsia="宋体" w:cs="宋体"/>
          <w:sz w:val="24"/>
          <w:shd w:val="clear" w:color="auto" w:fill="FFFFFF"/>
        </w:rPr>
        <w:t>成交供应商在收到成交通知书时，向采购代理机构一次性付清成交服务费。</w:t>
      </w:r>
    </w:p>
    <w:p w14:paraId="737BDF17">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33.诚实信用</w:t>
      </w:r>
    </w:p>
    <w:p w14:paraId="4553EF8B">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33.1</w:t>
      </w:r>
      <w:r>
        <w:rPr>
          <w:rFonts w:hint="eastAsia" w:ascii="宋体" w:hAnsi="宋体" w:eastAsia="宋体" w:cs="宋体"/>
          <w:color w:val="000000"/>
          <w:sz w:val="24"/>
          <w:shd w:val="clear" w:color="auto" w:fill="FFFFFF"/>
        </w:rPr>
        <w:t>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12C6BA1A">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33.2有证据表明供应商在诚信中存在严重问题时，将拒绝其响应或响应无效。</w:t>
      </w:r>
    </w:p>
    <w:p w14:paraId="70CD88E7">
      <w:pPr>
        <w:spacing w:line="360" w:lineRule="auto"/>
        <w:ind w:firstLine="480" w:firstLineChars="200"/>
        <w:rPr>
          <w:rFonts w:hint="eastAsia" w:ascii="宋体" w:hAnsi="宋体" w:eastAsia="宋体" w:cs="宋体"/>
          <w:spacing w:val="-10"/>
          <w:sz w:val="24"/>
          <w:shd w:val="clear" w:color="auto" w:fill="FFFFFF"/>
        </w:rPr>
      </w:pPr>
      <w:r>
        <w:rPr>
          <w:rFonts w:hint="eastAsia" w:ascii="宋体" w:hAnsi="宋体" w:eastAsia="宋体" w:cs="宋体"/>
          <w:sz w:val="24"/>
          <w:shd w:val="clear" w:color="auto" w:fill="FFFFFF"/>
        </w:rPr>
        <w:t>33.3</w:t>
      </w:r>
      <w:r>
        <w:rPr>
          <w:rFonts w:hint="eastAsia" w:ascii="宋体" w:hAnsi="宋体" w:eastAsia="宋体" w:cs="宋体"/>
          <w:color w:val="000000"/>
          <w:sz w:val="24"/>
          <w:shd w:val="clear" w:color="auto" w:fill="FFFFFF"/>
        </w:rPr>
        <w:t>各级财政部门和有关部门应当根据政府采购法及其实施条例相关规定，对参加政府采购活动的供应商、评审专家的不良行为予以记录，并纳入统一的信用信息平台。</w:t>
      </w:r>
    </w:p>
    <w:p w14:paraId="30FDD9A6">
      <w:pPr>
        <w:spacing w:line="360" w:lineRule="auto"/>
        <w:ind w:firstLine="440" w:firstLineChars="200"/>
        <w:rPr>
          <w:rFonts w:hint="eastAsia" w:ascii="宋体" w:hAnsi="宋体" w:eastAsia="宋体" w:cs="宋体"/>
          <w:spacing w:val="-10"/>
          <w:sz w:val="24"/>
          <w:shd w:val="clear" w:color="auto" w:fill="FFFFFF"/>
        </w:rPr>
      </w:pPr>
    </w:p>
    <w:p w14:paraId="2CBCA9DB">
      <w:pPr>
        <w:spacing w:line="360" w:lineRule="auto"/>
        <w:jc w:val="center"/>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(八) 质疑与投诉</w:t>
      </w:r>
    </w:p>
    <w:p w14:paraId="0612C7F1">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35.询问</w:t>
      </w:r>
    </w:p>
    <w:p w14:paraId="14D5A76D">
      <w:pPr>
        <w:spacing w:line="360" w:lineRule="auto"/>
        <w:ind w:firstLine="440" w:firstLineChars="200"/>
        <w:rPr>
          <w:rFonts w:hint="eastAsia" w:ascii="宋体" w:hAnsi="宋体" w:eastAsia="宋体" w:cs="宋体"/>
          <w:spacing w:val="-10"/>
          <w:sz w:val="24"/>
          <w:shd w:val="clear" w:color="auto" w:fill="FFFFFF"/>
        </w:rPr>
      </w:pPr>
      <w:r>
        <w:rPr>
          <w:rFonts w:hint="eastAsia" w:ascii="宋体" w:hAnsi="宋体" w:eastAsia="宋体" w:cs="宋体"/>
          <w:spacing w:val="-10"/>
          <w:sz w:val="24"/>
          <w:shd w:val="clear" w:color="auto" w:fill="FFFFFF"/>
        </w:rPr>
        <w:t>35.1供应商依法提出的询问，采购人或采购代理机构将在3个工作日内做出答复。</w:t>
      </w:r>
    </w:p>
    <w:p w14:paraId="0FF269F3">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36.质疑</w:t>
      </w:r>
    </w:p>
    <w:p w14:paraId="7EC74E07">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36.1 磋商程序受《中华人民共和国政府采购法》、《中华人民共和国政府采购法实施条例》、《政府采购竞争性磋商采购方式管理暂行办法》、《政府采购货物和服务招标投标管理办法》和相关法律法规的约束，并受到严格的内部监督，以确保授予合同过程的公平公正。</w:t>
      </w:r>
    </w:p>
    <w:p w14:paraId="40920616">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36.2 供应商对磋商文件条款或商务、技术参数有异议的，应当在开标前通过澄清或修改程序提出。</w:t>
      </w:r>
    </w:p>
    <w:p w14:paraId="6B1C6184">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36.3 供应商对磋商文件在法定质疑期内一次性提出针对同一采购程序环节的质疑。</w:t>
      </w:r>
    </w:p>
    <w:p w14:paraId="7DC5809B">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36.4 供应商认为磋商文件、采购过程、中标或者成交结果使自己的权益受到损害的，可以在知道或者应知其权益受到损害之日起7个工作日内，通过政府采购平台进入“项目质疑管理”栏目向采购人、采购代理机构提出质疑。</w:t>
      </w:r>
    </w:p>
    <w:p w14:paraId="3F10060A">
      <w:pPr>
        <w:spacing w:line="360" w:lineRule="auto"/>
        <w:ind w:firstLine="480" w:firstLineChars="200"/>
        <w:rPr>
          <w:rFonts w:hint="eastAsia" w:ascii="宋体" w:hAnsi="宋体" w:eastAsia="宋体" w:cs="宋体"/>
          <w:spacing w:val="-10"/>
          <w:sz w:val="24"/>
          <w:shd w:val="clear" w:color="auto" w:fill="FFFFFF"/>
        </w:rPr>
      </w:pPr>
      <w:r>
        <w:rPr>
          <w:rFonts w:hint="eastAsia" w:ascii="宋体" w:hAnsi="宋体" w:eastAsia="宋体" w:cs="宋体"/>
          <w:color w:val="000000"/>
          <w:sz w:val="24"/>
          <w:shd w:val="clear" w:color="auto" w:fill="FFFFFF"/>
        </w:rPr>
        <w:t>36.5 潜在供应商已依法获取其可质疑的磋商文件的，可以对磋商文件提出质疑。对磋商文件提出质疑的，应当在获取磋商文件或者磋商文件公告期限届满之日起7个工</w:t>
      </w:r>
      <w:r>
        <w:rPr>
          <w:rFonts w:hint="eastAsia" w:ascii="宋体" w:hAnsi="宋体" w:eastAsia="宋体" w:cs="宋体"/>
          <w:spacing w:val="-10"/>
          <w:sz w:val="24"/>
          <w:shd w:val="clear" w:color="auto" w:fill="FFFFFF"/>
        </w:rPr>
        <w:t>作日内提出。</w:t>
      </w:r>
    </w:p>
    <w:p w14:paraId="51FD43A5">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36.6 供应商提起在线质疑，应当按照《政府采购质疑和投诉办法》有关规定，如实填写事项及信息，在线提交质疑函和必要的证明材料纸质版扫描件或图片（支持格式：DOC、DOCX、PDF、JPG、PNG、GIF）。质疑函应当包括以下主要内容：</w:t>
      </w:r>
    </w:p>
    <w:p w14:paraId="23CC36DE">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（1）供应商的姓名或者名称、地址、邮编、联系人及联系电话；</w:t>
      </w:r>
    </w:p>
    <w:p w14:paraId="68F4E8E6">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（2）质疑项目名称、编号；</w:t>
      </w:r>
    </w:p>
    <w:p w14:paraId="4337EBEB">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（3）具体、明确的质疑事项和与质疑事项相关的请求；</w:t>
      </w:r>
    </w:p>
    <w:p w14:paraId="584AF025">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（4）事实依据；</w:t>
      </w:r>
    </w:p>
    <w:p w14:paraId="2AE699F8">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（5）提出质疑的日期。</w:t>
      </w:r>
    </w:p>
    <w:p w14:paraId="38D28C26">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供应商为自然人的，应当由本人签字；供应商为法人或者其他组织的，应当由法定代表人、主要负责人或者其授权代表签字或者盖章，并加盖公章。</w:t>
      </w:r>
    </w:p>
    <w:p w14:paraId="7EA30395">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36.7质疑书应当附相关证明材料，材料应为简体中文。</w:t>
      </w:r>
    </w:p>
    <w:p w14:paraId="3BB74ED4">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36.8有下列情形之一的，属于无效质疑，采购代理机构可不予受理：</w:t>
      </w:r>
    </w:p>
    <w:p w14:paraId="5D3C4C21">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(1)未在有效期限内提出质疑的；</w:t>
      </w:r>
    </w:p>
    <w:p w14:paraId="170E3A36">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(2)所提交材料未明示属于质疑材料的；</w:t>
      </w:r>
    </w:p>
    <w:p w14:paraId="01E681D8">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(3)质疑书没有法定代表人（负责人）签章并加盖单位公章的；质疑书由参加采购项目的授权代表签署本人姓名或印盖本人姓名章，但没有法定代表人（负责人）特别授权的；</w:t>
      </w:r>
    </w:p>
    <w:p w14:paraId="75642077">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(4)质疑书未提供有效联系人或联系方式的；</w:t>
      </w:r>
    </w:p>
    <w:p w14:paraId="43162E8B">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(5)质疑事项已经进入投诉或者行政复议或者诉讼程序的；</w:t>
      </w:r>
    </w:p>
    <w:p w14:paraId="237C0DB8">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(6)质疑书未附相关证明材料，被视为无有效证据支持的；</w:t>
      </w:r>
    </w:p>
    <w:p w14:paraId="787C367C">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(7)供应商对磋商文件条款或技术参数有异议，未在开标前通过澄清或修改程序提出，并且供应商已经参与投标，而于开标后对磋商文件提出质疑的；</w:t>
      </w:r>
    </w:p>
    <w:p w14:paraId="6529E34D">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(8)在提出本次质疑前半年内连续三次质疑而无事实依据的；</w:t>
      </w:r>
    </w:p>
    <w:p w14:paraId="11FDE0DD">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（9）不符合本次政府采购活动特定条件的供应商；</w:t>
      </w:r>
    </w:p>
    <w:p w14:paraId="62179EDD">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（10）不同质疑人委托同一人办理质疑事宜的；</w:t>
      </w:r>
    </w:p>
    <w:p w14:paraId="75979CA8">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(11)其它不符合受理条件的情形。</w:t>
      </w:r>
    </w:p>
    <w:p w14:paraId="640F7BB0">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（12）质疑参照《山西省财政厅关于政府采购项目全面实施在线质疑的通知》（晋财购〔2023〕10号）。</w:t>
      </w:r>
    </w:p>
    <w:p w14:paraId="639B6C3D">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36.9采购人、采购代理机构不得拒收质疑供应商在法定质疑期内发出的质疑函，应当在收到质疑函后7个工作日内通过政府采购平台对供应商依法提出的质疑作出答复，质疑供应商通过政府采购平台在线接收质疑答复结果。</w:t>
      </w:r>
    </w:p>
    <w:p w14:paraId="6FE9CA3A">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36.10供应商对评审过程、成交结果提出质疑的，采购人、采购代理机构可以组织原评标委员会协助答复质疑。</w:t>
      </w:r>
    </w:p>
    <w:p w14:paraId="3197B62F">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36.11质疑答复应当包含以下内容：</w:t>
      </w:r>
    </w:p>
    <w:p w14:paraId="57D077B6">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5B7742C3">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36.12采购人、采购代理机构认为供应商质疑不成立，或者成立但未对成交结果构成影响的，继续开展采购活动；认为供应商质疑成立且影响或者可能影响成交结果的，按照下列情况处理：</w:t>
      </w:r>
    </w:p>
    <w:p w14:paraId="7E441CC2">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(1)对磋商文件提出的质疑，依法通过澄清或者修改可以继续开展磋商活动；否则应当修改磋商文件后重新开展活动。</w:t>
      </w:r>
    </w:p>
    <w:p w14:paraId="59EC18D3">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(2)对磋商过程、成交结果提出的质疑，合格供应商符合法定数量时，可以从合格的成交候选人中另行确定成交供应商的，应当依法另行确定成交供应商；否则应当重新开展磋商活动。</w:t>
      </w:r>
    </w:p>
    <w:p w14:paraId="61268371">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(3)质疑答复导致成交结果改变的，采购或者采购代理机构应当将有关情况书面报告本机财政部门。</w:t>
      </w:r>
    </w:p>
    <w:p w14:paraId="60FD68A3">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36.13质疑供应商对采购人、采购代理机构的答复不满意，或者采购代理机构未在规定的时间内做出答复的，可以在答复期满后15个工作日内向政府采购监管部门投诉。</w:t>
      </w:r>
    </w:p>
    <w:p w14:paraId="1AC53894">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37.投诉</w:t>
      </w:r>
    </w:p>
    <w:p w14:paraId="5C93AD12">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37.1供应商认为磋商文件、采购过程、成交结果使自己的合法权益受到损害的，应当首先依法向采购代理机构提出质疑。对质疑答复不满意或者采购代理机构未在规定期限内做出答复的，质疑供应商可以在答复期满后十五个工作日内向政府采购管理处提起投诉。</w:t>
      </w:r>
    </w:p>
    <w:p w14:paraId="68319BC5">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37.2供应商投诉事项不得超出已质疑事项的范围。</w:t>
      </w:r>
    </w:p>
    <w:p w14:paraId="0032E52C">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37.3投诉人有下列情形之一的，属于虚假、恶意投诉，将列入不良行为记录名单，并依法予以处罚：</w:t>
      </w:r>
    </w:p>
    <w:p w14:paraId="2AA5FEB2">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（1）一年内三次以上投诉均查无实据的；</w:t>
      </w:r>
    </w:p>
    <w:p w14:paraId="3CE34B61">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（2）捏造事实或者提供虚假投诉材料的。</w:t>
      </w:r>
    </w:p>
    <w:p w14:paraId="1FE949F8">
      <w:pPr>
        <w:spacing w:line="360" w:lineRule="auto"/>
        <w:jc w:val="center"/>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(九) 其他</w:t>
      </w:r>
    </w:p>
    <w:p w14:paraId="477EB655">
      <w:pPr>
        <w:pStyle w:val="27"/>
        <w:numPr>
          <w:ilvl w:val="0"/>
          <w:numId w:val="0"/>
        </w:numPr>
        <w:snapToGrid w:val="0"/>
        <w:spacing w:line="360" w:lineRule="auto"/>
        <w:ind w:left="126" w:leftChars="60"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38.关于日期计算方法</w:t>
      </w:r>
    </w:p>
    <w:p w14:paraId="5B3172F4">
      <w:pPr>
        <w:pStyle w:val="27"/>
        <w:numPr>
          <w:ilvl w:val="0"/>
          <w:numId w:val="0"/>
        </w:numPr>
        <w:snapToGrid w:val="0"/>
        <w:spacing w:line="360" w:lineRule="auto"/>
        <w:ind w:left="126" w:leftChars="60" w:firstLine="352" w:firstLineChars="147"/>
        <w:textAlignment w:val="auto"/>
        <w:rPr>
          <w:rFonts w:hint="eastAsia" w:ascii="宋体" w:hAnsi="宋体" w:eastAsia="宋体" w:cs="宋体"/>
          <w:sz w:val="24"/>
          <w:szCs w:val="24"/>
        </w:rPr>
      </w:pPr>
      <w:r>
        <w:rPr>
          <w:rFonts w:hint="eastAsia" w:ascii="宋体" w:hAnsi="宋体" w:eastAsia="宋体" w:cs="宋体"/>
          <w:sz w:val="24"/>
          <w:szCs w:val="24"/>
        </w:rPr>
        <w:t>38.1本磋商文件规定按日计算期间的，开始当天不计入，从次日开始计算。期限的最后一日是国家法定节假日的，顺延到节假日后的次日为期限的最后一日。</w:t>
      </w:r>
    </w:p>
    <w:p w14:paraId="2DF96E3D">
      <w:pPr>
        <w:pStyle w:val="27"/>
        <w:numPr>
          <w:ilvl w:val="0"/>
          <w:numId w:val="0"/>
        </w:numPr>
        <w:snapToGrid w:val="0"/>
        <w:spacing w:line="360" w:lineRule="auto"/>
        <w:ind w:left="126" w:leftChars="60" w:firstLine="354" w:firstLineChars="147"/>
        <w:textAlignment w:val="auto"/>
        <w:rPr>
          <w:rFonts w:hint="eastAsia" w:ascii="宋体" w:hAnsi="宋体" w:eastAsia="宋体" w:cs="宋体"/>
          <w:b/>
          <w:sz w:val="24"/>
          <w:szCs w:val="24"/>
        </w:rPr>
      </w:pPr>
      <w:r>
        <w:rPr>
          <w:rFonts w:hint="eastAsia" w:ascii="宋体" w:hAnsi="宋体" w:eastAsia="宋体" w:cs="宋体"/>
          <w:b/>
          <w:sz w:val="24"/>
          <w:szCs w:val="24"/>
        </w:rPr>
        <w:t>39.违约处罚</w:t>
      </w:r>
    </w:p>
    <w:p w14:paraId="1091D89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39.1供应商发生下列情况之一的，磋商保证金将被没收，并可能被列入不良记录名单，同时代理机构将提请相关监管部门，依据相关规定作出处理。 </w:t>
      </w:r>
    </w:p>
    <w:p w14:paraId="52E7252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（1）开启后在响应文件有效期内，供应商撤回其响应文件；</w:t>
      </w:r>
    </w:p>
    <w:p w14:paraId="5C51B64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（2）在磋商期间，供应商企图影响代理机构或磋商小组的任何活动，将导致报价被拒绝，并由其承担相应的法律责任；</w:t>
      </w:r>
    </w:p>
    <w:p w14:paraId="2902928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（3）成交供应商未按本磋商文件规定签约； </w:t>
      </w:r>
    </w:p>
    <w:p w14:paraId="5C200C4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（4）成交供应商与采购方订立背离合同实质性内容的其它协议； </w:t>
      </w:r>
    </w:p>
    <w:p w14:paraId="731FFFD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（5）成交供应商未按磋商文件规定和合同约定履行义务的。</w:t>
      </w:r>
    </w:p>
    <w:p w14:paraId="2B4CF91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39.2采购方有下列情形之一的，由有关部门责令限期改正；情节严重的，给予警告：</w:t>
      </w:r>
    </w:p>
    <w:p w14:paraId="69C8A4F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（1）未按照本办法的规定编制磋商需求的；</w:t>
      </w:r>
    </w:p>
    <w:p w14:paraId="53E3672B">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（2）采购方向供应商索要或者接受其给予的赠品、回扣或者与磋商无关的其他商品、服务的；</w:t>
      </w:r>
    </w:p>
    <w:p w14:paraId="4ABD082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39.3磋商小组及其成员不得有下列行为：</w:t>
      </w:r>
    </w:p>
    <w:p w14:paraId="563EB06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（1）确定参与评审至评审结束前私自接触供应商；</w:t>
      </w:r>
    </w:p>
    <w:p w14:paraId="0A70BBC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（2）接受供应商提出的与响应文件不一致的澄清或者说明，对于响应文件中含义不明确、同类问题表述不一致或者有明显文字和计算错误的内容的情形除外；</w:t>
      </w:r>
    </w:p>
    <w:p w14:paraId="7B05A5B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（3）违反评审纪律发表倾向性意见或者征询采购方的倾向性意见；</w:t>
      </w:r>
    </w:p>
    <w:p w14:paraId="13F0C4F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（4）对需要专业判断的主观评审因素协商评分；</w:t>
      </w:r>
    </w:p>
    <w:p w14:paraId="0D2A11F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（5）在评审过程中擅离职守，影响评审程序正常进行的；</w:t>
      </w:r>
    </w:p>
    <w:p w14:paraId="24B8F1F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（6）记录、复制或者带走任何评标资料；</w:t>
      </w:r>
    </w:p>
    <w:p w14:paraId="2A6BA3F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（7）其他不遵守评标纪律的行为。</w:t>
      </w:r>
    </w:p>
    <w:p w14:paraId="1F931FD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磋商小组成员有前款第一至五项行为之一的，其评审意见无效，并不得获取评审劳务报酬和报销异地评审差旅费。</w:t>
      </w:r>
    </w:p>
    <w:p w14:paraId="2674F97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39.4代理机构或采购方有下列情形之一的，由相关部门责令限期改正，情节严重的，给予警告：</w:t>
      </w:r>
    </w:p>
    <w:p w14:paraId="7F97801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（1）代理机构及其分支机构在所代理的磋商项目中参与磋商活动的，为所代理的磋商项目的供应商参加本项目提供咨询的；</w:t>
      </w:r>
    </w:p>
    <w:p w14:paraId="09D8BAD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（2）未按照规定进行资格预审的；</w:t>
      </w:r>
    </w:p>
    <w:p w14:paraId="760D08E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（3）违反规定确定磋商文件售价的；</w:t>
      </w:r>
    </w:p>
    <w:p w14:paraId="5921381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（4）未按规定对磋商文件、评审活动进行全程录音录像的；</w:t>
      </w:r>
    </w:p>
    <w:p w14:paraId="378F7FC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（5）擅自终止磋商活动的；</w:t>
      </w:r>
    </w:p>
    <w:p w14:paraId="0F5B348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（6）未按照规定对响应文件进行解密和组织评审的；</w:t>
      </w:r>
    </w:p>
    <w:p w14:paraId="369AB2B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（7）未按照规定退还磋商保证金的；</w:t>
      </w:r>
    </w:p>
    <w:p w14:paraId="5A402F5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（8）违反本办法规定进行重新评审或者重新组建磋商小组进行评审的；</w:t>
      </w:r>
    </w:p>
    <w:p w14:paraId="33ECCC8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（9）开启前泄露已获取磋商文件的潜在供应商的名称、数量或者其他可能影响公平竞争的有关磋商活动情况的；</w:t>
      </w:r>
    </w:p>
    <w:p w14:paraId="0F127F8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（10）未妥善保存磋商采购文件的；</w:t>
      </w:r>
    </w:p>
    <w:p w14:paraId="0AF9216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（11）其他违反本办法规定的情形。</w:t>
      </w:r>
    </w:p>
    <w:p w14:paraId="76768F8E">
      <w:pPr>
        <w:pStyle w:val="27"/>
        <w:numPr>
          <w:ilvl w:val="0"/>
          <w:numId w:val="0"/>
        </w:numPr>
        <w:snapToGrid w:val="0"/>
        <w:spacing w:line="360" w:lineRule="auto"/>
        <w:ind w:left="126" w:leftChars="60" w:firstLine="354" w:firstLineChars="147"/>
        <w:textAlignment w:val="auto"/>
        <w:rPr>
          <w:rFonts w:hint="eastAsia" w:ascii="宋体" w:hAnsi="宋体" w:eastAsia="宋体" w:cs="宋体"/>
          <w:b/>
          <w:sz w:val="24"/>
          <w:szCs w:val="24"/>
        </w:rPr>
      </w:pPr>
      <w:bookmarkStart w:id="24" w:name="_Toc466533586"/>
      <w:r>
        <w:rPr>
          <w:rFonts w:hint="eastAsia" w:ascii="宋体" w:hAnsi="宋体" w:eastAsia="宋体" w:cs="宋体"/>
          <w:b/>
          <w:sz w:val="24"/>
          <w:szCs w:val="24"/>
        </w:rPr>
        <w:t>40. 相关政策要求（如涉及）</w:t>
      </w:r>
    </w:p>
    <w:p w14:paraId="346F10A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7D999FF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本文件采购产品中属于政府强制采购节能产品的，供应商必须响应“节能产品政府采购品目清单”范围内的产品，需将政府强制采购产品如实填写到《政府强制采购产品明细表》，并提供所响应产品获得国家确定的认证机构出具的、处于有效期之内的节能产品认证证书扫描件或影印件。</w:t>
      </w:r>
    </w:p>
    <w:p w14:paraId="788E019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（3）本文件未列出政府强制采购产品的，供应商可响应“节能产品政府采购品目清单”中非政府强制采购节能产品或其范围以外的产品。</w:t>
      </w:r>
    </w:p>
    <w:p w14:paraId="5BC10A1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供应商投报“节能产品政府采购品目清单、环境标志产品政府采购品目清单”中非政府强制采购产品的将实行优先采购政策，按照本项目评分标准进行评审。供应商需将非政府强制采购产品如实填写到《非政府强制采购产品明细表》，并提供所投产品获得国家确定的认证机构出具的、处于有效期之内的节能产品、环境标志产品认证证书扫描件或影印件。</w:t>
      </w:r>
    </w:p>
    <w:p w14:paraId="7D75B5D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（5）承诺所响应的计算机预装正版操作系统，硬件产品内的预装软件为正版软件。</w:t>
      </w:r>
    </w:p>
    <w:p w14:paraId="16E8F73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（6）所响应信息安全产品属于《信息安全产品强制性认证目录》中的产品，须提供有效认证证书扫描件或影印件，否则将可能导致响应无效。</w:t>
      </w:r>
    </w:p>
    <w:p w14:paraId="6D06E84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（7）中小企业参加本项目的评审标准</w:t>
      </w:r>
    </w:p>
    <w:p w14:paraId="30738E9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①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6554718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②小型、微企业只有提供本企业制造的货物或者服务，或者大、中型提供其他小型、微企业制造的货物，享受所报货物15%的价格折扣。</w:t>
      </w:r>
    </w:p>
    <w:p w14:paraId="2CD1D05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③小型、微型企业提供的货物既有小型、微型企业制造货物，也有大型企业、中型企业制造货物的，不享受价格折扣。</w:t>
      </w:r>
    </w:p>
    <w:p w14:paraId="6E070B9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④联合体价格折扣：采用大中型企业与小微企业组成联合体或者大中型企业向小微企业分句采购合同的，评审优惠幅度为1%-2%或者在原报价得分的基础上增加其价格得分的1%-2%。</w:t>
      </w:r>
    </w:p>
    <w:p w14:paraId="718AE7E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⑤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2B3F8B9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（8）残疾人福利性单位参加本项目的评审标准</w:t>
      </w:r>
    </w:p>
    <w:p w14:paraId="0E82EDE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①须根据财库【2017】141号《关于促进残疾人就业政府采购政策的通知》的要求，如实填写残疾人福利性单位声明函。</w:t>
      </w:r>
    </w:p>
    <w:p w14:paraId="2FB2111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②享受政府采购支持政策的残疾人福利性单位应当同时满足以下条件：</w:t>
      </w:r>
    </w:p>
    <w:p w14:paraId="5274173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A.安置的残疾人占本单位在职职工人数的比例不低于25%（含25%），并且安置的残疾人人数不少于10人（含10人）；</w:t>
      </w:r>
    </w:p>
    <w:p w14:paraId="2D58FBF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B.依法与安置的每位残疾人签订了一年以上（含一年）的劳动合同或服务协议；</w:t>
      </w:r>
    </w:p>
    <w:p w14:paraId="12D929E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C.为安置的每位残疾人按月足额缴纳了基本养老保险、基本医疗保险、失业保险、工伤保险和生育保险等社会保险费；</w:t>
      </w:r>
    </w:p>
    <w:p w14:paraId="3592765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D.通过银行等金融机构向安置的每位残疾人，按月支付了不低于单位所在区县适用的经省级人民政府批准的月最低工资标准的工资；</w:t>
      </w:r>
    </w:p>
    <w:p w14:paraId="4C218AF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E．提供本单位制造的货物、承担的工程或者服务（以下简称产品），或者提供其他残疾人福利性单位制造的货物（不包括使用非残疾人福利性单位注册商标的货物）。</w:t>
      </w:r>
    </w:p>
    <w:p w14:paraId="09E0020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6A69E5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③供应商提供的《残疾人福利性单位声明函》与事实不符的，依照《政府采购法》第七十七条第一款的规定追究法律责任。</w:t>
      </w:r>
    </w:p>
    <w:p w14:paraId="07DCAE3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④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EA097AB">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（9）监狱企业参加本项目投标的要求</w:t>
      </w:r>
    </w:p>
    <w:p w14:paraId="75F69FD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①监狱企业参与政府采购活动时，视同小微企业，需提供由省级以上监狱管理局或戒毒管理局出具的属于监狱企业的证明文件。</w:t>
      </w:r>
    </w:p>
    <w:p w14:paraId="10426A8B">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②监狱企业只有提供本企业制造的货物或服务，或者提供其他小、微企业制造的货物，享受投标货物的价格折扣。</w:t>
      </w:r>
    </w:p>
    <w:p w14:paraId="578037E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③监狱企业与大、中型企业组成联合体参加政府采购活动时，或者向监狱企业分包，且联合体协议或分包意向协议约定监狱企业的协议金额占到合同金额30%以上的，对标的总价给予3%的价格扣除，用扣除后的价格参与评审。</w:t>
      </w:r>
    </w:p>
    <w:p w14:paraId="59145A4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（10）本项目涉及创新产品、创新服务的评审标准</w:t>
      </w:r>
    </w:p>
    <w:p w14:paraId="576C2E0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①供应商投报产品或服务属于《山西省创新产品和服务推荐清单》中创新产品或创新服务的，在评审时，享受投报产品5%的价格折扣，以折扣后的价格参与评审。</w:t>
      </w:r>
    </w:p>
    <w:p w14:paraId="34071C3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②供应商响应创新产品或创新服务的，应在响应文件中填写《创新产品或创新服务明细表》，并提供《山西省创新产品和服务推荐清单》。</w:t>
      </w:r>
    </w:p>
    <w:p w14:paraId="3ECAEAC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③创新产品或创新服务的价格折扣政策可与其他政府采购政策叠加。</w:t>
      </w:r>
    </w:p>
    <w:p w14:paraId="4E05108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（11）本项目涉及商品包装和快递包装的评审标准：</w:t>
      </w:r>
    </w:p>
    <w:p w14:paraId="799A420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本文件列出商品包装和快递包装要求的，供应商需填写商品包装和快递包装承诺函，承诺商品包装符合《商品包装政府采购需求标准（试行）》，快递包装符合《快递包装政府采购需求标准（试行）》。</w:t>
      </w:r>
    </w:p>
    <w:p w14:paraId="5C8B4E1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12）《关于推动解决政府采购异常低价问题的通知》（财库〔2026〕2号）二、强化政府采购异常低价审查</w:t>
      </w:r>
    </w:p>
    <w:p w14:paraId="23D527A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（一）采购人应当在采购文件中明确，政府采购评审中出现下列情形之一的，评审委员会应当启动异常低价投标（响应）审查程序：</w:t>
      </w:r>
    </w:p>
    <w:p w14:paraId="07EBAE9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1.投标（响应）报价低于全部通过符合性审查供应商投标（响应）报价平均值50%的，即投标（响应）报价&lt;全部通过符合性审查供应商投标（响应）报价平均值×50%；</w:t>
      </w:r>
    </w:p>
    <w:p w14:paraId="2AC11C5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2.投标（响应）报价低于通过符合性审查的次低报价供应商投标（响应）报价50%的，即投标（响应）报价&lt;通过符合性审查的次低报价供应商投标（响应）报价×50%；</w:t>
      </w:r>
    </w:p>
    <w:p w14:paraId="63E2BDA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3.投标（响应）报价低于采购项目最高限价45%的，即投标（响应）报价&lt;采购项目最高限价×45%；</w:t>
      </w:r>
    </w:p>
    <w:p w14:paraId="73D148C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4.评审委员会基于专业判断，认为供应商报价过低，有可能影响产品质量或者不能诚信履约的其他情形。</w:t>
      </w:r>
    </w:p>
    <w:p w14:paraId="4F19B67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4"/>
        </w:rPr>
      </w:pPr>
      <w:r>
        <w:rPr>
          <w:rFonts w:hint="eastAsia" w:ascii="宋体" w:hAnsi="宋体" w:eastAsia="宋体" w:cs="宋体"/>
          <w:b/>
          <w:bCs/>
          <w:sz w:val="24"/>
        </w:rPr>
        <w:t>41.“政采智贷”告知事项</w:t>
      </w:r>
    </w:p>
    <w:p w14:paraId="1B083F2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    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p>
    <w:bookmarkEnd w:id="24"/>
    <w:p w14:paraId="52C85F4A">
      <w:pPr>
        <w:pStyle w:val="3"/>
        <w:jc w:val="center"/>
        <w:rPr>
          <w:rFonts w:hint="eastAsia" w:ascii="宋体" w:hAnsi="宋体" w:eastAsia="宋体" w:cs="宋体"/>
          <w:sz w:val="28"/>
          <w:szCs w:val="28"/>
        </w:rPr>
      </w:pPr>
      <w:bookmarkStart w:id="25" w:name="_Toc15983"/>
      <w:r>
        <w:rPr>
          <w:rFonts w:hint="eastAsia" w:ascii="宋体" w:hAnsi="宋体" w:eastAsia="宋体" w:cs="宋体"/>
          <w:sz w:val="28"/>
          <w:szCs w:val="28"/>
        </w:rPr>
        <w:t>第四部分  评审方法和标准</w:t>
      </w:r>
      <w:bookmarkEnd w:id="25"/>
    </w:p>
    <w:p w14:paraId="2C6BB64C">
      <w:pPr>
        <w:pStyle w:val="13"/>
        <w:tabs>
          <w:tab w:val="left" w:pos="2475"/>
          <w:tab w:val="center" w:pos="4873"/>
        </w:tabs>
        <w:spacing w:line="360" w:lineRule="auto"/>
        <w:ind w:firstLine="472" w:firstLineChars="196"/>
        <w:rPr>
          <w:rFonts w:hint="eastAsia" w:ascii="宋体" w:hAnsi="宋体" w:eastAsia="宋体" w:cs="宋体"/>
          <w:b/>
          <w:sz w:val="24"/>
          <w:szCs w:val="24"/>
        </w:rPr>
      </w:pPr>
      <w:bookmarkStart w:id="26" w:name="_Toc104232619"/>
      <w:bookmarkStart w:id="27" w:name="_Toc20317"/>
      <w:r>
        <w:rPr>
          <w:rFonts w:hint="eastAsia" w:ascii="宋体" w:hAnsi="宋体" w:eastAsia="宋体" w:cs="宋体"/>
          <w:b/>
          <w:sz w:val="24"/>
          <w:szCs w:val="24"/>
        </w:rPr>
        <w:t>1.采购人对项目背景和采购需求的说明内容及要求</w:t>
      </w:r>
      <w:bookmarkEnd w:id="26"/>
      <w:bookmarkEnd w:id="27"/>
    </w:p>
    <w:p w14:paraId="378A7FA6">
      <w:pPr>
        <w:pStyle w:val="13"/>
        <w:tabs>
          <w:tab w:val="left" w:pos="2475"/>
          <w:tab w:val="center" w:pos="4873"/>
        </w:tabs>
        <w:spacing w:line="360" w:lineRule="auto"/>
        <w:ind w:firstLine="480" w:firstLineChars="200"/>
        <w:rPr>
          <w:rFonts w:hint="eastAsia" w:ascii="宋体" w:hAnsi="宋体" w:eastAsia="宋体" w:cs="宋体"/>
          <w:sz w:val="24"/>
          <w:szCs w:val="24"/>
        </w:rPr>
      </w:pPr>
      <w:bookmarkStart w:id="28" w:name="_Toc104232620"/>
      <w:bookmarkStart w:id="29" w:name="_Toc19057"/>
      <w:r>
        <w:rPr>
          <w:rFonts w:hint="eastAsia" w:ascii="宋体" w:hAnsi="宋体" w:eastAsia="宋体" w:cs="宋体"/>
          <w:sz w:val="24"/>
          <w:szCs w:val="24"/>
        </w:rPr>
        <w:t>1.1采购人在评审前说明项目背景和采购需求时，说明内容不得含有歧视性、倾向性意见，不得超出磋商文件所述范围。</w:t>
      </w:r>
      <w:bookmarkEnd w:id="28"/>
      <w:bookmarkEnd w:id="29"/>
    </w:p>
    <w:p w14:paraId="6065E2CC">
      <w:pPr>
        <w:pStyle w:val="13"/>
        <w:tabs>
          <w:tab w:val="left" w:pos="2475"/>
          <w:tab w:val="center" w:pos="4873"/>
        </w:tabs>
        <w:spacing w:line="360" w:lineRule="auto"/>
        <w:ind w:firstLine="480" w:firstLineChars="200"/>
        <w:rPr>
          <w:rFonts w:hint="eastAsia" w:ascii="宋体" w:hAnsi="宋体" w:eastAsia="宋体" w:cs="宋体"/>
          <w:sz w:val="24"/>
          <w:szCs w:val="24"/>
        </w:rPr>
      </w:pPr>
      <w:bookmarkStart w:id="30" w:name="_Toc17086"/>
      <w:bookmarkStart w:id="31" w:name="_Toc104232621"/>
      <w:r>
        <w:rPr>
          <w:rFonts w:hint="eastAsia" w:ascii="宋体" w:hAnsi="宋体" w:eastAsia="宋体" w:cs="宋体"/>
          <w:sz w:val="24"/>
          <w:szCs w:val="24"/>
        </w:rPr>
        <w:t>1.2说明内容应当提交书面材料，并存档。</w:t>
      </w:r>
      <w:bookmarkEnd w:id="30"/>
      <w:bookmarkEnd w:id="31"/>
    </w:p>
    <w:p w14:paraId="304166D1">
      <w:pPr>
        <w:pStyle w:val="13"/>
        <w:tabs>
          <w:tab w:val="left" w:pos="2475"/>
          <w:tab w:val="center" w:pos="4873"/>
        </w:tabs>
        <w:spacing w:line="360" w:lineRule="auto"/>
        <w:ind w:firstLine="472" w:firstLineChars="196"/>
        <w:rPr>
          <w:rFonts w:hint="eastAsia" w:ascii="宋体" w:hAnsi="宋体" w:eastAsia="宋体" w:cs="宋体"/>
          <w:b/>
          <w:sz w:val="24"/>
          <w:szCs w:val="24"/>
          <w:shd w:val="clear" w:color="auto" w:fill="FFFFFF"/>
        </w:rPr>
      </w:pPr>
      <w:bookmarkStart w:id="32" w:name="_Toc104232622"/>
      <w:bookmarkStart w:id="33" w:name="_Toc21738"/>
      <w:r>
        <w:rPr>
          <w:rFonts w:hint="eastAsia" w:ascii="宋体" w:hAnsi="宋体" w:eastAsia="宋体" w:cs="宋体"/>
          <w:b/>
          <w:sz w:val="24"/>
          <w:szCs w:val="24"/>
          <w:shd w:val="clear" w:color="auto" w:fill="FFFFFF"/>
        </w:rPr>
        <w:t>2.评审依据</w:t>
      </w:r>
      <w:bookmarkEnd w:id="32"/>
      <w:bookmarkEnd w:id="33"/>
    </w:p>
    <w:p w14:paraId="6535186B">
      <w:pPr>
        <w:pStyle w:val="13"/>
        <w:tabs>
          <w:tab w:val="left" w:pos="2475"/>
          <w:tab w:val="center" w:pos="4873"/>
        </w:tabs>
        <w:spacing w:line="360" w:lineRule="auto"/>
        <w:ind w:firstLine="480" w:firstLineChars="200"/>
        <w:rPr>
          <w:rFonts w:hint="eastAsia" w:ascii="宋体" w:hAnsi="宋体" w:eastAsia="宋体" w:cs="宋体"/>
          <w:sz w:val="24"/>
          <w:szCs w:val="24"/>
          <w:shd w:val="clear" w:color="auto" w:fill="FFFFFF"/>
        </w:rPr>
      </w:pPr>
      <w:bookmarkStart w:id="34" w:name="_Toc104232623"/>
      <w:bookmarkStart w:id="35" w:name="_Toc17952"/>
      <w:r>
        <w:rPr>
          <w:rFonts w:hint="eastAsia" w:ascii="宋体" w:hAnsi="宋体" w:eastAsia="宋体" w:cs="宋体"/>
          <w:sz w:val="24"/>
          <w:szCs w:val="24"/>
          <w:shd w:val="clear" w:color="auto" w:fill="FFFFFF"/>
        </w:rPr>
        <w:t>2.1磋商小组依据政府采购相关法律法规、磋商文件的有关规定以及供应商提交的响应文件对供应商资格进行审查。</w:t>
      </w:r>
      <w:bookmarkEnd w:id="34"/>
      <w:bookmarkEnd w:id="35"/>
    </w:p>
    <w:p w14:paraId="420349A3">
      <w:pPr>
        <w:pStyle w:val="13"/>
        <w:tabs>
          <w:tab w:val="left" w:pos="2475"/>
          <w:tab w:val="center" w:pos="4873"/>
        </w:tabs>
        <w:spacing w:line="360" w:lineRule="auto"/>
        <w:ind w:firstLine="480" w:firstLineChars="200"/>
        <w:rPr>
          <w:rFonts w:hint="eastAsia" w:ascii="宋体" w:hAnsi="宋体" w:eastAsia="宋体" w:cs="宋体"/>
          <w:sz w:val="24"/>
          <w:szCs w:val="24"/>
        </w:rPr>
      </w:pPr>
      <w:bookmarkStart w:id="36" w:name="_Toc104232624"/>
      <w:bookmarkStart w:id="37" w:name="_Toc28797"/>
      <w:r>
        <w:rPr>
          <w:rFonts w:hint="eastAsia" w:ascii="宋体" w:hAnsi="宋体" w:eastAsia="宋体" w:cs="宋体"/>
          <w:sz w:val="24"/>
          <w:szCs w:val="24"/>
          <w:shd w:val="clear" w:color="auto" w:fill="FFFFFF"/>
        </w:rPr>
        <w:t>2.2</w:t>
      </w:r>
      <w:r>
        <w:rPr>
          <w:rFonts w:hint="eastAsia" w:ascii="宋体" w:hAnsi="宋体" w:eastAsia="宋体" w:cs="宋体"/>
          <w:sz w:val="24"/>
          <w:szCs w:val="24"/>
        </w:rPr>
        <w:t>磋商小组按照磋商文件中规定的评审方法和标准，对符合性审查合格的响应文件进行商务和技术评估，综合比较与评价。</w:t>
      </w:r>
      <w:bookmarkEnd w:id="36"/>
      <w:bookmarkEnd w:id="37"/>
    </w:p>
    <w:p w14:paraId="3E7B900E">
      <w:pPr>
        <w:pStyle w:val="13"/>
        <w:tabs>
          <w:tab w:val="left" w:pos="2475"/>
          <w:tab w:val="center" w:pos="4873"/>
        </w:tabs>
        <w:spacing w:line="360" w:lineRule="auto"/>
        <w:ind w:firstLine="480" w:firstLineChars="200"/>
        <w:rPr>
          <w:rFonts w:hint="eastAsia" w:ascii="宋体" w:hAnsi="宋体" w:eastAsia="宋体" w:cs="宋体"/>
          <w:sz w:val="24"/>
          <w:szCs w:val="24"/>
        </w:rPr>
      </w:pPr>
      <w:bookmarkStart w:id="38" w:name="_Toc104232625"/>
      <w:bookmarkStart w:id="39" w:name="_Toc22492"/>
      <w:r>
        <w:rPr>
          <w:rFonts w:hint="eastAsia" w:ascii="宋体" w:hAnsi="宋体" w:eastAsia="宋体" w:cs="宋体"/>
          <w:sz w:val="24"/>
          <w:szCs w:val="24"/>
        </w:rPr>
        <w:t>2.3磋商小组只根据响应文件本身的内容来</w:t>
      </w:r>
      <w:r>
        <w:rPr>
          <w:rFonts w:hint="eastAsia" w:ascii="宋体" w:hAnsi="宋体" w:eastAsia="宋体" w:cs="宋体"/>
          <w:sz w:val="24"/>
          <w:szCs w:val="24"/>
          <w:shd w:val="clear" w:color="auto" w:fill="FFFFFF"/>
        </w:rPr>
        <w:t>判定响应文件的响应性，而不寻求外部的证</w:t>
      </w:r>
      <w:r>
        <w:rPr>
          <w:rFonts w:hint="eastAsia" w:ascii="宋体" w:hAnsi="宋体" w:eastAsia="宋体" w:cs="宋体"/>
          <w:sz w:val="24"/>
          <w:szCs w:val="24"/>
        </w:rPr>
        <w:t>据。</w:t>
      </w:r>
      <w:bookmarkEnd w:id="38"/>
      <w:bookmarkEnd w:id="39"/>
    </w:p>
    <w:p w14:paraId="64D15A1B">
      <w:pPr>
        <w:pStyle w:val="13"/>
        <w:tabs>
          <w:tab w:val="left" w:pos="2475"/>
          <w:tab w:val="center" w:pos="4873"/>
        </w:tabs>
        <w:spacing w:line="360" w:lineRule="auto"/>
        <w:ind w:firstLine="472" w:firstLineChars="196"/>
        <w:rPr>
          <w:rFonts w:hint="eastAsia" w:ascii="宋体" w:hAnsi="宋体" w:eastAsia="宋体" w:cs="宋体"/>
          <w:b/>
          <w:sz w:val="24"/>
          <w:szCs w:val="24"/>
          <w:shd w:val="clear" w:color="auto" w:fill="FFFFFF"/>
        </w:rPr>
      </w:pPr>
      <w:bookmarkStart w:id="40" w:name="_Toc3335"/>
      <w:bookmarkStart w:id="41" w:name="_Toc104232626"/>
      <w:r>
        <w:rPr>
          <w:rFonts w:hint="eastAsia" w:ascii="宋体" w:hAnsi="宋体" w:eastAsia="宋体" w:cs="宋体"/>
          <w:b/>
          <w:sz w:val="24"/>
          <w:szCs w:val="24"/>
          <w:shd w:val="clear" w:color="auto" w:fill="FFFFFF"/>
        </w:rPr>
        <w:t>3.评审过程的保密</w:t>
      </w:r>
      <w:bookmarkEnd w:id="40"/>
      <w:bookmarkEnd w:id="41"/>
    </w:p>
    <w:p w14:paraId="0662118A">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3.1磋商小组、采购代理机构等有关人员对评审情况以及在评审过程中获悉的国家秘密、商业秘密等负有保密责任，均不得向供应商或其他无关人员透露。</w:t>
      </w:r>
    </w:p>
    <w:p w14:paraId="5D1D672F">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3.2磋商小组和采购代理机构均无义务向供应商进行任何有关评审的解释。</w:t>
      </w:r>
    </w:p>
    <w:p w14:paraId="304B5EF0">
      <w:pPr>
        <w:tabs>
          <w:tab w:val="left" w:pos="567"/>
        </w:tabs>
        <w:snapToGrid w:val="0"/>
        <w:spacing w:line="360" w:lineRule="auto"/>
        <w:ind w:firstLine="480" w:firstLineChars="200"/>
        <w:jc w:val="left"/>
        <w:rPr>
          <w:rFonts w:hint="eastAsia" w:ascii="宋体" w:hAnsi="宋体" w:eastAsia="宋体" w:cs="宋体"/>
          <w:sz w:val="24"/>
          <w:shd w:val="clear" w:color="auto" w:fill="FFFFFF"/>
        </w:rPr>
      </w:pPr>
      <w:r>
        <w:rPr>
          <w:rFonts w:hint="eastAsia" w:ascii="宋体" w:hAnsi="宋体" w:eastAsia="宋体" w:cs="宋体"/>
          <w:sz w:val="24"/>
          <w:shd w:val="clear" w:color="auto" w:fill="FFFFFF"/>
        </w:rPr>
        <w:t>3.3磋商开始，直到授予成交供应商合同止，凡是属于审查、澄清、评价和比较磋商的有关资料等，均不得向供应商或其他与磋商无关的人员透露。</w:t>
      </w:r>
    </w:p>
    <w:p w14:paraId="5F8EBCA6">
      <w:pPr>
        <w:tabs>
          <w:tab w:val="left" w:pos="567"/>
        </w:tabs>
        <w:snapToGrid w:val="0"/>
        <w:spacing w:line="360" w:lineRule="auto"/>
        <w:ind w:firstLine="480" w:firstLineChars="200"/>
        <w:jc w:val="left"/>
        <w:rPr>
          <w:rFonts w:hint="eastAsia" w:ascii="宋体" w:hAnsi="宋体" w:eastAsia="宋体" w:cs="宋体"/>
          <w:sz w:val="20"/>
          <w:szCs w:val="22"/>
        </w:rPr>
      </w:pPr>
      <w:r>
        <w:rPr>
          <w:rFonts w:hint="eastAsia" w:ascii="宋体" w:hAnsi="宋体" w:eastAsia="宋体" w:cs="宋体"/>
          <w:sz w:val="24"/>
          <w:shd w:val="clear" w:color="auto" w:fill="FFFFFF"/>
        </w:rPr>
        <w:t>3.4磋商结束后，参与评审的所有人员不得带走与相关规定要求违背的任何资料。</w:t>
      </w:r>
    </w:p>
    <w:p w14:paraId="6344F693">
      <w:pPr>
        <w:pStyle w:val="13"/>
        <w:tabs>
          <w:tab w:val="left" w:pos="2475"/>
          <w:tab w:val="center" w:pos="4873"/>
        </w:tabs>
        <w:spacing w:line="360" w:lineRule="auto"/>
        <w:ind w:firstLine="477" w:firstLineChars="198"/>
        <w:rPr>
          <w:rFonts w:hint="eastAsia" w:ascii="宋体" w:hAnsi="宋体" w:eastAsia="宋体" w:cs="宋体"/>
          <w:b/>
          <w:sz w:val="24"/>
          <w:szCs w:val="24"/>
        </w:rPr>
      </w:pPr>
      <w:bookmarkStart w:id="42" w:name="_Toc3999"/>
      <w:bookmarkStart w:id="43" w:name="_Toc104232627"/>
      <w:r>
        <w:rPr>
          <w:rFonts w:hint="eastAsia" w:ascii="宋体" w:hAnsi="宋体" w:eastAsia="宋体" w:cs="宋体"/>
          <w:b/>
          <w:sz w:val="24"/>
          <w:szCs w:val="24"/>
        </w:rPr>
        <w:t>4.评审</w:t>
      </w:r>
      <w:bookmarkEnd w:id="42"/>
      <w:bookmarkEnd w:id="43"/>
    </w:p>
    <w:p w14:paraId="1AEDE65A">
      <w:pPr>
        <w:pStyle w:val="13"/>
        <w:tabs>
          <w:tab w:val="left" w:pos="2475"/>
          <w:tab w:val="center" w:pos="4873"/>
        </w:tabs>
        <w:spacing w:line="360" w:lineRule="auto"/>
        <w:ind w:firstLine="475" w:firstLineChars="198"/>
        <w:rPr>
          <w:rFonts w:hint="eastAsia" w:ascii="宋体" w:hAnsi="宋体" w:eastAsia="宋体" w:cs="宋体"/>
          <w:sz w:val="24"/>
          <w:szCs w:val="24"/>
        </w:rPr>
      </w:pPr>
      <w:bookmarkStart w:id="44" w:name="_Toc13759"/>
      <w:bookmarkStart w:id="45" w:name="_Toc104232628"/>
      <w:r>
        <w:rPr>
          <w:rFonts w:hint="eastAsia" w:ascii="宋体" w:hAnsi="宋体" w:eastAsia="宋体" w:cs="宋体"/>
          <w:sz w:val="24"/>
          <w:szCs w:val="24"/>
        </w:rPr>
        <w:t>4.1本项目采用综合评分法。综合评分法，是指响应文件满足磋商文件全部实质性要求且按照评审因素的量化指标评审得分最高的供应商为成交（候选）供应商的评审方法。</w:t>
      </w:r>
      <w:bookmarkEnd w:id="44"/>
      <w:bookmarkEnd w:id="45"/>
    </w:p>
    <w:p w14:paraId="5B687970">
      <w:pPr>
        <w:pStyle w:val="13"/>
        <w:tabs>
          <w:tab w:val="left" w:pos="2475"/>
          <w:tab w:val="center" w:pos="4873"/>
        </w:tabs>
        <w:spacing w:line="360" w:lineRule="auto"/>
        <w:ind w:firstLine="475" w:firstLineChars="198"/>
        <w:rPr>
          <w:rFonts w:hint="eastAsia" w:ascii="宋体" w:hAnsi="宋体" w:eastAsia="宋体" w:cs="宋体"/>
          <w:sz w:val="24"/>
          <w:szCs w:val="24"/>
        </w:rPr>
      </w:pPr>
      <w:bookmarkStart w:id="46" w:name="_Toc104232629"/>
      <w:bookmarkStart w:id="47" w:name="_Toc15634"/>
      <w:r>
        <w:rPr>
          <w:rFonts w:hint="eastAsia" w:ascii="宋体" w:hAnsi="宋体" w:eastAsia="宋体" w:cs="宋体"/>
          <w:sz w:val="24"/>
          <w:szCs w:val="24"/>
        </w:rPr>
        <w:t>4.2磋商小组成员首先对磋商文件进行资格性、符合性审查，并签字确认。如磋商文件内容中存在违反国家有关强制性规定的或歧视性等条款，应当向采购代理机构说明，并停止本项目评审（评审意见不一致时，遵循少数服从多数的原则）。</w:t>
      </w:r>
      <w:bookmarkEnd w:id="46"/>
      <w:bookmarkEnd w:id="47"/>
    </w:p>
    <w:p w14:paraId="0EB67559">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4.3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1CEB6DBA">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4.4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性响应磋商文件要求。</w:t>
      </w:r>
    </w:p>
    <w:p w14:paraId="7DB3D418">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4.5磋商小组各评审专家与符合磋商文件要求的供应商进行磋商。</w:t>
      </w:r>
    </w:p>
    <w:p w14:paraId="01CB498C">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4.6评审结束，对未实质性响应磋商文件的响应文件按无效响应处理。</w:t>
      </w:r>
    </w:p>
    <w:p w14:paraId="7419BCBE">
      <w:pPr>
        <w:spacing w:line="360" w:lineRule="auto"/>
        <w:ind w:firstLine="472" w:firstLineChars="196"/>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5.磋商</w:t>
      </w:r>
    </w:p>
    <w:p w14:paraId="611C531F">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5.1磋商小组成员与实质性响应磋商文件要求的供应商就本次采购需求中的商务、技术及服务要求等内容通过“政采云系统”分别进行磋商。</w:t>
      </w:r>
    </w:p>
    <w:p w14:paraId="700EFA39">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5.2磋商小组可以根据磋商文件和磋商情况实质性变动采购需求中的商务、技术及服务要求等内容，但不得变动磋商文件中的其他内容。实质性变动的内容，需经采购人代表签字确认。</w:t>
      </w:r>
    </w:p>
    <w:p w14:paraId="239DEE89">
      <w:pPr>
        <w:tabs>
          <w:tab w:val="left" w:pos="567"/>
        </w:tabs>
        <w:snapToGrid w:val="0"/>
        <w:spacing w:line="360" w:lineRule="auto"/>
        <w:ind w:firstLine="480" w:firstLineChars="200"/>
        <w:jc w:val="left"/>
        <w:rPr>
          <w:rFonts w:hint="eastAsia" w:ascii="宋体" w:hAnsi="宋体" w:eastAsia="宋体" w:cs="宋体"/>
          <w:b/>
          <w:sz w:val="24"/>
          <w:shd w:val="clear" w:color="auto" w:fill="FFFFFF"/>
        </w:rPr>
      </w:pPr>
      <w:r>
        <w:rPr>
          <w:rFonts w:hint="eastAsia" w:ascii="宋体" w:hAnsi="宋体" w:eastAsia="宋体" w:cs="宋体"/>
          <w:sz w:val="24"/>
        </w:rPr>
        <w:t>5.3在磋商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3370F131">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5.4存在下列情况之一者将视为响应无效：</w:t>
      </w:r>
    </w:p>
    <w:p w14:paraId="4073D9B9">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（1）未在规定时间内提交对询标函所有内容做出答复函的；</w:t>
      </w:r>
    </w:p>
    <w:p w14:paraId="2B58622F">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（2）未在答复函中由法定代表人或其授权代表签字或加盖电子CA章的；</w:t>
      </w:r>
    </w:p>
    <w:p w14:paraId="2214F921">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（3）未按磋商小组要求对响应文件进行澄清（说明或者更正）的；</w:t>
      </w:r>
    </w:p>
    <w:p w14:paraId="6C8FC7F8">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（4）磋商小组对答复内容经过评审后认为其没有对磋商内容作出实质性响应的；</w:t>
      </w:r>
    </w:p>
    <w:p w14:paraId="04BF4D53">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（5）存在采购人不能接受内容的情形。</w:t>
      </w:r>
    </w:p>
    <w:p w14:paraId="0206652A">
      <w:pPr>
        <w:tabs>
          <w:tab w:val="left" w:pos="567"/>
        </w:tabs>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5.5磋商小组将与通过符合性审查的供应商逐一磋商、综合评审，确定进入下一轮报价的供应商。</w:t>
      </w:r>
    </w:p>
    <w:p w14:paraId="793C70A7">
      <w:pPr>
        <w:spacing w:line="360" w:lineRule="auto"/>
        <w:ind w:firstLine="472" w:firstLineChars="196"/>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6.响应文件的澄清</w:t>
      </w:r>
    </w:p>
    <w:p w14:paraId="4318A1DA">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6.1响应文件中有含义不明确的内容、明显文字或者计算错误，磋商小组认为需要供应商作出必要澄清、说明的，以书面形式通知该供应商。</w:t>
      </w:r>
    </w:p>
    <w:p w14:paraId="5EC21E35">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 xml:space="preserve">6.2供应商的澄清、说明应当采用书面形式,并不得超出响应文件的范围或者改变响应文件的实质性内容。  </w:t>
      </w:r>
    </w:p>
    <w:p w14:paraId="2B0A4914">
      <w:pPr>
        <w:spacing w:line="360" w:lineRule="auto"/>
        <w:ind w:firstLine="470" w:firstLineChars="196"/>
        <w:rPr>
          <w:rFonts w:hint="eastAsia" w:ascii="宋体" w:hAnsi="宋体" w:eastAsia="宋体" w:cs="宋体"/>
          <w:sz w:val="24"/>
          <w:shd w:val="clear" w:color="auto" w:fill="FFFFFF"/>
        </w:rPr>
      </w:pPr>
      <w:r>
        <w:rPr>
          <w:rFonts w:hint="eastAsia" w:ascii="宋体" w:hAnsi="宋体" w:eastAsia="宋体" w:cs="宋体"/>
          <w:sz w:val="24"/>
        </w:rPr>
        <w:t>6.3磋商小组要求供应商澄清的事项，供应商</w:t>
      </w:r>
      <w:r>
        <w:rPr>
          <w:rFonts w:hint="eastAsia" w:ascii="宋体" w:hAnsi="宋体" w:eastAsia="宋体" w:cs="宋体"/>
          <w:sz w:val="24"/>
          <w:shd w:val="clear" w:color="auto" w:fill="FFFFFF"/>
        </w:rPr>
        <w:t>应由法定代表人或其全权代理人在规定时间内向磋商小组做出书面答复，并由法定代表人或其全权代理人签字（或加盖供应商公章），否则视为自动放弃。</w:t>
      </w:r>
    </w:p>
    <w:p w14:paraId="37EE5EF3">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6.4磋商小组不得暗示或者诱导供应商作出澄清、说明，不得接受供应商主动提出的澄清、说明。</w:t>
      </w:r>
    </w:p>
    <w:p w14:paraId="66F6B70E">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7.评审事项处理原则</w:t>
      </w:r>
    </w:p>
    <w:p w14:paraId="23D9387B">
      <w:pPr>
        <w:spacing w:line="360" w:lineRule="auto"/>
        <w:ind w:firstLine="480" w:firstLineChars="200"/>
        <w:rPr>
          <w:rFonts w:hint="eastAsia" w:ascii="宋体" w:hAnsi="宋体" w:eastAsia="宋体" w:cs="宋体"/>
          <w:sz w:val="24"/>
        </w:rPr>
      </w:pPr>
      <w:r>
        <w:rPr>
          <w:rFonts w:hint="eastAsia" w:ascii="宋体" w:hAnsi="宋体" w:eastAsia="宋体" w:cs="宋体"/>
          <w:sz w:val="24"/>
          <w:shd w:val="clear" w:color="auto" w:fill="FFFFFF"/>
        </w:rPr>
        <w:t>7.1</w:t>
      </w:r>
      <w:r>
        <w:rPr>
          <w:rFonts w:hint="eastAsia" w:ascii="宋体" w:hAnsi="宋体" w:eastAsia="宋体" w:cs="宋体"/>
          <w:sz w:val="24"/>
        </w:rPr>
        <w:t>磋商小组认为供应商的最后报价明显低于其他通过符合性审查供应商的最后报价，有可能影响产品质量或者不能诚信履约的，可以要求其在评审现场规定的合理时间内提供书面说明，必要时提交相关证明材料。</w:t>
      </w:r>
    </w:p>
    <w:p w14:paraId="28959EC7">
      <w:pPr>
        <w:spacing w:line="360" w:lineRule="auto"/>
        <w:ind w:firstLine="480" w:firstLineChars="200"/>
        <w:rPr>
          <w:rFonts w:hint="eastAsia" w:ascii="宋体" w:hAnsi="宋体" w:eastAsia="宋体" w:cs="宋体"/>
          <w:sz w:val="24"/>
        </w:rPr>
      </w:pPr>
      <w:r>
        <w:rPr>
          <w:rFonts w:hint="eastAsia" w:ascii="宋体" w:hAnsi="宋体" w:eastAsia="宋体" w:cs="宋体"/>
          <w:sz w:val="24"/>
        </w:rPr>
        <w:t>7.2磋商小组有权判定不同供应商的响应文件是否属于异常一致或者报价呈规律性。</w:t>
      </w:r>
    </w:p>
    <w:p w14:paraId="08957FE1">
      <w:pPr>
        <w:spacing w:line="360" w:lineRule="auto"/>
        <w:ind w:firstLine="480" w:firstLineChars="200"/>
        <w:rPr>
          <w:rFonts w:hint="eastAsia" w:ascii="宋体" w:hAnsi="宋体" w:eastAsia="宋体" w:cs="宋体"/>
          <w:sz w:val="24"/>
        </w:rPr>
      </w:pPr>
      <w:r>
        <w:rPr>
          <w:rFonts w:hint="eastAsia" w:ascii="宋体" w:hAnsi="宋体" w:eastAsia="宋体" w:cs="宋体"/>
          <w:sz w:val="24"/>
        </w:rPr>
        <w:t>7.3有效供应商的最低报价不作为成交的评审依据，亦不作为不成交的评审依据。</w:t>
      </w:r>
    </w:p>
    <w:p w14:paraId="75EBA39C">
      <w:pPr>
        <w:spacing w:line="360" w:lineRule="auto"/>
        <w:ind w:firstLine="480" w:firstLineChars="200"/>
        <w:rPr>
          <w:rFonts w:hint="eastAsia" w:ascii="宋体" w:hAnsi="宋体" w:eastAsia="宋体" w:cs="宋体"/>
          <w:sz w:val="24"/>
        </w:rPr>
      </w:pPr>
      <w:r>
        <w:rPr>
          <w:rFonts w:hint="eastAsia" w:ascii="宋体" w:hAnsi="宋体" w:eastAsia="宋体" w:cs="宋体"/>
          <w:sz w:val="24"/>
        </w:rPr>
        <w:t>7.4磋商小组发现磋商文件存在歧义、重大缺陷导致评审工作无法进行，或者磋商文件内容违反国家有关强制性规定的，应当停止评审工作，与采购人或者采购代理机构沟通并作书面记录。</w:t>
      </w:r>
    </w:p>
    <w:p w14:paraId="0C4668A3">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8.最终报价</w:t>
      </w:r>
    </w:p>
    <w:p w14:paraId="4CDE6D73">
      <w:pPr>
        <w:spacing w:line="360" w:lineRule="auto"/>
        <w:ind w:firstLine="480" w:firstLineChars="200"/>
        <w:rPr>
          <w:rFonts w:hint="eastAsia" w:ascii="宋体" w:hAnsi="宋体" w:eastAsia="宋体" w:cs="宋体"/>
          <w:sz w:val="24"/>
        </w:rPr>
      </w:pPr>
      <w:r>
        <w:rPr>
          <w:rFonts w:hint="eastAsia" w:ascii="宋体" w:hAnsi="宋体" w:eastAsia="宋体" w:cs="宋体"/>
          <w:sz w:val="24"/>
        </w:rPr>
        <w:t>8.1报价原则</w:t>
      </w:r>
    </w:p>
    <w:p w14:paraId="70BA0202">
      <w:pPr>
        <w:spacing w:line="360" w:lineRule="auto"/>
        <w:ind w:firstLine="480" w:firstLineChars="200"/>
        <w:rPr>
          <w:rFonts w:hint="eastAsia" w:ascii="宋体" w:hAnsi="宋体" w:eastAsia="宋体" w:cs="宋体"/>
          <w:sz w:val="24"/>
        </w:rPr>
      </w:pPr>
      <w:r>
        <w:rPr>
          <w:rFonts w:hint="eastAsia" w:ascii="宋体" w:hAnsi="宋体" w:eastAsia="宋体" w:cs="宋体"/>
          <w:sz w:val="24"/>
        </w:rPr>
        <w:t>8.1.1磋商文件能够详细列明采购标的的技术要求、服务要求等的，磋商结束后，磋商小组应当向所有实质性响应磋商文件要求的供应商开启第二次报价通知，并要求其在规定时间内在“政采云系统”中提交第二次（最终）报价。</w:t>
      </w:r>
    </w:p>
    <w:p w14:paraId="461C246B">
      <w:pPr>
        <w:spacing w:line="360" w:lineRule="auto"/>
        <w:ind w:firstLine="480" w:firstLineChars="200"/>
        <w:rPr>
          <w:rFonts w:hint="eastAsia" w:ascii="宋体" w:hAnsi="宋体" w:eastAsia="宋体" w:cs="宋体"/>
          <w:sz w:val="24"/>
        </w:rPr>
      </w:pPr>
      <w:r>
        <w:rPr>
          <w:rFonts w:hint="eastAsia" w:ascii="宋体" w:hAnsi="宋体" w:eastAsia="宋体" w:cs="宋体"/>
          <w:sz w:val="24"/>
        </w:rPr>
        <w:t>8.1.2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w:t>
      </w:r>
    </w:p>
    <w:p w14:paraId="0A80FD03">
      <w:pPr>
        <w:spacing w:line="360" w:lineRule="auto"/>
        <w:ind w:firstLine="480" w:firstLineChars="200"/>
        <w:rPr>
          <w:rFonts w:hint="eastAsia" w:ascii="宋体" w:hAnsi="宋体" w:eastAsia="宋体" w:cs="宋体"/>
          <w:sz w:val="24"/>
        </w:rPr>
      </w:pPr>
      <w:r>
        <w:rPr>
          <w:rFonts w:hint="eastAsia" w:ascii="宋体" w:hAnsi="宋体" w:eastAsia="宋体" w:cs="宋体"/>
          <w:sz w:val="24"/>
        </w:rPr>
        <w:t>8.1.3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2762EA26">
      <w:pPr>
        <w:spacing w:line="360" w:lineRule="auto"/>
        <w:ind w:firstLine="480" w:firstLineChars="200"/>
        <w:rPr>
          <w:rFonts w:hint="eastAsia" w:ascii="宋体" w:hAnsi="宋体" w:eastAsia="宋体" w:cs="宋体"/>
          <w:sz w:val="24"/>
        </w:rPr>
      </w:pPr>
      <w:r>
        <w:rPr>
          <w:rFonts w:hint="eastAsia" w:ascii="宋体" w:hAnsi="宋体" w:eastAsia="宋体" w:cs="宋体"/>
          <w:sz w:val="24"/>
        </w:rPr>
        <w:t>8.1.4提交的最终报价须加盖电子CA章，并在政采云系统上传。</w:t>
      </w:r>
    </w:p>
    <w:p w14:paraId="4AB0AAA2">
      <w:pPr>
        <w:spacing w:line="360" w:lineRule="auto"/>
        <w:ind w:firstLine="480" w:firstLineChars="200"/>
        <w:rPr>
          <w:rFonts w:hint="eastAsia" w:ascii="宋体" w:hAnsi="宋体" w:eastAsia="宋体" w:cs="宋体"/>
          <w:sz w:val="24"/>
        </w:rPr>
      </w:pPr>
      <w:r>
        <w:rPr>
          <w:rFonts w:hint="eastAsia" w:ascii="宋体" w:hAnsi="宋体" w:eastAsia="宋体" w:cs="宋体"/>
          <w:sz w:val="24"/>
        </w:rPr>
        <w:t>8.2报价审核</w:t>
      </w:r>
    </w:p>
    <w:p w14:paraId="2BC09444">
      <w:pPr>
        <w:spacing w:line="360" w:lineRule="auto"/>
        <w:ind w:firstLine="480" w:firstLineChars="200"/>
        <w:rPr>
          <w:rFonts w:hint="eastAsia" w:ascii="宋体" w:hAnsi="宋体" w:eastAsia="宋体" w:cs="宋体"/>
          <w:sz w:val="24"/>
        </w:rPr>
      </w:pPr>
      <w:r>
        <w:rPr>
          <w:rFonts w:hint="eastAsia" w:ascii="宋体" w:hAnsi="宋体" w:eastAsia="宋体" w:cs="宋体"/>
          <w:sz w:val="24"/>
        </w:rPr>
        <w:t>8.2.1根据本文件第四部分“评审方法和标准”对最终报价进行符合性审查。</w:t>
      </w:r>
    </w:p>
    <w:p w14:paraId="2458588E">
      <w:pPr>
        <w:spacing w:line="360" w:lineRule="auto"/>
        <w:ind w:firstLine="480" w:firstLineChars="200"/>
        <w:rPr>
          <w:rFonts w:hint="eastAsia" w:ascii="宋体" w:hAnsi="宋体" w:eastAsia="宋体" w:cs="宋体"/>
          <w:sz w:val="24"/>
        </w:rPr>
      </w:pPr>
      <w:r>
        <w:rPr>
          <w:rFonts w:hint="eastAsia" w:ascii="宋体" w:hAnsi="宋体" w:eastAsia="宋体" w:cs="宋体"/>
          <w:sz w:val="24"/>
        </w:rPr>
        <w:t>8.2.2对最终报价存在明显不合理的，磋商小组有权决定是否通过“政采云系统”要求供应商在规定时间内提供相关证明材料。</w:t>
      </w:r>
    </w:p>
    <w:p w14:paraId="40E3F9FF">
      <w:pPr>
        <w:spacing w:line="360" w:lineRule="auto"/>
        <w:ind w:firstLine="480" w:firstLineChars="200"/>
        <w:rPr>
          <w:rFonts w:hint="eastAsia" w:ascii="宋体" w:hAnsi="宋体" w:eastAsia="宋体" w:cs="宋体"/>
          <w:sz w:val="24"/>
        </w:rPr>
      </w:pPr>
      <w:r>
        <w:rPr>
          <w:rFonts w:hint="eastAsia" w:ascii="宋体" w:hAnsi="宋体" w:eastAsia="宋体" w:cs="宋体"/>
          <w:sz w:val="24"/>
        </w:rPr>
        <w:t>8.2.3提交最终报价的供应商家数不足法定供应商数量的，需依法重新组织磋商活动或终止磋商活动。</w:t>
      </w:r>
    </w:p>
    <w:p w14:paraId="5AC4FF53">
      <w:pPr>
        <w:spacing w:line="360" w:lineRule="auto"/>
        <w:ind w:firstLine="480" w:firstLineChars="200"/>
        <w:rPr>
          <w:rFonts w:hint="eastAsia" w:ascii="宋体" w:hAnsi="宋体" w:eastAsia="宋体" w:cs="宋体"/>
          <w:sz w:val="24"/>
        </w:rPr>
      </w:pPr>
      <w:r>
        <w:rPr>
          <w:rFonts w:hint="eastAsia" w:ascii="宋体" w:hAnsi="宋体" w:eastAsia="宋体" w:cs="宋体"/>
          <w:sz w:val="24"/>
        </w:rPr>
        <w:t>8.2.4经审查，合格供应商数量符合法定供应商家数时，对符合政策性要求优惠的各供应商的最终报价，按照磋商文件中确定的优惠率，对其最终报价进行调整后，形成各供应商最终评审价格。</w:t>
      </w:r>
    </w:p>
    <w:p w14:paraId="13A67D73">
      <w:pPr>
        <w:spacing w:line="360" w:lineRule="auto"/>
        <w:ind w:firstLine="480" w:firstLineChars="200"/>
        <w:rPr>
          <w:rFonts w:hint="eastAsia" w:ascii="宋体" w:hAnsi="宋体" w:eastAsia="宋体" w:cs="宋体"/>
          <w:sz w:val="24"/>
        </w:rPr>
      </w:pPr>
      <w:r>
        <w:rPr>
          <w:rFonts w:hint="eastAsia" w:ascii="宋体" w:hAnsi="宋体" w:eastAsia="宋体" w:cs="宋体"/>
          <w:sz w:val="24"/>
        </w:rPr>
        <w:t>8.3存在下列情况之一者将视为响应无效：</w:t>
      </w:r>
    </w:p>
    <w:p w14:paraId="1E4BAAF1">
      <w:pPr>
        <w:spacing w:line="360" w:lineRule="auto"/>
        <w:ind w:firstLine="480" w:firstLineChars="200"/>
        <w:rPr>
          <w:rFonts w:hint="eastAsia" w:ascii="宋体" w:hAnsi="宋体" w:eastAsia="宋体" w:cs="宋体"/>
          <w:sz w:val="24"/>
        </w:rPr>
      </w:pPr>
      <w:r>
        <w:rPr>
          <w:rFonts w:hint="eastAsia" w:ascii="宋体" w:hAnsi="宋体" w:eastAsia="宋体" w:cs="宋体"/>
          <w:sz w:val="24"/>
        </w:rPr>
        <w:t>（1）未在规定时间内提交最终报价的；</w:t>
      </w:r>
    </w:p>
    <w:p w14:paraId="5E867A8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（2）未在最终报价函中加盖电子CA章的；</w:t>
      </w:r>
    </w:p>
    <w:p w14:paraId="2A4CB225">
      <w:pPr>
        <w:spacing w:line="360" w:lineRule="auto"/>
        <w:ind w:firstLine="480" w:firstLineChars="200"/>
        <w:rPr>
          <w:rFonts w:hint="eastAsia" w:ascii="宋体" w:hAnsi="宋体" w:eastAsia="宋体" w:cs="宋体"/>
          <w:sz w:val="24"/>
        </w:rPr>
      </w:pPr>
      <w:r>
        <w:rPr>
          <w:rFonts w:hint="eastAsia" w:ascii="宋体" w:hAnsi="宋体" w:eastAsia="宋体" w:cs="宋体"/>
          <w:sz w:val="24"/>
        </w:rPr>
        <w:t>（3）未按最终报价函要求进行填报或最终报价函填报不完整，存在可空项、漏项、缺项的；</w:t>
      </w:r>
    </w:p>
    <w:p w14:paraId="5B578849">
      <w:pPr>
        <w:spacing w:line="360" w:lineRule="auto"/>
        <w:ind w:firstLine="480" w:firstLineChars="200"/>
        <w:rPr>
          <w:rFonts w:hint="eastAsia" w:ascii="宋体" w:hAnsi="宋体" w:eastAsia="宋体" w:cs="宋体"/>
          <w:sz w:val="20"/>
          <w:szCs w:val="22"/>
        </w:rPr>
      </w:pPr>
      <w:r>
        <w:rPr>
          <w:rFonts w:hint="eastAsia" w:ascii="宋体" w:hAnsi="宋体" w:eastAsia="宋体" w:cs="宋体"/>
          <w:sz w:val="24"/>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7D3D2FD3">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9.评审报告</w:t>
      </w:r>
    </w:p>
    <w:p w14:paraId="4455B87B">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9.1磋商小组根据全体磋商小组成员签字的原始评审记录和评审结果编写评审报告，并签字确认，各成员对个人的评审意见承担法律责任。</w:t>
      </w:r>
    </w:p>
    <w:p w14:paraId="26D44A2C">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9.2磋商小组成员对需要共同认定的事项存在争议的，按照少数服从多数的原则作出结论。持不同意见的磋商小组成员应当在评审报告上签署不同意见及理由，拒绝在报告上签字又不书面说明其不同意见和理由的，视为同意评审报告。</w:t>
      </w:r>
    </w:p>
    <w:p w14:paraId="6402D3CD">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10.推荐成交候选人</w:t>
      </w:r>
    </w:p>
    <w:p w14:paraId="2D58D766">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10.1</w:t>
      </w:r>
      <w:r>
        <w:rPr>
          <w:rFonts w:hint="eastAsia" w:ascii="宋体" w:hAnsi="宋体" w:eastAsia="宋体" w:cs="宋体"/>
          <w:sz w:val="24"/>
        </w:rPr>
        <w:t>磋商小组根据详细评审的结果推荐成交候选人</w:t>
      </w:r>
      <w:r>
        <w:rPr>
          <w:rFonts w:hint="eastAsia" w:ascii="宋体" w:hAnsi="宋体" w:eastAsia="宋体" w:cs="宋体"/>
          <w:sz w:val="24"/>
          <w:shd w:val="clear" w:color="auto" w:fill="FFFFFF"/>
        </w:rPr>
        <w:t>。</w:t>
      </w:r>
    </w:p>
    <w:p w14:paraId="036D6D09">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11.评审复核</w:t>
      </w:r>
    </w:p>
    <w:p w14:paraId="70199130">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11.1磋商小组要对评审数据进行校对、核对。</w:t>
      </w:r>
    </w:p>
    <w:p w14:paraId="2F51320D">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11.2除资格性审查认定错误、分值汇总计算错误、分项评分超出评分范围、客观分评分不一致、经磋商小组一致认定畸高、畸低的情形外，代理机构或者采购方不得以任何理由组织重新评审。</w:t>
      </w:r>
    </w:p>
    <w:p w14:paraId="4F2B7EDB">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11.3采购方、代理机构发现磋商小组未按磋商文件规定的评审标准进行评审的，应当重新开展磋商活动，并同时书面报告相关部门。</w:t>
      </w:r>
    </w:p>
    <w:p w14:paraId="17331BBF">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12.保密和披露</w:t>
      </w:r>
    </w:p>
    <w:p w14:paraId="5EF25269">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12.1供应商自获取磋商文件之日起，须承诺承担对本磋商项目的保密义务，不得将因本次磋商获得的信息向第三方外传。</w:t>
      </w:r>
    </w:p>
    <w:p w14:paraId="0BF874C8">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12.2参加磋商过程的有关人员对磋商情况以及在磋商过程中获悉的国家秘密、商业秘密负有保密责任。</w:t>
      </w:r>
    </w:p>
    <w:p w14:paraId="549FF958">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12.3代理机构有权将供应商提供的所有资料向有关部门或评审的有关人员披露。</w:t>
      </w:r>
    </w:p>
    <w:p w14:paraId="7FE43C81">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12.4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616F61D9">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12.5在磋商期间，供应商企图影响代理机构或磋商小组的任何活动，将导致磋商被拒绝，并承担相应的责任。</w:t>
      </w:r>
    </w:p>
    <w:p w14:paraId="1BE77FA4">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12.6磋商结束后，参与评审的所有人员不得带走与相关规定要求违背的任何资料。</w:t>
      </w:r>
    </w:p>
    <w:p w14:paraId="0B6062BB">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13.关于供应商瑕疵滞后发现的处理规则</w:t>
      </w:r>
    </w:p>
    <w:p w14:paraId="27245B95">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13.1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0D412054">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14</w:t>
      </w:r>
      <w:bookmarkStart w:id="48" w:name="_Toc28596"/>
      <w:bookmarkStart w:id="49" w:name="_Toc104232630"/>
      <w:r>
        <w:rPr>
          <w:rFonts w:hint="eastAsia" w:ascii="宋体" w:hAnsi="宋体" w:eastAsia="宋体" w:cs="宋体"/>
          <w:b/>
          <w:bCs/>
          <w:sz w:val="24"/>
        </w:rPr>
        <w:t>.资格审查</w:t>
      </w:r>
      <w:bookmarkEnd w:id="48"/>
      <w:bookmarkEnd w:id="49"/>
    </w:p>
    <w:p w14:paraId="064D7B58">
      <w:pPr>
        <w:pStyle w:val="13"/>
        <w:tabs>
          <w:tab w:val="left" w:pos="2475"/>
          <w:tab w:val="center" w:pos="4873"/>
        </w:tabs>
        <w:spacing w:line="360" w:lineRule="auto"/>
        <w:ind w:firstLine="472" w:firstLineChars="196"/>
        <w:rPr>
          <w:rFonts w:hint="eastAsia" w:ascii="宋体" w:hAnsi="宋体" w:eastAsia="宋体" w:cs="宋体"/>
          <w:b/>
          <w:bCs/>
          <w:sz w:val="24"/>
          <w:szCs w:val="24"/>
        </w:rPr>
      </w:pPr>
      <w:bookmarkStart w:id="50" w:name="_Toc104232631"/>
      <w:bookmarkStart w:id="51" w:name="_Toc7406"/>
    </w:p>
    <w:p w14:paraId="3DE28BD5">
      <w:pPr>
        <w:pStyle w:val="13"/>
        <w:tabs>
          <w:tab w:val="left" w:pos="2475"/>
          <w:tab w:val="center" w:pos="4873"/>
        </w:tabs>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14.1资格审查内容及标准</w:t>
      </w:r>
      <w:bookmarkEnd w:id="50"/>
      <w:bookmarkEnd w:id="51"/>
    </w:p>
    <w:tbl>
      <w:tblPr>
        <w:tblStyle w:val="23"/>
        <w:tblpPr w:leftFromText="180" w:rightFromText="180" w:vertAnchor="text" w:horzAnchor="page" w:tblpX="1846" w:tblpY="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466"/>
        <w:gridCol w:w="3317"/>
        <w:gridCol w:w="2942"/>
      </w:tblGrid>
      <w:tr w14:paraId="6FC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94" w:type="dxa"/>
            <w:vAlign w:val="center"/>
          </w:tcPr>
          <w:p w14:paraId="698EFDC7">
            <w:pPr>
              <w:pStyle w:val="13"/>
              <w:tabs>
                <w:tab w:val="left" w:pos="2475"/>
                <w:tab w:val="center" w:pos="4873"/>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66" w:type="dxa"/>
            <w:vAlign w:val="center"/>
          </w:tcPr>
          <w:p w14:paraId="2490423B">
            <w:pPr>
              <w:pStyle w:val="13"/>
              <w:tabs>
                <w:tab w:val="left" w:pos="2475"/>
                <w:tab w:val="center" w:pos="4873"/>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类型</w:t>
            </w:r>
          </w:p>
        </w:tc>
        <w:tc>
          <w:tcPr>
            <w:tcW w:w="3317" w:type="dxa"/>
            <w:vAlign w:val="center"/>
          </w:tcPr>
          <w:p w14:paraId="16AC5389">
            <w:pPr>
              <w:pStyle w:val="13"/>
              <w:tabs>
                <w:tab w:val="left" w:pos="2475"/>
                <w:tab w:val="center" w:pos="4873"/>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2942" w:type="dxa"/>
            <w:vAlign w:val="center"/>
          </w:tcPr>
          <w:p w14:paraId="5FEA56D0">
            <w:pPr>
              <w:pStyle w:val="13"/>
              <w:tabs>
                <w:tab w:val="left" w:pos="2475"/>
                <w:tab w:val="center" w:pos="4873"/>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2E5B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94" w:type="dxa"/>
            <w:vAlign w:val="center"/>
          </w:tcPr>
          <w:p w14:paraId="181EC93A">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1</w:t>
            </w:r>
          </w:p>
        </w:tc>
        <w:tc>
          <w:tcPr>
            <w:tcW w:w="1466" w:type="dxa"/>
            <w:vAlign w:val="center"/>
          </w:tcPr>
          <w:p w14:paraId="3561ACEE">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基本资质</w:t>
            </w:r>
          </w:p>
        </w:tc>
        <w:tc>
          <w:tcPr>
            <w:tcW w:w="3317" w:type="dxa"/>
            <w:vAlign w:val="center"/>
          </w:tcPr>
          <w:p w14:paraId="67948E8D">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具有独立承担民事责任的能力</w:t>
            </w:r>
          </w:p>
        </w:tc>
        <w:tc>
          <w:tcPr>
            <w:tcW w:w="2942" w:type="dxa"/>
            <w:vAlign w:val="center"/>
          </w:tcPr>
          <w:p w14:paraId="7164D521">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提供供应商信用承诺书。以上证明材料须符合要求、有效、完整。否则，响应无效。</w:t>
            </w:r>
          </w:p>
        </w:tc>
      </w:tr>
      <w:tr w14:paraId="4AB4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794" w:type="dxa"/>
            <w:vAlign w:val="center"/>
          </w:tcPr>
          <w:p w14:paraId="361AFBE1">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2</w:t>
            </w:r>
          </w:p>
        </w:tc>
        <w:tc>
          <w:tcPr>
            <w:tcW w:w="1466" w:type="dxa"/>
            <w:vAlign w:val="center"/>
          </w:tcPr>
          <w:p w14:paraId="3727416B">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基本资质</w:t>
            </w:r>
          </w:p>
        </w:tc>
        <w:tc>
          <w:tcPr>
            <w:tcW w:w="3317" w:type="dxa"/>
            <w:vAlign w:val="center"/>
          </w:tcPr>
          <w:p w14:paraId="396AEDCF">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具有良好的商业信誉和健全的财务会计制度</w:t>
            </w:r>
          </w:p>
        </w:tc>
        <w:tc>
          <w:tcPr>
            <w:tcW w:w="2942" w:type="dxa"/>
            <w:vAlign w:val="center"/>
          </w:tcPr>
          <w:p w14:paraId="0AC9515E">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提供供应商信用承诺书。以上证明材料须符合要求、有效、完整。否则，响应无效。</w:t>
            </w:r>
          </w:p>
        </w:tc>
      </w:tr>
      <w:tr w14:paraId="5550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94" w:type="dxa"/>
            <w:vAlign w:val="center"/>
          </w:tcPr>
          <w:p w14:paraId="1CDA7639">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3</w:t>
            </w:r>
          </w:p>
        </w:tc>
        <w:tc>
          <w:tcPr>
            <w:tcW w:w="1466" w:type="dxa"/>
            <w:vAlign w:val="center"/>
          </w:tcPr>
          <w:p w14:paraId="6A715236">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基本资质</w:t>
            </w:r>
          </w:p>
        </w:tc>
        <w:tc>
          <w:tcPr>
            <w:tcW w:w="3317" w:type="dxa"/>
            <w:vAlign w:val="center"/>
          </w:tcPr>
          <w:p w14:paraId="49383C8F">
            <w:pPr>
              <w:ind w:firstLine="470" w:firstLineChars="196"/>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具有履行合同所必需的设备和专业技术能力</w:t>
            </w:r>
          </w:p>
        </w:tc>
        <w:tc>
          <w:tcPr>
            <w:tcW w:w="2942" w:type="dxa"/>
            <w:vAlign w:val="center"/>
          </w:tcPr>
          <w:p w14:paraId="32DE3E3D">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提供供应商信用承诺书。以上证明材料须符合要求、有效、完整。否则，响应无效。</w:t>
            </w:r>
          </w:p>
        </w:tc>
      </w:tr>
      <w:tr w14:paraId="35D5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794" w:type="dxa"/>
            <w:vAlign w:val="center"/>
          </w:tcPr>
          <w:p w14:paraId="3046B9DB">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4</w:t>
            </w:r>
          </w:p>
        </w:tc>
        <w:tc>
          <w:tcPr>
            <w:tcW w:w="1466" w:type="dxa"/>
            <w:vAlign w:val="center"/>
          </w:tcPr>
          <w:p w14:paraId="0919C827">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基本资质</w:t>
            </w:r>
          </w:p>
        </w:tc>
        <w:tc>
          <w:tcPr>
            <w:tcW w:w="3317" w:type="dxa"/>
            <w:vAlign w:val="center"/>
          </w:tcPr>
          <w:p w14:paraId="39FFB80A">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有依法缴纳税收和社会保障资金的良好记录</w:t>
            </w:r>
          </w:p>
        </w:tc>
        <w:tc>
          <w:tcPr>
            <w:tcW w:w="2942" w:type="dxa"/>
            <w:vAlign w:val="center"/>
          </w:tcPr>
          <w:p w14:paraId="72EFDFBF">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提供供应商信用承诺书。以上证明材料须符合要求、有效、完整。否则，响应无效。</w:t>
            </w:r>
          </w:p>
        </w:tc>
      </w:tr>
      <w:tr w14:paraId="0075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vAlign w:val="center"/>
          </w:tcPr>
          <w:p w14:paraId="166DB208">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5</w:t>
            </w:r>
          </w:p>
        </w:tc>
        <w:tc>
          <w:tcPr>
            <w:tcW w:w="1466" w:type="dxa"/>
            <w:vAlign w:val="center"/>
          </w:tcPr>
          <w:p w14:paraId="4DE3D22C">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基本资质</w:t>
            </w:r>
          </w:p>
        </w:tc>
        <w:tc>
          <w:tcPr>
            <w:tcW w:w="3317" w:type="dxa"/>
            <w:vAlign w:val="center"/>
          </w:tcPr>
          <w:p w14:paraId="4597DD68">
            <w:pPr>
              <w:ind w:firstLine="470" w:firstLineChars="196"/>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参加政府采购活动前三年内，在经营活动中没有重大违法记录</w:t>
            </w:r>
          </w:p>
        </w:tc>
        <w:tc>
          <w:tcPr>
            <w:tcW w:w="2942" w:type="dxa"/>
            <w:vAlign w:val="center"/>
          </w:tcPr>
          <w:p w14:paraId="527F5E15">
            <w:pPr>
              <w:ind w:firstLine="470" w:firstLineChars="196"/>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提供供应商信用承诺书。以上证明材料须符合要求、有效、完整。否则，响应无效。</w:t>
            </w:r>
          </w:p>
        </w:tc>
      </w:tr>
      <w:tr w14:paraId="6C33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5B5AE9AE">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6</w:t>
            </w:r>
          </w:p>
        </w:tc>
        <w:tc>
          <w:tcPr>
            <w:tcW w:w="1466" w:type="dxa"/>
            <w:vAlign w:val="center"/>
          </w:tcPr>
          <w:p w14:paraId="0AAEB0BD">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采购政策</w:t>
            </w:r>
          </w:p>
        </w:tc>
        <w:tc>
          <w:tcPr>
            <w:tcW w:w="3317" w:type="dxa"/>
            <w:vAlign w:val="center"/>
          </w:tcPr>
          <w:p w14:paraId="181DE582">
            <w:pPr>
              <w:ind w:firstLine="470" w:firstLineChars="196"/>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供应商应为中小企业</w:t>
            </w:r>
          </w:p>
        </w:tc>
        <w:tc>
          <w:tcPr>
            <w:tcW w:w="2942" w:type="dxa"/>
            <w:vAlign w:val="center"/>
          </w:tcPr>
          <w:p w14:paraId="31BE82C7">
            <w:pPr>
              <w:ind w:firstLine="470" w:firstLineChars="196"/>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请根据要求单独上传《中小企业声明函》。格式以采购文件要求为准。</w:t>
            </w:r>
          </w:p>
        </w:tc>
      </w:tr>
    </w:tbl>
    <w:p w14:paraId="097CE6C7">
      <w:pPr>
        <w:pStyle w:val="13"/>
        <w:tabs>
          <w:tab w:val="left" w:pos="2475"/>
          <w:tab w:val="center" w:pos="4873"/>
        </w:tabs>
        <w:spacing w:line="360" w:lineRule="auto"/>
        <w:rPr>
          <w:rFonts w:hint="eastAsia" w:ascii="宋体" w:hAnsi="宋体" w:eastAsia="宋体" w:cs="宋体"/>
          <w:b/>
          <w:bCs/>
          <w:sz w:val="24"/>
          <w:szCs w:val="24"/>
        </w:rPr>
      </w:pPr>
    </w:p>
    <w:p w14:paraId="08C58FF0">
      <w:pPr>
        <w:tabs>
          <w:tab w:val="left" w:pos="567"/>
        </w:tabs>
        <w:snapToGrid w:val="0"/>
        <w:spacing w:line="360" w:lineRule="auto"/>
        <w:jc w:val="left"/>
        <w:rPr>
          <w:rFonts w:hint="eastAsia" w:ascii="宋体" w:hAnsi="宋体" w:eastAsia="宋体" w:cs="宋体"/>
          <w:sz w:val="24"/>
          <w:shd w:val="clear" w:color="auto" w:fill="FFFFFF"/>
        </w:rPr>
      </w:pPr>
      <w:r>
        <w:rPr>
          <w:rFonts w:hint="eastAsia" w:ascii="宋体" w:hAnsi="宋体" w:eastAsia="宋体" w:cs="宋体"/>
          <w:sz w:val="24"/>
          <w:shd w:val="clear" w:color="auto" w:fill="FFFFFF"/>
        </w:rPr>
        <w:t>注：响应文件任一项条件不满足磋商文件资格审查要求的，作废标处理。</w:t>
      </w:r>
    </w:p>
    <w:p w14:paraId="11C093A0">
      <w:pPr>
        <w:spacing w:line="360" w:lineRule="auto"/>
        <w:ind w:firstLine="480" w:firstLineChars="200"/>
        <w:rPr>
          <w:rFonts w:hint="eastAsia" w:ascii="宋体" w:hAnsi="宋体" w:eastAsia="宋体" w:cs="宋体"/>
          <w:b/>
          <w:sz w:val="24"/>
          <w:shd w:val="clear" w:color="auto" w:fill="FFFFFF"/>
        </w:rPr>
      </w:pPr>
      <w:r>
        <w:rPr>
          <w:rFonts w:hint="eastAsia" w:ascii="宋体" w:hAnsi="宋体" w:eastAsia="宋体" w:cs="宋体"/>
          <w:sz w:val="24"/>
          <w:shd w:val="clear" w:color="auto" w:fill="FFFFFF"/>
        </w:rPr>
        <w:t>14.2通过资格审查供应商的响应文件，将进入下一步的符合性审查。</w:t>
      </w:r>
      <w:r>
        <w:rPr>
          <w:rFonts w:hint="eastAsia" w:ascii="宋体" w:hAnsi="宋体" w:eastAsia="宋体" w:cs="宋体"/>
          <w:color w:val="FF0000"/>
        </w:rPr>
        <w:br w:type="page"/>
      </w:r>
      <w:r>
        <w:rPr>
          <w:rFonts w:hint="eastAsia" w:ascii="宋体" w:hAnsi="宋体" w:eastAsia="宋体" w:cs="宋体"/>
          <w:b/>
          <w:sz w:val="24"/>
          <w:shd w:val="clear" w:color="auto" w:fill="FFFFFF"/>
        </w:rPr>
        <w:t>15.符合性审查内容及标准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473"/>
        <w:gridCol w:w="4023"/>
        <w:gridCol w:w="2275"/>
      </w:tblGrid>
      <w:tr w14:paraId="7A68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49" w:type="dxa"/>
            <w:vAlign w:val="center"/>
          </w:tcPr>
          <w:p w14:paraId="27E6E3FC">
            <w:pPr>
              <w:pStyle w:val="13"/>
              <w:tabs>
                <w:tab w:val="left" w:pos="2475"/>
                <w:tab w:val="center" w:pos="4873"/>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73" w:type="dxa"/>
            <w:vAlign w:val="center"/>
          </w:tcPr>
          <w:p w14:paraId="29DEE536">
            <w:pPr>
              <w:pStyle w:val="13"/>
              <w:tabs>
                <w:tab w:val="left" w:pos="2475"/>
                <w:tab w:val="center" w:pos="4873"/>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类型</w:t>
            </w:r>
          </w:p>
        </w:tc>
        <w:tc>
          <w:tcPr>
            <w:tcW w:w="4023" w:type="dxa"/>
            <w:vAlign w:val="center"/>
          </w:tcPr>
          <w:p w14:paraId="40D1895B">
            <w:pPr>
              <w:pStyle w:val="13"/>
              <w:tabs>
                <w:tab w:val="left" w:pos="2475"/>
                <w:tab w:val="center" w:pos="4873"/>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2275" w:type="dxa"/>
            <w:vAlign w:val="center"/>
          </w:tcPr>
          <w:p w14:paraId="68B27BCC">
            <w:pPr>
              <w:pStyle w:val="13"/>
              <w:tabs>
                <w:tab w:val="left" w:pos="2475"/>
                <w:tab w:val="center" w:pos="4873"/>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7CC0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49" w:type="dxa"/>
            <w:vAlign w:val="center"/>
          </w:tcPr>
          <w:p w14:paraId="7E457C33">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1</w:t>
            </w:r>
          </w:p>
        </w:tc>
        <w:tc>
          <w:tcPr>
            <w:tcW w:w="1473" w:type="dxa"/>
            <w:vAlign w:val="center"/>
          </w:tcPr>
          <w:p w14:paraId="47FE1A90">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商务资信</w:t>
            </w:r>
          </w:p>
        </w:tc>
        <w:tc>
          <w:tcPr>
            <w:tcW w:w="4023" w:type="dxa"/>
            <w:vAlign w:val="center"/>
          </w:tcPr>
          <w:p w14:paraId="3B04B0AA">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对供应商提供的响应文件签字盖章的符合性、完整性进行审查</w:t>
            </w:r>
          </w:p>
        </w:tc>
        <w:tc>
          <w:tcPr>
            <w:tcW w:w="2275" w:type="dxa"/>
            <w:vAlign w:val="center"/>
          </w:tcPr>
          <w:p w14:paraId="05C82DC3">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r w14:paraId="0E0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49" w:type="dxa"/>
            <w:vAlign w:val="center"/>
          </w:tcPr>
          <w:p w14:paraId="61EAB974">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2</w:t>
            </w:r>
          </w:p>
        </w:tc>
        <w:tc>
          <w:tcPr>
            <w:tcW w:w="1473" w:type="dxa"/>
            <w:vAlign w:val="center"/>
          </w:tcPr>
          <w:p w14:paraId="7760C39F">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商务资信</w:t>
            </w:r>
          </w:p>
        </w:tc>
        <w:tc>
          <w:tcPr>
            <w:tcW w:w="4023" w:type="dxa"/>
            <w:vAlign w:val="center"/>
          </w:tcPr>
          <w:p w14:paraId="5E9A1C27">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对供应商提供的服务期限的符合性、完整性进行审查</w:t>
            </w:r>
          </w:p>
        </w:tc>
        <w:tc>
          <w:tcPr>
            <w:tcW w:w="2275" w:type="dxa"/>
            <w:vAlign w:val="center"/>
          </w:tcPr>
          <w:p w14:paraId="33411B44">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r w14:paraId="707E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49" w:type="dxa"/>
            <w:vAlign w:val="center"/>
          </w:tcPr>
          <w:p w14:paraId="70A67F2E">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3</w:t>
            </w:r>
          </w:p>
        </w:tc>
        <w:tc>
          <w:tcPr>
            <w:tcW w:w="1473" w:type="dxa"/>
            <w:shd w:val="clear" w:color="auto" w:fill="auto"/>
            <w:vAlign w:val="center"/>
          </w:tcPr>
          <w:p w14:paraId="39355476">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商务资信</w:t>
            </w:r>
          </w:p>
        </w:tc>
        <w:tc>
          <w:tcPr>
            <w:tcW w:w="4023" w:type="dxa"/>
            <w:shd w:val="clear" w:color="auto" w:fill="auto"/>
            <w:vAlign w:val="center"/>
          </w:tcPr>
          <w:p w14:paraId="400EE1FA">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对供应商提供的磋商有效期的符合性、完整性进行审查</w:t>
            </w:r>
          </w:p>
        </w:tc>
        <w:tc>
          <w:tcPr>
            <w:tcW w:w="2275" w:type="dxa"/>
            <w:vAlign w:val="center"/>
          </w:tcPr>
          <w:p w14:paraId="4968BEA0">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r w14:paraId="245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49" w:type="dxa"/>
            <w:vAlign w:val="center"/>
          </w:tcPr>
          <w:p w14:paraId="310A0031">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4</w:t>
            </w:r>
          </w:p>
        </w:tc>
        <w:tc>
          <w:tcPr>
            <w:tcW w:w="1473" w:type="dxa"/>
            <w:vAlign w:val="center"/>
          </w:tcPr>
          <w:p w14:paraId="61F9F09C">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商务资信</w:t>
            </w:r>
          </w:p>
        </w:tc>
        <w:tc>
          <w:tcPr>
            <w:tcW w:w="4023" w:type="dxa"/>
            <w:vAlign w:val="center"/>
          </w:tcPr>
          <w:p w14:paraId="6DE719AB">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对供应商提供的磋商保证金符合性、真实性进行审查</w:t>
            </w:r>
          </w:p>
        </w:tc>
        <w:tc>
          <w:tcPr>
            <w:tcW w:w="2275" w:type="dxa"/>
            <w:vAlign w:val="center"/>
          </w:tcPr>
          <w:p w14:paraId="223EF50D">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r w14:paraId="63A5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49" w:type="dxa"/>
            <w:vAlign w:val="center"/>
          </w:tcPr>
          <w:p w14:paraId="6FE91A12">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5</w:t>
            </w:r>
          </w:p>
        </w:tc>
        <w:tc>
          <w:tcPr>
            <w:tcW w:w="1473" w:type="dxa"/>
            <w:vAlign w:val="center"/>
          </w:tcPr>
          <w:p w14:paraId="6552F1CE">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商务资信</w:t>
            </w:r>
          </w:p>
        </w:tc>
        <w:tc>
          <w:tcPr>
            <w:tcW w:w="4023" w:type="dxa"/>
            <w:vAlign w:val="center"/>
          </w:tcPr>
          <w:p w14:paraId="28740F14">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对供应商提供的法定代表人（负责人）身份证明文件的符合性、完整性进行审查</w:t>
            </w:r>
          </w:p>
        </w:tc>
        <w:tc>
          <w:tcPr>
            <w:tcW w:w="2275" w:type="dxa"/>
            <w:vAlign w:val="center"/>
          </w:tcPr>
          <w:p w14:paraId="72419EC2">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r w14:paraId="37D5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A5BB10D">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6</w:t>
            </w:r>
          </w:p>
        </w:tc>
        <w:tc>
          <w:tcPr>
            <w:tcW w:w="1473" w:type="dxa"/>
            <w:vAlign w:val="center"/>
          </w:tcPr>
          <w:p w14:paraId="421CD7EA">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商务资信</w:t>
            </w:r>
          </w:p>
        </w:tc>
        <w:tc>
          <w:tcPr>
            <w:tcW w:w="4023" w:type="dxa"/>
            <w:vAlign w:val="center"/>
          </w:tcPr>
          <w:p w14:paraId="7A6AB648">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对供应商提供的法定代表人（负责人）授权委托书证明文件的符合性、完整性进行审查</w:t>
            </w:r>
          </w:p>
        </w:tc>
        <w:tc>
          <w:tcPr>
            <w:tcW w:w="2275" w:type="dxa"/>
            <w:vAlign w:val="center"/>
          </w:tcPr>
          <w:p w14:paraId="48194D77">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r w14:paraId="1D39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9" w:type="dxa"/>
            <w:vAlign w:val="center"/>
          </w:tcPr>
          <w:p w14:paraId="04B9BF22">
            <w:pPr>
              <w:spacing w:line="360" w:lineRule="auto"/>
              <w:jc w:val="center"/>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val="en-US" w:eastAsia="zh-CN"/>
              </w:rPr>
              <w:t>7</w:t>
            </w:r>
          </w:p>
        </w:tc>
        <w:tc>
          <w:tcPr>
            <w:tcW w:w="1473" w:type="dxa"/>
            <w:vAlign w:val="center"/>
          </w:tcPr>
          <w:p w14:paraId="0B3C70F3">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报价</w:t>
            </w:r>
          </w:p>
        </w:tc>
        <w:tc>
          <w:tcPr>
            <w:tcW w:w="4023" w:type="dxa"/>
            <w:vAlign w:val="center"/>
          </w:tcPr>
          <w:p w14:paraId="48846305">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对供应商提供的报价一览表报价的符合性、完整性进行审查</w:t>
            </w:r>
          </w:p>
        </w:tc>
        <w:tc>
          <w:tcPr>
            <w:tcW w:w="2275" w:type="dxa"/>
            <w:vAlign w:val="center"/>
          </w:tcPr>
          <w:p w14:paraId="6DC9CF48">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r w14:paraId="46BD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49" w:type="dxa"/>
            <w:vAlign w:val="center"/>
          </w:tcPr>
          <w:p w14:paraId="311ABEE3">
            <w:pPr>
              <w:spacing w:line="360" w:lineRule="auto"/>
              <w:jc w:val="center"/>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val="en-US" w:eastAsia="zh-CN"/>
              </w:rPr>
              <w:t>8</w:t>
            </w:r>
          </w:p>
        </w:tc>
        <w:tc>
          <w:tcPr>
            <w:tcW w:w="1473" w:type="dxa"/>
            <w:vAlign w:val="center"/>
          </w:tcPr>
          <w:p w14:paraId="22D6C6C2">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技术评审</w:t>
            </w:r>
          </w:p>
        </w:tc>
        <w:tc>
          <w:tcPr>
            <w:tcW w:w="4023" w:type="dxa"/>
            <w:vAlign w:val="center"/>
          </w:tcPr>
          <w:p w14:paraId="502609B1">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对供应商提供的响应文件格式的符合性、完整性进行审查</w:t>
            </w:r>
          </w:p>
        </w:tc>
        <w:tc>
          <w:tcPr>
            <w:tcW w:w="2275" w:type="dxa"/>
            <w:vAlign w:val="center"/>
          </w:tcPr>
          <w:p w14:paraId="15613259">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r w14:paraId="5679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49" w:type="dxa"/>
            <w:vAlign w:val="center"/>
          </w:tcPr>
          <w:p w14:paraId="3ACD3C33">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9</w:t>
            </w:r>
          </w:p>
        </w:tc>
        <w:tc>
          <w:tcPr>
            <w:tcW w:w="1473" w:type="dxa"/>
            <w:vAlign w:val="center"/>
          </w:tcPr>
          <w:p w14:paraId="7AF08DC9">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技术评审</w:t>
            </w:r>
          </w:p>
        </w:tc>
        <w:tc>
          <w:tcPr>
            <w:tcW w:w="4023" w:type="dxa"/>
            <w:vAlign w:val="center"/>
          </w:tcPr>
          <w:p w14:paraId="076D4F4B">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对供应商提供的投标内容的符合性、完整性进行审查</w:t>
            </w:r>
          </w:p>
        </w:tc>
        <w:tc>
          <w:tcPr>
            <w:tcW w:w="2275" w:type="dxa"/>
            <w:vAlign w:val="center"/>
          </w:tcPr>
          <w:p w14:paraId="5E2E09F6">
            <w:pPr>
              <w:spacing w:line="360" w:lineRule="auto"/>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符合磋商文件规定</w:t>
            </w:r>
          </w:p>
        </w:tc>
      </w:tr>
    </w:tbl>
    <w:p w14:paraId="48C1D8C2">
      <w:pPr>
        <w:spacing w:line="360" w:lineRule="auto"/>
        <w:rPr>
          <w:rFonts w:hint="eastAsia" w:ascii="宋体" w:hAnsi="宋体" w:eastAsia="宋体" w:cs="宋体"/>
          <w:sz w:val="28"/>
          <w:szCs w:val="28"/>
          <w:shd w:val="clear" w:color="auto" w:fill="FFFFFF"/>
        </w:rPr>
      </w:pPr>
    </w:p>
    <w:p w14:paraId="6E2AC253">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16.评分细则</w:t>
      </w:r>
    </w:p>
    <w:p w14:paraId="69D84907">
      <w:pPr>
        <w:spacing w:line="360" w:lineRule="auto"/>
        <w:ind w:firstLine="470" w:firstLineChars="196"/>
        <w:rPr>
          <w:rFonts w:hint="eastAsia" w:ascii="宋体" w:hAnsi="宋体" w:eastAsia="宋体" w:cs="宋体"/>
          <w:sz w:val="24"/>
          <w:shd w:val="clear" w:color="auto" w:fill="FFFFFF"/>
        </w:rPr>
      </w:pPr>
      <w:r>
        <w:rPr>
          <w:rFonts w:hint="eastAsia" w:ascii="宋体" w:hAnsi="宋体" w:eastAsia="宋体" w:cs="宋体"/>
          <w:sz w:val="24"/>
          <w:shd w:val="clear" w:color="auto" w:fill="FFFFFF"/>
        </w:rPr>
        <w:t>16.1磋商小组成员应严格按照“评分细则”要素针对响应文件（商务技术部分）客观、公正、审慎地据实、独立打分。</w:t>
      </w:r>
    </w:p>
    <w:p w14:paraId="203984A0">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16.2磋商小组成员未据实打分或超出“评分细则”要素范围的，采购代理机构有权要求该评审专家重新评审。</w:t>
      </w:r>
    </w:p>
    <w:p w14:paraId="257CC9B7">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16.3如出现某一位评审专家打分畸高畸低，导致评审结论改变的，采购代理机构有权要求该评审专家说明其打分的合理理由，并视具体情况报告采购人政府采购管理处。</w:t>
      </w:r>
    </w:p>
    <w:p w14:paraId="2DEDAE94">
      <w:pPr>
        <w:spacing w:line="360" w:lineRule="auto"/>
        <w:ind w:firstLine="480" w:firstLineChars="200"/>
        <w:rPr>
          <w:rFonts w:hint="eastAsia" w:ascii="宋体" w:hAnsi="宋体" w:eastAsia="宋体" w:cs="宋体"/>
          <w:sz w:val="24"/>
          <w:highlight w:val="none"/>
          <w:shd w:val="clear" w:color="auto" w:fill="FFFFFF"/>
        </w:rPr>
      </w:pPr>
      <w:r>
        <w:rPr>
          <w:rFonts w:hint="eastAsia" w:ascii="宋体" w:hAnsi="宋体" w:eastAsia="宋体" w:cs="宋体"/>
          <w:sz w:val="24"/>
          <w:shd w:val="clear" w:color="auto" w:fill="FFFFFF"/>
        </w:rPr>
        <w:t>16.4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w:t>
      </w:r>
      <w:r>
        <w:rPr>
          <w:rFonts w:hint="eastAsia" w:ascii="宋体" w:hAnsi="宋体" w:eastAsia="宋体" w:cs="宋体"/>
          <w:sz w:val="24"/>
          <w:highlight w:val="none"/>
          <w:shd w:val="clear" w:color="auto" w:fill="FFFFFF"/>
        </w:rPr>
        <w:t>选人。</w:t>
      </w:r>
    </w:p>
    <w:p w14:paraId="44BE5A69">
      <w:pPr>
        <w:pStyle w:val="10"/>
        <w:ind w:firstLine="482" w:firstLineChars="200"/>
        <w:rPr>
          <w:rFonts w:hint="default" w:ascii="宋体" w:hAnsi="宋体" w:eastAsia="宋体" w:cs="宋体"/>
          <w:b/>
          <w:bCs/>
          <w:sz w:val="24"/>
          <w:highlight w:val="none"/>
          <w:shd w:val="clear" w:color="auto" w:fill="FFFFFF"/>
          <w:lang w:val="en-US" w:eastAsia="zh-CN"/>
        </w:rPr>
      </w:pPr>
      <w:r>
        <w:rPr>
          <w:rFonts w:hint="eastAsia" w:ascii="宋体" w:hAnsi="宋体" w:eastAsia="宋体" w:cs="宋体"/>
          <w:b/>
          <w:bCs/>
          <w:sz w:val="24"/>
          <w:highlight w:val="none"/>
          <w:shd w:val="clear" w:color="auto" w:fill="FFFFFF"/>
        </w:rPr>
        <w:t>16.5评分细则</w:t>
      </w:r>
      <w:r>
        <w:rPr>
          <w:rFonts w:hint="eastAsia" w:ascii="宋体" w:hAnsi="宋体" w:cs="宋体"/>
          <w:b/>
          <w:bCs/>
          <w:sz w:val="24"/>
          <w:highlight w:val="none"/>
          <w:shd w:val="clear" w:color="auto" w:fill="FFFFFF"/>
          <w:lang w:eastAsia="zh-CN"/>
        </w:rPr>
        <w:t>（</w:t>
      </w:r>
      <w:r>
        <w:rPr>
          <w:rFonts w:hint="eastAsia" w:ascii="宋体" w:hAnsi="宋体" w:cs="宋体"/>
          <w:b/>
          <w:bCs/>
          <w:sz w:val="24"/>
          <w:highlight w:val="none"/>
          <w:shd w:val="clear" w:color="auto" w:fill="FFFFFF"/>
          <w:lang w:val="en-US" w:eastAsia="zh-CN"/>
        </w:rPr>
        <w:t>包1）</w:t>
      </w:r>
    </w:p>
    <w:tbl>
      <w:tblPr>
        <w:tblStyle w:val="22"/>
        <w:tblW w:w="8658" w:type="dxa"/>
        <w:tblInd w:w="0" w:type="dxa"/>
        <w:tblLayout w:type="fixed"/>
        <w:tblCellMar>
          <w:top w:w="0" w:type="dxa"/>
          <w:left w:w="108" w:type="dxa"/>
          <w:bottom w:w="0" w:type="dxa"/>
          <w:right w:w="108" w:type="dxa"/>
        </w:tblCellMar>
      </w:tblPr>
      <w:tblGrid>
        <w:gridCol w:w="7958"/>
        <w:gridCol w:w="700"/>
      </w:tblGrid>
      <w:tr w14:paraId="3381A8D4">
        <w:trPr>
          <w:trHeight w:val="776" w:hRule="atLeast"/>
          <w:tblHeader/>
        </w:trPr>
        <w:tc>
          <w:tcPr>
            <w:tcW w:w="7958" w:type="dxa"/>
            <w:tcBorders>
              <w:top w:val="single" w:color="auto" w:sz="4" w:space="0"/>
              <w:left w:val="single" w:color="auto" w:sz="4" w:space="0"/>
              <w:bottom w:val="single" w:color="auto" w:sz="4" w:space="0"/>
              <w:right w:val="single" w:color="auto" w:sz="4" w:space="0"/>
            </w:tcBorders>
            <w:vAlign w:val="center"/>
          </w:tcPr>
          <w:p w14:paraId="1D564207">
            <w:pPr>
              <w:pStyle w:val="38"/>
              <w:spacing w:line="360" w:lineRule="auto"/>
              <w:rPr>
                <w:rFonts w:hint="eastAsia" w:ascii="宋体" w:hAnsi="宋体" w:eastAsia="宋体" w:cs="宋体"/>
                <w:b/>
                <w:bCs/>
                <w:highlight w:val="none"/>
              </w:rPr>
            </w:pPr>
            <w:r>
              <w:rPr>
                <w:rFonts w:hint="eastAsia" w:ascii="宋体" w:hAnsi="宋体" w:eastAsia="宋体" w:cs="宋体"/>
                <w:b/>
                <w:bCs/>
                <w:highlight w:val="none"/>
              </w:rPr>
              <w:t>评审内容及标准</w:t>
            </w:r>
          </w:p>
        </w:tc>
        <w:tc>
          <w:tcPr>
            <w:tcW w:w="700" w:type="dxa"/>
            <w:tcBorders>
              <w:top w:val="single" w:color="auto" w:sz="4" w:space="0"/>
              <w:left w:val="single" w:color="auto" w:sz="4" w:space="0"/>
              <w:bottom w:val="single" w:color="auto" w:sz="4" w:space="0"/>
              <w:right w:val="single" w:color="auto" w:sz="4" w:space="0"/>
            </w:tcBorders>
            <w:vAlign w:val="center"/>
          </w:tcPr>
          <w:p w14:paraId="4813EC73">
            <w:pPr>
              <w:pStyle w:val="38"/>
              <w:spacing w:line="360" w:lineRule="auto"/>
              <w:rPr>
                <w:rFonts w:hint="eastAsia" w:ascii="宋体" w:hAnsi="宋体" w:eastAsia="宋体" w:cs="宋体"/>
                <w:b/>
                <w:bCs/>
                <w:highlight w:val="none"/>
              </w:rPr>
            </w:pPr>
            <w:r>
              <w:rPr>
                <w:rFonts w:hint="eastAsia" w:ascii="宋体" w:hAnsi="宋体" w:eastAsia="宋体" w:cs="宋体"/>
                <w:b/>
                <w:bCs/>
                <w:highlight w:val="none"/>
              </w:rPr>
              <w:t>分值</w:t>
            </w:r>
          </w:p>
        </w:tc>
      </w:tr>
      <w:tr w14:paraId="7ACF87F1">
        <w:tblPrEx>
          <w:tblCellMar>
            <w:top w:w="0" w:type="dxa"/>
            <w:left w:w="108" w:type="dxa"/>
            <w:bottom w:w="0" w:type="dxa"/>
            <w:right w:w="108" w:type="dxa"/>
          </w:tblCellMar>
        </w:tblPrEx>
        <w:trPr>
          <w:trHeight w:val="90" w:hRule="atLeast"/>
        </w:trPr>
        <w:tc>
          <w:tcPr>
            <w:tcW w:w="8658" w:type="dxa"/>
            <w:gridSpan w:val="2"/>
            <w:tcBorders>
              <w:top w:val="single" w:color="auto" w:sz="4" w:space="0"/>
              <w:left w:val="single" w:color="auto" w:sz="4" w:space="0"/>
              <w:bottom w:val="single" w:color="auto" w:sz="4" w:space="0"/>
              <w:right w:val="single" w:color="auto" w:sz="4" w:space="0"/>
            </w:tcBorders>
            <w:vAlign w:val="center"/>
          </w:tcPr>
          <w:p w14:paraId="17C650D4">
            <w:pPr>
              <w:pStyle w:val="39"/>
              <w:spacing w:line="360" w:lineRule="auto"/>
              <w:rPr>
                <w:rFonts w:hint="eastAsia" w:ascii="宋体" w:hAnsi="宋体" w:eastAsia="宋体" w:cs="宋体"/>
                <w:b/>
                <w:bCs/>
                <w:highlight w:val="none"/>
              </w:rPr>
            </w:pPr>
            <w:r>
              <w:rPr>
                <w:rFonts w:hint="eastAsia" w:ascii="宋体" w:hAnsi="宋体" w:eastAsia="宋体" w:cs="宋体"/>
                <w:b/>
                <w:bCs/>
                <w:highlight w:val="none"/>
              </w:rPr>
              <w:t>一、商务部分（2</w:t>
            </w:r>
            <w:r>
              <w:rPr>
                <w:rFonts w:hint="eastAsia" w:ascii="宋体" w:hAnsi="宋体" w:eastAsia="宋体" w:cs="宋体"/>
                <w:b/>
                <w:bCs/>
                <w:highlight w:val="none"/>
                <w:lang w:val="en-US" w:eastAsia="zh-CN"/>
              </w:rPr>
              <w:t>5</w:t>
            </w:r>
            <w:r>
              <w:rPr>
                <w:rFonts w:hint="eastAsia" w:ascii="宋体" w:hAnsi="宋体" w:eastAsia="宋体" w:cs="宋体"/>
                <w:b/>
                <w:bCs/>
                <w:highlight w:val="none"/>
              </w:rPr>
              <w:t>分）</w:t>
            </w:r>
          </w:p>
        </w:tc>
      </w:tr>
      <w:tr w14:paraId="72D654B1">
        <w:tblPrEx>
          <w:tblCellMar>
            <w:top w:w="0" w:type="dxa"/>
            <w:left w:w="108" w:type="dxa"/>
            <w:bottom w:w="0" w:type="dxa"/>
            <w:right w:w="108" w:type="dxa"/>
          </w:tblCellMar>
        </w:tblPrEx>
        <w:trPr>
          <w:trHeight w:val="1875" w:hRule="atLeast"/>
        </w:trPr>
        <w:tc>
          <w:tcPr>
            <w:tcW w:w="7958" w:type="dxa"/>
            <w:tcBorders>
              <w:top w:val="single" w:color="auto" w:sz="4" w:space="0"/>
              <w:left w:val="single" w:color="auto" w:sz="4" w:space="0"/>
              <w:bottom w:val="single" w:color="auto" w:sz="4" w:space="0"/>
              <w:right w:val="single" w:color="auto" w:sz="4" w:space="0"/>
            </w:tcBorders>
            <w:vAlign w:val="center"/>
          </w:tcPr>
          <w:p w14:paraId="260325B6">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1、供应商业绩</w:t>
            </w:r>
          </w:p>
          <w:p w14:paraId="464482EC">
            <w:pPr>
              <w:pStyle w:val="39"/>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供应商提供近三年</w:t>
            </w:r>
            <w:r>
              <w:rPr>
                <w:rFonts w:hint="eastAsia" w:ascii="宋体" w:hAnsi="宋体" w:cs="宋体"/>
                <w:sz w:val="22"/>
                <w:szCs w:val="22"/>
                <w:highlight w:val="none"/>
                <w:lang w:val="en-US" w:eastAsia="zh-CN"/>
              </w:rPr>
              <w:t>已完成的</w:t>
            </w:r>
            <w:r>
              <w:rPr>
                <w:rFonts w:hint="eastAsia" w:ascii="宋体" w:hAnsi="宋体" w:eastAsia="宋体" w:cs="宋体"/>
                <w:sz w:val="22"/>
                <w:szCs w:val="22"/>
                <w:highlight w:val="none"/>
              </w:rPr>
              <w:t>(202</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06</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15</w:t>
            </w:r>
            <w:r>
              <w:rPr>
                <w:rFonts w:hint="eastAsia" w:ascii="宋体" w:hAnsi="宋体" w:eastAsia="宋体" w:cs="宋体"/>
                <w:sz w:val="22"/>
                <w:szCs w:val="22"/>
                <w:highlight w:val="none"/>
              </w:rPr>
              <w:t>日至202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0</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14</w:t>
            </w:r>
            <w:r>
              <w:rPr>
                <w:rFonts w:hint="eastAsia" w:ascii="宋体" w:hAnsi="宋体" w:eastAsia="宋体" w:cs="宋体"/>
                <w:sz w:val="22"/>
                <w:szCs w:val="22"/>
                <w:highlight w:val="none"/>
              </w:rPr>
              <w:t>日）类似项目业绩，须提供合同，合同包含与用户签订的合同首页、合同金额所在页、签字盖章页、签订时间页的复印件为准</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每个业绩计3分，本项累加最高计</w:t>
            </w: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分，未提供不得分。</w:t>
            </w:r>
          </w:p>
          <w:p w14:paraId="3CBC7364">
            <w:pPr>
              <w:pStyle w:val="39"/>
              <w:spacing w:line="360" w:lineRule="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包1驾驶服务类似业绩。</w:t>
            </w:r>
          </w:p>
        </w:tc>
        <w:tc>
          <w:tcPr>
            <w:tcW w:w="700" w:type="dxa"/>
            <w:tcBorders>
              <w:top w:val="single" w:color="auto" w:sz="4" w:space="0"/>
              <w:left w:val="single" w:color="auto" w:sz="4" w:space="0"/>
              <w:bottom w:val="single" w:color="auto" w:sz="4" w:space="0"/>
              <w:right w:val="single" w:color="auto" w:sz="4" w:space="0"/>
            </w:tcBorders>
            <w:vAlign w:val="center"/>
          </w:tcPr>
          <w:p w14:paraId="10476F9A">
            <w:pPr>
              <w:pStyle w:val="39"/>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15</w:t>
            </w:r>
          </w:p>
        </w:tc>
      </w:tr>
      <w:tr w14:paraId="3F50398E">
        <w:tblPrEx>
          <w:tblCellMar>
            <w:top w:w="0" w:type="dxa"/>
            <w:left w:w="108" w:type="dxa"/>
            <w:bottom w:w="0" w:type="dxa"/>
            <w:right w:w="108" w:type="dxa"/>
          </w:tblCellMar>
        </w:tblPrEx>
        <w:trPr>
          <w:trHeight w:val="1725" w:hRule="atLeast"/>
        </w:trPr>
        <w:tc>
          <w:tcPr>
            <w:tcW w:w="7958" w:type="dxa"/>
            <w:tcBorders>
              <w:top w:val="single" w:color="auto" w:sz="4" w:space="0"/>
              <w:left w:val="single" w:color="auto" w:sz="4" w:space="0"/>
              <w:bottom w:val="single" w:color="auto" w:sz="4" w:space="0"/>
              <w:right w:val="single" w:color="auto" w:sz="4" w:space="0"/>
            </w:tcBorders>
            <w:vAlign w:val="center"/>
          </w:tcPr>
          <w:p w14:paraId="0266BC84">
            <w:pPr>
              <w:pStyle w:val="39"/>
              <w:spacing w:line="360" w:lineRule="auto"/>
              <w:rPr>
                <w:rFonts w:hint="eastAsia" w:ascii="宋体" w:hAnsi="宋体" w:eastAsia="宋体" w:cs="宋体"/>
                <w:sz w:val="22"/>
                <w:szCs w:val="22"/>
                <w:highlight w:val="none"/>
              </w:rPr>
            </w:pPr>
            <w:r>
              <w:rPr>
                <w:rFonts w:hint="eastAsia" w:ascii="宋体" w:hAnsi="宋体" w:eastAsia="宋体" w:cs="宋体"/>
                <w:kern w:val="0"/>
                <w:sz w:val="22"/>
                <w:szCs w:val="22"/>
                <w:highlight w:val="none"/>
              </w:rPr>
              <w:t>2</w:t>
            </w:r>
            <w:r>
              <w:rPr>
                <w:rFonts w:hint="eastAsia" w:ascii="宋体" w:hAnsi="宋体" w:eastAsia="宋体" w:cs="宋体"/>
                <w:sz w:val="22"/>
                <w:szCs w:val="22"/>
                <w:highlight w:val="none"/>
              </w:rPr>
              <w:t>、人员配备情况</w:t>
            </w:r>
          </w:p>
          <w:p w14:paraId="4D823F39">
            <w:pPr>
              <w:pStyle w:val="39"/>
              <w:spacing w:line="360" w:lineRule="auto"/>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除项目负责人外，每提供一名人员</w:t>
            </w:r>
            <w:r>
              <w:rPr>
                <w:rFonts w:hint="eastAsia" w:ascii="宋体" w:hAnsi="宋体" w:eastAsia="宋体" w:cs="宋体"/>
                <w:sz w:val="22"/>
                <w:szCs w:val="22"/>
                <w:highlight w:val="none"/>
                <w:lang w:val="en-US" w:eastAsia="zh-CN"/>
              </w:rPr>
              <w:t>加</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分，最多加</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lang w:val="en-US" w:eastAsia="zh-CN"/>
              </w:rPr>
              <w:t>分。</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须</w:t>
            </w:r>
            <w:r>
              <w:rPr>
                <w:rFonts w:hint="eastAsia" w:ascii="宋体" w:hAnsi="宋体" w:eastAsia="宋体" w:cs="宋体"/>
                <w:sz w:val="22"/>
                <w:szCs w:val="22"/>
                <w:highlight w:val="none"/>
              </w:rPr>
              <w:t>提供</w:t>
            </w:r>
            <w:r>
              <w:rPr>
                <w:rFonts w:hint="eastAsia" w:ascii="宋体" w:hAnsi="宋体" w:eastAsia="宋体" w:cs="宋体"/>
                <w:sz w:val="22"/>
                <w:szCs w:val="22"/>
                <w:highlight w:val="none"/>
                <w:lang w:val="en-US" w:eastAsia="zh-CN"/>
              </w:rPr>
              <w:t>身份证及相关证件</w:t>
            </w:r>
            <w:r>
              <w:rPr>
                <w:rFonts w:hint="eastAsia" w:ascii="宋体" w:hAnsi="宋体" w:eastAsia="宋体" w:cs="宋体"/>
                <w:sz w:val="22"/>
                <w:szCs w:val="22"/>
                <w:highlight w:val="none"/>
              </w:rPr>
              <w:t>、近一个月社保证明复印件并加盖单位公章，否则不计分）。</w:t>
            </w:r>
          </w:p>
        </w:tc>
        <w:tc>
          <w:tcPr>
            <w:tcW w:w="700" w:type="dxa"/>
            <w:tcBorders>
              <w:top w:val="single" w:color="auto" w:sz="4" w:space="0"/>
              <w:left w:val="single" w:color="auto" w:sz="4" w:space="0"/>
              <w:bottom w:val="single" w:color="auto" w:sz="4" w:space="0"/>
              <w:right w:val="single" w:color="auto" w:sz="4" w:space="0"/>
            </w:tcBorders>
            <w:vAlign w:val="center"/>
          </w:tcPr>
          <w:p w14:paraId="323454E9">
            <w:pPr>
              <w:pStyle w:val="39"/>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r>
      <w:tr w14:paraId="31C61574">
        <w:tblPrEx>
          <w:tblCellMar>
            <w:top w:w="0" w:type="dxa"/>
            <w:left w:w="108" w:type="dxa"/>
            <w:bottom w:w="0" w:type="dxa"/>
            <w:right w:w="108" w:type="dxa"/>
          </w:tblCellMar>
        </w:tblPrEx>
        <w:trPr>
          <w:trHeight w:val="513" w:hRule="atLeast"/>
        </w:trPr>
        <w:tc>
          <w:tcPr>
            <w:tcW w:w="8658" w:type="dxa"/>
            <w:gridSpan w:val="2"/>
            <w:tcBorders>
              <w:top w:val="single" w:color="auto" w:sz="4" w:space="0"/>
              <w:left w:val="single" w:color="auto" w:sz="4" w:space="0"/>
              <w:bottom w:val="single" w:color="auto" w:sz="4" w:space="0"/>
              <w:right w:val="single" w:color="auto" w:sz="4" w:space="0"/>
            </w:tcBorders>
            <w:vAlign w:val="center"/>
          </w:tcPr>
          <w:p w14:paraId="52228C94">
            <w:pPr>
              <w:pStyle w:val="39"/>
              <w:spacing w:line="360" w:lineRule="auto"/>
              <w:jc w:val="left"/>
              <w:rPr>
                <w:rFonts w:hint="eastAsia" w:ascii="宋体" w:hAnsi="宋体" w:eastAsia="宋体" w:cs="宋体"/>
                <w:b/>
                <w:bCs/>
                <w:highlight w:val="yellow"/>
              </w:rPr>
            </w:pPr>
            <w:r>
              <w:rPr>
                <w:rFonts w:hint="eastAsia" w:ascii="宋体" w:hAnsi="宋体" w:eastAsia="宋体" w:cs="宋体"/>
                <w:b/>
                <w:bCs/>
              </w:rPr>
              <w:t>二、技术部分（6</w:t>
            </w:r>
            <w:r>
              <w:rPr>
                <w:rFonts w:hint="eastAsia" w:ascii="宋体" w:hAnsi="宋体" w:eastAsia="宋体" w:cs="宋体"/>
                <w:b/>
                <w:bCs/>
                <w:lang w:val="en-US" w:eastAsia="zh-CN"/>
              </w:rPr>
              <w:t>5</w:t>
            </w:r>
            <w:r>
              <w:rPr>
                <w:rFonts w:hint="eastAsia" w:ascii="宋体" w:hAnsi="宋体" w:eastAsia="宋体" w:cs="宋体"/>
                <w:b/>
                <w:bCs/>
              </w:rPr>
              <w:t>分）</w:t>
            </w:r>
          </w:p>
        </w:tc>
      </w:tr>
      <w:tr w14:paraId="5984E76D">
        <w:tblPrEx>
          <w:tblCellMar>
            <w:top w:w="0" w:type="dxa"/>
            <w:left w:w="108" w:type="dxa"/>
            <w:bottom w:w="0" w:type="dxa"/>
            <w:right w:w="108" w:type="dxa"/>
          </w:tblCellMar>
        </w:tblPrEx>
        <w:trPr>
          <w:trHeight w:val="90" w:hRule="atLeast"/>
        </w:trPr>
        <w:tc>
          <w:tcPr>
            <w:tcW w:w="7958" w:type="dxa"/>
            <w:tcBorders>
              <w:top w:val="single" w:color="auto" w:sz="4" w:space="0"/>
              <w:left w:val="single" w:color="auto" w:sz="4" w:space="0"/>
              <w:bottom w:val="single" w:color="auto" w:sz="4" w:space="0"/>
              <w:right w:val="single" w:color="auto" w:sz="4" w:space="0"/>
            </w:tcBorders>
            <w:vAlign w:val="center"/>
          </w:tcPr>
          <w:p w14:paraId="41A4926E">
            <w:pPr>
              <w:tabs>
                <w:tab w:val="center" w:pos="4153"/>
                <w:tab w:val="right" w:pos="8306"/>
              </w:tabs>
              <w:snapToGrid w:val="0"/>
              <w:spacing w:line="360" w:lineRule="auto"/>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rPr>
              <w:t>1、项目整体</w:t>
            </w:r>
            <w:r>
              <w:rPr>
                <w:rFonts w:hint="eastAsia" w:ascii="宋体" w:hAnsi="宋体" w:cs="宋体"/>
                <w:b/>
                <w:bCs/>
                <w:sz w:val="22"/>
                <w:szCs w:val="22"/>
                <w:highlight w:val="none"/>
                <w:lang w:val="en-US" w:eastAsia="zh-CN"/>
              </w:rPr>
              <w:t>服务</w:t>
            </w:r>
            <w:r>
              <w:rPr>
                <w:rFonts w:hint="eastAsia" w:ascii="宋体" w:hAnsi="宋体" w:eastAsia="宋体" w:cs="宋体"/>
                <w:b/>
                <w:bCs/>
                <w:sz w:val="22"/>
                <w:szCs w:val="22"/>
                <w:highlight w:val="none"/>
              </w:rPr>
              <w:t>实施方案</w:t>
            </w:r>
          </w:p>
          <w:p w14:paraId="4E64EDBA">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rPr>
            </w:pPr>
            <w:r>
              <w:rPr>
                <w:rFonts w:hint="eastAsia" w:ascii="微软雅黑" w:hAnsi="微软雅黑" w:eastAsia="微软雅黑" w:cs="微软雅黑"/>
                <w:sz w:val="22"/>
                <w:szCs w:val="22"/>
                <w:highlight w:val="none"/>
                <w:lang w:val="en-US" w:eastAsia="zh-CN"/>
              </w:rPr>
              <w:t>①</w:t>
            </w:r>
            <w:r>
              <w:rPr>
                <w:rFonts w:hint="eastAsia" w:ascii="宋体" w:hAnsi="宋体" w:eastAsia="宋体" w:cs="宋体"/>
                <w:sz w:val="22"/>
                <w:szCs w:val="22"/>
                <w:highlight w:val="none"/>
              </w:rPr>
              <w:t xml:space="preserve"> 出行驾驶保障方案（</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p>
          <w:p w14:paraId="0E9573F1">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包含日常通勤、外勤下乡、调研接待、跨区域出行、应急值守、节假日全时段保障机制，响应流程清晰、排班合理、应急处置迅速，满分</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p>
          <w:p w14:paraId="11792CF3">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rPr>
            </w:pPr>
            <w:r>
              <w:rPr>
                <w:rFonts w:hint="eastAsia" w:ascii="微软雅黑" w:hAnsi="微软雅黑" w:eastAsia="微软雅黑" w:cs="微软雅黑"/>
                <w:sz w:val="22"/>
                <w:szCs w:val="22"/>
                <w:highlight w:val="none"/>
                <w:lang w:val="en-US" w:eastAsia="zh-CN"/>
              </w:rPr>
              <w:t>②</w:t>
            </w:r>
            <w:r>
              <w:rPr>
                <w:rFonts w:hint="eastAsia" w:ascii="宋体" w:hAnsi="宋体" w:eastAsia="宋体" w:cs="宋体"/>
                <w:sz w:val="22"/>
                <w:szCs w:val="22"/>
                <w:highlight w:val="none"/>
              </w:rPr>
              <w:t xml:space="preserve"> 车辆日常运维辅助方案（</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p>
          <w:p w14:paraId="5E88C729">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含出车前后车况查验、车身车内清洁、故障/违章上报、钥匙及凭证保管、年检维保配合全流程细则，流程规范、落地性强得</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r>
              <w:rPr>
                <w:rFonts w:hint="eastAsia" w:ascii="宋体" w:hAnsi="宋体" w:cs="宋体"/>
                <w:sz w:val="22"/>
                <w:szCs w:val="22"/>
                <w:highlight w:val="none"/>
                <w:lang w:eastAsia="zh-CN"/>
              </w:rPr>
              <w:t>；</w:t>
            </w:r>
          </w:p>
          <w:p w14:paraId="11C8F0BA">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rPr>
            </w:pPr>
            <w:r>
              <w:rPr>
                <w:rFonts w:hint="eastAsia" w:ascii="微软雅黑" w:hAnsi="微软雅黑" w:eastAsia="微软雅黑" w:cs="微软雅黑"/>
                <w:sz w:val="22"/>
                <w:szCs w:val="22"/>
                <w:highlight w:val="none"/>
                <w:lang w:val="en-US" w:eastAsia="zh-CN"/>
              </w:rPr>
              <w:t>③</w:t>
            </w:r>
            <w:r>
              <w:rPr>
                <w:rFonts w:hint="eastAsia" w:ascii="宋体" w:hAnsi="宋体" w:eastAsia="宋体" w:cs="宋体"/>
                <w:sz w:val="22"/>
                <w:szCs w:val="22"/>
                <w:highlight w:val="none"/>
              </w:rPr>
              <w:t xml:space="preserve"> 行车合规与安全管控方案（</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p>
          <w:p w14:paraId="4AA307BA">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包含交规合规、路线规范、防疲劳驾驶、交通安全管控、违规行为杜绝机制，制度完善</w:t>
            </w:r>
            <w:r>
              <w:rPr>
                <w:rFonts w:hint="eastAsia" w:ascii="宋体" w:hAnsi="宋体" w:cs="宋体"/>
                <w:sz w:val="22"/>
                <w:szCs w:val="22"/>
                <w:highlight w:val="none"/>
                <w:lang w:val="en-US" w:eastAsia="zh-CN"/>
              </w:rPr>
              <w:t>全面</w:t>
            </w:r>
            <w:r>
              <w:rPr>
                <w:rFonts w:hint="eastAsia" w:ascii="宋体" w:hAnsi="宋体" w:eastAsia="宋体" w:cs="宋体"/>
                <w:sz w:val="22"/>
                <w:szCs w:val="22"/>
                <w:highlight w:val="none"/>
              </w:rPr>
              <w:t>得</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r>
              <w:rPr>
                <w:rFonts w:hint="eastAsia" w:ascii="宋体" w:hAnsi="宋体" w:cs="宋体"/>
                <w:sz w:val="22"/>
                <w:szCs w:val="22"/>
                <w:highlight w:val="none"/>
                <w:lang w:eastAsia="zh-CN"/>
              </w:rPr>
              <w:t>；</w:t>
            </w:r>
          </w:p>
          <w:p w14:paraId="28E61060">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rPr>
            </w:pPr>
            <w:r>
              <w:rPr>
                <w:rFonts w:hint="eastAsia" w:ascii="微软雅黑" w:hAnsi="微软雅黑" w:eastAsia="微软雅黑" w:cs="微软雅黑"/>
                <w:sz w:val="22"/>
                <w:szCs w:val="22"/>
                <w:highlight w:val="none"/>
                <w:lang w:val="en-US" w:eastAsia="zh-CN"/>
              </w:rPr>
              <w:t>④</w:t>
            </w:r>
            <w:r>
              <w:rPr>
                <w:rFonts w:hint="eastAsia" w:ascii="宋体" w:hAnsi="宋体" w:eastAsia="宋体" w:cs="宋体"/>
                <w:sz w:val="22"/>
                <w:szCs w:val="22"/>
                <w:highlight w:val="none"/>
              </w:rPr>
              <w:t xml:space="preserve"> 保密与服务行为规范（</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p>
          <w:p w14:paraId="46B3A286">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针对公务出行保密要求、言行规范、禁止公车私用、私载无关人员等制定专项管控措施，措施完善得</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p>
          <w:p w14:paraId="016FE6BC">
            <w:pPr>
              <w:numPr>
                <w:ilvl w:val="0"/>
                <w:numId w:val="0"/>
              </w:numPr>
              <w:tabs>
                <w:tab w:val="center" w:pos="4153"/>
                <w:tab w:val="right" w:pos="8306"/>
              </w:tabs>
              <w:snapToGrid w:val="0"/>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评审标准：以上方案各项措施详尽完整、具体可行、贴合实际需求、易于落实得</w:t>
            </w:r>
            <w:r>
              <w:rPr>
                <w:rFonts w:hint="eastAsia" w:ascii="宋体" w:hAnsi="宋体" w:cs="宋体"/>
                <w:sz w:val="22"/>
                <w:szCs w:val="22"/>
                <w:highlight w:val="none"/>
                <w:lang w:val="en-US" w:eastAsia="zh-CN"/>
              </w:rPr>
              <w:t>20</w:t>
            </w:r>
            <w:r>
              <w:rPr>
                <w:rFonts w:hint="default" w:ascii="宋体" w:hAnsi="宋体" w:eastAsia="宋体" w:cs="宋体"/>
                <w:sz w:val="22"/>
                <w:szCs w:val="22"/>
                <w:highlight w:val="none"/>
                <w:lang w:val="en-US" w:eastAsia="zh-CN"/>
              </w:rPr>
              <w:t>分。缺少一项内容，此项不得分，（其中“项”指上述条款中</w:t>
            </w:r>
            <w:r>
              <w:rPr>
                <w:rFonts w:hint="eastAsia" w:ascii="微软雅黑" w:hAnsi="微软雅黑" w:eastAsia="微软雅黑" w:cs="微软雅黑"/>
                <w:sz w:val="22"/>
                <w:szCs w:val="22"/>
                <w:highlight w:val="none"/>
                <w:lang w:val="en-US" w:eastAsia="zh-CN"/>
              </w:rPr>
              <w:t>①②③④</w:t>
            </w:r>
            <w:r>
              <w:rPr>
                <w:rFonts w:hint="default" w:ascii="宋体" w:hAnsi="宋体" w:eastAsia="宋体" w:cs="宋体"/>
                <w:sz w:val="22"/>
                <w:szCs w:val="22"/>
                <w:highlight w:val="none"/>
                <w:lang w:val="en-US" w:eastAsia="zh-CN"/>
              </w:rPr>
              <w:t>条内容）。有一处内容存在缺陷扣1分，扣完为止。</w:t>
            </w:r>
          </w:p>
          <w:p w14:paraId="68CF3884">
            <w:pPr>
              <w:numPr>
                <w:ilvl w:val="0"/>
                <w:numId w:val="0"/>
              </w:numPr>
              <w:tabs>
                <w:tab w:val="center" w:pos="4153"/>
                <w:tab w:val="right" w:pos="8306"/>
              </w:tabs>
              <w:snapToGrid w:val="0"/>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注：内容存在缺陷是指项目整体服务实施方案中有生搬硬造，与实际情况明显不符，存在偏差；或存在与项目需求明显无关的文字内容；或内容明显不适用项目实际情况；或相关资料提供不完善；或提供内容上下矛盾；或对采购需求理解混乱。</w:t>
            </w:r>
          </w:p>
        </w:tc>
        <w:tc>
          <w:tcPr>
            <w:tcW w:w="700" w:type="dxa"/>
            <w:tcBorders>
              <w:top w:val="single" w:color="auto" w:sz="4" w:space="0"/>
              <w:left w:val="single" w:color="auto" w:sz="4" w:space="0"/>
              <w:bottom w:val="single" w:color="auto" w:sz="4" w:space="0"/>
              <w:right w:val="single" w:color="auto" w:sz="4" w:space="0"/>
            </w:tcBorders>
            <w:vAlign w:val="center"/>
          </w:tcPr>
          <w:p w14:paraId="104F2649">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w:t>
            </w:r>
          </w:p>
        </w:tc>
      </w:tr>
      <w:tr w14:paraId="754EF5BF">
        <w:tblPrEx>
          <w:tblCellMar>
            <w:top w:w="0" w:type="dxa"/>
            <w:left w:w="108" w:type="dxa"/>
            <w:bottom w:w="0" w:type="dxa"/>
            <w:right w:w="108" w:type="dxa"/>
          </w:tblCellMar>
        </w:tblPrEx>
        <w:trPr>
          <w:trHeight w:val="90" w:hRule="atLeast"/>
        </w:trPr>
        <w:tc>
          <w:tcPr>
            <w:tcW w:w="7958" w:type="dxa"/>
            <w:tcBorders>
              <w:top w:val="single" w:color="auto" w:sz="4" w:space="0"/>
              <w:left w:val="single" w:color="auto" w:sz="4" w:space="0"/>
              <w:bottom w:val="single" w:color="auto" w:sz="4" w:space="0"/>
              <w:right w:val="single" w:color="auto" w:sz="4" w:space="0"/>
            </w:tcBorders>
            <w:vAlign w:val="center"/>
          </w:tcPr>
          <w:p w14:paraId="25213116">
            <w:pPr>
              <w:numPr>
                <w:ilvl w:val="0"/>
                <w:numId w:val="0"/>
              </w:numPr>
              <w:tabs>
                <w:tab w:val="center" w:pos="4153"/>
                <w:tab w:val="right" w:pos="8306"/>
              </w:tabs>
              <w:snapToGrid w:val="0"/>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2、管理机构运作方法及管理制度</w:t>
            </w:r>
          </w:p>
          <w:p w14:paraId="7F778BE7">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eastAsia="zh-CN"/>
              </w:rPr>
              <w:t>根据</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提供的</w:t>
            </w:r>
            <w:r>
              <w:rPr>
                <w:rFonts w:hint="eastAsia" w:ascii="微软雅黑" w:hAnsi="微软雅黑" w:eastAsia="微软雅黑" w:cs="微软雅黑"/>
                <w:sz w:val="22"/>
                <w:szCs w:val="22"/>
                <w:lang w:val="en-US" w:eastAsia="zh-CN"/>
              </w:rPr>
              <w:t>①</w:t>
            </w:r>
            <w:r>
              <w:rPr>
                <w:rFonts w:hint="eastAsia" w:ascii="宋体" w:hAnsi="宋体" w:eastAsia="宋体" w:cs="宋体"/>
                <w:sz w:val="22"/>
                <w:szCs w:val="22"/>
                <w:lang w:eastAsia="zh-CN"/>
              </w:rPr>
              <w:t>人员配备明细</w:t>
            </w:r>
            <w:r>
              <w:rPr>
                <w:rFonts w:hint="eastAsia" w:ascii="微软雅黑" w:hAnsi="微软雅黑" w:eastAsia="微软雅黑" w:cs="微软雅黑"/>
                <w:sz w:val="22"/>
                <w:szCs w:val="22"/>
                <w:lang w:eastAsia="zh-CN"/>
              </w:rPr>
              <w:t>②</w:t>
            </w:r>
            <w:r>
              <w:rPr>
                <w:rFonts w:hint="eastAsia" w:ascii="宋体" w:hAnsi="宋体" w:eastAsia="宋体" w:cs="宋体"/>
                <w:sz w:val="22"/>
                <w:szCs w:val="22"/>
                <w:lang w:eastAsia="zh-CN"/>
              </w:rPr>
              <w:t>管理服务工作计划</w:t>
            </w:r>
            <w:r>
              <w:rPr>
                <w:rFonts w:hint="eastAsia" w:ascii="微软雅黑" w:hAnsi="微软雅黑" w:eastAsia="微软雅黑" w:cs="微软雅黑"/>
                <w:sz w:val="22"/>
                <w:szCs w:val="22"/>
                <w:lang w:eastAsia="zh-CN"/>
              </w:rPr>
              <w:t>③</w:t>
            </w:r>
            <w:r>
              <w:rPr>
                <w:rFonts w:hint="eastAsia" w:ascii="宋体" w:hAnsi="宋体" w:eastAsia="宋体" w:cs="宋体"/>
                <w:sz w:val="22"/>
                <w:szCs w:val="22"/>
                <w:lang w:val="en-US" w:eastAsia="zh-CN"/>
              </w:rPr>
              <w:t>内部</w:t>
            </w:r>
            <w:r>
              <w:rPr>
                <w:rFonts w:hint="eastAsia" w:ascii="宋体" w:hAnsi="宋体" w:eastAsia="宋体" w:cs="宋体"/>
                <w:sz w:val="22"/>
                <w:szCs w:val="22"/>
                <w:lang w:eastAsia="zh-CN"/>
              </w:rPr>
              <w:t>管理制度</w:t>
            </w:r>
            <w:r>
              <w:rPr>
                <w:rFonts w:hint="eastAsia" w:ascii="微软雅黑" w:hAnsi="微软雅黑" w:eastAsia="微软雅黑" w:cs="微软雅黑"/>
                <w:sz w:val="22"/>
                <w:szCs w:val="22"/>
                <w:lang w:eastAsia="zh-CN"/>
              </w:rPr>
              <w:t>④</w:t>
            </w:r>
            <w:r>
              <w:rPr>
                <w:rFonts w:hint="eastAsia" w:ascii="宋体" w:hAnsi="宋体" w:eastAsia="宋体" w:cs="宋体"/>
                <w:sz w:val="22"/>
                <w:szCs w:val="22"/>
                <w:lang w:val="en-US" w:eastAsia="zh-CN"/>
              </w:rPr>
              <w:t>服务考核方案</w:t>
            </w:r>
            <w:r>
              <w:rPr>
                <w:rFonts w:hint="eastAsia" w:ascii="微软雅黑" w:hAnsi="微软雅黑" w:eastAsia="微软雅黑" w:cs="微软雅黑"/>
                <w:sz w:val="22"/>
                <w:szCs w:val="22"/>
                <w:lang w:eastAsia="zh-CN"/>
              </w:rPr>
              <w:t>⑤</w:t>
            </w:r>
            <w:r>
              <w:rPr>
                <w:rFonts w:hint="eastAsia" w:ascii="宋体" w:hAnsi="宋体" w:eastAsia="宋体" w:cs="宋体"/>
                <w:sz w:val="22"/>
                <w:szCs w:val="22"/>
                <w:lang w:eastAsia="zh-CN"/>
              </w:rPr>
              <w:t>档案管理及社保管理方案</w:t>
            </w:r>
            <w:r>
              <w:rPr>
                <w:rFonts w:hint="eastAsia" w:ascii="微软雅黑" w:hAnsi="微软雅黑" w:eastAsia="微软雅黑" w:cs="微软雅黑"/>
                <w:sz w:val="22"/>
                <w:szCs w:val="22"/>
                <w:lang w:eastAsia="zh-CN"/>
              </w:rPr>
              <w:t>⑥</w:t>
            </w:r>
            <w:r>
              <w:rPr>
                <w:rFonts w:hint="eastAsia" w:ascii="宋体" w:hAnsi="宋体" w:eastAsia="宋体" w:cs="宋体"/>
                <w:sz w:val="22"/>
                <w:szCs w:val="22"/>
                <w:lang w:eastAsia="zh-CN"/>
              </w:rPr>
              <w:t>有激励机制</w:t>
            </w:r>
            <w:r>
              <w:rPr>
                <w:rFonts w:hint="eastAsia" w:ascii="宋体" w:hAnsi="宋体" w:eastAsia="宋体" w:cs="宋体"/>
                <w:sz w:val="22"/>
                <w:szCs w:val="22"/>
                <w:lang w:val="en-US" w:eastAsia="zh-CN"/>
              </w:rPr>
              <w:t>和</w:t>
            </w:r>
            <w:r>
              <w:rPr>
                <w:rFonts w:hint="eastAsia" w:ascii="宋体" w:hAnsi="宋体" w:eastAsia="宋体" w:cs="宋体"/>
                <w:sz w:val="22"/>
                <w:szCs w:val="22"/>
                <w:lang w:eastAsia="zh-CN"/>
              </w:rPr>
              <w:t>监督机制</w:t>
            </w:r>
            <w:r>
              <w:rPr>
                <w:rFonts w:hint="eastAsia" w:ascii="微软雅黑" w:hAnsi="微软雅黑" w:eastAsia="微软雅黑" w:cs="微软雅黑"/>
                <w:sz w:val="22"/>
                <w:szCs w:val="22"/>
                <w:lang w:eastAsia="zh-CN"/>
              </w:rPr>
              <w:t>⑦</w:t>
            </w:r>
            <w:r>
              <w:rPr>
                <w:rFonts w:hint="eastAsia" w:ascii="宋体" w:hAnsi="宋体" w:eastAsia="宋体" w:cs="宋体"/>
                <w:sz w:val="22"/>
                <w:szCs w:val="22"/>
                <w:lang w:eastAsia="zh-CN"/>
              </w:rPr>
              <w:t>信息反馈渠道及处理机制</w:t>
            </w:r>
            <w:r>
              <w:rPr>
                <w:rFonts w:hint="eastAsia" w:ascii="微软雅黑" w:hAnsi="微软雅黑" w:eastAsia="微软雅黑" w:cs="微软雅黑"/>
                <w:sz w:val="22"/>
                <w:szCs w:val="22"/>
                <w:lang w:eastAsia="zh-CN"/>
              </w:rPr>
              <w:t>⑧</w:t>
            </w:r>
            <w:r>
              <w:rPr>
                <w:rFonts w:hint="eastAsia" w:ascii="宋体" w:hAnsi="宋体" w:eastAsia="宋体" w:cs="宋体"/>
                <w:sz w:val="22"/>
                <w:szCs w:val="22"/>
                <w:lang w:val="en-US" w:eastAsia="zh-CN"/>
              </w:rPr>
              <w:t>突发事件应急方案</w:t>
            </w:r>
            <w:r>
              <w:rPr>
                <w:rFonts w:hint="eastAsia" w:ascii="微软雅黑" w:hAnsi="微软雅黑" w:eastAsia="微软雅黑" w:cs="微软雅黑"/>
                <w:sz w:val="22"/>
                <w:szCs w:val="22"/>
                <w:lang w:eastAsia="zh-CN"/>
              </w:rPr>
              <w:t>⑨</w:t>
            </w:r>
            <w:r>
              <w:rPr>
                <w:rFonts w:hint="eastAsia" w:ascii="宋体" w:hAnsi="宋体" w:eastAsia="宋体" w:cs="宋体"/>
                <w:sz w:val="22"/>
                <w:szCs w:val="22"/>
                <w:lang w:val="en-US" w:eastAsia="zh-CN"/>
              </w:rPr>
              <w:t>岗前工作培训服务</w:t>
            </w:r>
            <w:r>
              <w:rPr>
                <w:rFonts w:hint="eastAsia" w:ascii="微软雅黑" w:hAnsi="微软雅黑" w:eastAsia="微软雅黑" w:cs="微软雅黑"/>
                <w:sz w:val="22"/>
                <w:szCs w:val="22"/>
                <w:lang w:eastAsia="zh-CN"/>
              </w:rPr>
              <w:t>⑩</w:t>
            </w:r>
            <w:r>
              <w:rPr>
                <w:rFonts w:hint="eastAsia" w:ascii="宋体" w:hAnsi="宋体" w:eastAsia="宋体" w:cs="宋体"/>
                <w:sz w:val="22"/>
                <w:szCs w:val="22"/>
                <w:lang w:val="en-US" w:eastAsia="zh-CN"/>
              </w:rPr>
              <w:t>根据甲方要求</w:t>
            </w:r>
            <w:r>
              <w:rPr>
                <w:rFonts w:hint="eastAsia" w:ascii="宋体" w:hAnsi="宋体" w:eastAsia="宋体" w:cs="宋体"/>
                <w:sz w:val="22"/>
                <w:szCs w:val="22"/>
                <w:lang w:eastAsia="zh-CN"/>
              </w:rPr>
              <w:t>及时整改方案等</w:t>
            </w:r>
            <w:r>
              <w:rPr>
                <w:rFonts w:hint="eastAsia" w:ascii="宋体" w:hAnsi="宋体" w:cs="宋体"/>
                <w:sz w:val="22"/>
                <w:szCs w:val="22"/>
                <w:lang w:eastAsia="zh-CN"/>
              </w:rPr>
              <w:t>。</w:t>
            </w:r>
            <w:r>
              <w:rPr>
                <w:rFonts w:hint="eastAsia" w:ascii="宋体" w:hAnsi="宋体" w:eastAsia="宋体" w:cs="宋体"/>
                <w:sz w:val="22"/>
                <w:szCs w:val="22"/>
                <w:lang w:eastAsia="zh-CN"/>
              </w:rPr>
              <w:t>各项控制方案的全面性、针对性、合理性、可行性进行综合评分。</w:t>
            </w:r>
            <w:r>
              <w:rPr>
                <w:rFonts w:hint="eastAsia" w:ascii="宋体" w:hAnsi="宋体" w:eastAsia="宋体" w:cs="宋体"/>
                <w:sz w:val="22"/>
                <w:szCs w:val="22"/>
                <w:lang w:val="en-US" w:eastAsia="zh-CN"/>
              </w:rPr>
              <w:t>每小项最高得3分，满分30分。</w:t>
            </w:r>
          </w:p>
          <w:p w14:paraId="3E05BC6B">
            <w:pPr>
              <w:numPr>
                <w:ilvl w:val="0"/>
                <w:numId w:val="0"/>
              </w:numPr>
              <w:tabs>
                <w:tab w:val="center" w:pos="4153"/>
                <w:tab w:val="right" w:pos="8306"/>
              </w:tabs>
              <w:snapToGrid w:val="0"/>
              <w:spacing w:line="360" w:lineRule="auto"/>
              <w:ind w:firstLine="440" w:firstLineChars="20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评审标准：以上方案各项措施详尽完整、具体可行、贴合实际需求、易于落实得</w:t>
            </w:r>
            <w:r>
              <w:rPr>
                <w:rFonts w:hint="eastAsia" w:ascii="宋体" w:hAnsi="宋体" w:cs="宋体"/>
                <w:sz w:val="22"/>
                <w:szCs w:val="22"/>
                <w:lang w:val="en-US" w:eastAsia="zh-CN"/>
              </w:rPr>
              <w:t>30</w:t>
            </w:r>
            <w:r>
              <w:rPr>
                <w:rFonts w:hint="default" w:ascii="宋体" w:hAnsi="宋体" w:eastAsia="宋体" w:cs="宋体"/>
                <w:sz w:val="22"/>
                <w:szCs w:val="22"/>
                <w:lang w:val="en-US" w:eastAsia="zh-CN"/>
              </w:rPr>
              <w:t>分。缺少一项内容，此项不得分，（其中“项”指上述条款中</w:t>
            </w:r>
            <w:r>
              <w:rPr>
                <w:rFonts w:hint="eastAsia" w:ascii="微软雅黑" w:hAnsi="微软雅黑" w:eastAsia="微软雅黑" w:cs="微软雅黑"/>
                <w:sz w:val="22"/>
                <w:szCs w:val="22"/>
                <w:lang w:val="en-US" w:eastAsia="zh-CN"/>
              </w:rPr>
              <w:t>①②③④⑤⑥⑦⑧⑨⑩</w:t>
            </w:r>
            <w:r>
              <w:rPr>
                <w:rFonts w:hint="default" w:ascii="宋体" w:hAnsi="宋体" w:eastAsia="宋体" w:cs="宋体"/>
                <w:sz w:val="22"/>
                <w:szCs w:val="22"/>
                <w:lang w:val="en-US" w:eastAsia="zh-CN"/>
              </w:rPr>
              <w:t>条内容）。有一处内容存在缺陷扣1分，扣完为止。</w:t>
            </w:r>
          </w:p>
          <w:p w14:paraId="39F8F1AA">
            <w:pPr>
              <w:numPr>
                <w:ilvl w:val="0"/>
                <w:numId w:val="0"/>
              </w:numPr>
              <w:tabs>
                <w:tab w:val="center" w:pos="4153"/>
                <w:tab w:val="right" w:pos="8306"/>
              </w:tabs>
              <w:snapToGrid w:val="0"/>
              <w:spacing w:line="360" w:lineRule="auto"/>
              <w:ind w:firstLine="440" w:firstLineChars="200"/>
              <w:rPr>
                <w:rFonts w:hint="eastAsia" w:ascii="宋体" w:hAnsi="宋体" w:eastAsia="宋体" w:cs="宋体"/>
                <w:kern w:val="0"/>
                <w:sz w:val="18"/>
                <w:szCs w:val="18"/>
              </w:rPr>
            </w:pPr>
            <w:r>
              <w:rPr>
                <w:rFonts w:hint="default" w:ascii="宋体" w:hAnsi="宋体" w:eastAsia="宋体" w:cs="宋体"/>
                <w:sz w:val="22"/>
                <w:szCs w:val="22"/>
                <w:lang w:val="en-US" w:eastAsia="zh-CN"/>
              </w:rPr>
              <w:t>注：内容存在缺陷是指管理机构运作方法及管理制度中有生搬硬造，与实际情况明显不符，存在偏差；或存在与项目需求明显无关的文字内容；或内容明显不适用项目实际情况；或相关资料提供不完善；或提供内容上下矛盾；或对采购需求理解混乱。</w:t>
            </w:r>
          </w:p>
        </w:tc>
        <w:tc>
          <w:tcPr>
            <w:tcW w:w="700" w:type="dxa"/>
            <w:tcBorders>
              <w:top w:val="single" w:color="auto" w:sz="4" w:space="0"/>
              <w:left w:val="single" w:color="auto" w:sz="4" w:space="0"/>
              <w:bottom w:val="single" w:color="auto" w:sz="4" w:space="0"/>
              <w:right w:val="single" w:color="auto" w:sz="4" w:space="0"/>
            </w:tcBorders>
            <w:vAlign w:val="center"/>
          </w:tcPr>
          <w:p w14:paraId="6C700C44">
            <w:pPr>
              <w:spacing w:line="360" w:lineRule="auto"/>
              <w:jc w:val="center"/>
              <w:rPr>
                <w:rFonts w:hint="eastAsia" w:ascii="宋体" w:hAnsi="宋体" w:eastAsia="宋体" w:cs="宋体"/>
                <w:sz w:val="22"/>
                <w:szCs w:val="22"/>
                <w:highlight w:val="yellow"/>
                <w:lang w:val="en-US" w:eastAsia="zh-CN"/>
              </w:rPr>
            </w:pPr>
            <w:r>
              <w:rPr>
                <w:rFonts w:hint="eastAsia" w:ascii="宋体" w:hAnsi="宋体" w:eastAsia="宋体" w:cs="宋体"/>
                <w:sz w:val="22"/>
                <w:szCs w:val="22"/>
                <w:lang w:val="en-US" w:eastAsia="zh-CN"/>
              </w:rPr>
              <w:t>30</w:t>
            </w:r>
          </w:p>
        </w:tc>
      </w:tr>
      <w:tr w14:paraId="66B6CE01">
        <w:tblPrEx>
          <w:tblCellMar>
            <w:top w:w="0" w:type="dxa"/>
            <w:left w:w="108" w:type="dxa"/>
            <w:bottom w:w="0" w:type="dxa"/>
            <w:right w:w="108" w:type="dxa"/>
          </w:tblCellMar>
        </w:tblPrEx>
        <w:trPr>
          <w:trHeight w:val="90" w:hRule="atLeast"/>
        </w:trPr>
        <w:tc>
          <w:tcPr>
            <w:tcW w:w="7958" w:type="dxa"/>
            <w:tcBorders>
              <w:top w:val="single" w:color="auto" w:sz="4" w:space="0"/>
              <w:left w:val="single" w:color="auto" w:sz="4" w:space="0"/>
              <w:bottom w:val="single" w:color="auto" w:sz="4" w:space="0"/>
              <w:right w:val="single" w:color="auto" w:sz="4" w:space="0"/>
            </w:tcBorders>
            <w:vAlign w:val="center"/>
          </w:tcPr>
          <w:p w14:paraId="18D41F89">
            <w:pPr>
              <w:spacing w:line="360" w:lineRule="auto"/>
              <w:rPr>
                <w:rFonts w:hint="eastAsia" w:ascii="宋体" w:hAnsi="宋体" w:eastAsia="宋体" w:cs="宋体"/>
                <w:b/>
                <w:bCs/>
                <w:sz w:val="22"/>
                <w:szCs w:val="22"/>
              </w:rPr>
            </w:pPr>
            <w:r>
              <w:rPr>
                <w:rFonts w:hint="eastAsia" w:ascii="宋体" w:hAnsi="宋体" w:eastAsia="宋体" w:cs="宋体"/>
                <w:b/>
                <w:bCs/>
                <w:sz w:val="22"/>
                <w:szCs w:val="22"/>
                <w:lang w:val="en-US" w:eastAsia="zh-CN"/>
              </w:rPr>
              <w:t>3、</w:t>
            </w:r>
            <w:r>
              <w:rPr>
                <w:rFonts w:hint="eastAsia" w:ascii="宋体" w:hAnsi="宋体" w:eastAsia="宋体" w:cs="宋体"/>
                <w:b/>
                <w:bCs/>
                <w:sz w:val="22"/>
                <w:szCs w:val="22"/>
              </w:rPr>
              <w:t>服务措施</w:t>
            </w:r>
          </w:p>
          <w:p w14:paraId="3E628A22">
            <w:pPr>
              <w:spacing w:line="360" w:lineRule="auto"/>
              <w:rPr>
                <w:rFonts w:hint="eastAsia" w:ascii="宋体" w:hAnsi="宋体" w:eastAsia="宋体" w:cs="宋体"/>
                <w:sz w:val="22"/>
                <w:szCs w:val="22"/>
              </w:rPr>
            </w:pPr>
            <w:r>
              <w:rPr>
                <w:rFonts w:hint="eastAsia" w:ascii="宋体" w:hAnsi="宋体" w:eastAsia="宋体" w:cs="宋体"/>
                <w:sz w:val="22"/>
                <w:szCs w:val="22"/>
              </w:rPr>
              <w:t>对供应商所提供的后续服务保障工作、</w:t>
            </w:r>
            <w:r>
              <w:rPr>
                <w:rFonts w:hint="eastAsia" w:ascii="宋体" w:hAnsi="宋体" w:eastAsia="宋体" w:cs="宋体"/>
                <w:sz w:val="22"/>
                <w:szCs w:val="22"/>
                <w:lang w:val="en-US" w:eastAsia="zh-CN"/>
              </w:rPr>
              <w:t>人员调换保障、</w:t>
            </w:r>
            <w:r>
              <w:rPr>
                <w:rFonts w:hint="eastAsia" w:ascii="宋体" w:hAnsi="宋体" w:eastAsia="宋体" w:cs="宋体"/>
                <w:sz w:val="22"/>
                <w:szCs w:val="22"/>
              </w:rPr>
              <w:t>对违约责任承诺等方面内容进行评审。</w:t>
            </w:r>
          </w:p>
          <w:p w14:paraId="0F02D154">
            <w:pPr>
              <w:numPr>
                <w:ilvl w:val="0"/>
                <w:numId w:val="0"/>
              </w:numPr>
              <w:tabs>
                <w:tab w:val="center" w:pos="4153"/>
                <w:tab w:val="right" w:pos="8306"/>
              </w:tabs>
              <w:snapToGrid w:val="0"/>
              <w:spacing w:line="360" w:lineRule="auto"/>
              <w:ind w:firstLine="440" w:firstLineChars="20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评审标准：以上方案各项措施详尽完整、具体可行、贴合实际需求、易于落实得</w:t>
            </w:r>
            <w:r>
              <w:rPr>
                <w:rFonts w:hint="eastAsia" w:ascii="宋体" w:hAnsi="宋体" w:eastAsia="宋体" w:cs="宋体"/>
                <w:sz w:val="22"/>
                <w:szCs w:val="22"/>
                <w:lang w:val="en-US" w:eastAsia="zh-CN"/>
              </w:rPr>
              <w:t>6</w:t>
            </w:r>
            <w:r>
              <w:rPr>
                <w:rFonts w:hint="default" w:ascii="宋体" w:hAnsi="宋体" w:eastAsia="宋体" w:cs="宋体"/>
                <w:sz w:val="22"/>
                <w:szCs w:val="22"/>
                <w:lang w:val="en-US" w:eastAsia="zh-CN"/>
              </w:rPr>
              <w:t>分。缺少一项内容，此项不得分，（其中“项”指上述条款中后续服务保障工作</w:t>
            </w:r>
            <w:r>
              <w:rPr>
                <w:rFonts w:hint="eastAsia" w:ascii="宋体" w:hAnsi="宋体" w:eastAsia="宋体" w:cs="宋体"/>
                <w:sz w:val="22"/>
                <w:szCs w:val="22"/>
              </w:rPr>
              <w:t>、</w:t>
            </w:r>
            <w:r>
              <w:rPr>
                <w:rFonts w:hint="eastAsia" w:ascii="宋体" w:hAnsi="宋体" w:eastAsia="宋体" w:cs="宋体"/>
                <w:sz w:val="22"/>
                <w:szCs w:val="22"/>
                <w:lang w:val="en-US" w:eastAsia="zh-CN"/>
              </w:rPr>
              <w:t>人员调换保障、</w:t>
            </w:r>
            <w:r>
              <w:rPr>
                <w:rFonts w:hint="eastAsia" w:ascii="宋体" w:hAnsi="宋体" w:eastAsia="宋体" w:cs="宋体"/>
                <w:sz w:val="22"/>
                <w:szCs w:val="22"/>
              </w:rPr>
              <w:t>对违约责任承诺等方面内容</w:t>
            </w:r>
            <w:r>
              <w:rPr>
                <w:rFonts w:hint="default" w:ascii="宋体" w:hAnsi="宋体" w:eastAsia="宋体" w:cs="宋体"/>
                <w:sz w:val="22"/>
                <w:szCs w:val="22"/>
                <w:lang w:val="en-US" w:eastAsia="zh-CN"/>
              </w:rPr>
              <w:t>）。有一处内容存在缺陷扣1分，扣完为止。</w:t>
            </w:r>
          </w:p>
          <w:p w14:paraId="234645B9">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rPr>
            </w:pPr>
            <w:r>
              <w:rPr>
                <w:rFonts w:hint="default" w:ascii="宋体" w:hAnsi="宋体" w:eastAsia="宋体" w:cs="宋体"/>
                <w:sz w:val="22"/>
                <w:szCs w:val="22"/>
                <w:lang w:val="en-US" w:eastAsia="zh-CN"/>
              </w:rPr>
              <w:t>注：内容存在缺陷是指服务措施有生搬硬造，与实际情况明显不符，存在偏差；或存在与项目需求明显无关的文字内容；或内容明显不适用项目实际情况；或相关资料提供不完善；或提供内容上下矛盾；或对采购需求理解混乱。</w:t>
            </w:r>
          </w:p>
        </w:tc>
        <w:tc>
          <w:tcPr>
            <w:tcW w:w="700" w:type="dxa"/>
            <w:tcBorders>
              <w:top w:val="single" w:color="auto" w:sz="4" w:space="0"/>
              <w:left w:val="single" w:color="auto" w:sz="4" w:space="0"/>
              <w:bottom w:val="single" w:color="auto" w:sz="4" w:space="0"/>
              <w:right w:val="single" w:color="auto" w:sz="4" w:space="0"/>
            </w:tcBorders>
            <w:vAlign w:val="center"/>
          </w:tcPr>
          <w:p w14:paraId="60DBB1F4">
            <w:pPr>
              <w:spacing w:line="360" w:lineRule="auto"/>
              <w:jc w:val="both"/>
              <w:rPr>
                <w:rFonts w:hint="eastAsia" w:ascii="宋体" w:hAnsi="宋体" w:eastAsia="宋体" w:cs="宋体"/>
                <w:sz w:val="22"/>
                <w:szCs w:val="22"/>
              </w:rPr>
            </w:pPr>
          </w:p>
          <w:p w14:paraId="7509DFFC">
            <w:pPr>
              <w:spacing w:line="360" w:lineRule="auto"/>
              <w:jc w:val="center"/>
              <w:rPr>
                <w:rFonts w:hint="eastAsia" w:ascii="宋体" w:hAnsi="宋体" w:eastAsia="宋体" w:cs="宋体"/>
                <w:sz w:val="22"/>
                <w:szCs w:val="22"/>
                <w:highlight w:val="yellow"/>
              </w:rPr>
            </w:pPr>
            <w:r>
              <w:rPr>
                <w:rFonts w:hint="eastAsia" w:ascii="宋体" w:hAnsi="宋体" w:eastAsia="宋体" w:cs="宋体"/>
                <w:sz w:val="22"/>
                <w:szCs w:val="22"/>
                <w:lang w:val="en-US" w:eastAsia="zh-CN"/>
              </w:rPr>
              <w:t>6</w:t>
            </w:r>
          </w:p>
        </w:tc>
      </w:tr>
      <w:tr w14:paraId="38C6C56E">
        <w:tblPrEx>
          <w:tblCellMar>
            <w:top w:w="0" w:type="dxa"/>
            <w:left w:w="108" w:type="dxa"/>
            <w:bottom w:w="0" w:type="dxa"/>
            <w:right w:w="108" w:type="dxa"/>
          </w:tblCellMar>
        </w:tblPrEx>
        <w:trPr>
          <w:trHeight w:val="90" w:hRule="atLeast"/>
        </w:trPr>
        <w:tc>
          <w:tcPr>
            <w:tcW w:w="7958" w:type="dxa"/>
            <w:tcBorders>
              <w:top w:val="single" w:color="auto" w:sz="4" w:space="0"/>
              <w:left w:val="single" w:color="auto" w:sz="4" w:space="0"/>
              <w:bottom w:val="single" w:color="auto" w:sz="4" w:space="0"/>
              <w:right w:val="single" w:color="auto" w:sz="4" w:space="0"/>
            </w:tcBorders>
            <w:vAlign w:val="center"/>
          </w:tcPr>
          <w:p w14:paraId="3B34DA93">
            <w:pPr>
              <w:numPr>
                <w:ilvl w:val="0"/>
                <w:numId w:val="0"/>
              </w:numPr>
              <w:spacing w:line="360" w:lineRule="auto"/>
              <w:rPr>
                <w:rFonts w:hint="eastAsia" w:ascii="宋体" w:hAnsi="宋体" w:eastAsia="宋体" w:cs="宋体"/>
                <w:sz w:val="22"/>
                <w:szCs w:val="22"/>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lang w:val="en-US" w:eastAsia="zh-CN"/>
              </w:rPr>
              <w:t>处理服务过程中（薪资、劳动仲裁等服务期间可能出现的问题）等事项处理措施</w:t>
            </w:r>
            <w:r>
              <w:rPr>
                <w:rFonts w:hint="eastAsia" w:ascii="宋体" w:hAnsi="宋体" w:eastAsia="宋体" w:cs="宋体"/>
                <w:sz w:val="22"/>
                <w:szCs w:val="22"/>
                <w:lang w:val="zh-CN"/>
              </w:rPr>
              <w:t>针对本项目</w:t>
            </w:r>
            <w:r>
              <w:rPr>
                <w:rFonts w:hint="eastAsia" w:ascii="宋体" w:hAnsi="宋体" w:eastAsia="宋体" w:cs="宋体"/>
                <w:sz w:val="22"/>
                <w:szCs w:val="22"/>
              </w:rPr>
              <w:t>制定相应的</w:t>
            </w:r>
            <w:r>
              <w:rPr>
                <w:rFonts w:hint="eastAsia" w:ascii="宋体" w:hAnsi="宋体" w:eastAsia="宋体" w:cs="宋体"/>
                <w:sz w:val="22"/>
                <w:szCs w:val="22"/>
                <w:lang w:val="en-US" w:eastAsia="zh-CN"/>
              </w:rPr>
              <w:t>处理措施</w:t>
            </w:r>
            <w:r>
              <w:rPr>
                <w:rFonts w:hint="eastAsia" w:ascii="宋体" w:hAnsi="宋体" w:eastAsia="宋体" w:cs="宋体"/>
                <w:sz w:val="22"/>
                <w:szCs w:val="22"/>
              </w:rPr>
              <w:t>，</w:t>
            </w:r>
            <w:r>
              <w:rPr>
                <w:rFonts w:hint="eastAsia" w:ascii="宋体" w:hAnsi="宋体" w:eastAsia="宋体" w:cs="宋体"/>
                <w:sz w:val="22"/>
                <w:szCs w:val="22"/>
                <w:lang w:val="zh-CN"/>
              </w:rPr>
              <w:t>包括但不限于</w:t>
            </w:r>
            <w:r>
              <w:rPr>
                <w:rFonts w:hint="eastAsia" w:ascii="宋体" w:hAnsi="宋体" w:eastAsia="宋体" w:cs="宋体"/>
                <w:sz w:val="22"/>
                <w:szCs w:val="22"/>
                <w:lang w:val="en-US" w:eastAsia="zh-CN"/>
              </w:rPr>
              <w:t>常见情形、处理方式、解决方案</w:t>
            </w:r>
            <w:r>
              <w:rPr>
                <w:rFonts w:hint="eastAsia" w:ascii="宋体" w:hAnsi="宋体" w:eastAsia="宋体" w:cs="宋体"/>
                <w:sz w:val="22"/>
                <w:szCs w:val="22"/>
                <w:lang w:val="zh-CN"/>
              </w:rPr>
              <w:t>等</w:t>
            </w:r>
            <w:r>
              <w:rPr>
                <w:rFonts w:hint="eastAsia" w:ascii="宋体" w:hAnsi="宋体" w:eastAsia="宋体" w:cs="宋体"/>
                <w:sz w:val="22"/>
                <w:szCs w:val="22"/>
              </w:rPr>
              <w:t>内容。</w:t>
            </w:r>
          </w:p>
          <w:p w14:paraId="1E2C64F8">
            <w:pPr>
              <w:numPr>
                <w:ilvl w:val="0"/>
                <w:numId w:val="0"/>
              </w:numPr>
              <w:tabs>
                <w:tab w:val="center" w:pos="4153"/>
                <w:tab w:val="right" w:pos="8306"/>
              </w:tabs>
              <w:snapToGrid w:val="0"/>
              <w:spacing w:line="360" w:lineRule="auto"/>
              <w:ind w:firstLine="440" w:firstLineChars="20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评审标准：以上方案各项措施详尽完整、具体可行、贴合实际需求、易于落实得</w:t>
            </w:r>
            <w:r>
              <w:rPr>
                <w:rFonts w:hint="eastAsia" w:ascii="宋体" w:hAnsi="宋体" w:eastAsia="宋体" w:cs="宋体"/>
                <w:sz w:val="22"/>
                <w:szCs w:val="22"/>
                <w:lang w:val="en-US" w:eastAsia="zh-CN"/>
              </w:rPr>
              <w:t>6</w:t>
            </w:r>
            <w:r>
              <w:rPr>
                <w:rFonts w:hint="default" w:ascii="宋体" w:hAnsi="宋体" w:eastAsia="宋体" w:cs="宋体"/>
                <w:sz w:val="22"/>
                <w:szCs w:val="22"/>
                <w:lang w:val="en-US" w:eastAsia="zh-CN"/>
              </w:rPr>
              <w:t>分。缺少一项内容，此项不得分，（其中“项”指上述条款中常见情形、处理方式、解决方案等</w:t>
            </w:r>
            <w:r>
              <w:rPr>
                <w:rFonts w:hint="eastAsia" w:ascii="宋体" w:hAnsi="宋体" w:eastAsia="宋体" w:cs="宋体"/>
                <w:sz w:val="22"/>
                <w:szCs w:val="22"/>
              </w:rPr>
              <w:t>内容</w:t>
            </w:r>
            <w:r>
              <w:rPr>
                <w:rFonts w:hint="default" w:ascii="宋体" w:hAnsi="宋体" w:eastAsia="宋体" w:cs="宋体"/>
                <w:sz w:val="22"/>
                <w:szCs w:val="22"/>
                <w:lang w:val="en-US" w:eastAsia="zh-CN"/>
              </w:rPr>
              <w:t>）。有一处内容存在缺陷扣1分，扣完为止。</w:t>
            </w:r>
          </w:p>
          <w:p w14:paraId="3C937E90">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rPr>
            </w:pPr>
            <w:r>
              <w:rPr>
                <w:rFonts w:hint="default" w:ascii="宋体" w:hAnsi="宋体" w:eastAsia="宋体" w:cs="宋体"/>
                <w:sz w:val="22"/>
                <w:szCs w:val="22"/>
                <w:lang w:val="en-US" w:eastAsia="zh-CN"/>
              </w:rPr>
              <w:t>注：内容存在缺陷是指本项目制定相应的处理措施有生搬硬造，与实际情况明显不符，存在偏差；或存在与项目需求明显无关的文字内容；或内容明显不适用项目实际情况；或相关资料提供不完善；或提供内容上下矛盾；或对采购需求理解混乱。</w:t>
            </w:r>
          </w:p>
        </w:tc>
        <w:tc>
          <w:tcPr>
            <w:tcW w:w="700" w:type="dxa"/>
            <w:tcBorders>
              <w:top w:val="single" w:color="auto" w:sz="4" w:space="0"/>
              <w:left w:val="single" w:color="auto" w:sz="4" w:space="0"/>
              <w:bottom w:val="single" w:color="auto" w:sz="4" w:space="0"/>
              <w:right w:val="single" w:color="auto" w:sz="4" w:space="0"/>
            </w:tcBorders>
            <w:vAlign w:val="center"/>
          </w:tcPr>
          <w:p w14:paraId="716F9C2B">
            <w:pPr>
              <w:spacing w:line="360" w:lineRule="auto"/>
              <w:jc w:val="center"/>
              <w:rPr>
                <w:rFonts w:hint="eastAsia" w:ascii="宋体" w:hAnsi="宋体" w:eastAsia="宋体" w:cs="宋体"/>
                <w:sz w:val="22"/>
                <w:szCs w:val="22"/>
                <w:lang w:eastAsia="zh-CN"/>
              </w:rPr>
            </w:pPr>
            <w:r>
              <w:rPr>
                <w:rFonts w:hint="eastAsia" w:ascii="宋体" w:hAnsi="宋体" w:cs="宋体"/>
                <w:sz w:val="22"/>
                <w:szCs w:val="22"/>
                <w:lang w:val="en-US" w:eastAsia="zh-CN"/>
              </w:rPr>
              <w:t>6</w:t>
            </w:r>
          </w:p>
        </w:tc>
      </w:tr>
      <w:tr w14:paraId="79A9091B">
        <w:tblPrEx>
          <w:tblCellMar>
            <w:top w:w="0" w:type="dxa"/>
            <w:left w:w="108" w:type="dxa"/>
            <w:bottom w:w="0" w:type="dxa"/>
            <w:right w:w="108" w:type="dxa"/>
          </w:tblCellMar>
        </w:tblPrEx>
        <w:trPr>
          <w:trHeight w:val="1490" w:hRule="atLeast"/>
        </w:trPr>
        <w:tc>
          <w:tcPr>
            <w:tcW w:w="7958" w:type="dxa"/>
            <w:tcBorders>
              <w:top w:val="single" w:color="auto" w:sz="4" w:space="0"/>
              <w:left w:val="single" w:color="auto" w:sz="4" w:space="0"/>
              <w:bottom w:val="single" w:color="auto" w:sz="4" w:space="0"/>
              <w:right w:val="single" w:color="auto" w:sz="4" w:space="0"/>
            </w:tcBorders>
            <w:vAlign w:val="center"/>
          </w:tcPr>
          <w:p w14:paraId="32C26807">
            <w:pPr>
              <w:numPr>
                <w:ilvl w:val="0"/>
                <w:numId w:val="0"/>
              </w:numPr>
              <w:tabs>
                <w:tab w:val="center" w:pos="4153"/>
                <w:tab w:val="right" w:pos="8306"/>
              </w:tabs>
              <w:snapToGrid w:val="0"/>
              <w:spacing w:line="360" w:lineRule="auto"/>
              <w:rPr>
                <w:rFonts w:hint="default" w:ascii="宋体" w:hAnsi="宋体" w:eastAsia="宋体" w:cs="宋体"/>
                <w:sz w:val="22"/>
                <w:szCs w:val="22"/>
                <w:highlight w:val="none"/>
                <w:lang w:val="en-US" w:eastAsia="zh-CN"/>
              </w:rPr>
            </w:pPr>
            <w:r>
              <w:rPr>
                <w:rFonts w:hint="eastAsia" w:ascii="宋体" w:hAnsi="宋体" w:eastAsia="宋体" w:cs="宋体"/>
                <w:b/>
                <w:bCs/>
                <w:sz w:val="22"/>
                <w:szCs w:val="22"/>
                <w:lang w:val="en-US" w:eastAsia="zh-CN"/>
              </w:rPr>
              <w:t>5</w:t>
            </w:r>
            <w:r>
              <w:rPr>
                <w:rFonts w:hint="eastAsia" w:ascii="宋体" w:hAnsi="宋体" w:eastAsia="宋体" w:cs="宋体"/>
                <w:b/>
                <w:bCs/>
                <w:sz w:val="22"/>
                <w:szCs w:val="22"/>
              </w:rPr>
              <w:t>、</w:t>
            </w:r>
            <w:r>
              <w:rPr>
                <w:rFonts w:hint="eastAsia" w:ascii="宋体" w:hAnsi="宋体" w:eastAsia="宋体" w:cs="宋体"/>
                <w:b/>
                <w:bCs/>
                <w:sz w:val="22"/>
                <w:szCs w:val="22"/>
                <w:highlight w:val="none"/>
              </w:rPr>
              <w:t>合理化建议及措施</w:t>
            </w:r>
            <w:r>
              <w:rPr>
                <w:rFonts w:hint="eastAsia" w:ascii="宋体" w:hAnsi="宋体" w:eastAsia="宋体" w:cs="宋体"/>
                <w:sz w:val="22"/>
                <w:szCs w:val="22"/>
                <w:highlight w:val="none"/>
              </w:rPr>
              <w:t>（为了更好的完成本项目工作，供应商可根据以往的经验对本项目提出建议）</w:t>
            </w:r>
          </w:p>
          <w:p w14:paraId="7A2FB915">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kern w:val="2"/>
                <w:sz w:val="22"/>
                <w:szCs w:val="22"/>
                <w:lang w:val="en-US" w:eastAsia="zh-CN" w:bidi="ar-SA"/>
              </w:rPr>
              <w:t>A、</w:t>
            </w:r>
            <w:r>
              <w:rPr>
                <w:rFonts w:hint="eastAsia" w:ascii="宋体" w:hAnsi="宋体" w:eastAsia="宋体" w:cs="宋体"/>
                <w:sz w:val="22"/>
                <w:szCs w:val="22"/>
              </w:rPr>
              <w:t>以上</w:t>
            </w:r>
            <w:r>
              <w:rPr>
                <w:rFonts w:hint="eastAsia" w:ascii="宋体" w:hAnsi="宋体" w:eastAsia="宋体" w:cs="宋体"/>
                <w:sz w:val="22"/>
                <w:szCs w:val="22"/>
                <w:highlight w:val="none"/>
              </w:rPr>
              <w:t>合理化建议及措施</w:t>
            </w:r>
            <w:r>
              <w:rPr>
                <w:rFonts w:hint="eastAsia" w:ascii="宋体" w:hAnsi="宋体" w:cs="宋体"/>
                <w:sz w:val="22"/>
                <w:szCs w:val="22"/>
                <w:lang w:val="en-US" w:eastAsia="zh-CN"/>
              </w:rPr>
              <w:t>促使</w:t>
            </w:r>
            <w:r>
              <w:rPr>
                <w:rFonts w:hint="eastAsia" w:ascii="宋体" w:hAnsi="宋体" w:eastAsia="宋体" w:cs="宋体"/>
                <w:sz w:val="22"/>
                <w:szCs w:val="22"/>
              </w:rPr>
              <w:t>每有一个阐述贴合项目实际情况且方案中含具体实施细节得</w:t>
            </w:r>
            <w:r>
              <w:rPr>
                <w:rFonts w:hint="eastAsia" w:ascii="宋体" w:hAnsi="宋体" w:cs="宋体"/>
                <w:sz w:val="22"/>
                <w:szCs w:val="22"/>
                <w:lang w:val="en-US" w:eastAsia="zh-CN"/>
              </w:rPr>
              <w:t>1</w:t>
            </w:r>
            <w:r>
              <w:rPr>
                <w:rFonts w:hint="eastAsia" w:ascii="宋体" w:hAnsi="宋体" w:eastAsia="宋体" w:cs="宋体"/>
                <w:sz w:val="22"/>
                <w:szCs w:val="22"/>
              </w:rPr>
              <w:t>分</w:t>
            </w:r>
            <w:r>
              <w:rPr>
                <w:rFonts w:hint="eastAsia" w:ascii="宋体" w:hAnsi="宋体" w:cs="宋体"/>
                <w:sz w:val="22"/>
                <w:szCs w:val="22"/>
                <w:lang w:eastAsia="zh-CN"/>
              </w:rPr>
              <w:t>，</w:t>
            </w:r>
            <w:r>
              <w:rPr>
                <w:rFonts w:hint="eastAsia" w:ascii="宋体" w:hAnsi="宋体" w:eastAsia="宋体" w:cs="宋体"/>
                <w:sz w:val="22"/>
                <w:szCs w:val="22"/>
              </w:rPr>
              <w:t>最高得</w:t>
            </w:r>
            <w:r>
              <w:rPr>
                <w:rFonts w:hint="eastAsia" w:ascii="宋体" w:hAnsi="宋体" w:cs="宋体"/>
                <w:sz w:val="22"/>
                <w:szCs w:val="22"/>
                <w:lang w:val="en-US" w:eastAsia="zh-CN"/>
              </w:rPr>
              <w:t>3</w:t>
            </w:r>
            <w:r>
              <w:rPr>
                <w:rFonts w:hint="eastAsia" w:ascii="宋体" w:hAnsi="宋体" w:eastAsia="宋体" w:cs="宋体"/>
                <w:sz w:val="22"/>
                <w:szCs w:val="22"/>
              </w:rPr>
              <w:t>分；</w:t>
            </w:r>
          </w:p>
          <w:p w14:paraId="785847A7">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kern w:val="2"/>
                <w:sz w:val="22"/>
                <w:szCs w:val="22"/>
                <w:lang w:val="en-US" w:eastAsia="zh-CN" w:bidi="ar-SA"/>
              </w:rPr>
              <w:t>B、</w:t>
            </w:r>
            <w:r>
              <w:rPr>
                <w:rFonts w:hint="eastAsia" w:ascii="宋体" w:hAnsi="宋体" w:eastAsia="宋体" w:cs="宋体"/>
                <w:sz w:val="22"/>
                <w:szCs w:val="22"/>
              </w:rPr>
              <w:t>以上方案每有一个虽阐述但未贴合项目实际情况进行论述，或方案中未包括具体实施细节及措施，得</w:t>
            </w:r>
            <w:r>
              <w:rPr>
                <w:rFonts w:hint="eastAsia" w:ascii="宋体" w:hAnsi="宋体" w:cs="宋体"/>
                <w:sz w:val="22"/>
                <w:szCs w:val="22"/>
                <w:lang w:val="en-US" w:eastAsia="zh-CN"/>
              </w:rPr>
              <w:t>0.5</w:t>
            </w:r>
            <w:r>
              <w:rPr>
                <w:rFonts w:hint="eastAsia" w:ascii="宋体" w:hAnsi="宋体" w:eastAsia="宋体" w:cs="宋体"/>
                <w:sz w:val="22"/>
                <w:szCs w:val="22"/>
              </w:rPr>
              <w:t>分</w:t>
            </w:r>
            <w:r>
              <w:rPr>
                <w:rFonts w:hint="eastAsia" w:ascii="宋体" w:hAnsi="宋体" w:cs="宋体"/>
                <w:sz w:val="22"/>
                <w:szCs w:val="22"/>
                <w:lang w:eastAsia="zh-CN"/>
              </w:rPr>
              <w:t>；</w:t>
            </w:r>
          </w:p>
          <w:p w14:paraId="2EA3F2B5">
            <w:pPr>
              <w:spacing w:line="360" w:lineRule="auto"/>
              <w:ind w:firstLine="440" w:firstLineChars="200"/>
              <w:rPr>
                <w:rFonts w:hint="eastAsia" w:ascii="宋体" w:hAnsi="宋体" w:eastAsia="宋体" w:cs="宋体"/>
                <w:sz w:val="22"/>
                <w:szCs w:val="22"/>
              </w:rPr>
            </w:pPr>
            <w:r>
              <w:rPr>
                <w:rFonts w:hint="eastAsia" w:ascii="宋体" w:hAnsi="宋体" w:eastAsia="宋体" w:cs="宋体"/>
                <w:kern w:val="2"/>
                <w:sz w:val="22"/>
                <w:szCs w:val="22"/>
                <w:lang w:val="en-US" w:eastAsia="zh-CN" w:bidi="ar-SA"/>
              </w:rPr>
              <w:t>C、</w:t>
            </w:r>
            <w:r>
              <w:rPr>
                <w:rFonts w:hint="eastAsia" w:ascii="宋体" w:hAnsi="宋体" w:eastAsia="宋体" w:cs="宋体"/>
                <w:sz w:val="22"/>
                <w:szCs w:val="22"/>
              </w:rPr>
              <w:t>未明确或未提供不得分。</w:t>
            </w:r>
          </w:p>
        </w:tc>
        <w:tc>
          <w:tcPr>
            <w:tcW w:w="700" w:type="dxa"/>
            <w:tcBorders>
              <w:top w:val="single" w:color="auto" w:sz="4" w:space="0"/>
              <w:left w:val="single" w:color="auto" w:sz="4" w:space="0"/>
              <w:bottom w:val="single" w:color="auto" w:sz="4" w:space="0"/>
              <w:right w:val="single" w:color="auto" w:sz="4" w:space="0"/>
            </w:tcBorders>
            <w:vAlign w:val="center"/>
          </w:tcPr>
          <w:p w14:paraId="3BD0151D">
            <w:pPr>
              <w:spacing w:line="360" w:lineRule="auto"/>
              <w:rPr>
                <w:rFonts w:hint="eastAsia" w:ascii="宋体" w:hAnsi="宋体" w:eastAsia="宋体" w:cs="宋体"/>
                <w:sz w:val="22"/>
                <w:szCs w:val="22"/>
              </w:rPr>
            </w:pPr>
          </w:p>
          <w:p w14:paraId="44C35BCF">
            <w:pPr>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w:t>
            </w:r>
          </w:p>
        </w:tc>
      </w:tr>
      <w:tr w14:paraId="5E88DDCB">
        <w:tblPrEx>
          <w:tblCellMar>
            <w:top w:w="0" w:type="dxa"/>
            <w:left w:w="108" w:type="dxa"/>
            <w:bottom w:w="0" w:type="dxa"/>
            <w:right w:w="108" w:type="dxa"/>
          </w:tblCellMar>
        </w:tblPrEx>
        <w:trPr>
          <w:trHeight w:val="423" w:hRule="atLeast"/>
        </w:trPr>
        <w:tc>
          <w:tcPr>
            <w:tcW w:w="8658" w:type="dxa"/>
            <w:gridSpan w:val="2"/>
            <w:tcBorders>
              <w:top w:val="single" w:color="auto" w:sz="4" w:space="0"/>
              <w:left w:val="single" w:color="auto" w:sz="4" w:space="0"/>
              <w:bottom w:val="single" w:color="auto" w:sz="4" w:space="0"/>
              <w:right w:val="single" w:color="auto" w:sz="4" w:space="0"/>
            </w:tcBorders>
            <w:vAlign w:val="center"/>
          </w:tcPr>
          <w:p w14:paraId="5A752F0E">
            <w:pPr>
              <w:pStyle w:val="39"/>
              <w:spacing w:line="360" w:lineRule="auto"/>
              <w:rPr>
                <w:rFonts w:hint="eastAsia" w:ascii="宋体" w:hAnsi="宋体" w:eastAsia="宋体" w:cs="宋体"/>
                <w:sz w:val="21"/>
                <w:szCs w:val="21"/>
              </w:rPr>
            </w:pPr>
            <w:r>
              <w:rPr>
                <w:rFonts w:hint="eastAsia" w:ascii="宋体" w:hAnsi="宋体" w:eastAsia="宋体" w:cs="宋体"/>
                <w:b/>
                <w:bCs/>
                <w:sz w:val="21"/>
                <w:szCs w:val="21"/>
              </w:rPr>
              <w:t>三、价格部分（10分）</w:t>
            </w:r>
          </w:p>
        </w:tc>
      </w:tr>
      <w:tr w14:paraId="5CE0012C">
        <w:tblPrEx>
          <w:tblCellMar>
            <w:top w:w="0" w:type="dxa"/>
            <w:left w:w="108" w:type="dxa"/>
            <w:bottom w:w="0" w:type="dxa"/>
            <w:right w:w="108" w:type="dxa"/>
          </w:tblCellMar>
        </w:tblPrEx>
        <w:trPr>
          <w:trHeight w:val="1637" w:hRule="atLeast"/>
        </w:trPr>
        <w:tc>
          <w:tcPr>
            <w:tcW w:w="7958" w:type="dxa"/>
            <w:tcBorders>
              <w:top w:val="single" w:color="auto" w:sz="4" w:space="0"/>
              <w:left w:val="single" w:color="auto" w:sz="4" w:space="0"/>
              <w:bottom w:val="single" w:color="auto" w:sz="4" w:space="0"/>
              <w:right w:val="single" w:color="auto" w:sz="4" w:space="0"/>
            </w:tcBorders>
            <w:vAlign w:val="center"/>
          </w:tcPr>
          <w:p w14:paraId="40E7674C">
            <w:pPr>
              <w:pStyle w:val="39"/>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价格分值为10分，投标价格分按照以下方式进行计算：</w:t>
            </w:r>
          </w:p>
          <w:p w14:paraId="0BBE7C82">
            <w:pPr>
              <w:pStyle w:val="39"/>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价格评分：报价分＝价格分值×（评标基准价/投标报价）</w:t>
            </w:r>
          </w:p>
          <w:p w14:paraId="32B1635E">
            <w:pPr>
              <w:pStyle w:val="39"/>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评标基准价：是经初审合格满足磋商文件要求且投标价格最低的投标报价。</w:t>
            </w:r>
          </w:p>
        </w:tc>
        <w:tc>
          <w:tcPr>
            <w:tcW w:w="700" w:type="dxa"/>
            <w:tcBorders>
              <w:top w:val="single" w:color="auto" w:sz="4" w:space="0"/>
              <w:left w:val="single" w:color="auto" w:sz="4" w:space="0"/>
              <w:bottom w:val="single" w:color="auto" w:sz="4" w:space="0"/>
              <w:right w:val="single" w:color="auto" w:sz="4" w:space="0"/>
            </w:tcBorders>
            <w:vAlign w:val="center"/>
          </w:tcPr>
          <w:p w14:paraId="7859C747">
            <w:pPr>
              <w:pStyle w:val="39"/>
              <w:spacing w:line="360" w:lineRule="auto"/>
              <w:jc w:val="center"/>
              <w:rPr>
                <w:rFonts w:hint="eastAsia" w:ascii="宋体" w:hAnsi="宋体" w:eastAsia="宋体" w:cs="宋体"/>
                <w:sz w:val="22"/>
                <w:szCs w:val="22"/>
              </w:rPr>
            </w:pPr>
            <w:r>
              <w:rPr>
                <w:rFonts w:hint="eastAsia" w:ascii="宋体" w:hAnsi="宋体" w:eastAsia="宋体" w:cs="宋体"/>
                <w:sz w:val="22"/>
                <w:szCs w:val="22"/>
              </w:rPr>
              <w:t>10</w:t>
            </w:r>
          </w:p>
        </w:tc>
      </w:tr>
    </w:tbl>
    <w:p w14:paraId="0456B74A">
      <w:pPr>
        <w:rPr>
          <w:rFonts w:hint="eastAsia" w:ascii="宋体" w:hAnsi="宋体" w:eastAsia="宋体" w:cs="宋体"/>
          <w:sz w:val="24"/>
          <w:highlight w:val="yellow"/>
          <w:shd w:val="clear" w:color="auto" w:fill="FFFFFF"/>
        </w:rPr>
      </w:pPr>
    </w:p>
    <w:p w14:paraId="2E77E3CB">
      <w:pPr>
        <w:rPr>
          <w:rFonts w:hint="eastAsia" w:ascii="宋体" w:hAnsi="宋体" w:eastAsia="宋体" w:cs="宋体"/>
          <w:sz w:val="24"/>
          <w:highlight w:val="yellow"/>
          <w:shd w:val="clear" w:color="auto" w:fill="FFFFFF"/>
        </w:rPr>
      </w:pPr>
    </w:p>
    <w:p w14:paraId="15F1CC63">
      <w:pPr>
        <w:rPr>
          <w:rFonts w:hint="eastAsia" w:ascii="宋体" w:hAnsi="宋体" w:eastAsia="宋体" w:cs="宋体"/>
          <w:b/>
          <w:bCs/>
          <w:highlight w:val="none"/>
        </w:rPr>
      </w:pPr>
      <w:r>
        <w:rPr>
          <w:rFonts w:hint="eastAsia" w:ascii="宋体" w:hAnsi="宋体" w:eastAsia="宋体" w:cs="宋体"/>
          <w:b/>
          <w:bCs/>
          <w:sz w:val="24"/>
          <w:highlight w:val="none"/>
          <w:shd w:val="clear" w:color="auto" w:fill="FFFFFF"/>
        </w:rPr>
        <w:t>评分细则</w:t>
      </w:r>
      <w:r>
        <w:rPr>
          <w:rFonts w:hint="eastAsia" w:ascii="宋体" w:hAnsi="宋体" w:cs="宋体"/>
          <w:b/>
          <w:bCs/>
          <w:sz w:val="24"/>
          <w:highlight w:val="none"/>
          <w:shd w:val="clear" w:color="auto" w:fill="FFFFFF"/>
          <w:lang w:eastAsia="zh-CN"/>
        </w:rPr>
        <w:t>（</w:t>
      </w:r>
      <w:r>
        <w:rPr>
          <w:rFonts w:hint="eastAsia" w:ascii="宋体" w:hAnsi="宋体" w:cs="宋体"/>
          <w:b/>
          <w:bCs/>
          <w:sz w:val="24"/>
          <w:highlight w:val="none"/>
          <w:shd w:val="clear" w:color="auto" w:fill="FFFFFF"/>
          <w:lang w:val="en-US" w:eastAsia="zh-CN"/>
        </w:rPr>
        <w:t>包2）</w:t>
      </w:r>
    </w:p>
    <w:tbl>
      <w:tblPr>
        <w:tblStyle w:val="22"/>
        <w:tblW w:w="8658" w:type="dxa"/>
        <w:tblInd w:w="0" w:type="dxa"/>
        <w:tblLayout w:type="fixed"/>
        <w:tblCellMar>
          <w:top w:w="0" w:type="dxa"/>
          <w:left w:w="108" w:type="dxa"/>
          <w:bottom w:w="0" w:type="dxa"/>
          <w:right w:w="108" w:type="dxa"/>
        </w:tblCellMar>
      </w:tblPr>
      <w:tblGrid>
        <w:gridCol w:w="7958"/>
        <w:gridCol w:w="700"/>
      </w:tblGrid>
      <w:tr w14:paraId="2101E865">
        <w:trPr>
          <w:trHeight w:val="776" w:hRule="atLeast"/>
          <w:tblHeader/>
        </w:trPr>
        <w:tc>
          <w:tcPr>
            <w:tcW w:w="7958" w:type="dxa"/>
            <w:tcBorders>
              <w:top w:val="single" w:color="auto" w:sz="4" w:space="0"/>
              <w:left w:val="single" w:color="auto" w:sz="4" w:space="0"/>
              <w:bottom w:val="single" w:color="auto" w:sz="4" w:space="0"/>
              <w:right w:val="single" w:color="auto" w:sz="4" w:space="0"/>
            </w:tcBorders>
            <w:vAlign w:val="center"/>
          </w:tcPr>
          <w:p w14:paraId="054477C3">
            <w:pPr>
              <w:pStyle w:val="38"/>
              <w:spacing w:line="360" w:lineRule="auto"/>
              <w:rPr>
                <w:rFonts w:hint="eastAsia" w:ascii="宋体" w:hAnsi="宋体" w:eastAsia="宋体" w:cs="宋体"/>
                <w:b/>
                <w:bCs/>
                <w:highlight w:val="none"/>
              </w:rPr>
            </w:pPr>
            <w:r>
              <w:rPr>
                <w:rFonts w:hint="eastAsia" w:ascii="宋体" w:hAnsi="宋体" w:eastAsia="宋体" w:cs="宋体"/>
                <w:b/>
                <w:bCs/>
                <w:highlight w:val="none"/>
              </w:rPr>
              <w:t>评审内容及标准</w:t>
            </w:r>
          </w:p>
        </w:tc>
        <w:tc>
          <w:tcPr>
            <w:tcW w:w="700" w:type="dxa"/>
            <w:tcBorders>
              <w:top w:val="single" w:color="auto" w:sz="4" w:space="0"/>
              <w:left w:val="single" w:color="auto" w:sz="4" w:space="0"/>
              <w:bottom w:val="single" w:color="auto" w:sz="4" w:space="0"/>
              <w:right w:val="single" w:color="auto" w:sz="4" w:space="0"/>
            </w:tcBorders>
            <w:vAlign w:val="center"/>
          </w:tcPr>
          <w:p w14:paraId="1F0F43E9">
            <w:pPr>
              <w:pStyle w:val="38"/>
              <w:spacing w:line="360" w:lineRule="auto"/>
              <w:rPr>
                <w:rFonts w:hint="eastAsia" w:ascii="宋体" w:hAnsi="宋体" w:eastAsia="宋体" w:cs="宋体"/>
                <w:b/>
                <w:bCs/>
                <w:highlight w:val="none"/>
              </w:rPr>
            </w:pPr>
            <w:r>
              <w:rPr>
                <w:rFonts w:hint="eastAsia" w:ascii="宋体" w:hAnsi="宋体" w:eastAsia="宋体" w:cs="宋体"/>
                <w:b/>
                <w:bCs/>
                <w:highlight w:val="none"/>
              </w:rPr>
              <w:t>分值</w:t>
            </w:r>
          </w:p>
        </w:tc>
      </w:tr>
      <w:tr w14:paraId="7A6D23F0">
        <w:tblPrEx>
          <w:tblCellMar>
            <w:top w:w="0" w:type="dxa"/>
            <w:left w:w="108" w:type="dxa"/>
            <w:bottom w:w="0" w:type="dxa"/>
            <w:right w:w="108" w:type="dxa"/>
          </w:tblCellMar>
        </w:tblPrEx>
        <w:trPr>
          <w:trHeight w:val="90" w:hRule="atLeast"/>
        </w:trPr>
        <w:tc>
          <w:tcPr>
            <w:tcW w:w="8658" w:type="dxa"/>
            <w:gridSpan w:val="2"/>
            <w:tcBorders>
              <w:top w:val="single" w:color="auto" w:sz="4" w:space="0"/>
              <w:left w:val="single" w:color="auto" w:sz="4" w:space="0"/>
              <w:bottom w:val="single" w:color="auto" w:sz="4" w:space="0"/>
              <w:right w:val="single" w:color="auto" w:sz="4" w:space="0"/>
            </w:tcBorders>
            <w:vAlign w:val="center"/>
          </w:tcPr>
          <w:p w14:paraId="4EABD26F">
            <w:pPr>
              <w:pStyle w:val="39"/>
              <w:spacing w:line="360" w:lineRule="auto"/>
              <w:rPr>
                <w:rFonts w:hint="eastAsia" w:ascii="宋体" w:hAnsi="宋体" w:eastAsia="宋体" w:cs="宋体"/>
                <w:b/>
                <w:bCs/>
                <w:highlight w:val="none"/>
              </w:rPr>
            </w:pPr>
            <w:r>
              <w:rPr>
                <w:rFonts w:hint="eastAsia" w:ascii="宋体" w:hAnsi="宋体" w:eastAsia="宋体" w:cs="宋体"/>
                <w:b/>
                <w:bCs/>
                <w:highlight w:val="none"/>
              </w:rPr>
              <w:t>一、商务部分（2</w:t>
            </w:r>
            <w:r>
              <w:rPr>
                <w:rFonts w:hint="eastAsia" w:ascii="宋体" w:hAnsi="宋体" w:eastAsia="宋体" w:cs="宋体"/>
                <w:b/>
                <w:bCs/>
                <w:highlight w:val="none"/>
                <w:lang w:val="en-US" w:eastAsia="zh-CN"/>
              </w:rPr>
              <w:t>5</w:t>
            </w:r>
            <w:r>
              <w:rPr>
                <w:rFonts w:hint="eastAsia" w:ascii="宋体" w:hAnsi="宋体" w:eastAsia="宋体" w:cs="宋体"/>
                <w:b/>
                <w:bCs/>
                <w:highlight w:val="none"/>
              </w:rPr>
              <w:t>分）</w:t>
            </w:r>
          </w:p>
        </w:tc>
      </w:tr>
      <w:tr w14:paraId="0A7ED4EE">
        <w:tblPrEx>
          <w:tblCellMar>
            <w:top w:w="0" w:type="dxa"/>
            <w:left w:w="108" w:type="dxa"/>
            <w:bottom w:w="0" w:type="dxa"/>
            <w:right w:w="108" w:type="dxa"/>
          </w:tblCellMar>
        </w:tblPrEx>
        <w:trPr>
          <w:trHeight w:val="1875" w:hRule="atLeast"/>
        </w:trPr>
        <w:tc>
          <w:tcPr>
            <w:tcW w:w="7958" w:type="dxa"/>
            <w:tcBorders>
              <w:top w:val="single" w:color="auto" w:sz="4" w:space="0"/>
              <w:left w:val="single" w:color="auto" w:sz="4" w:space="0"/>
              <w:bottom w:val="single" w:color="auto" w:sz="4" w:space="0"/>
              <w:right w:val="single" w:color="auto" w:sz="4" w:space="0"/>
            </w:tcBorders>
            <w:vAlign w:val="center"/>
          </w:tcPr>
          <w:p w14:paraId="21C170AD">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1、供应商业绩</w:t>
            </w:r>
          </w:p>
          <w:p w14:paraId="36B032DD">
            <w:pPr>
              <w:pStyle w:val="39"/>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供应商提供近三年</w:t>
            </w:r>
            <w:r>
              <w:rPr>
                <w:rFonts w:hint="eastAsia" w:ascii="宋体" w:hAnsi="宋体" w:cs="宋体"/>
                <w:sz w:val="22"/>
                <w:szCs w:val="22"/>
                <w:highlight w:val="none"/>
                <w:lang w:val="en-US" w:eastAsia="zh-CN"/>
              </w:rPr>
              <w:t>已完成的</w:t>
            </w:r>
            <w:r>
              <w:rPr>
                <w:rFonts w:hint="eastAsia" w:ascii="宋体" w:hAnsi="宋体" w:eastAsia="宋体" w:cs="宋体"/>
                <w:sz w:val="22"/>
                <w:szCs w:val="22"/>
                <w:highlight w:val="none"/>
              </w:rPr>
              <w:t>(202</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06</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15</w:t>
            </w:r>
            <w:r>
              <w:rPr>
                <w:rFonts w:hint="eastAsia" w:ascii="宋体" w:hAnsi="宋体" w:eastAsia="宋体" w:cs="宋体"/>
                <w:sz w:val="22"/>
                <w:szCs w:val="22"/>
                <w:highlight w:val="none"/>
              </w:rPr>
              <w:t>日至202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0</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14</w:t>
            </w:r>
            <w:r>
              <w:rPr>
                <w:rFonts w:hint="eastAsia" w:ascii="宋体" w:hAnsi="宋体" w:eastAsia="宋体" w:cs="宋体"/>
                <w:sz w:val="22"/>
                <w:szCs w:val="22"/>
                <w:highlight w:val="none"/>
              </w:rPr>
              <w:t>日）类似项目业绩，须提供合同，合同包含与用户签订的合同首页、合同金额所在页、签字盖章页、签订时间页的复印件为准</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每个业绩计3分，本项累加最高计</w:t>
            </w: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分，未提供不得分。</w:t>
            </w:r>
          </w:p>
          <w:p w14:paraId="002EB9C1">
            <w:pPr>
              <w:pStyle w:val="39"/>
              <w:spacing w:line="360" w:lineRule="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包2后勤类服务类似业绩。</w:t>
            </w:r>
          </w:p>
        </w:tc>
        <w:tc>
          <w:tcPr>
            <w:tcW w:w="700" w:type="dxa"/>
            <w:tcBorders>
              <w:top w:val="single" w:color="auto" w:sz="4" w:space="0"/>
              <w:left w:val="single" w:color="auto" w:sz="4" w:space="0"/>
              <w:bottom w:val="single" w:color="auto" w:sz="4" w:space="0"/>
              <w:right w:val="single" w:color="auto" w:sz="4" w:space="0"/>
            </w:tcBorders>
            <w:vAlign w:val="center"/>
          </w:tcPr>
          <w:p w14:paraId="2E1A4301">
            <w:pPr>
              <w:pStyle w:val="39"/>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15</w:t>
            </w:r>
          </w:p>
        </w:tc>
      </w:tr>
      <w:tr w14:paraId="367F17FC">
        <w:tblPrEx>
          <w:tblCellMar>
            <w:top w:w="0" w:type="dxa"/>
            <w:left w:w="108" w:type="dxa"/>
            <w:bottom w:w="0" w:type="dxa"/>
            <w:right w:w="108" w:type="dxa"/>
          </w:tblCellMar>
        </w:tblPrEx>
        <w:trPr>
          <w:trHeight w:val="1725" w:hRule="atLeast"/>
        </w:trPr>
        <w:tc>
          <w:tcPr>
            <w:tcW w:w="7958" w:type="dxa"/>
            <w:tcBorders>
              <w:top w:val="single" w:color="auto" w:sz="4" w:space="0"/>
              <w:left w:val="single" w:color="auto" w:sz="4" w:space="0"/>
              <w:bottom w:val="single" w:color="auto" w:sz="4" w:space="0"/>
              <w:right w:val="single" w:color="auto" w:sz="4" w:space="0"/>
            </w:tcBorders>
            <w:vAlign w:val="center"/>
          </w:tcPr>
          <w:p w14:paraId="655553E4">
            <w:pPr>
              <w:pStyle w:val="39"/>
              <w:spacing w:line="360" w:lineRule="auto"/>
              <w:rPr>
                <w:rFonts w:hint="eastAsia" w:ascii="宋体" w:hAnsi="宋体" w:eastAsia="宋体" w:cs="宋体"/>
                <w:sz w:val="22"/>
                <w:szCs w:val="22"/>
                <w:highlight w:val="none"/>
              </w:rPr>
            </w:pPr>
            <w:r>
              <w:rPr>
                <w:rFonts w:hint="eastAsia" w:ascii="宋体" w:hAnsi="宋体" w:eastAsia="宋体" w:cs="宋体"/>
                <w:kern w:val="0"/>
                <w:sz w:val="22"/>
                <w:szCs w:val="22"/>
                <w:highlight w:val="none"/>
              </w:rPr>
              <w:t>2</w:t>
            </w:r>
            <w:r>
              <w:rPr>
                <w:rFonts w:hint="eastAsia" w:ascii="宋体" w:hAnsi="宋体" w:eastAsia="宋体" w:cs="宋体"/>
                <w:sz w:val="22"/>
                <w:szCs w:val="22"/>
                <w:highlight w:val="none"/>
              </w:rPr>
              <w:t>、主要管理人员配备情况</w:t>
            </w:r>
          </w:p>
          <w:p w14:paraId="01F2886E">
            <w:pPr>
              <w:pStyle w:val="39"/>
              <w:spacing w:line="360" w:lineRule="auto"/>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除项目负责人外，每提供一名人员加2分，最多加10分</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须</w:t>
            </w:r>
            <w:r>
              <w:rPr>
                <w:rFonts w:hint="eastAsia" w:ascii="宋体" w:hAnsi="宋体" w:eastAsia="宋体" w:cs="宋体"/>
                <w:sz w:val="22"/>
                <w:szCs w:val="22"/>
                <w:highlight w:val="none"/>
              </w:rPr>
              <w:t>提供</w:t>
            </w:r>
            <w:r>
              <w:rPr>
                <w:rFonts w:hint="eastAsia" w:ascii="宋体" w:hAnsi="宋体" w:eastAsia="宋体" w:cs="宋体"/>
                <w:sz w:val="22"/>
                <w:szCs w:val="22"/>
                <w:highlight w:val="none"/>
                <w:lang w:val="en-US" w:eastAsia="zh-CN"/>
              </w:rPr>
              <w:t>身份证及相关证件</w:t>
            </w:r>
            <w:r>
              <w:rPr>
                <w:rFonts w:hint="eastAsia" w:ascii="宋体" w:hAnsi="宋体" w:eastAsia="宋体" w:cs="宋体"/>
                <w:sz w:val="22"/>
                <w:szCs w:val="22"/>
                <w:highlight w:val="none"/>
              </w:rPr>
              <w:t>、近一个月社保证明复印件并加盖单位公章，否则不计分）。</w:t>
            </w:r>
          </w:p>
        </w:tc>
        <w:tc>
          <w:tcPr>
            <w:tcW w:w="700" w:type="dxa"/>
            <w:tcBorders>
              <w:top w:val="single" w:color="auto" w:sz="4" w:space="0"/>
              <w:left w:val="single" w:color="auto" w:sz="4" w:space="0"/>
              <w:bottom w:val="single" w:color="auto" w:sz="4" w:space="0"/>
              <w:right w:val="single" w:color="auto" w:sz="4" w:space="0"/>
            </w:tcBorders>
            <w:vAlign w:val="center"/>
          </w:tcPr>
          <w:p w14:paraId="33DF9567">
            <w:pPr>
              <w:pStyle w:val="39"/>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r>
      <w:tr w14:paraId="42872C3E">
        <w:tblPrEx>
          <w:tblCellMar>
            <w:top w:w="0" w:type="dxa"/>
            <w:left w:w="108" w:type="dxa"/>
            <w:bottom w:w="0" w:type="dxa"/>
            <w:right w:w="108" w:type="dxa"/>
          </w:tblCellMar>
        </w:tblPrEx>
        <w:trPr>
          <w:trHeight w:val="513" w:hRule="atLeast"/>
        </w:trPr>
        <w:tc>
          <w:tcPr>
            <w:tcW w:w="8658" w:type="dxa"/>
            <w:gridSpan w:val="2"/>
            <w:tcBorders>
              <w:top w:val="single" w:color="auto" w:sz="4" w:space="0"/>
              <w:left w:val="single" w:color="auto" w:sz="4" w:space="0"/>
              <w:bottom w:val="single" w:color="auto" w:sz="4" w:space="0"/>
              <w:right w:val="single" w:color="auto" w:sz="4" w:space="0"/>
            </w:tcBorders>
            <w:vAlign w:val="center"/>
          </w:tcPr>
          <w:p w14:paraId="66A0904D">
            <w:pPr>
              <w:pStyle w:val="39"/>
              <w:spacing w:line="360" w:lineRule="auto"/>
              <w:jc w:val="left"/>
              <w:rPr>
                <w:rFonts w:hint="eastAsia" w:ascii="宋体" w:hAnsi="宋体" w:eastAsia="宋体" w:cs="宋体"/>
                <w:b/>
                <w:bCs/>
                <w:highlight w:val="none"/>
              </w:rPr>
            </w:pPr>
            <w:r>
              <w:rPr>
                <w:rFonts w:hint="eastAsia" w:ascii="宋体" w:hAnsi="宋体" w:eastAsia="宋体" w:cs="宋体"/>
                <w:b/>
                <w:bCs/>
                <w:highlight w:val="none"/>
              </w:rPr>
              <w:t>二、技术部分（6</w:t>
            </w:r>
            <w:r>
              <w:rPr>
                <w:rFonts w:hint="eastAsia" w:ascii="宋体" w:hAnsi="宋体" w:eastAsia="宋体" w:cs="宋体"/>
                <w:b/>
                <w:bCs/>
                <w:highlight w:val="none"/>
                <w:lang w:val="en-US" w:eastAsia="zh-CN"/>
              </w:rPr>
              <w:t>5</w:t>
            </w:r>
            <w:r>
              <w:rPr>
                <w:rFonts w:hint="eastAsia" w:ascii="宋体" w:hAnsi="宋体" w:eastAsia="宋体" w:cs="宋体"/>
                <w:b/>
                <w:bCs/>
                <w:highlight w:val="none"/>
              </w:rPr>
              <w:t>分）</w:t>
            </w:r>
          </w:p>
        </w:tc>
      </w:tr>
      <w:tr w14:paraId="516D3E57">
        <w:tblPrEx>
          <w:tblCellMar>
            <w:top w:w="0" w:type="dxa"/>
            <w:left w:w="108" w:type="dxa"/>
            <w:bottom w:w="0" w:type="dxa"/>
            <w:right w:w="108" w:type="dxa"/>
          </w:tblCellMar>
        </w:tblPrEx>
        <w:trPr>
          <w:trHeight w:val="90" w:hRule="atLeast"/>
        </w:trPr>
        <w:tc>
          <w:tcPr>
            <w:tcW w:w="7958" w:type="dxa"/>
            <w:tcBorders>
              <w:top w:val="single" w:color="auto" w:sz="4" w:space="0"/>
              <w:left w:val="single" w:color="auto" w:sz="4" w:space="0"/>
              <w:bottom w:val="single" w:color="auto" w:sz="4" w:space="0"/>
              <w:right w:val="single" w:color="auto" w:sz="4" w:space="0"/>
            </w:tcBorders>
            <w:vAlign w:val="center"/>
          </w:tcPr>
          <w:p w14:paraId="510F3D88">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eastAsia" w:ascii="宋体" w:hAnsi="宋体" w:cs="宋体"/>
                <w:b w:val="0"/>
                <w:bCs w:val="0"/>
                <w:kern w:val="2"/>
                <w:sz w:val="22"/>
                <w:szCs w:val="22"/>
                <w:highlight w:val="none"/>
                <w:lang w:val="en-US" w:eastAsia="zh-CN" w:bidi="ar-SA"/>
              </w:rPr>
              <w:t>1</w:t>
            </w:r>
            <w:r>
              <w:rPr>
                <w:rFonts w:hint="default" w:ascii="宋体" w:hAnsi="宋体" w:eastAsia="宋体" w:cs="宋体"/>
                <w:b w:val="0"/>
                <w:bCs w:val="0"/>
                <w:kern w:val="2"/>
                <w:sz w:val="22"/>
                <w:szCs w:val="22"/>
                <w:highlight w:val="none"/>
                <w:lang w:val="en-US" w:eastAsia="zh-CN" w:bidi="ar-SA"/>
              </w:rPr>
              <w:t>、</w:t>
            </w:r>
            <w:r>
              <w:rPr>
                <w:rFonts w:hint="eastAsia" w:ascii="宋体" w:hAnsi="宋体" w:eastAsia="宋体" w:cs="宋体"/>
                <w:b/>
                <w:bCs/>
                <w:sz w:val="22"/>
                <w:szCs w:val="22"/>
                <w:highlight w:val="none"/>
              </w:rPr>
              <w:t>项目整体</w:t>
            </w:r>
            <w:r>
              <w:rPr>
                <w:rFonts w:hint="eastAsia" w:ascii="宋体" w:hAnsi="宋体" w:cs="宋体"/>
                <w:b/>
                <w:bCs/>
                <w:sz w:val="22"/>
                <w:szCs w:val="22"/>
                <w:highlight w:val="none"/>
                <w:lang w:val="en-US" w:eastAsia="zh-CN"/>
              </w:rPr>
              <w:t>服务</w:t>
            </w:r>
            <w:r>
              <w:rPr>
                <w:rFonts w:hint="eastAsia" w:ascii="宋体" w:hAnsi="宋体" w:eastAsia="宋体" w:cs="宋体"/>
                <w:b/>
                <w:bCs/>
                <w:sz w:val="22"/>
                <w:szCs w:val="22"/>
                <w:highlight w:val="none"/>
              </w:rPr>
              <w:t>实施方案</w:t>
            </w:r>
          </w:p>
          <w:p w14:paraId="266D5D53">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eastAsia" w:ascii="微软雅黑" w:hAnsi="微软雅黑" w:eastAsia="微软雅黑" w:cs="微软雅黑"/>
                <w:sz w:val="22"/>
                <w:szCs w:val="22"/>
                <w:highlight w:val="none"/>
                <w:lang w:val="en-US" w:eastAsia="zh-CN"/>
              </w:rPr>
              <w:t>①</w:t>
            </w:r>
            <w:r>
              <w:rPr>
                <w:rFonts w:hint="default" w:ascii="宋体" w:hAnsi="宋体" w:cs="宋体"/>
                <w:b w:val="0"/>
                <w:bCs w:val="0"/>
                <w:sz w:val="22"/>
                <w:szCs w:val="22"/>
                <w:highlight w:val="none"/>
                <w:lang w:val="en-US" w:eastAsia="zh-CN"/>
              </w:rPr>
              <w:t>综合办事对接与接待服务方案（5分）</w:t>
            </w:r>
          </w:p>
          <w:p w14:paraId="2090EF74">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default" w:ascii="宋体" w:hAnsi="宋体" w:cs="宋体"/>
                <w:b w:val="0"/>
                <w:bCs w:val="0"/>
                <w:sz w:val="22"/>
                <w:szCs w:val="22"/>
                <w:highlight w:val="none"/>
                <w:lang w:val="en-US" w:eastAsia="zh-CN"/>
              </w:rPr>
              <w:t>含事项流转、咨询引导、通知传达、材料初审、迎检接待配套工作，响应高效、流程清晰得5分。</w:t>
            </w:r>
          </w:p>
          <w:p w14:paraId="5310D685">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eastAsia" w:ascii="微软雅黑" w:hAnsi="微软雅黑" w:eastAsia="微软雅黑" w:cs="微软雅黑"/>
                <w:sz w:val="22"/>
                <w:szCs w:val="22"/>
                <w:highlight w:val="none"/>
                <w:lang w:val="en-US" w:eastAsia="zh-CN"/>
              </w:rPr>
              <w:t>②</w:t>
            </w:r>
            <w:r>
              <w:rPr>
                <w:rFonts w:hint="default" w:ascii="宋体" w:hAnsi="宋体" w:cs="宋体"/>
                <w:b w:val="0"/>
                <w:bCs w:val="0"/>
                <w:sz w:val="22"/>
                <w:szCs w:val="22"/>
                <w:highlight w:val="none"/>
                <w:lang w:val="en-US" w:eastAsia="zh-CN"/>
              </w:rPr>
              <w:t>文书资料归集与归档方案（5分）</w:t>
            </w:r>
          </w:p>
          <w:p w14:paraId="22CD9BFE">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default" w:ascii="宋体" w:hAnsi="宋体" w:cs="宋体"/>
                <w:b w:val="0"/>
                <w:bCs w:val="0"/>
                <w:sz w:val="22"/>
                <w:szCs w:val="22"/>
                <w:highlight w:val="none"/>
                <w:lang w:val="en-US" w:eastAsia="zh-CN"/>
              </w:rPr>
              <w:t>公文、报表、会议材料、单据分类管理、留存备查、立卷移交、溯源管控机制完善得5分。</w:t>
            </w:r>
          </w:p>
          <w:p w14:paraId="61183A8E">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eastAsia" w:ascii="微软雅黑" w:hAnsi="微软雅黑" w:eastAsia="微软雅黑" w:cs="微软雅黑"/>
                <w:sz w:val="22"/>
                <w:szCs w:val="22"/>
                <w:highlight w:val="none"/>
                <w:lang w:val="en-US" w:eastAsia="zh-CN"/>
              </w:rPr>
              <w:t>③</w:t>
            </w:r>
            <w:r>
              <w:rPr>
                <w:rFonts w:hint="default" w:ascii="宋体" w:hAnsi="宋体" w:cs="宋体"/>
                <w:b w:val="0"/>
                <w:bCs w:val="0"/>
                <w:sz w:val="22"/>
                <w:szCs w:val="22"/>
                <w:highlight w:val="none"/>
                <w:lang w:val="en-US" w:eastAsia="zh-CN"/>
              </w:rPr>
              <w:t>文印收发闭环管理方案（5分）</w:t>
            </w:r>
          </w:p>
          <w:p w14:paraId="0C7D231F">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default" w:ascii="宋体" w:hAnsi="宋体" w:cs="宋体"/>
                <w:b w:val="0"/>
                <w:bCs w:val="0"/>
                <w:sz w:val="22"/>
                <w:szCs w:val="22"/>
                <w:highlight w:val="none"/>
                <w:lang w:val="en-US" w:eastAsia="zh-CN"/>
              </w:rPr>
              <w:t>文印排版装订、文件报刊收发登记、分拣流转、时效管控、闭环追溯措施完善得5分。</w:t>
            </w:r>
          </w:p>
          <w:p w14:paraId="738864AB">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eastAsia" w:ascii="微软雅黑" w:hAnsi="微软雅黑" w:eastAsia="微软雅黑" w:cs="微软雅黑"/>
                <w:sz w:val="22"/>
                <w:szCs w:val="22"/>
                <w:highlight w:val="none"/>
                <w:lang w:val="en-US" w:eastAsia="zh-CN"/>
              </w:rPr>
              <w:t>④</w:t>
            </w:r>
            <w:r>
              <w:rPr>
                <w:rFonts w:hint="default" w:ascii="宋体" w:hAnsi="宋体" w:cs="宋体"/>
                <w:b w:val="0"/>
                <w:bCs w:val="0"/>
                <w:sz w:val="22"/>
                <w:szCs w:val="22"/>
                <w:highlight w:val="none"/>
                <w:lang w:val="en-US" w:eastAsia="zh-CN"/>
              </w:rPr>
              <w:t>办公设施简易运维方案（5分）</w:t>
            </w:r>
          </w:p>
          <w:p w14:paraId="50DF1B04">
            <w:pPr>
              <w:numPr>
                <w:ilvl w:val="0"/>
                <w:numId w:val="0"/>
              </w:numPr>
              <w:tabs>
                <w:tab w:val="center" w:pos="4153"/>
                <w:tab w:val="right" w:pos="8306"/>
              </w:tabs>
              <w:snapToGrid w:val="0"/>
              <w:spacing w:line="360" w:lineRule="auto"/>
              <w:rPr>
                <w:rFonts w:hint="default" w:ascii="宋体" w:hAnsi="宋体" w:cs="宋体"/>
                <w:b w:val="0"/>
                <w:bCs w:val="0"/>
                <w:sz w:val="22"/>
                <w:szCs w:val="22"/>
                <w:highlight w:val="none"/>
                <w:lang w:val="en-US" w:eastAsia="zh-CN"/>
              </w:rPr>
            </w:pPr>
            <w:r>
              <w:rPr>
                <w:rFonts w:hint="default" w:ascii="宋体" w:hAnsi="宋体" w:cs="宋体"/>
                <w:b w:val="0"/>
                <w:bCs w:val="0"/>
                <w:sz w:val="22"/>
                <w:szCs w:val="22"/>
                <w:highlight w:val="none"/>
                <w:lang w:val="en-US" w:eastAsia="zh-CN"/>
              </w:rPr>
              <w:t>常态化巡查、故障排查上报、简易维修处置、耗材管控、配合专业维保、安全隐患防控措施完善得5分。</w:t>
            </w:r>
          </w:p>
          <w:p w14:paraId="30107362">
            <w:pPr>
              <w:numPr>
                <w:ilvl w:val="0"/>
                <w:numId w:val="0"/>
              </w:numPr>
              <w:tabs>
                <w:tab w:val="center" w:pos="4153"/>
                <w:tab w:val="right" w:pos="8306"/>
              </w:tabs>
              <w:snapToGrid w:val="0"/>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评审标准：以上方案各项措施详尽完整、具体可行、贴合实际需求、易于落实得</w:t>
            </w:r>
            <w:r>
              <w:rPr>
                <w:rFonts w:hint="eastAsia" w:ascii="宋体" w:hAnsi="宋体" w:cs="宋体"/>
                <w:sz w:val="22"/>
                <w:szCs w:val="22"/>
                <w:highlight w:val="none"/>
                <w:lang w:val="en-US" w:eastAsia="zh-CN"/>
              </w:rPr>
              <w:t>20</w:t>
            </w:r>
            <w:r>
              <w:rPr>
                <w:rFonts w:hint="default" w:ascii="宋体" w:hAnsi="宋体" w:eastAsia="宋体" w:cs="宋体"/>
                <w:sz w:val="22"/>
                <w:szCs w:val="22"/>
                <w:highlight w:val="none"/>
                <w:lang w:val="en-US" w:eastAsia="zh-CN"/>
              </w:rPr>
              <w:t>分。缺少一项内容，此项不得分，（其中“项”指上述条款中</w:t>
            </w:r>
            <w:r>
              <w:rPr>
                <w:rFonts w:hint="eastAsia" w:ascii="微软雅黑" w:hAnsi="微软雅黑" w:eastAsia="微软雅黑" w:cs="微软雅黑"/>
                <w:sz w:val="22"/>
                <w:szCs w:val="22"/>
                <w:highlight w:val="none"/>
                <w:lang w:val="en-US" w:eastAsia="zh-CN"/>
              </w:rPr>
              <w:t>①②③④</w:t>
            </w:r>
            <w:r>
              <w:rPr>
                <w:rFonts w:hint="default" w:ascii="宋体" w:hAnsi="宋体" w:eastAsia="宋体" w:cs="宋体"/>
                <w:sz w:val="22"/>
                <w:szCs w:val="22"/>
                <w:highlight w:val="none"/>
                <w:lang w:val="en-US" w:eastAsia="zh-CN"/>
              </w:rPr>
              <w:t>条内容）。有一处内容存在缺陷扣1分，扣完为止。</w:t>
            </w:r>
          </w:p>
          <w:p w14:paraId="5FA202D2">
            <w:pPr>
              <w:numPr>
                <w:ilvl w:val="0"/>
                <w:numId w:val="0"/>
              </w:numPr>
              <w:tabs>
                <w:tab w:val="center" w:pos="4153"/>
                <w:tab w:val="right" w:pos="8306"/>
              </w:tabs>
              <w:snapToGrid w:val="0"/>
              <w:spacing w:line="360" w:lineRule="auto"/>
              <w:ind w:firstLine="440" w:firstLineChars="200"/>
              <w:rPr>
                <w:rFonts w:hint="default" w:ascii="宋体" w:hAnsi="宋体" w:cs="宋体"/>
                <w:b w:val="0"/>
                <w:bCs w:val="0"/>
                <w:sz w:val="22"/>
                <w:szCs w:val="22"/>
                <w:highlight w:val="none"/>
                <w:lang w:val="en-US" w:eastAsia="zh-CN"/>
              </w:rPr>
            </w:pPr>
            <w:r>
              <w:rPr>
                <w:rFonts w:hint="default" w:ascii="宋体" w:hAnsi="宋体" w:eastAsia="宋体" w:cs="宋体"/>
                <w:sz w:val="22"/>
                <w:szCs w:val="22"/>
                <w:highlight w:val="none"/>
                <w:lang w:val="en-US" w:eastAsia="zh-CN"/>
              </w:rPr>
              <w:t>注：内容存在缺陷是指项目整体服务实施方案中有生搬硬造，与实际情况明显不符，存在偏差；或存在与项目需求明显无关的文字内容；或内容明显不适用项目实际情况；或相关资料提供不完善；或提供内容上下矛盾；或对采购需求理解混乱。</w:t>
            </w:r>
          </w:p>
        </w:tc>
        <w:tc>
          <w:tcPr>
            <w:tcW w:w="700" w:type="dxa"/>
            <w:tcBorders>
              <w:top w:val="single" w:color="auto" w:sz="4" w:space="0"/>
              <w:left w:val="single" w:color="auto" w:sz="4" w:space="0"/>
              <w:bottom w:val="single" w:color="auto" w:sz="4" w:space="0"/>
              <w:right w:val="single" w:color="auto" w:sz="4" w:space="0"/>
            </w:tcBorders>
            <w:vAlign w:val="center"/>
          </w:tcPr>
          <w:p w14:paraId="19E71A0B">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w:t>
            </w:r>
          </w:p>
        </w:tc>
      </w:tr>
      <w:tr w14:paraId="4403784B">
        <w:tblPrEx>
          <w:tblCellMar>
            <w:top w:w="0" w:type="dxa"/>
            <w:left w:w="108" w:type="dxa"/>
            <w:bottom w:w="0" w:type="dxa"/>
            <w:right w:w="108" w:type="dxa"/>
          </w:tblCellMar>
        </w:tblPrEx>
        <w:trPr>
          <w:trHeight w:val="3382" w:hRule="atLeast"/>
        </w:trPr>
        <w:tc>
          <w:tcPr>
            <w:tcW w:w="7958" w:type="dxa"/>
            <w:tcBorders>
              <w:top w:val="single" w:color="auto" w:sz="4" w:space="0"/>
              <w:left w:val="single" w:color="auto" w:sz="4" w:space="0"/>
              <w:bottom w:val="single" w:color="auto" w:sz="4" w:space="0"/>
              <w:right w:val="single" w:color="auto" w:sz="4" w:space="0"/>
            </w:tcBorders>
            <w:vAlign w:val="center"/>
          </w:tcPr>
          <w:p w14:paraId="735E5D7A">
            <w:pPr>
              <w:numPr>
                <w:ilvl w:val="0"/>
                <w:numId w:val="0"/>
              </w:numPr>
              <w:tabs>
                <w:tab w:val="center" w:pos="4153"/>
                <w:tab w:val="right" w:pos="8306"/>
              </w:tabs>
              <w:snapToGrid w:val="0"/>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2、管理机构运作方法及管理制度</w:t>
            </w:r>
          </w:p>
          <w:p w14:paraId="2F93F0A0">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根据</w:t>
            </w:r>
            <w:r>
              <w:rPr>
                <w:rFonts w:hint="eastAsia" w:ascii="宋体" w:hAnsi="宋体" w:eastAsia="宋体" w:cs="宋体"/>
                <w:sz w:val="22"/>
                <w:szCs w:val="22"/>
                <w:highlight w:val="none"/>
                <w:lang w:val="en-US" w:eastAsia="zh-CN"/>
              </w:rPr>
              <w:t>供应商</w:t>
            </w:r>
            <w:r>
              <w:rPr>
                <w:rFonts w:hint="eastAsia" w:ascii="宋体" w:hAnsi="宋体" w:eastAsia="宋体" w:cs="宋体"/>
                <w:sz w:val="22"/>
                <w:szCs w:val="22"/>
                <w:highlight w:val="none"/>
                <w:lang w:eastAsia="zh-CN"/>
              </w:rPr>
              <w:t>提供的</w:t>
            </w:r>
            <w:r>
              <w:rPr>
                <w:rFonts w:hint="eastAsia" w:ascii="微软雅黑" w:hAnsi="微软雅黑" w:eastAsia="微软雅黑" w:cs="微软雅黑"/>
                <w:sz w:val="22"/>
                <w:szCs w:val="22"/>
                <w:highlight w:val="none"/>
                <w:lang w:eastAsia="zh-CN"/>
              </w:rPr>
              <w:t>①</w:t>
            </w:r>
            <w:r>
              <w:rPr>
                <w:rFonts w:hint="eastAsia" w:ascii="宋体" w:hAnsi="宋体" w:eastAsia="宋体" w:cs="宋体"/>
                <w:sz w:val="22"/>
                <w:szCs w:val="22"/>
                <w:highlight w:val="none"/>
                <w:lang w:eastAsia="zh-CN"/>
              </w:rPr>
              <w:t>人员配备明细</w:t>
            </w:r>
            <w:r>
              <w:rPr>
                <w:rFonts w:hint="eastAsia" w:ascii="微软雅黑" w:hAnsi="微软雅黑" w:eastAsia="微软雅黑" w:cs="微软雅黑"/>
                <w:sz w:val="22"/>
                <w:szCs w:val="22"/>
                <w:highlight w:val="none"/>
                <w:lang w:eastAsia="zh-CN"/>
              </w:rPr>
              <w:t>②</w:t>
            </w:r>
            <w:r>
              <w:rPr>
                <w:rFonts w:hint="eastAsia" w:ascii="宋体" w:hAnsi="宋体" w:eastAsia="宋体" w:cs="宋体"/>
                <w:sz w:val="22"/>
                <w:szCs w:val="22"/>
                <w:highlight w:val="none"/>
                <w:lang w:eastAsia="zh-CN"/>
              </w:rPr>
              <w:t>管理服务工作计划</w:t>
            </w:r>
            <w:r>
              <w:rPr>
                <w:rFonts w:hint="eastAsia" w:ascii="微软雅黑" w:hAnsi="微软雅黑" w:eastAsia="微软雅黑" w:cs="微软雅黑"/>
                <w:sz w:val="22"/>
                <w:szCs w:val="22"/>
                <w:highlight w:val="none"/>
                <w:lang w:eastAsia="zh-CN"/>
              </w:rPr>
              <w:t>③</w:t>
            </w:r>
            <w:r>
              <w:rPr>
                <w:rFonts w:hint="eastAsia" w:ascii="宋体" w:hAnsi="宋体" w:eastAsia="宋体" w:cs="宋体"/>
                <w:sz w:val="22"/>
                <w:szCs w:val="22"/>
                <w:highlight w:val="none"/>
                <w:lang w:val="en-US" w:eastAsia="zh-CN"/>
              </w:rPr>
              <w:t>内部</w:t>
            </w:r>
            <w:r>
              <w:rPr>
                <w:rFonts w:hint="eastAsia" w:ascii="宋体" w:hAnsi="宋体" w:eastAsia="宋体" w:cs="宋体"/>
                <w:sz w:val="22"/>
                <w:szCs w:val="22"/>
                <w:highlight w:val="none"/>
                <w:lang w:eastAsia="zh-CN"/>
              </w:rPr>
              <w:t>管理制度</w:t>
            </w:r>
            <w:r>
              <w:rPr>
                <w:rFonts w:hint="eastAsia" w:ascii="微软雅黑" w:hAnsi="微软雅黑" w:eastAsia="微软雅黑" w:cs="微软雅黑"/>
                <w:sz w:val="22"/>
                <w:szCs w:val="22"/>
                <w:highlight w:val="none"/>
                <w:lang w:eastAsia="zh-CN"/>
              </w:rPr>
              <w:t>④</w:t>
            </w:r>
            <w:r>
              <w:rPr>
                <w:rFonts w:hint="eastAsia" w:ascii="宋体" w:hAnsi="宋体" w:eastAsia="宋体" w:cs="宋体"/>
                <w:sz w:val="22"/>
                <w:szCs w:val="22"/>
                <w:highlight w:val="none"/>
                <w:lang w:val="en-US" w:eastAsia="zh-CN"/>
              </w:rPr>
              <w:t>服务考核方案</w:t>
            </w:r>
            <w:r>
              <w:rPr>
                <w:rFonts w:hint="eastAsia" w:ascii="微软雅黑" w:hAnsi="微软雅黑" w:eastAsia="微软雅黑" w:cs="微软雅黑"/>
                <w:sz w:val="22"/>
                <w:szCs w:val="22"/>
                <w:highlight w:val="none"/>
                <w:lang w:eastAsia="zh-CN"/>
              </w:rPr>
              <w:t>⑤</w:t>
            </w:r>
            <w:r>
              <w:rPr>
                <w:rFonts w:hint="eastAsia" w:ascii="宋体" w:hAnsi="宋体" w:eastAsia="宋体" w:cs="宋体"/>
                <w:sz w:val="22"/>
                <w:szCs w:val="22"/>
                <w:highlight w:val="none"/>
                <w:lang w:eastAsia="zh-CN"/>
              </w:rPr>
              <w:t>档案管理及社保管理方案</w:t>
            </w:r>
            <w:r>
              <w:rPr>
                <w:rFonts w:hint="eastAsia" w:ascii="微软雅黑" w:hAnsi="微软雅黑" w:eastAsia="微软雅黑" w:cs="微软雅黑"/>
                <w:sz w:val="22"/>
                <w:szCs w:val="22"/>
                <w:highlight w:val="none"/>
                <w:lang w:eastAsia="zh-CN"/>
              </w:rPr>
              <w:t>⑥</w:t>
            </w:r>
            <w:r>
              <w:rPr>
                <w:rFonts w:hint="eastAsia" w:ascii="宋体" w:hAnsi="宋体" w:eastAsia="宋体" w:cs="宋体"/>
                <w:sz w:val="22"/>
                <w:szCs w:val="22"/>
                <w:highlight w:val="none"/>
                <w:lang w:eastAsia="zh-CN"/>
              </w:rPr>
              <w:t>有激励机制</w:t>
            </w:r>
            <w:r>
              <w:rPr>
                <w:rFonts w:hint="eastAsia" w:ascii="宋体" w:hAnsi="宋体" w:eastAsia="宋体" w:cs="宋体"/>
                <w:sz w:val="22"/>
                <w:szCs w:val="22"/>
                <w:highlight w:val="none"/>
                <w:lang w:val="en-US" w:eastAsia="zh-CN"/>
              </w:rPr>
              <w:t>和</w:t>
            </w:r>
            <w:r>
              <w:rPr>
                <w:rFonts w:hint="eastAsia" w:ascii="宋体" w:hAnsi="宋体" w:eastAsia="宋体" w:cs="宋体"/>
                <w:sz w:val="22"/>
                <w:szCs w:val="22"/>
                <w:highlight w:val="none"/>
                <w:lang w:eastAsia="zh-CN"/>
              </w:rPr>
              <w:t>监督机制</w:t>
            </w:r>
            <w:r>
              <w:rPr>
                <w:rFonts w:hint="eastAsia" w:ascii="微软雅黑" w:hAnsi="微软雅黑" w:eastAsia="微软雅黑" w:cs="微软雅黑"/>
                <w:sz w:val="22"/>
                <w:szCs w:val="22"/>
                <w:highlight w:val="none"/>
                <w:lang w:eastAsia="zh-CN"/>
              </w:rPr>
              <w:t>⑦</w:t>
            </w:r>
            <w:r>
              <w:rPr>
                <w:rFonts w:hint="eastAsia" w:ascii="宋体" w:hAnsi="宋体" w:eastAsia="宋体" w:cs="宋体"/>
                <w:sz w:val="22"/>
                <w:szCs w:val="22"/>
                <w:highlight w:val="none"/>
                <w:lang w:eastAsia="zh-CN"/>
              </w:rPr>
              <w:t>信息反馈渠道及处理机制</w:t>
            </w:r>
            <w:r>
              <w:rPr>
                <w:rFonts w:hint="eastAsia" w:ascii="微软雅黑" w:hAnsi="微软雅黑" w:eastAsia="微软雅黑" w:cs="微软雅黑"/>
                <w:sz w:val="22"/>
                <w:szCs w:val="22"/>
                <w:highlight w:val="none"/>
                <w:lang w:eastAsia="zh-CN"/>
              </w:rPr>
              <w:t>⑧</w:t>
            </w:r>
            <w:r>
              <w:rPr>
                <w:rFonts w:hint="eastAsia" w:ascii="宋体" w:hAnsi="宋体" w:eastAsia="宋体" w:cs="宋体"/>
                <w:sz w:val="22"/>
                <w:szCs w:val="22"/>
                <w:highlight w:val="none"/>
                <w:lang w:val="en-US" w:eastAsia="zh-CN"/>
              </w:rPr>
              <w:t>突发事件应急方案</w:t>
            </w:r>
            <w:r>
              <w:rPr>
                <w:rFonts w:hint="eastAsia" w:ascii="微软雅黑" w:hAnsi="微软雅黑" w:eastAsia="微软雅黑" w:cs="微软雅黑"/>
                <w:sz w:val="22"/>
                <w:szCs w:val="22"/>
                <w:highlight w:val="none"/>
                <w:lang w:eastAsia="zh-CN"/>
              </w:rPr>
              <w:t>⑨</w:t>
            </w:r>
            <w:r>
              <w:rPr>
                <w:rFonts w:hint="eastAsia" w:ascii="宋体" w:hAnsi="宋体" w:eastAsia="宋体" w:cs="宋体"/>
                <w:sz w:val="22"/>
                <w:szCs w:val="22"/>
                <w:highlight w:val="none"/>
                <w:lang w:val="en-US" w:eastAsia="zh-CN"/>
              </w:rPr>
              <w:t>岗前工作培训服务</w:t>
            </w:r>
            <w:r>
              <w:rPr>
                <w:rFonts w:hint="eastAsia" w:ascii="微软雅黑" w:hAnsi="微软雅黑" w:eastAsia="微软雅黑" w:cs="微软雅黑"/>
                <w:sz w:val="22"/>
                <w:szCs w:val="22"/>
                <w:highlight w:val="none"/>
                <w:lang w:eastAsia="zh-CN"/>
              </w:rPr>
              <w:t>⑩</w:t>
            </w:r>
            <w:r>
              <w:rPr>
                <w:rFonts w:hint="eastAsia" w:ascii="宋体" w:hAnsi="宋体" w:eastAsia="宋体" w:cs="宋体"/>
                <w:sz w:val="22"/>
                <w:szCs w:val="22"/>
                <w:highlight w:val="none"/>
                <w:lang w:val="en-US" w:eastAsia="zh-CN"/>
              </w:rPr>
              <w:t>根据甲方要求</w:t>
            </w:r>
            <w:r>
              <w:rPr>
                <w:rFonts w:hint="eastAsia" w:ascii="宋体" w:hAnsi="宋体" w:eastAsia="宋体" w:cs="宋体"/>
                <w:sz w:val="22"/>
                <w:szCs w:val="22"/>
                <w:highlight w:val="none"/>
                <w:lang w:eastAsia="zh-CN"/>
              </w:rPr>
              <w:t>及时整改方案等</w:t>
            </w:r>
            <w:r>
              <w:rPr>
                <w:rFonts w:hint="eastAsia" w:ascii="宋体" w:hAnsi="宋体" w:cs="宋体"/>
                <w:sz w:val="22"/>
                <w:szCs w:val="22"/>
                <w:highlight w:val="none"/>
                <w:lang w:eastAsia="zh-CN"/>
              </w:rPr>
              <w:t>。</w:t>
            </w:r>
            <w:r>
              <w:rPr>
                <w:rFonts w:hint="eastAsia" w:ascii="宋体" w:hAnsi="宋体" w:eastAsia="宋体" w:cs="宋体"/>
                <w:sz w:val="22"/>
                <w:szCs w:val="22"/>
                <w:highlight w:val="none"/>
                <w:lang w:eastAsia="zh-CN"/>
              </w:rPr>
              <w:t>各项控制方案的全面性、针对性、合理性、可行性进行综合评分。</w:t>
            </w:r>
            <w:r>
              <w:rPr>
                <w:rFonts w:hint="eastAsia" w:ascii="宋体" w:hAnsi="宋体" w:eastAsia="宋体" w:cs="宋体"/>
                <w:sz w:val="22"/>
                <w:szCs w:val="22"/>
                <w:highlight w:val="none"/>
                <w:lang w:val="en-US" w:eastAsia="zh-CN"/>
              </w:rPr>
              <w:t>每小项最高得3分，满分30分。</w:t>
            </w:r>
          </w:p>
          <w:p w14:paraId="21C5F5A2">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评审标准：以上方案各项措施详尽完整、具体可行、贴合实际需求、易于落实得30分。缺少一项内容，此项不得分，（其中“项”指上述条款中①②③④⑤⑥⑦⑧⑨⑩条内容）。有一处内容存在缺陷扣1分，扣完为止。</w:t>
            </w:r>
          </w:p>
          <w:p w14:paraId="4E0C4430">
            <w:pPr>
              <w:numPr>
                <w:ilvl w:val="0"/>
                <w:numId w:val="0"/>
              </w:numPr>
              <w:tabs>
                <w:tab w:val="center" w:pos="4153"/>
                <w:tab w:val="right" w:pos="8306"/>
              </w:tabs>
              <w:snapToGrid w:val="0"/>
              <w:spacing w:line="360" w:lineRule="auto"/>
              <w:ind w:firstLine="440" w:firstLineChars="200"/>
              <w:rPr>
                <w:rFonts w:hint="eastAsia" w:ascii="宋体" w:hAnsi="宋体" w:eastAsia="宋体" w:cs="宋体"/>
                <w:kern w:val="0"/>
                <w:sz w:val="18"/>
                <w:szCs w:val="18"/>
                <w:highlight w:val="none"/>
              </w:rPr>
            </w:pPr>
            <w:r>
              <w:rPr>
                <w:rFonts w:hint="eastAsia" w:ascii="宋体" w:hAnsi="宋体" w:eastAsia="宋体" w:cs="宋体"/>
                <w:sz w:val="22"/>
                <w:szCs w:val="22"/>
                <w:highlight w:val="none"/>
                <w:lang w:val="en-US" w:eastAsia="zh-CN"/>
              </w:rPr>
              <w:t>注：内容存在缺陷是指管理机构运作方法及管理制度中有生搬硬造，与实际情况明显不符，存在偏差；或存在与项目需求明显无关的文字内容；或内容明显不适用项目实际情况；或相关资料提供不完善；或提供内容上下矛盾；或对采购需求理解混乱。</w:t>
            </w:r>
          </w:p>
        </w:tc>
        <w:tc>
          <w:tcPr>
            <w:tcW w:w="700" w:type="dxa"/>
            <w:tcBorders>
              <w:top w:val="single" w:color="auto" w:sz="4" w:space="0"/>
              <w:left w:val="single" w:color="auto" w:sz="4" w:space="0"/>
              <w:bottom w:val="single" w:color="auto" w:sz="4" w:space="0"/>
              <w:right w:val="single" w:color="auto" w:sz="4" w:space="0"/>
            </w:tcBorders>
            <w:vAlign w:val="center"/>
          </w:tcPr>
          <w:p w14:paraId="3563C286">
            <w:pP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30</w:t>
            </w:r>
          </w:p>
        </w:tc>
      </w:tr>
      <w:tr w14:paraId="49AB8942">
        <w:tblPrEx>
          <w:tblCellMar>
            <w:top w:w="0" w:type="dxa"/>
            <w:left w:w="108" w:type="dxa"/>
            <w:bottom w:w="0" w:type="dxa"/>
            <w:right w:w="108" w:type="dxa"/>
          </w:tblCellMar>
        </w:tblPrEx>
        <w:trPr>
          <w:trHeight w:val="1137" w:hRule="atLeast"/>
        </w:trPr>
        <w:tc>
          <w:tcPr>
            <w:tcW w:w="7958" w:type="dxa"/>
            <w:tcBorders>
              <w:top w:val="single" w:color="auto" w:sz="4" w:space="0"/>
              <w:left w:val="single" w:color="auto" w:sz="4" w:space="0"/>
              <w:bottom w:val="single" w:color="auto" w:sz="4" w:space="0"/>
              <w:right w:val="single" w:color="auto" w:sz="4" w:space="0"/>
            </w:tcBorders>
            <w:vAlign w:val="center"/>
          </w:tcPr>
          <w:p w14:paraId="49D7B630">
            <w:pPr>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服务措施</w:t>
            </w:r>
          </w:p>
          <w:p w14:paraId="45E4A46D">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对供应商所提供的后续服务保障工作、</w:t>
            </w:r>
            <w:r>
              <w:rPr>
                <w:rFonts w:hint="eastAsia" w:ascii="宋体" w:hAnsi="宋体" w:eastAsia="宋体" w:cs="宋体"/>
                <w:sz w:val="22"/>
                <w:szCs w:val="22"/>
                <w:highlight w:val="none"/>
                <w:lang w:val="en-US" w:eastAsia="zh-CN"/>
              </w:rPr>
              <w:t>人员调换保障、</w:t>
            </w:r>
            <w:r>
              <w:rPr>
                <w:rFonts w:hint="eastAsia" w:ascii="宋体" w:hAnsi="宋体" w:eastAsia="宋体" w:cs="宋体"/>
                <w:sz w:val="22"/>
                <w:szCs w:val="22"/>
                <w:highlight w:val="none"/>
              </w:rPr>
              <w:t>对违约责任承诺等方面内容进行评审。</w:t>
            </w:r>
          </w:p>
          <w:p w14:paraId="30AB151C">
            <w:pPr>
              <w:numPr>
                <w:ilvl w:val="0"/>
                <w:numId w:val="0"/>
              </w:numPr>
              <w:tabs>
                <w:tab w:val="center" w:pos="4153"/>
                <w:tab w:val="right" w:pos="8306"/>
              </w:tabs>
              <w:snapToGrid w:val="0"/>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评审标准：以上方案各项措施详尽完整、具体可行、贴合实际需求、易于落实得</w:t>
            </w:r>
            <w:r>
              <w:rPr>
                <w:rFonts w:hint="eastAsia" w:ascii="宋体" w:hAnsi="宋体" w:eastAsia="宋体" w:cs="宋体"/>
                <w:sz w:val="22"/>
                <w:szCs w:val="22"/>
                <w:highlight w:val="none"/>
                <w:lang w:val="en-US" w:eastAsia="zh-CN"/>
              </w:rPr>
              <w:t>6</w:t>
            </w:r>
            <w:r>
              <w:rPr>
                <w:rFonts w:hint="default" w:ascii="宋体" w:hAnsi="宋体" w:eastAsia="宋体" w:cs="宋体"/>
                <w:sz w:val="22"/>
                <w:szCs w:val="22"/>
                <w:highlight w:val="none"/>
                <w:lang w:val="en-US" w:eastAsia="zh-CN"/>
              </w:rPr>
              <w:t>分。缺少一项内容，此项不得分，（其中“项”指上述条款中后续服务保障工作</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人员调换保障、</w:t>
            </w:r>
            <w:r>
              <w:rPr>
                <w:rFonts w:hint="eastAsia" w:ascii="宋体" w:hAnsi="宋体" w:eastAsia="宋体" w:cs="宋体"/>
                <w:sz w:val="22"/>
                <w:szCs w:val="22"/>
                <w:highlight w:val="none"/>
              </w:rPr>
              <w:t>对违约责任承诺等方面内容</w:t>
            </w:r>
            <w:r>
              <w:rPr>
                <w:rFonts w:hint="default" w:ascii="宋体" w:hAnsi="宋体" w:eastAsia="宋体" w:cs="宋体"/>
                <w:sz w:val="22"/>
                <w:szCs w:val="22"/>
                <w:highlight w:val="none"/>
                <w:lang w:val="en-US" w:eastAsia="zh-CN"/>
              </w:rPr>
              <w:t>）。有一处内容存在缺陷扣1分，扣完为止。</w:t>
            </w:r>
          </w:p>
          <w:p w14:paraId="5A4E02D5">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rPr>
            </w:pPr>
            <w:r>
              <w:rPr>
                <w:rFonts w:hint="default" w:ascii="宋体" w:hAnsi="宋体" w:eastAsia="宋体" w:cs="宋体"/>
                <w:sz w:val="22"/>
                <w:szCs w:val="22"/>
                <w:highlight w:val="none"/>
                <w:lang w:val="en-US" w:eastAsia="zh-CN"/>
              </w:rPr>
              <w:t>注：内容存在缺陷是指服务措施有生搬硬造，与实际情况明显不符，存在偏差；或存在与项目需求明显无关的文字内容；或内容明显不适用项目实际情况；或相关资料提供不完善；或提供内容上下矛盾；或对采购需求理解混乱。</w:t>
            </w:r>
          </w:p>
        </w:tc>
        <w:tc>
          <w:tcPr>
            <w:tcW w:w="700" w:type="dxa"/>
            <w:tcBorders>
              <w:top w:val="single" w:color="auto" w:sz="4" w:space="0"/>
              <w:left w:val="single" w:color="auto" w:sz="4" w:space="0"/>
              <w:bottom w:val="single" w:color="auto" w:sz="4" w:space="0"/>
              <w:right w:val="single" w:color="auto" w:sz="4" w:space="0"/>
            </w:tcBorders>
            <w:vAlign w:val="center"/>
          </w:tcPr>
          <w:p w14:paraId="29AC10FC">
            <w:pPr>
              <w:spacing w:line="360" w:lineRule="auto"/>
              <w:jc w:val="both"/>
              <w:rPr>
                <w:rFonts w:hint="eastAsia" w:ascii="宋体" w:hAnsi="宋体" w:eastAsia="宋体" w:cs="宋体"/>
                <w:sz w:val="22"/>
                <w:szCs w:val="22"/>
                <w:highlight w:val="none"/>
              </w:rPr>
            </w:pPr>
          </w:p>
          <w:p w14:paraId="52CD6C55">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6</w:t>
            </w:r>
          </w:p>
        </w:tc>
      </w:tr>
      <w:tr w14:paraId="0AF7890B">
        <w:tblPrEx>
          <w:tblCellMar>
            <w:top w:w="0" w:type="dxa"/>
            <w:left w:w="108" w:type="dxa"/>
            <w:bottom w:w="0" w:type="dxa"/>
            <w:right w:w="108" w:type="dxa"/>
          </w:tblCellMar>
        </w:tblPrEx>
        <w:trPr>
          <w:trHeight w:val="976" w:hRule="atLeast"/>
        </w:trPr>
        <w:tc>
          <w:tcPr>
            <w:tcW w:w="7958" w:type="dxa"/>
            <w:tcBorders>
              <w:top w:val="single" w:color="auto" w:sz="4" w:space="0"/>
              <w:left w:val="single" w:color="auto" w:sz="4" w:space="0"/>
              <w:bottom w:val="single" w:color="auto" w:sz="4" w:space="0"/>
              <w:right w:val="single" w:color="auto" w:sz="4" w:space="0"/>
            </w:tcBorders>
            <w:vAlign w:val="center"/>
          </w:tcPr>
          <w:p w14:paraId="06064BC9">
            <w:pPr>
              <w:numPr>
                <w:ilvl w:val="0"/>
                <w:numId w:val="4"/>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处理服务过程中（薪资、劳动仲裁等服务期间可能出现的问题）等事项处理措施</w:t>
            </w:r>
            <w:r>
              <w:rPr>
                <w:rFonts w:hint="eastAsia" w:ascii="宋体" w:hAnsi="宋体" w:eastAsia="宋体" w:cs="宋体"/>
                <w:sz w:val="22"/>
                <w:szCs w:val="22"/>
                <w:highlight w:val="none"/>
                <w:lang w:val="zh-CN"/>
              </w:rPr>
              <w:t>针对本项目</w:t>
            </w:r>
            <w:r>
              <w:rPr>
                <w:rFonts w:hint="eastAsia" w:ascii="宋体" w:hAnsi="宋体" w:eastAsia="宋体" w:cs="宋体"/>
                <w:sz w:val="22"/>
                <w:szCs w:val="22"/>
                <w:highlight w:val="none"/>
              </w:rPr>
              <w:t>制定相应的</w:t>
            </w:r>
            <w:r>
              <w:rPr>
                <w:rFonts w:hint="eastAsia" w:ascii="宋体" w:hAnsi="宋体" w:eastAsia="宋体" w:cs="宋体"/>
                <w:sz w:val="22"/>
                <w:szCs w:val="22"/>
                <w:highlight w:val="none"/>
                <w:lang w:val="en-US" w:eastAsia="zh-CN"/>
              </w:rPr>
              <w:t>处理措施</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zh-CN"/>
              </w:rPr>
              <w:t>包括但不限于</w:t>
            </w:r>
            <w:r>
              <w:rPr>
                <w:rFonts w:hint="eastAsia" w:ascii="宋体" w:hAnsi="宋体" w:eastAsia="宋体" w:cs="宋体"/>
                <w:sz w:val="22"/>
                <w:szCs w:val="22"/>
                <w:highlight w:val="none"/>
                <w:lang w:val="en-US" w:eastAsia="zh-CN"/>
              </w:rPr>
              <w:t>常见情形、处理方式、解决方案</w:t>
            </w:r>
            <w:r>
              <w:rPr>
                <w:rFonts w:hint="eastAsia" w:ascii="宋体" w:hAnsi="宋体" w:eastAsia="宋体" w:cs="宋体"/>
                <w:sz w:val="22"/>
                <w:szCs w:val="22"/>
                <w:highlight w:val="none"/>
                <w:lang w:val="zh-CN"/>
              </w:rPr>
              <w:t>等</w:t>
            </w:r>
            <w:r>
              <w:rPr>
                <w:rFonts w:hint="eastAsia" w:ascii="宋体" w:hAnsi="宋体" w:eastAsia="宋体" w:cs="宋体"/>
                <w:sz w:val="22"/>
                <w:szCs w:val="22"/>
                <w:highlight w:val="none"/>
              </w:rPr>
              <w:t>内容。</w:t>
            </w:r>
          </w:p>
          <w:p w14:paraId="70552206">
            <w:pPr>
              <w:numPr>
                <w:ilvl w:val="0"/>
                <w:numId w:val="0"/>
              </w:numPr>
              <w:tabs>
                <w:tab w:val="center" w:pos="4153"/>
                <w:tab w:val="right" w:pos="8306"/>
              </w:tabs>
              <w:snapToGrid w:val="0"/>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评审标准：以上方案各项措施详尽完整、具体可行、贴合实际需求、易于落实得</w:t>
            </w:r>
            <w:r>
              <w:rPr>
                <w:rFonts w:hint="eastAsia" w:ascii="宋体" w:hAnsi="宋体" w:eastAsia="宋体" w:cs="宋体"/>
                <w:sz w:val="22"/>
                <w:szCs w:val="22"/>
                <w:highlight w:val="none"/>
                <w:lang w:val="en-US" w:eastAsia="zh-CN"/>
              </w:rPr>
              <w:t>6</w:t>
            </w:r>
            <w:r>
              <w:rPr>
                <w:rFonts w:hint="default" w:ascii="宋体" w:hAnsi="宋体" w:eastAsia="宋体" w:cs="宋体"/>
                <w:sz w:val="22"/>
                <w:szCs w:val="22"/>
                <w:highlight w:val="none"/>
                <w:lang w:val="en-US" w:eastAsia="zh-CN"/>
              </w:rPr>
              <w:t>分。缺少一项内容，此项不得分，（其中“项”指上述条款中常见情形、处理方式、解决方案等</w:t>
            </w:r>
            <w:r>
              <w:rPr>
                <w:rFonts w:hint="eastAsia" w:ascii="宋体" w:hAnsi="宋体" w:eastAsia="宋体" w:cs="宋体"/>
                <w:sz w:val="22"/>
                <w:szCs w:val="22"/>
                <w:highlight w:val="none"/>
              </w:rPr>
              <w:t>内容</w:t>
            </w:r>
            <w:r>
              <w:rPr>
                <w:rFonts w:hint="default" w:ascii="宋体" w:hAnsi="宋体" w:eastAsia="宋体" w:cs="宋体"/>
                <w:sz w:val="22"/>
                <w:szCs w:val="22"/>
                <w:highlight w:val="none"/>
                <w:lang w:val="en-US" w:eastAsia="zh-CN"/>
              </w:rPr>
              <w:t>）。有一处内容存在缺陷扣1分，扣完为止。</w:t>
            </w:r>
          </w:p>
          <w:p w14:paraId="4E0599FB">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rPr>
            </w:pPr>
            <w:r>
              <w:rPr>
                <w:rFonts w:hint="default" w:ascii="宋体" w:hAnsi="宋体" w:eastAsia="宋体" w:cs="宋体"/>
                <w:sz w:val="22"/>
                <w:szCs w:val="22"/>
                <w:highlight w:val="none"/>
                <w:lang w:val="en-US" w:eastAsia="zh-CN"/>
              </w:rPr>
              <w:t>注：内容存在缺陷是指本项目制定相应的处理措施有生搬硬造，与实际情况明显不符，存在偏差；或存在与项目需求明显无关的文字内容；或内容明显不适用项目实际情况；或相关资料提供不完善；或提供内容上下矛盾；或对采购需求理解混乱。</w:t>
            </w:r>
          </w:p>
        </w:tc>
        <w:tc>
          <w:tcPr>
            <w:tcW w:w="700" w:type="dxa"/>
            <w:tcBorders>
              <w:top w:val="single" w:color="auto" w:sz="4" w:space="0"/>
              <w:left w:val="single" w:color="auto" w:sz="4" w:space="0"/>
              <w:bottom w:val="single" w:color="auto" w:sz="4" w:space="0"/>
              <w:right w:val="single" w:color="auto" w:sz="4" w:space="0"/>
            </w:tcBorders>
            <w:vAlign w:val="center"/>
          </w:tcPr>
          <w:p w14:paraId="420D6768">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6</w:t>
            </w:r>
          </w:p>
        </w:tc>
      </w:tr>
      <w:tr w14:paraId="191D7417">
        <w:tblPrEx>
          <w:tblCellMar>
            <w:top w:w="0" w:type="dxa"/>
            <w:left w:w="108" w:type="dxa"/>
            <w:bottom w:w="0" w:type="dxa"/>
            <w:right w:w="108" w:type="dxa"/>
          </w:tblCellMar>
        </w:tblPrEx>
        <w:trPr>
          <w:trHeight w:val="1788" w:hRule="atLeast"/>
        </w:trPr>
        <w:tc>
          <w:tcPr>
            <w:tcW w:w="7958" w:type="dxa"/>
            <w:tcBorders>
              <w:top w:val="single" w:color="auto" w:sz="4" w:space="0"/>
              <w:left w:val="single" w:color="auto" w:sz="4" w:space="0"/>
              <w:bottom w:val="single" w:color="auto" w:sz="4" w:space="0"/>
              <w:right w:val="single" w:color="auto" w:sz="4" w:space="0"/>
            </w:tcBorders>
            <w:vAlign w:val="center"/>
          </w:tcPr>
          <w:p w14:paraId="0D466336">
            <w:pPr>
              <w:numPr>
                <w:ilvl w:val="0"/>
                <w:numId w:val="0"/>
              </w:numPr>
              <w:tabs>
                <w:tab w:val="center" w:pos="4153"/>
                <w:tab w:val="right" w:pos="8306"/>
              </w:tabs>
              <w:snapToGrid w:val="0"/>
              <w:spacing w:line="360" w:lineRule="auto"/>
              <w:rPr>
                <w:rFonts w:hint="default"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rPr>
              <w:t>、合理化建议及措施</w:t>
            </w:r>
            <w:r>
              <w:rPr>
                <w:rFonts w:hint="eastAsia" w:ascii="宋体" w:hAnsi="宋体" w:eastAsia="宋体" w:cs="宋体"/>
                <w:sz w:val="22"/>
                <w:szCs w:val="22"/>
                <w:highlight w:val="none"/>
              </w:rPr>
              <w:t>（为了更好的完成本项目工作，供应商可根据以往的经验对本项目提出建议）</w:t>
            </w:r>
          </w:p>
          <w:p w14:paraId="5199B3FB">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kern w:val="2"/>
                <w:sz w:val="22"/>
                <w:szCs w:val="22"/>
                <w:highlight w:val="none"/>
                <w:lang w:val="en-US" w:eastAsia="zh-CN" w:bidi="ar-SA"/>
              </w:rPr>
              <w:t>A、</w:t>
            </w:r>
            <w:r>
              <w:rPr>
                <w:rFonts w:hint="eastAsia" w:ascii="宋体" w:hAnsi="宋体" w:eastAsia="宋体" w:cs="宋体"/>
                <w:sz w:val="22"/>
                <w:szCs w:val="22"/>
                <w:highlight w:val="none"/>
              </w:rPr>
              <w:t>以上合理化建议及措施</w:t>
            </w:r>
            <w:r>
              <w:rPr>
                <w:rFonts w:hint="eastAsia" w:ascii="宋体" w:hAnsi="宋体" w:cs="宋体"/>
                <w:sz w:val="22"/>
                <w:szCs w:val="22"/>
                <w:highlight w:val="none"/>
                <w:lang w:val="en-US" w:eastAsia="zh-CN"/>
              </w:rPr>
              <w:t>促使</w:t>
            </w:r>
            <w:r>
              <w:rPr>
                <w:rFonts w:hint="eastAsia" w:ascii="宋体" w:hAnsi="宋体" w:eastAsia="宋体" w:cs="宋体"/>
                <w:sz w:val="22"/>
                <w:szCs w:val="22"/>
                <w:highlight w:val="none"/>
              </w:rPr>
              <w:t>每有一个阐述贴合项目实际情况且方案中含具体实施细节得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分</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最高得</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分；</w:t>
            </w:r>
          </w:p>
          <w:p w14:paraId="619DE976">
            <w:pPr>
              <w:numPr>
                <w:ilvl w:val="0"/>
                <w:numId w:val="0"/>
              </w:numPr>
              <w:tabs>
                <w:tab w:val="center" w:pos="4153"/>
                <w:tab w:val="right" w:pos="8306"/>
              </w:tabs>
              <w:snapToGrid w:val="0"/>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kern w:val="2"/>
                <w:sz w:val="22"/>
                <w:szCs w:val="22"/>
                <w:highlight w:val="none"/>
                <w:lang w:val="en-US" w:eastAsia="zh-CN" w:bidi="ar-SA"/>
              </w:rPr>
              <w:t>B、</w:t>
            </w:r>
            <w:r>
              <w:rPr>
                <w:rFonts w:hint="eastAsia" w:ascii="宋体" w:hAnsi="宋体" w:eastAsia="宋体" w:cs="宋体"/>
                <w:sz w:val="22"/>
                <w:szCs w:val="22"/>
                <w:highlight w:val="none"/>
              </w:rPr>
              <w:t>以上方案每有一个虽阐述但未贴合项目实际情况进行论述，或方案中未包括具体实施细节及措施，得</w:t>
            </w:r>
            <w:r>
              <w:rPr>
                <w:rFonts w:hint="eastAsia" w:ascii="宋体" w:hAnsi="宋体" w:cs="宋体"/>
                <w:sz w:val="22"/>
                <w:szCs w:val="22"/>
                <w:highlight w:val="none"/>
                <w:lang w:val="en-US" w:eastAsia="zh-CN"/>
              </w:rPr>
              <w:t>0.5</w:t>
            </w:r>
            <w:r>
              <w:rPr>
                <w:rFonts w:hint="eastAsia" w:ascii="宋体" w:hAnsi="宋体" w:eastAsia="宋体" w:cs="宋体"/>
                <w:sz w:val="22"/>
                <w:szCs w:val="22"/>
                <w:highlight w:val="none"/>
              </w:rPr>
              <w:t>分</w:t>
            </w:r>
            <w:r>
              <w:rPr>
                <w:rFonts w:hint="eastAsia" w:ascii="宋体" w:hAnsi="宋体" w:cs="宋体"/>
                <w:sz w:val="22"/>
                <w:szCs w:val="22"/>
                <w:highlight w:val="none"/>
                <w:lang w:eastAsia="zh-CN"/>
              </w:rPr>
              <w:t>；</w:t>
            </w:r>
          </w:p>
          <w:p w14:paraId="4A8B1FCC">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C、</w:t>
            </w:r>
            <w:r>
              <w:rPr>
                <w:rFonts w:hint="eastAsia" w:ascii="宋体" w:hAnsi="宋体" w:eastAsia="宋体" w:cs="宋体"/>
                <w:sz w:val="22"/>
                <w:szCs w:val="22"/>
                <w:highlight w:val="none"/>
              </w:rPr>
              <w:t>未明确或未提供不得分。</w:t>
            </w:r>
          </w:p>
        </w:tc>
        <w:tc>
          <w:tcPr>
            <w:tcW w:w="700" w:type="dxa"/>
            <w:tcBorders>
              <w:top w:val="single" w:color="auto" w:sz="4" w:space="0"/>
              <w:left w:val="single" w:color="auto" w:sz="4" w:space="0"/>
              <w:bottom w:val="single" w:color="auto" w:sz="4" w:space="0"/>
              <w:right w:val="single" w:color="auto" w:sz="4" w:space="0"/>
            </w:tcBorders>
            <w:vAlign w:val="center"/>
          </w:tcPr>
          <w:p w14:paraId="4A3F3D3B">
            <w:pPr>
              <w:spacing w:line="360" w:lineRule="auto"/>
              <w:rPr>
                <w:rFonts w:hint="eastAsia" w:ascii="宋体" w:hAnsi="宋体" w:eastAsia="宋体" w:cs="宋体"/>
                <w:sz w:val="22"/>
                <w:szCs w:val="22"/>
                <w:highlight w:val="none"/>
              </w:rPr>
            </w:pPr>
          </w:p>
          <w:p w14:paraId="0E416103">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w:t>
            </w:r>
          </w:p>
        </w:tc>
      </w:tr>
      <w:tr w14:paraId="17B4BA50">
        <w:tblPrEx>
          <w:tblCellMar>
            <w:top w:w="0" w:type="dxa"/>
            <w:left w:w="108" w:type="dxa"/>
            <w:bottom w:w="0" w:type="dxa"/>
            <w:right w:w="108" w:type="dxa"/>
          </w:tblCellMar>
        </w:tblPrEx>
        <w:trPr>
          <w:trHeight w:val="423" w:hRule="atLeast"/>
        </w:trPr>
        <w:tc>
          <w:tcPr>
            <w:tcW w:w="8658" w:type="dxa"/>
            <w:gridSpan w:val="2"/>
            <w:tcBorders>
              <w:top w:val="single" w:color="auto" w:sz="4" w:space="0"/>
              <w:left w:val="single" w:color="auto" w:sz="4" w:space="0"/>
              <w:bottom w:val="single" w:color="auto" w:sz="4" w:space="0"/>
              <w:right w:val="single" w:color="auto" w:sz="4" w:space="0"/>
            </w:tcBorders>
            <w:vAlign w:val="center"/>
          </w:tcPr>
          <w:p w14:paraId="0802ABBD">
            <w:pPr>
              <w:pStyle w:val="39"/>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三、价格部分（10分）</w:t>
            </w:r>
          </w:p>
        </w:tc>
      </w:tr>
      <w:tr w14:paraId="54999E5B">
        <w:tblPrEx>
          <w:tblCellMar>
            <w:top w:w="0" w:type="dxa"/>
            <w:left w:w="108" w:type="dxa"/>
            <w:bottom w:w="0" w:type="dxa"/>
            <w:right w:w="108" w:type="dxa"/>
          </w:tblCellMar>
        </w:tblPrEx>
        <w:trPr>
          <w:trHeight w:val="1637" w:hRule="atLeast"/>
        </w:trPr>
        <w:tc>
          <w:tcPr>
            <w:tcW w:w="7958" w:type="dxa"/>
            <w:tcBorders>
              <w:top w:val="single" w:color="auto" w:sz="4" w:space="0"/>
              <w:left w:val="single" w:color="auto" w:sz="4" w:space="0"/>
              <w:bottom w:val="single" w:color="auto" w:sz="4" w:space="0"/>
              <w:right w:val="single" w:color="auto" w:sz="4" w:space="0"/>
            </w:tcBorders>
            <w:vAlign w:val="center"/>
          </w:tcPr>
          <w:p w14:paraId="2EDAF5E3">
            <w:pPr>
              <w:pStyle w:val="39"/>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价格分值为10分，投标价格分按照以下方式进行计算：</w:t>
            </w:r>
          </w:p>
          <w:p w14:paraId="24DDBA67">
            <w:pPr>
              <w:pStyle w:val="39"/>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价格评分：报价分＝价格分值×（评标基准价/投标报价）</w:t>
            </w:r>
          </w:p>
          <w:p w14:paraId="754D911B">
            <w:pPr>
              <w:pStyle w:val="39"/>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评标基准价：是经初审合格满足磋商文件要求且投标价格最低的投标报价。</w:t>
            </w:r>
          </w:p>
        </w:tc>
        <w:tc>
          <w:tcPr>
            <w:tcW w:w="700" w:type="dxa"/>
            <w:tcBorders>
              <w:top w:val="single" w:color="auto" w:sz="4" w:space="0"/>
              <w:left w:val="single" w:color="auto" w:sz="4" w:space="0"/>
              <w:bottom w:val="single" w:color="auto" w:sz="4" w:space="0"/>
              <w:right w:val="single" w:color="auto" w:sz="4" w:space="0"/>
            </w:tcBorders>
            <w:vAlign w:val="center"/>
          </w:tcPr>
          <w:p w14:paraId="572897B9">
            <w:pPr>
              <w:pStyle w:val="39"/>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r>
    </w:tbl>
    <w:p w14:paraId="67AB7B19">
      <w:pPr>
        <w:spacing w:line="360" w:lineRule="auto"/>
        <w:ind w:firstLine="482" w:firstLineChars="200"/>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17.磋商小组及其成员不得有下列行为</w:t>
      </w:r>
    </w:p>
    <w:p w14:paraId="6F6642C8">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17.1未按照采购代理机构的要求将通讯工具存入指定地点的；</w:t>
      </w:r>
    </w:p>
    <w:p w14:paraId="37194B23">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17.2确定参与评审至评审结束前私自接触供应商；</w:t>
      </w:r>
    </w:p>
    <w:p w14:paraId="3B0B5C5B">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17.3接受供应商提出的与响应文件不一致的澄清或者说明，按照磋商文件规定进行澄清的情形除外；</w:t>
      </w:r>
    </w:p>
    <w:p w14:paraId="3B56B503">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17.4违反评审纪律发表倾向性意见或者征询采购人的倾向性意见；</w:t>
      </w:r>
    </w:p>
    <w:p w14:paraId="0048C56D">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17.5对需要专业判断的主观评审因素协商评分；</w:t>
      </w:r>
    </w:p>
    <w:p w14:paraId="593F2331">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17.6在评审过程中擅离职守，影响评审程序正常进行的；</w:t>
      </w:r>
    </w:p>
    <w:p w14:paraId="0556188C">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17.7记录、复制或者带走任何评审资料；</w:t>
      </w:r>
    </w:p>
    <w:p w14:paraId="131E098E">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17.8其他不遵守评审纪律的行为。</w:t>
      </w:r>
    </w:p>
    <w:p w14:paraId="6409F494">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磋商小组成员有“17.1—17.6”行为之一的，其评审意见无效，采购代理机构将不予支付评审劳务报酬；磋商小组成员有上述行为之一的，由财政部门责令限期改正；情节严重的，给予警告，并对其不良行为予以记录；给他人造成损失的，依法承担民事责任。</w:t>
      </w:r>
    </w:p>
    <w:p w14:paraId="16C6555F">
      <w:pPr>
        <w:rPr>
          <w:rFonts w:hint="eastAsia" w:ascii="宋体" w:hAnsi="宋体" w:eastAsia="宋体" w:cs="宋体"/>
        </w:rPr>
      </w:pPr>
      <w:r>
        <w:rPr>
          <w:rFonts w:hint="eastAsia" w:ascii="宋体" w:hAnsi="宋体" w:eastAsia="宋体" w:cs="宋体"/>
        </w:rPr>
        <w:br w:type="page"/>
      </w:r>
    </w:p>
    <w:p w14:paraId="64DD7E3C">
      <w:pPr>
        <w:pStyle w:val="3"/>
        <w:numPr>
          <w:ilvl w:val="0"/>
          <w:numId w:val="5"/>
        </w:numPr>
        <w:jc w:val="center"/>
        <w:rPr>
          <w:rFonts w:hint="eastAsia" w:ascii="宋体" w:hAnsi="宋体" w:eastAsia="宋体" w:cs="宋体"/>
          <w:highlight w:val="none"/>
        </w:rPr>
      </w:pPr>
      <w:bookmarkStart w:id="52" w:name="_Toc20350"/>
      <w:r>
        <w:rPr>
          <w:rFonts w:hint="eastAsia" w:ascii="宋体" w:hAnsi="宋体" w:eastAsia="宋体" w:cs="宋体"/>
          <w:highlight w:val="none"/>
        </w:rPr>
        <w:t xml:space="preserve"> </w:t>
      </w:r>
      <w:bookmarkStart w:id="53" w:name="_Toc228245828"/>
      <w:r>
        <w:rPr>
          <w:rFonts w:hint="eastAsia" w:ascii="宋体" w:hAnsi="宋体" w:eastAsia="宋体" w:cs="宋体"/>
          <w:highlight w:val="none"/>
        </w:rPr>
        <w:t>采购需求</w:t>
      </w:r>
      <w:bookmarkEnd w:id="52"/>
    </w:p>
    <w:p w14:paraId="04C5225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（一）商务要求</w:t>
      </w:r>
    </w:p>
    <w:bookmarkEnd w:id="53"/>
    <w:p w14:paraId="4EB849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bookmarkStart w:id="54" w:name="_Toc12273"/>
      <w:r>
        <w:rPr>
          <w:rFonts w:hint="eastAsia" w:ascii="宋体" w:hAnsi="宋体" w:cs="宋体"/>
          <w:b w:val="0"/>
          <w:bCs w:val="0"/>
          <w:sz w:val="28"/>
          <w:szCs w:val="28"/>
          <w:lang w:val="en-US" w:eastAsia="zh-CN"/>
        </w:rPr>
        <w:t>一、项目名称：长子县机关事务服务中心劳务服务采购项目二次</w:t>
      </w:r>
    </w:p>
    <w:p w14:paraId="31FF519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二、项目概况：为机关日常运转提供劳务服务，保障机关后勤服务、日常运维、综合辅助等各项工作高效有序推进。本项目共分2个包进行采购。</w:t>
      </w:r>
    </w:p>
    <w:p w14:paraId="1E2EAAB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三、合同履约期限：一年（整体服务不超2年）。合同期满经考核合格可续签。</w:t>
      </w:r>
    </w:p>
    <w:p w14:paraId="5A6CF3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四、服务要求：符合国家标准、行业标准或地方标准及采购人要求。</w:t>
      </w:r>
    </w:p>
    <w:p w14:paraId="0CE38EC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五、预算金额：863000.00元（包1：450000.00元，包2：413000.00元）</w:t>
      </w:r>
    </w:p>
    <w:p w14:paraId="2BDADC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注：包含所有履约相关所有服务费用，服务期内采购人不追加任何费用。</w:t>
      </w:r>
    </w:p>
    <w:p w14:paraId="2316176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付款方式及进度：每三个月为一个周期，分四次支付，签订合同后服务对接完成七个工作日内支付第一次服务费用。</w:t>
      </w:r>
    </w:p>
    <w:p w14:paraId="72A30506">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（二）技术要求</w:t>
      </w:r>
    </w:p>
    <w:p w14:paraId="7B50F1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七、各包具体服务内容及要求如下：</w:t>
      </w:r>
    </w:p>
    <w:p w14:paraId="3BF2E98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包1：公务用车驾驶劳务服务</w:t>
      </w:r>
    </w:p>
    <w:p w14:paraId="4FCA33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1、项目概况：</w:t>
      </w:r>
    </w:p>
    <w:p w14:paraId="04C912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服务供应商根据采购人公务出行、外勤下乡、调研督导、会议接待、物资转运、应急值守、节假日保障等各类常态化及临时性工作需求，自主调配完成服务，秉持安全合规、保障高效、严守保密、规范履职原则开展各项工作。</w:t>
      </w:r>
    </w:p>
    <w:p w14:paraId="2DD65D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注：本次采购仅包含驾驶相关劳务服务范畴，车辆购置、维修养护、保险投保、燃油耗材等相关费用及资产权属事宜，均不在本次采购服务范围内。</w:t>
      </w:r>
    </w:p>
    <w:p w14:paraId="27C221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2、主要服务事项</w:t>
      </w:r>
    </w:p>
    <w:p w14:paraId="6204F8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（1）出行驾驶保障服务</w:t>
      </w:r>
    </w:p>
    <w:p w14:paraId="258F91C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依照单位用车调度指令，承接日常办公通勤、公务调研参会、外勤事务办理、跨区域公务出行等驾驶作业，保障各类公务行程按时、平稳完成，响应应急出行、节假日值守出行需求。</w:t>
      </w:r>
    </w:p>
    <w:p w14:paraId="780880E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（2）车辆日常运维辅助服务</w:t>
      </w:r>
    </w:p>
    <w:p w14:paraId="024BE9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执行出车前后车况查验工作，核查制动、轮胎、灯光、油量等关键状态；完成车身及车内清洁整理；实时上报车辆故障、违章、部件损耗等异常情况，配合对接车辆年检、维保相关手续办理；依规完成车辆停放、车钥匙及行车凭证保管工作。</w:t>
      </w:r>
    </w:p>
    <w:p w14:paraId="014F8E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（3）行车合规管控服务</w:t>
      </w:r>
    </w:p>
    <w:p w14:paraId="44DB3A5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全程遵照道路交通法律法规及单位用车管理制度规范行驶，杜绝各类违规驾驶行为；按要求规范规划行驶路线，规避疲劳驾驶等安全隐患。</w:t>
      </w:r>
    </w:p>
    <w:p w14:paraId="04D4B3D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（4）台账登记归集服务</w:t>
      </w:r>
    </w:p>
    <w:p w14:paraId="1D7C40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据实完成行车里程、出车事由、出行时段等信息记录归档，按期完成用车数据统计、出行台账汇总报送等配套内勤事务。</w:t>
      </w:r>
    </w:p>
    <w:p w14:paraId="7480ED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3、服务运行保障要求</w:t>
      </w:r>
    </w:p>
    <w:p w14:paraId="5AE6894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（1）统筹调配服务运力，适配日常办公、夜间外勤、双休及法定节假日等不同时段用车需求，保障各时段出行任务均可及时响应处置。</w:t>
      </w:r>
    </w:p>
    <w:p w14:paraId="5B28C44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（2）建立稳定的服务作业机制，保障服务连续性，不得随意中断、搁置既定出行保障任务。</w:t>
      </w:r>
    </w:p>
    <w:p w14:paraId="08CB00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（3）依据公务出行实际需求合理排布作业班次，确保应急指令下达后可迅速响应到位。</w:t>
      </w:r>
    </w:p>
    <w:p w14:paraId="14FA91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（4）本项目拟配备项目负责人1名，统筹负责公务用车驾驶服务日常管理、调度、行车安全管控、台账核对、用车对接、服务质量监督及费用结算对接等全流程工作。</w:t>
      </w:r>
    </w:p>
    <w:p w14:paraId="72D920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4、服务行为规范要求</w:t>
      </w:r>
    </w:p>
    <w:p w14:paraId="1E58E9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（1）严格恪守保密准则，公务行程相关信息、途中工作内容均不得对外泄露传播。</w:t>
      </w:r>
    </w:p>
    <w:p w14:paraId="124212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（2）严格执行公车使用管理规定，严禁私自变更行驶路线、私用公务车辆、违规搭载无关人员。</w:t>
      </w:r>
    </w:p>
    <w:p w14:paraId="2243307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（3）服务过程中恪守职业操守，不打探议论内部工作事务，言行举止贴合公务场合规范，维护单位对外形象。</w:t>
      </w:r>
    </w:p>
    <w:p w14:paraId="399F9A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（4）全面遵从本单位后勤管理、用车管理、综治管理各项规章制度，接受日常调度与监督管理。</w:t>
      </w:r>
    </w:p>
    <w:p w14:paraId="407A55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5、安全责任划分</w:t>
      </w:r>
    </w:p>
    <w:p w14:paraId="66FED8E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（1）服务履约期间，因作业操作不合规、违规驾驶引发的交通违章、安全事故，相关损失及处置责任由服务承接方承担。</w:t>
      </w:r>
    </w:p>
    <w:p w14:paraId="65FC49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（2）服务作业过程中产生的所有相关劳务风险，全部由服务承接方负责处理及承担相应责任。</w:t>
      </w:r>
    </w:p>
    <w:p w14:paraId="3330B7A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（3）落实全流程安全管控，履约周期内杜绝重大安全责任事故发生。</w:t>
      </w:r>
    </w:p>
    <w:p w14:paraId="2A9555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6、服务考核标准</w:t>
      </w:r>
    </w:p>
    <w:p w14:paraId="05F67C1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按月度、季度开展服务综合考评，考评维度涵盖行车安全管控、任务响应时效、制度遵守情况、车辆管护成效、台账资料质量等内容。考评结果作为服务款项结算、服务合作存续的依据，服务未达到约定标准的，可依规要求整改或终止合作。</w:t>
      </w:r>
    </w:p>
    <w:p w14:paraId="5BAF7D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7、费用计价说明</w:t>
      </w:r>
    </w:p>
    <w:p w14:paraId="37AF6A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本次报价为服务整体包干价格，涵盖完成全部约定服务事项所需的各项成本、管理运营费用、税费等全部开支，采购方不再额外拨付其他费用，本包以总价报价。</w:t>
      </w:r>
    </w:p>
    <w:p w14:paraId="32D5F5D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8、履约相关约定</w:t>
      </w:r>
    </w:p>
    <w:p w14:paraId="177602A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（1）合同订立后按时限要求启动服务作业，确保按期满足日常用车保障需求。</w:t>
      </w:r>
    </w:p>
    <w:p w14:paraId="5FDCDB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（2）服务质量未达标、出现违规履职情形时，承接方需及时优化调整服务工作。</w:t>
      </w:r>
    </w:p>
    <w:p w14:paraId="6430DD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（3）履约期间全程贴合单位各项管理要求，合同期满综合评定合格，可按流程办理续约相关事宜。</w:t>
      </w:r>
    </w:p>
    <w:p w14:paraId="0F7E008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包2：综合后勤辅助保障服务</w:t>
      </w:r>
    </w:p>
    <w:p w14:paraId="56F770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1、项目概况：</w:t>
      </w:r>
    </w:p>
    <w:p w14:paraId="38CA7E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围绕机关日常运转工作需求，配齐档案管理、综合办事、资料管理、文印收发、施设设备简易运维等服务，严守政务纪律、保密规定、工作规范、资料管理等工作有序开展。服务秉持规范严谨、高效便民、安全稳妥、节约降耗原则，保障日常办公事务有序运转。</w:t>
      </w:r>
    </w:p>
    <w:p w14:paraId="16EBC0A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2、具体服务内容</w:t>
      </w:r>
    </w:p>
    <w:p w14:paraId="5B05138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（1）档案规范化管理服务</w:t>
      </w:r>
    </w:p>
    <w:p w14:paraId="24DC58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负责存量档案规整、分类编目、排序上架，做好档案库房日常防潮、防尘、避光等基础管护。按流程办理档案查阅、借阅登记、归还核验手续，及时完善档案变动台账。配合完成档案整理、装订、数字化辅助归集工作，严格执行档案保密管理要求。</w:t>
      </w:r>
    </w:p>
    <w:p w14:paraId="46093D7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（2）综合办事对接服务</w:t>
      </w:r>
    </w:p>
    <w:p w14:paraId="3DF953F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承接日常办事事项流转、咨询引导、事项登记工作。做好对内对外业务衔接、通知传达、信息汇总反馈，协助完成各类事项材料初审、流程跟进，保障日常办事环节顺畅推进。配合完成上级检查、对外对接、来访接待配套事务处理。</w:t>
      </w:r>
    </w:p>
    <w:p w14:paraId="51EF95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（3）文书资料管理服务</w:t>
      </w:r>
    </w:p>
    <w:p w14:paraId="52AB81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对各类公文、报表、台账、会议材料、审批单据等资料进行分类归集、有序存放。定期梳理汇总资料，做好留存保管、立卷备查工作，按照时限要求完成资料整编、归档移交，确保资料完整可溯源。</w:t>
      </w:r>
    </w:p>
    <w:p w14:paraId="697F9A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（4）文印与文件收发服务</w:t>
      </w:r>
    </w:p>
    <w:p w14:paraId="59C16F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承担日常文件、材料、表格、会议文稿等文印输出、复印装订、排版规整工作。负责外来公文、信函、快递、报刊杂志的接收登记、分拣流转、送达分发。做好发文登记、传递闭环管理，把控文件流转时效。</w:t>
      </w:r>
    </w:p>
    <w:p w14:paraId="67213F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（5）设施设备简易运维服务</w:t>
      </w:r>
    </w:p>
    <w:p w14:paraId="1110042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常态化巡查办公区域照明、开关插座、给排水管路、水龙头、门窗锁具、通风设施等公用设备状态。及时排查漏水、断电、卡滞、破损等常见问题，做好问题记录上报。开展零部件紧固、疏通、简单更换等简易故障处置，配合专业维保单位开展检修作业。做好公共设施日常看护，降低设施损耗故障概率。</w:t>
      </w:r>
    </w:p>
    <w:p w14:paraId="0E1AB6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3、服务运行基本要求</w:t>
      </w:r>
    </w:p>
    <w:p w14:paraId="49E189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（1）贴合办公作息节奏开展各项事务，工作日保障服务到位，临时加急事项按需及时处置，保障事务不积压。</w:t>
      </w:r>
    </w:p>
    <w:p w14:paraId="744148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（2）各项工作遵循既定流程规范办理，事务处置条理清晰，资料留存完整，操作标准统一。</w:t>
      </w:r>
    </w:p>
    <w:p w14:paraId="609E2B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（3）接到工作指令快速响应，按期办结交办事项，保障整体办公运转效率。</w:t>
      </w:r>
    </w:p>
    <w:p w14:paraId="12E1213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本项目拟配备项目负责人1名，统筹管理综合后勤全品类保障服务，制定日常工作安排；对接采购方日常诉求，及时响应并处置各类后勤相关问题；把控服务标准，定期开展工作自查优化；协调内部及外部相关事务，保障办公后勤、日常辅助等各项服务有序落地。</w:t>
      </w:r>
    </w:p>
    <w:p w14:paraId="5D64684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4、服务管理规范</w:t>
      </w:r>
    </w:p>
    <w:p w14:paraId="23BC032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（1）严格恪守保密规定，涉密文件、档案内容、内部工作信息严禁外泄、外传、私自摘抄传播。</w:t>
      </w:r>
    </w:p>
    <w:p w14:paraId="7BB222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（2）依规使用办公设备、耗材物资，杜绝浪费、私用公共资源，爱护各类公共设施。</w:t>
      </w:r>
    </w:p>
    <w:p w14:paraId="0D2DD4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（3）服从单位统一调度安排，主动配合各项工作统筹，按要求整改服务存在问题。</w:t>
      </w:r>
    </w:p>
    <w:p w14:paraId="7A877E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（4）处事严谨得体，对接沟通规范有礼，维护单位办公整体风貌。</w:t>
      </w:r>
    </w:p>
    <w:p w14:paraId="6DFA2F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5、安全责任划分</w:t>
      </w:r>
    </w:p>
    <w:p w14:paraId="1F5D351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（1）服务开展期间，因作业疏漏、操作不当造成资料损毁、设施损坏、财物损失等情况，相关责任及经济损耗由服务承接方承担。</w:t>
      </w:r>
    </w:p>
    <w:p w14:paraId="501ACE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（2）作业过程中产生的安全风险、意外相关事宜，均由承接方全权负责处置并承担相应责任。</w:t>
      </w:r>
    </w:p>
    <w:p w14:paraId="1BCCD7B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（3）落实日常安全排查，防范用电、设施使用、资料存放类安全隐患，杜绝责任事故发生。</w:t>
      </w:r>
    </w:p>
    <w:p w14:paraId="5A54C0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6、考核评价标准</w:t>
      </w:r>
    </w:p>
    <w:p w14:paraId="4F505A2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按月度、季度开展服务质量综合考评，考核包含档案管理规范性、办事处置效率、资料完整度、文印收发时效、设施管护成效、制度遵守情况等维度。考核结果作为费用结算、合作延续的依据，服务未达标准可要求限期整改，整改不力可依规终止服务合作。</w:t>
      </w:r>
    </w:p>
    <w:p w14:paraId="6E9659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7、费用计价说明</w:t>
      </w:r>
    </w:p>
    <w:p w14:paraId="719AC45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本次报价为整体包干服务价格，涵盖完成全部约定服务事项所需作业成本、耗材损耗、运营管理、税费、事务统筹等全部费用，采购方不再另行支付其他费用。本包以总价报价。</w:t>
      </w:r>
    </w:p>
    <w:p w14:paraId="043BB6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8、履约相关约定</w:t>
      </w:r>
    </w:p>
    <w:p w14:paraId="11C021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（1）合同生效后即刻全面开展各项后勤事务服务，保障办公事务正常衔接运转。</w:t>
      </w:r>
    </w:p>
    <w:p w14:paraId="11E0CE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（2）服务质量出现偏差、不符合管理要求时，承接方须及时优化调整作业工作。</w:t>
      </w:r>
    </w:p>
    <w:p w14:paraId="17AFAE6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（3）合同期满综合考评合格，可依照相关流程协商办理续约相关手续。</w:t>
      </w:r>
    </w:p>
    <w:p w14:paraId="471941C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八、采购人与各包成交供应商双方签订劳务服务合同</w:t>
      </w:r>
    </w:p>
    <w:p w14:paraId="71C9D6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本项目为劳务服务采购，采购人仅购买成交供应商整体服务成果。</w:t>
      </w:r>
    </w:p>
    <w:p w14:paraId="212E316F">
      <w:pPr>
        <w:bidi w:val="0"/>
        <w:rPr>
          <w:rFonts w:hint="eastAsia"/>
        </w:rPr>
      </w:pPr>
    </w:p>
    <w:p w14:paraId="69C9122C">
      <w:pPr>
        <w:bidi w:val="0"/>
        <w:rPr>
          <w:rFonts w:hint="eastAsia"/>
        </w:rPr>
      </w:pPr>
    </w:p>
    <w:p w14:paraId="5C1B022D">
      <w:pPr>
        <w:bidi w:val="0"/>
        <w:rPr>
          <w:rFonts w:hint="eastAsia"/>
        </w:rPr>
      </w:pPr>
    </w:p>
    <w:p w14:paraId="6DB305E1">
      <w:pPr>
        <w:bidi w:val="0"/>
        <w:rPr>
          <w:rFonts w:hint="eastAsia"/>
        </w:rPr>
      </w:pPr>
    </w:p>
    <w:p w14:paraId="4C250AF3">
      <w:pPr>
        <w:bidi w:val="0"/>
        <w:rPr>
          <w:rFonts w:hint="eastAsia"/>
        </w:rPr>
      </w:pPr>
    </w:p>
    <w:p w14:paraId="3CBD0B4E">
      <w:pPr>
        <w:bidi w:val="0"/>
        <w:rPr>
          <w:rFonts w:hint="eastAsia"/>
        </w:rPr>
      </w:pPr>
    </w:p>
    <w:p w14:paraId="48CA3CF2">
      <w:pPr>
        <w:bidi w:val="0"/>
        <w:rPr>
          <w:rFonts w:hint="eastAsia"/>
        </w:rPr>
      </w:pPr>
    </w:p>
    <w:p w14:paraId="1FF10E36">
      <w:pPr>
        <w:bidi w:val="0"/>
        <w:rPr>
          <w:rFonts w:hint="eastAsia"/>
        </w:rPr>
      </w:pPr>
    </w:p>
    <w:p w14:paraId="0D6498A9">
      <w:pPr>
        <w:bidi w:val="0"/>
        <w:rPr>
          <w:rFonts w:hint="eastAsia"/>
        </w:rPr>
      </w:pPr>
    </w:p>
    <w:p w14:paraId="095927ED">
      <w:pPr>
        <w:bidi w:val="0"/>
        <w:rPr>
          <w:rFonts w:hint="eastAsia"/>
        </w:rPr>
      </w:pPr>
    </w:p>
    <w:p w14:paraId="0469F14C">
      <w:pPr>
        <w:bidi w:val="0"/>
        <w:rPr>
          <w:rFonts w:hint="eastAsia"/>
        </w:rPr>
      </w:pPr>
    </w:p>
    <w:p w14:paraId="2ABF848B">
      <w:pPr>
        <w:bidi w:val="0"/>
        <w:rPr>
          <w:rFonts w:hint="eastAsia"/>
        </w:rPr>
      </w:pPr>
    </w:p>
    <w:p w14:paraId="7BAB5499">
      <w:pPr>
        <w:rPr>
          <w:rFonts w:hint="eastAsia"/>
          <w:sz w:val="32"/>
          <w:szCs w:val="40"/>
        </w:rPr>
      </w:pPr>
      <w:r>
        <w:rPr>
          <w:rFonts w:hint="eastAsia"/>
          <w:sz w:val="32"/>
          <w:szCs w:val="40"/>
        </w:rPr>
        <w:br w:type="page"/>
      </w:r>
    </w:p>
    <w:p w14:paraId="5F5AB0C3">
      <w:pPr>
        <w:bidi w:val="0"/>
        <w:jc w:val="center"/>
        <w:rPr>
          <w:rFonts w:hint="eastAsia"/>
          <w:sz w:val="32"/>
          <w:szCs w:val="40"/>
        </w:rPr>
      </w:pPr>
      <w:r>
        <w:rPr>
          <w:rFonts w:hint="eastAsia"/>
          <w:sz w:val="32"/>
          <w:szCs w:val="40"/>
        </w:rPr>
        <w:t>第六部分  合同文本（参考文本）</w:t>
      </w:r>
      <w:bookmarkEnd w:id="54"/>
    </w:p>
    <w:p w14:paraId="596A60CA">
      <w:pPr>
        <w:spacing w:before="101" w:line="360" w:lineRule="auto"/>
        <w:ind w:firstLine="512" w:firstLineChars="200"/>
        <w:rPr>
          <w:rFonts w:hint="eastAsia" w:ascii="宋体" w:hAnsi="宋体" w:eastAsia="宋体" w:cs="宋体"/>
          <w:sz w:val="24"/>
        </w:rPr>
      </w:pPr>
      <w:r>
        <w:rPr>
          <w:rFonts w:hint="eastAsia" w:ascii="宋体" w:hAnsi="宋体" w:eastAsia="宋体" w:cs="宋体"/>
          <w:spacing w:val="8"/>
          <w:sz w:val="24"/>
        </w:rPr>
        <w:t>甲方:</w:t>
      </w:r>
      <w:r>
        <w:rPr>
          <w:rFonts w:hint="eastAsia" w:ascii="宋体" w:hAnsi="宋体" w:eastAsia="宋体" w:cs="宋体"/>
          <w:spacing w:val="-63"/>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eastAsia="zh-CN"/>
        </w:rPr>
        <w:t>长子县机关事务服务中心</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A94522E">
      <w:pPr>
        <w:spacing w:before="1" w:line="360" w:lineRule="auto"/>
        <w:ind w:firstLine="480" w:firstLineChars="20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lang w:eastAsia="zh-CN"/>
        </w:rPr>
        <w:t>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6DA2AB5">
      <w:pPr>
        <w:spacing w:before="195" w:line="360" w:lineRule="auto"/>
        <w:ind w:firstLine="512" w:firstLineChars="200"/>
        <w:rPr>
          <w:rFonts w:hint="eastAsia" w:ascii="宋体" w:hAnsi="宋体" w:eastAsia="宋体" w:cs="宋体"/>
          <w:sz w:val="24"/>
        </w:rPr>
      </w:pPr>
      <w:r>
        <w:rPr>
          <w:rFonts w:hint="eastAsia" w:ascii="宋体" w:hAnsi="宋体" w:eastAsia="宋体" w:cs="宋体"/>
          <w:spacing w:val="8"/>
          <w:sz w:val="24"/>
        </w:rPr>
        <w:t>乙方:</w:t>
      </w:r>
      <w:r>
        <w:rPr>
          <w:rFonts w:hint="eastAsia" w:ascii="宋体" w:hAnsi="宋体" w:eastAsia="宋体" w:cs="宋体"/>
          <w:spacing w:val="-143"/>
          <w:sz w:val="24"/>
        </w:rPr>
        <w:t xml:space="preserve"> </w:t>
      </w:r>
      <w:r>
        <w:rPr>
          <w:rFonts w:hint="eastAsia" w:ascii="宋体" w:hAnsi="宋体" w:eastAsia="宋体" w:cs="宋体"/>
          <w:sz w:val="24"/>
          <w:u w:val="single"/>
        </w:rPr>
        <w:t xml:space="preserve">                             </w:t>
      </w:r>
    </w:p>
    <w:p w14:paraId="0B2A7F06">
      <w:pPr>
        <w:spacing w:before="136"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14:paraId="4FF89B59">
      <w:pPr>
        <w:spacing w:before="136" w:line="360" w:lineRule="auto"/>
        <w:ind w:firstLine="496" w:firstLineChars="200"/>
        <w:rPr>
          <w:rFonts w:hint="eastAsia" w:ascii="宋体" w:hAnsi="宋体" w:eastAsia="宋体" w:cs="宋体"/>
          <w:sz w:val="24"/>
        </w:rPr>
      </w:pPr>
      <w:r>
        <w:rPr>
          <w:rFonts w:hint="eastAsia" w:ascii="宋体" w:hAnsi="宋体" w:eastAsia="宋体" w:cs="宋体"/>
          <w:spacing w:val="4"/>
          <w:sz w:val="24"/>
        </w:rPr>
        <w:t>根据《中华人民共和国民法典》、《中华人民共和国政府采购</w:t>
      </w:r>
      <w:r>
        <w:rPr>
          <w:rFonts w:hint="eastAsia" w:ascii="宋体" w:hAnsi="宋体" w:eastAsia="宋体" w:cs="宋体"/>
          <w:spacing w:val="-6"/>
          <w:sz w:val="24"/>
        </w:rPr>
        <w:t>法》等相关规定，为保证政府</w:t>
      </w:r>
      <w:r>
        <w:rPr>
          <w:rFonts w:hint="eastAsia" w:ascii="宋体" w:hAnsi="宋体" w:eastAsia="宋体" w:cs="宋体"/>
          <w:spacing w:val="-6"/>
          <w:sz w:val="24"/>
          <w:lang w:val="en-US" w:eastAsia="zh-CN"/>
        </w:rPr>
        <w:t>采购</w:t>
      </w:r>
      <w:r>
        <w:rPr>
          <w:rFonts w:hint="eastAsia" w:ascii="宋体" w:hAnsi="宋体" w:eastAsia="宋体" w:cs="宋体"/>
          <w:spacing w:val="-6"/>
          <w:sz w:val="24"/>
        </w:rPr>
        <w:t>服务实效，明确</w:t>
      </w:r>
      <w:r>
        <w:rPr>
          <w:rFonts w:hint="eastAsia" w:ascii="宋体" w:hAnsi="宋体" w:eastAsia="宋体" w:cs="宋体"/>
          <w:spacing w:val="-7"/>
          <w:sz w:val="24"/>
        </w:rPr>
        <w:t>双方的权利义务，甲</w:t>
      </w:r>
      <w:r>
        <w:rPr>
          <w:rFonts w:hint="eastAsia" w:ascii="宋体" w:hAnsi="宋体" w:eastAsia="宋体" w:cs="宋体"/>
          <w:spacing w:val="-6"/>
          <w:sz w:val="24"/>
        </w:rPr>
        <w:t>乙双方在平等、自愿、协商一致的基础上，现就</w:t>
      </w:r>
      <w:r>
        <w:rPr>
          <w:rFonts w:hint="eastAsia" w:ascii="宋体" w:hAnsi="宋体" w:eastAsia="宋体" w:cs="宋体"/>
          <w:spacing w:val="-89"/>
          <w:sz w:val="24"/>
        </w:rPr>
        <w:t xml:space="preserve"> </w:t>
      </w:r>
      <w:r>
        <w:rPr>
          <w:rFonts w:hint="eastAsia" w:ascii="宋体" w:hAnsi="宋体" w:eastAsia="宋体" w:cs="宋体"/>
          <w:spacing w:val="14"/>
          <w:sz w:val="24"/>
          <w:u w:val="single"/>
        </w:rPr>
        <w:t xml:space="preserve"> </w:t>
      </w:r>
      <w:r>
        <w:rPr>
          <w:rFonts w:hint="eastAsia" w:ascii="宋体" w:hAnsi="宋体" w:cs="宋体"/>
          <w:spacing w:val="14"/>
          <w:sz w:val="24"/>
          <w:u w:val="single"/>
          <w:lang w:eastAsia="zh-CN"/>
        </w:rPr>
        <w:t>长子县机关事务服务中心劳务服务采购项目二次</w:t>
      </w:r>
      <w:r>
        <w:rPr>
          <w:rFonts w:hint="eastAsia" w:ascii="宋体" w:hAnsi="宋体" w:eastAsia="宋体" w:cs="宋体"/>
          <w:spacing w:val="14"/>
          <w:sz w:val="24"/>
          <w:u w:val="single"/>
        </w:rPr>
        <w:t xml:space="preserve"> </w:t>
      </w:r>
      <w:r>
        <w:rPr>
          <w:rFonts w:hint="eastAsia" w:ascii="宋体" w:hAnsi="宋体" w:eastAsia="宋体" w:cs="宋体"/>
          <w:spacing w:val="-84"/>
          <w:sz w:val="24"/>
          <w:u w:val="single"/>
        </w:rPr>
        <w:t xml:space="preserve"> </w:t>
      </w:r>
      <w:r>
        <w:rPr>
          <w:rFonts w:hint="eastAsia" w:ascii="宋体" w:hAnsi="宋体" w:eastAsia="宋体" w:cs="宋体"/>
          <w:spacing w:val="-6"/>
          <w:sz w:val="24"/>
        </w:rPr>
        <w:t>(项</w:t>
      </w:r>
      <w:r>
        <w:rPr>
          <w:rFonts w:hint="eastAsia" w:ascii="宋体" w:hAnsi="宋体" w:eastAsia="宋体" w:cs="宋体"/>
          <w:spacing w:val="-10"/>
          <w:sz w:val="24"/>
        </w:rPr>
        <w:t>目名称)达成如下合同，以兹共同遵守：</w:t>
      </w:r>
    </w:p>
    <w:p w14:paraId="6CB514F5">
      <w:pPr>
        <w:spacing w:before="268" w:line="360" w:lineRule="auto"/>
        <w:ind w:firstLine="482" w:firstLineChars="200"/>
        <w:rPr>
          <w:rFonts w:hint="eastAsia" w:ascii="宋体" w:hAnsi="宋体" w:eastAsia="宋体" w:cs="宋体"/>
          <w:sz w:val="24"/>
        </w:rPr>
      </w:pPr>
      <w:bookmarkStart w:id="55" w:name="_Toc10192"/>
      <w:r>
        <w:rPr>
          <w:rFonts w:hint="eastAsia" w:ascii="宋体" w:hAnsi="宋体" w:eastAsia="宋体" w:cs="宋体"/>
          <w:b/>
          <w:bCs/>
          <w:sz w:val="24"/>
        </w:rPr>
        <w:t>一、项目名称及内容</w:t>
      </w:r>
      <w:bookmarkEnd w:id="55"/>
    </w:p>
    <w:p w14:paraId="284F6EC1">
      <w:pPr>
        <w:spacing w:before="229" w:line="360" w:lineRule="auto"/>
        <w:ind w:firstLine="460" w:firstLineChars="200"/>
        <w:rPr>
          <w:rFonts w:hint="eastAsia" w:ascii="宋体" w:hAnsi="宋体" w:eastAsia="宋体" w:cs="宋体"/>
          <w:sz w:val="24"/>
          <w:lang w:eastAsia="zh-CN"/>
        </w:rPr>
      </w:pPr>
      <w:r>
        <w:rPr>
          <w:rFonts w:hint="eastAsia" w:ascii="宋体" w:hAnsi="宋体" w:eastAsia="宋体" w:cs="宋体"/>
          <w:spacing w:val="-5"/>
          <w:sz w:val="24"/>
        </w:rPr>
        <w:t>(一)项目名称：</w:t>
      </w:r>
      <w:r>
        <w:rPr>
          <w:rFonts w:hint="eastAsia" w:ascii="宋体" w:hAnsi="宋体" w:cs="宋体"/>
          <w:spacing w:val="-5"/>
          <w:sz w:val="24"/>
          <w:lang w:eastAsia="zh-CN"/>
        </w:rPr>
        <w:t>长子县机关事务服务中心劳务服务采购项目二次</w:t>
      </w:r>
    </w:p>
    <w:p w14:paraId="7AA77C2C">
      <w:pPr>
        <w:spacing w:before="242" w:line="360" w:lineRule="auto"/>
        <w:ind w:firstLine="464" w:firstLineChars="200"/>
        <w:rPr>
          <w:rFonts w:hint="eastAsia" w:ascii="宋体" w:hAnsi="宋体" w:eastAsia="宋体" w:cs="宋体"/>
          <w:sz w:val="24"/>
        </w:rPr>
      </w:pPr>
      <w:r>
        <w:rPr>
          <w:rFonts w:hint="eastAsia" w:ascii="宋体" w:hAnsi="宋体" w:eastAsia="宋体" w:cs="宋体"/>
          <w:spacing w:val="-4"/>
          <w:sz w:val="24"/>
        </w:rPr>
        <w:t>(二)项目内容：</w:t>
      </w:r>
    </w:p>
    <w:p w14:paraId="763C94FD">
      <w:pPr>
        <w:spacing w:before="268" w:line="360" w:lineRule="auto"/>
        <w:ind w:firstLine="482" w:firstLineChars="200"/>
        <w:rPr>
          <w:rFonts w:hint="eastAsia" w:ascii="宋体" w:hAnsi="宋体" w:eastAsia="宋体" w:cs="宋体"/>
          <w:b/>
          <w:bCs/>
          <w:sz w:val="24"/>
        </w:rPr>
      </w:pPr>
      <w:bookmarkStart w:id="56" w:name="_Toc21952"/>
      <w:r>
        <w:rPr>
          <w:rFonts w:hint="eastAsia" w:ascii="宋体" w:hAnsi="宋体" w:eastAsia="宋体" w:cs="宋体"/>
          <w:b/>
          <w:bCs/>
          <w:sz w:val="24"/>
        </w:rPr>
        <w:t>二、服务项目及要求</w:t>
      </w:r>
      <w:bookmarkEnd w:id="56"/>
    </w:p>
    <w:p w14:paraId="4F910792">
      <w:pPr>
        <w:spacing w:before="244" w:line="360" w:lineRule="auto"/>
        <w:ind w:firstLine="480" w:firstLineChars="200"/>
        <w:rPr>
          <w:rFonts w:hint="eastAsia" w:ascii="宋体" w:hAnsi="宋体" w:eastAsia="宋体" w:cs="宋体"/>
          <w:sz w:val="24"/>
        </w:rPr>
      </w:pPr>
      <w:r>
        <w:rPr>
          <w:rFonts w:hint="eastAsia" w:ascii="宋体" w:hAnsi="宋体" w:eastAsia="宋体" w:cs="宋体"/>
          <w:sz w:val="24"/>
        </w:rPr>
        <w:t>(一)服务对象：</w:t>
      </w:r>
    </w:p>
    <w:p w14:paraId="6BB3452E">
      <w:pPr>
        <w:spacing w:before="217" w:line="360" w:lineRule="auto"/>
        <w:ind w:firstLine="480" w:firstLineChars="200"/>
        <w:rPr>
          <w:rFonts w:hint="eastAsia" w:ascii="宋体" w:hAnsi="宋体" w:eastAsia="宋体" w:cs="宋体"/>
          <w:sz w:val="24"/>
        </w:rPr>
      </w:pPr>
      <w:r>
        <w:rPr>
          <w:rFonts w:hint="eastAsia" w:ascii="宋体" w:hAnsi="宋体" w:eastAsia="宋体" w:cs="宋体"/>
          <w:sz w:val="24"/>
        </w:rPr>
        <w:t>(二)合同期限：</w:t>
      </w:r>
    </w:p>
    <w:p w14:paraId="3AF8C9B2">
      <w:pPr>
        <w:tabs>
          <w:tab w:val="left" w:pos="729"/>
        </w:tabs>
        <w:spacing w:before="101" w:line="360" w:lineRule="auto"/>
        <w:ind w:firstLine="512" w:firstLineChars="200"/>
        <w:rPr>
          <w:rFonts w:hint="eastAsia" w:ascii="宋体" w:hAnsi="宋体" w:eastAsia="宋体" w:cs="宋体"/>
          <w:sz w:val="24"/>
        </w:rPr>
      </w:pPr>
      <w:r>
        <w:rPr>
          <w:rFonts w:hint="eastAsia" w:ascii="宋体" w:hAnsi="宋体" w:eastAsia="宋体" w:cs="宋体"/>
          <w:spacing w:val="8"/>
          <w:sz w:val="24"/>
        </w:rPr>
        <w:t>合同期限为</w:t>
      </w:r>
      <w:r>
        <w:rPr>
          <w:rFonts w:hint="eastAsia" w:ascii="宋体" w:hAnsi="宋体" w:eastAsia="宋体" w:cs="宋体"/>
          <w:spacing w:val="-89"/>
          <w:sz w:val="24"/>
        </w:rPr>
        <w:t xml:space="preserve"> </w:t>
      </w:r>
      <w:r>
        <w:rPr>
          <w:rFonts w:hint="eastAsia" w:ascii="宋体" w:hAnsi="宋体" w:eastAsia="宋体" w:cs="宋体"/>
          <w:spacing w:val="5"/>
          <w:sz w:val="24"/>
          <w:u w:val="single"/>
        </w:rPr>
        <w:t xml:space="preserve">    </w:t>
      </w:r>
      <w:r>
        <w:rPr>
          <w:rFonts w:hint="eastAsia" w:ascii="宋体" w:hAnsi="宋体" w:eastAsia="宋体" w:cs="宋体"/>
          <w:spacing w:val="-125"/>
          <w:sz w:val="24"/>
        </w:rPr>
        <w:t xml:space="preserve"> </w:t>
      </w:r>
      <w:r>
        <w:rPr>
          <w:rFonts w:hint="eastAsia" w:ascii="宋体" w:hAnsi="宋体" w:eastAsia="宋体" w:cs="宋体"/>
          <w:spacing w:val="8"/>
          <w:sz w:val="24"/>
        </w:rPr>
        <w:t>年(月/日),</w:t>
      </w:r>
      <w:r>
        <w:rPr>
          <w:rFonts w:hint="eastAsia" w:ascii="宋体" w:hAnsi="宋体" w:eastAsia="宋体" w:cs="宋体"/>
          <w:spacing w:val="-17"/>
          <w:sz w:val="24"/>
        </w:rPr>
        <w:t xml:space="preserve"> </w:t>
      </w:r>
      <w:r>
        <w:rPr>
          <w:rFonts w:hint="eastAsia" w:ascii="宋体" w:hAnsi="宋体" w:eastAsia="宋体" w:cs="宋体"/>
          <w:spacing w:val="8"/>
          <w:sz w:val="24"/>
        </w:rPr>
        <w:t>自</w:t>
      </w:r>
      <w:r>
        <w:rPr>
          <w:rFonts w:hint="eastAsia" w:ascii="宋体" w:hAnsi="宋体" w:eastAsia="宋体" w:cs="宋体"/>
          <w:spacing w:val="-107"/>
          <w:sz w:val="24"/>
        </w:rPr>
        <w:t xml:space="preserve"> </w:t>
      </w:r>
      <w:r>
        <w:rPr>
          <w:rFonts w:hint="eastAsia" w:ascii="宋体" w:hAnsi="宋体" w:eastAsia="宋体" w:cs="宋体"/>
          <w:spacing w:val="5"/>
          <w:sz w:val="24"/>
          <w:u w:val="single"/>
        </w:rPr>
        <w:t xml:space="preserve">    </w:t>
      </w:r>
      <w:r>
        <w:rPr>
          <w:rFonts w:hint="eastAsia" w:ascii="宋体" w:hAnsi="宋体" w:eastAsia="宋体" w:cs="宋体"/>
          <w:spacing w:val="-135"/>
          <w:sz w:val="24"/>
        </w:rPr>
        <w:t xml:space="preserve"> </w:t>
      </w:r>
      <w:r>
        <w:rPr>
          <w:rFonts w:hint="eastAsia" w:ascii="宋体" w:hAnsi="宋体" w:eastAsia="宋体" w:cs="宋体"/>
          <w:spacing w:val="8"/>
          <w:sz w:val="24"/>
        </w:rPr>
        <w:t>年</w:t>
      </w:r>
      <w:r>
        <w:rPr>
          <w:rFonts w:hint="eastAsia" w:ascii="宋体" w:hAnsi="宋体" w:eastAsia="宋体" w:cs="宋体"/>
          <w:spacing w:val="-128"/>
          <w:sz w:val="24"/>
        </w:rPr>
        <w:t xml:space="preserve"> </w:t>
      </w:r>
      <w:r>
        <w:rPr>
          <w:rFonts w:hint="eastAsia" w:ascii="宋体" w:hAnsi="宋体" w:eastAsia="宋体" w:cs="宋体"/>
          <w:spacing w:val="7"/>
          <w:sz w:val="24"/>
          <w:u w:val="single"/>
        </w:rPr>
        <w:t xml:space="preserve">    </w:t>
      </w:r>
      <w:r>
        <w:rPr>
          <w:rFonts w:hint="eastAsia" w:ascii="宋体" w:hAnsi="宋体" w:eastAsia="宋体" w:cs="宋体"/>
          <w:spacing w:val="-103"/>
          <w:sz w:val="24"/>
        </w:rPr>
        <w:t xml:space="preserve"> </w:t>
      </w:r>
      <w:r>
        <w:rPr>
          <w:rFonts w:hint="eastAsia" w:ascii="宋体" w:hAnsi="宋体" w:eastAsia="宋体" w:cs="宋体"/>
          <w:spacing w:val="8"/>
          <w:sz w:val="24"/>
        </w:rPr>
        <w:t>月</w:t>
      </w:r>
      <w:r>
        <w:rPr>
          <w:rFonts w:hint="eastAsia" w:ascii="宋体" w:hAnsi="宋体" w:eastAsia="宋体" w:cs="宋体"/>
          <w:spacing w:val="-110"/>
          <w:sz w:val="24"/>
        </w:rPr>
        <w:t xml:space="preserve"> </w:t>
      </w:r>
      <w:r>
        <w:rPr>
          <w:rFonts w:hint="eastAsia" w:ascii="宋体" w:hAnsi="宋体" w:eastAsia="宋体" w:cs="宋体"/>
          <w:spacing w:val="5"/>
          <w:sz w:val="24"/>
          <w:u w:val="single"/>
        </w:rPr>
        <w:t xml:space="preserve">    </w:t>
      </w:r>
      <w:r>
        <w:rPr>
          <w:rFonts w:hint="eastAsia" w:ascii="宋体" w:hAnsi="宋体" w:eastAsia="宋体" w:cs="宋体"/>
          <w:spacing w:val="-75"/>
          <w:sz w:val="24"/>
        </w:rPr>
        <w:t xml:space="preserve"> </w:t>
      </w:r>
      <w:r>
        <w:rPr>
          <w:rFonts w:hint="eastAsia" w:ascii="宋体" w:hAnsi="宋体" w:eastAsia="宋体" w:cs="宋体"/>
          <w:spacing w:val="8"/>
          <w:sz w:val="24"/>
        </w:rPr>
        <w:t>日起</w:t>
      </w:r>
      <w:r>
        <w:rPr>
          <w:rFonts w:hint="eastAsia" w:ascii="宋体" w:hAnsi="宋体" w:eastAsia="宋体" w:cs="宋体"/>
          <w:sz w:val="24"/>
          <w:u w:val="single"/>
        </w:rPr>
        <w:tab/>
      </w:r>
      <w:r>
        <w:rPr>
          <w:rFonts w:hint="eastAsia" w:ascii="宋体" w:hAnsi="宋体" w:eastAsia="宋体" w:cs="宋体"/>
          <w:spacing w:val="-142"/>
          <w:sz w:val="24"/>
        </w:rPr>
        <w:t xml:space="preserve"> </w:t>
      </w:r>
      <w:r>
        <w:rPr>
          <w:rFonts w:hint="eastAsia" w:ascii="宋体" w:hAnsi="宋体" w:eastAsia="宋体" w:cs="宋体"/>
          <w:spacing w:val="-23"/>
          <w:sz w:val="24"/>
        </w:rPr>
        <w:t>年</w:t>
      </w:r>
      <w:r>
        <w:rPr>
          <w:rFonts w:hint="eastAsia" w:ascii="宋体" w:hAnsi="宋体" w:eastAsia="宋体" w:cs="宋体"/>
          <w:spacing w:val="-119"/>
          <w:sz w:val="24"/>
        </w:rPr>
        <w:t xml:space="preserve"> </w:t>
      </w:r>
      <w:r>
        <w:rPr>
          <w:rFonts w:hint="eastAsia" w:ascii="宋体" w:hAnsi="宋体" w:eastAsia="宋体" w:cs="宋体"/>
          <w:spacing w:val="5"/>
          <w:sz w:val="24"/>
          <w:u w:val="single"/>
        </w:rPr>
        <w:t xml:space="preserve">    </w:t>
      </w:r>
      <w:r>
        <w:rPr>
          <w:rFonts w:hint="eastAsia" w:ascii="宋体" w:hAnsi="宋体" w:eastAsia="宋体" w:cs="宋体"/>
          <w:spacing w:val="-23"/>
          <w:sz w:val="24"/>
        </w:rPr>
        <w:t>月</w:t>
      </w:r>
      <w:r>
        <w:rPr>
          <w:rFonts w:hint="eastAsia" w:ascii="宋体" w:hAnsi="宋体" w:eastAsia="宋体" w:cs="宋体"/>
          <w:spacing w:val="-109"/>
          <w:sz w:val="24"/>
        </w:rPr>
        <w:t xml:space="preserve"> </w:t>
      </w:r>
      <w:r>
        <w:rPr>
          <w:rFonts w:hint="eastAsia" w:ascii="宋体" w:hAnsi="宋体" w:eastAsia="宋体" w:cs="宋体"/>
          <w:spacing w:val="4"/>
          <w:sz w:val="24"/>
          <w:u w:val="single"/>
        </w:rPr>
        <w:t xml:space="preserve">    </w:t>
      </w:r>
      <w:r>
        <w:rPr>
          <w:rFonts w:hint="eastAsia" w:ascii="宋体" w:hAnsi="宋体" w:eastAsia="宋体" w:cs="宋体"/>
          <w:spacing w:val="-92"/>
          <w:sz w:val="24"/>
        </w:rPr>
        <w:t xml:space="preserve"> </w:t>
      </w:r>
      <w:r>
        <w:rPr>
          <w:rFonts w:hint="eastAsia" w:ascii="宋体" w:hAnsi="宋体" w:eastAsia="宋体" w:cs="宋体"/>
          <w:spacing w:val="-23"/>
          <w:sz w:val="24"/>
        </w:rPr>
        <w:t>日止。</w:t>
      </w:r>
    </w:p>
    <w:p w14:paraId="72E9562D">
      <w:pPr>
        <w:spacing w:before="227" w:line="360" w:lineRule="auto"/>
        <w:ind w:firstLine="480" w:firstLineChars="200"/>
        <w:rPr>
          <w:rFonts w:hint="eastAsia" w:ascii="宋体" w:hAnsi="宋体" w:eastAsia="宋体" w:cs="宋体"/>
          <w:sz w:val="24"/>
        </w:rPr>
      </w:pPr>
      <w:r>
        <w:rPr>
          <w:rFonts w:hint="eastAsia" w:ascii="宋体" w:hAnsi="宋体" w:eastAsia="宋体" w:cs="宋体"/>
          <w:sz w:val="24"/>
        </w:rPr>
        <w:t>(三)服务时间：</w:t>
      </w:r>
    </w:p>
    <w:p w14:paraId="31D9D508">
      <w:pPr>
        <w:spacing w:before="227" w:line="360" w:lineRule="auto"/>
        <w:ind w:firstLine="480" w:firstLineChars="200"/>
        <w:rPr>
          <w:rFonts w:hint="eastAsia" w:ascii="宋体" w:hAnsi="宋体" w:eastAsia="宋体" w:cs="宋体"/>
          <w:sz w:val="24"/>
        </w:rPr>
      </w:pPr>
      <w:r>
        <w:rPr>
          <w:rFonts w:hint="eastAsia" w:ascii="宋体" w:hAnsi="宋体" w:eastAsia="宋体" w:cs="宋体"/>
          <w:sz w:val="24"/>
        </w:rPr>
        <w:t>(四)服务数量：</w:t>
      </w:r>
    </w:p>
    <w:p w14:paraId="49DFF064">
      <w:pPr>
        <w:spacing w:before="227" w:line="360" w:lineRule="auto"/>
        <w:ind w:firstLine="480" w:firstLineChars="200"/>
        <w:rPr>
          <w:rFonts w:hint="eastAsia" w:ascii="宋体" w:hAnsi="宋体" w:eastAsia="宋体" w:cs="宋体"/>
          <w:sz w:val="24"/>
        </w:rPr>
      </w:pPr>
      <w:r>
        <w:rPr>
          <w:rFonts w:hint="eastAsia" w:ascii="宋体" w:hAnsi="宋体" w:eastAsia="宋体" w:cs="宋体"/>
          <w:sz w:val="24"/>
        </w:rPr>
        <w:t>(五)服务标准：</w:t>
      </w:r>
    </w:p>
    <w:p w14:paraId="63C53778">
      <w:pPr>
        <w:spacing w:before="227" w:line="360" w:lineRule="auto"/>
        <w:ind w:firstLine="492" w:firstLineChars="200"/>
        <w:rPr>
          <w:rFonts w:hint="eastAsia" w:ascii="宋体" w:hAnsi="宋体" w:eastAsia="宋体" w:cs="宋体"/>
          <w:sz w:val="24"/>
        </w:rPr>
      </w:pPr>
      <w:r>
        <w:rPr>
          <w:rFonts w:hint="eastAsia" w:ascii="宋体" w:hAnsi="宋体" w:eastAsia="宋体" w:cs="宋体"/>
          <w:spacing w:val="3"/>
          <w:sz w:val="24"/>
        </w:rPr>
        <w:t>(六)提供服务的地点：</w:t>
      </w:r>
    </w:p>
    <w:p w14:paraId="62592344">
      <w:pPr>
        <w:spacing w:before="227" w:line="360" w:lineRule="auto"/>
        <w:ind w:firstLine="492" w:firstLineChars="200"/>
        <w:rPr>
          <w:rFonts w:hint="eastAsia" w:ascii="宋体" w:hAnsi="宋体" w:eastAsia="宋体" w:cs="宋体"/>
          <w:sz w:val="24"/>
        </w:rPr>
      </w:pPr>
      <w:r>
        <w:rPr>
          <w:rFonts w:hint="eastAsia" w:ascii="宋体" w:hAnsi="宋体" w:eastAsia="宋体" w:cs="宋体"/>
          <w:spacing w:val="3"/>
          <w:sz w:val="24"/>
        </w:rPr>
        <w:t>(七)提供服务的形式：</w:t>
      </w:r>
    </w:p>
    <w:p w14:paraId="64391FB7">
      <w:pPr>
        <w:spacing w:before="268" w:line="360" w:lineRule="auto"/>
        <w:ind w:firstLine="482" w:firstLineChars="200"/>
        <w:rPr>
          <w:rFonts w:hint="eastAsia" w:ascii="宋体" w:hAnsi="宋体" w:eastAsia="宋体" w:cs="宋体"/>
          <w:b/>
          <w:bCs/>
          <w:sz w:val="24"/>
        </w:rPr>
      </w:pPr>
      <w:bookmarkStart w:id="57" w:name="_Toc6758"/>
      <w:r>
        <w:rPr>
          <w:rFonts w:hint="eastAsia" w:ascii="宋体" w:hAnsi="宋体" w:eastAsia="宋体" w:cs="宋体"/>
          <w:b/>
          <w:bCs/>
          <w:sz w:val="24"/>
        </w:rPr>
        <w:t>三、合同金额</w:t>
      </w:r>
      <w:bookmarkEnd w:id="57"/>
    </w:p>
    <w:p w14:paraId="5A576E3C">
      <w:pPr>
        <w:spacing w:before="223" w:line="360" w:lineRule="auto"/>
        <w:ind w:firstLine="516" w:firstLineChars="200"/>
        <w:rPr>
          <w:rFonts w:hint="eastAsia" w:ascii="宋体" w:hAnsi="宋体" w:eastAsia="宋体" w:cs="宋体"/>
          <w:sz w:val="24"/>
        </w:rPr>
      </w:pPr>
      <w:r>
        <w:rPr>
          <w:rFonts w:hint="eastAsia" w:ascii="宋体" w:hAnsi="宋体" w:eastAsia="宋体" w:cs="宋体"/>
          <w:spacing w:val="9"/>
          <w:sz w:val="24"/>
        </w:rPr>
        <w:t>本合同服务费总金额为人民币(大写):</w:t>
      </w:r>
      <w:r>
        <w:rPr>
          <w:rFonts w:hint="eastAsia" w:ascii="宋体" w:hAnsi="宋体" w:eastAsia="宋体" w:cs="宋体"/>
          <w:spacing w:val="38"/>
          <w:sz w:val="24"/>
          <w:u w:val="single"/>
        </w:rPr>
        <w:t xml:space="preserve">    </w:t>
      </w:r>
      <w:r>
        <w:rPr>
          <w:rFonts w:hint="eastAsia" w:ascii="宋体" w:hAnsi="宋体" w:eastAsia="宋体" w:cs="宋体"/>
          <w:spacing w:val="-123"/>
          <w:sz w:val="24"/>
        </w:rPr>
        <w:t xml:space="preserve"> </w:t>
      </w:r>
      <w:r>
        <w:rPr>
          <w:rFonts w:hint="eastAsia" w:ascii="宋体" w:hAnsi="宋体" w:eastAsia="宋体" w:cs="宋体"/>
          <w:spacing w:val="9"/>
          <w:position w:val="2"/>
          <w:sz w:val="24"/>
        </w:rPr>
        <w:t>元(¥</w:t>
      </w:r>
      <w:r>
        <w:rPr>
          <w:rFonts w:hint="eastAsia" w:ascii="宋体" w:hAnsi="宋体" w:eastAsia="宋体" w:cs="宋体"/>
          <w:spacing w:val="-21"/>
          <w:position w:val="2"/>
          <w:sz w:val="24"/>
        </w:rPr>
        <w:t xml:space="preserve"> </w:t>
      </w:r>
      <w:r>
        <w:rPr>
          <w:rFonts w:hint="eastAsia" w:ascii="宋体" w:hAnsi="宋体" w:eastAsia="宋体" w:cs="宋体"/>
          <w:spacing w:val="7"/>
          <w:position w:val="2"/>
          <w:sz w:val="24"/>
          <w:u w:val="single"/>
        </w:rPr>
        <w:t xml:space="preserve">    </w:t>
      </w:r>
      <w:r>
        <w:rPr>
          <w:rFonts w:hint="eastAsia" w:ascii="宋体" w:hAnsi="宋体" w:eastAsia="宋体" w:cs="宋体"/>
          <w:spacing w:val="-153"/>
          <w:position w:val="2"/>
          <w:sz w:val="24"/>
        </w:rPr>
        <w:t xml:space="preserve"> </w:t>
      </w:r>
      <w:r>
        <w:rPr>
          <w:rFonts w:hint="eastAsia" w:ascii="宋体" w:hAnsi="宋体" w:eastAsia="宋体" w:cs="宋体"/>
          <w:spacing w:val="9"/>
          <w:position w:val="2"/>
          <w:sz w:val="24"/>
        </w:rPr>
        <w:t>元。）</w:t>
      </w:r>
    </w:p>
    <w:p w14:paraId="4C5E451F">
      <w:pPr>
        <w:spacing w:before="268" w:line="360" w:lineRule="auto"/>
        <w:ind w:firstLine="482" w:firstLineChars="200"/>
        <w:rPr>
          <w:rFonts w:hint="eastAsia" w:ascii="宋体" w:hAnsi="宋体" w:eastAsia="宋体" w:cs="宋体"/>
          <w:b/>
          <w:bCs/>
          <w:sz w:val="24"/>
        </w:rPr>
      </w:pPr>
      <w:bookmarkStart w:id="58" w:name="_Toc31358"/>
      <w:r>
        <w:rPr>
          <w:rFonts w:hint="eastAsia" w:ascii="宋体" w:hAnsi="宋体" w:eastAsia="宋体" w:cs="宋体"/>
          <w:b/>
          <w:bCs/>
          <w:sz w:val="24"/>
        </w:rPr>
        <w:t>四、付款方式</w:t>
      </w:r>
      <w:bookmarkEnd w:id="58"/>
    </w:p>
    <w:p w14:paraId="5FBC5B25">
      <w:pPr>
        <w:spacing w:before="239" w:line="360" w:lineRule="auto"/>
        <w:ind w:firstLine="470" w:firstLineChars="200"/>
        <w:rPr>
          <w:rFonts w:hint="eastAsia" w:ascii="宋体" w:hAnsi="宋体" w:eastAsia="宋体" w:cs="宋体"/>
          <w:sz w:val="24"/>
        </w:rPr>
      </w:pPr>
      <w:r>
        <w:rPr>
          <w:rFonts w:hint="eastAsia" w:ascii="宋体" w:hAnsi="宋体" w:eastAsia="宋体" w:cs="宋体"/>
          <w:b/>
          <w:bCs/>
          <w:spacing w:val="-3"/>
          <w:sz w:val="24"/>
        </w:rPr>
        <w:t>(一)甲乙双方协商一致，采取以下第(</w:t>
      </w:r>
      <w:r>
        <w:rPr>
          <w:rFonts w:hint="eastAsia" w:ascii="宋体" w:hAnsi="宋体" w:eastAsia="宋体" w:cs="宋体"/>
          <w:spacing w:val="1"/>
          <w:sz w:val="24"/>
        </w:rPr>
        <w:t xml:space="preserve">   </w:t>
      </w:r>
      <w:r>
        <w:rPr>
          <w:rFonts w:hint="eastAsia" w:ascii="宋体" w:hAnsi="宋体" w:eastAsia="宋体" w:cs="宋体"/>
          <w:b/>
          <w:bCs/>
          <w:spacing w:val="-3"/>
          <w:sz w:val="24"/>
        </w:rPr>
        <w:t>)种付款方式：</w:t>
      </w:r>
    </w:p>
    <w:p w14:paraId="1CBF7683">
      <w:pPr>
        <w:spacing w:before="224" w:line="360" w:lineRule="auto"/>
        <w:ind w:firstLine="454" w:firstLineChars="200"/>
        <w:rPr>
          <w:rFonts w:hint="eastAsia" w:ascii="宋体" w:hAnsi="宋体" w:eastAsia="宋体" w:cs="宋体"/>
          <w:b/>
          <w:bCs/>
          <w:spacing w:val="-7"/>
          <w:sz w:val="24"/>
        </w:rPr>
      </w:pPr>
      <w:bookmarkStart w:id="59" w:name="_Toc17355"/>
      <w:r>
        <w:rPr>
          <w:rFonts w:hint="eastAsia" w:ascii="宋体" w:hAnsi="宋体" w:eastAsia="宋体" w:cs="宋体"/>
          <w:b/>
          <w:bCs/>
          <w:spacing w:val="-7"/>
          <w:sz w:val="24"/>
        </w:rPr>
        <w:t>1.一次性付款：</w:t>
      </w:r>
      <w:bookmarkEnd w:id="59"/>
    </w:p>
    <w:p w14:paraId="706F244F">
      <w:pPr>
        <w:spacing w:before="241" w:line="360" w:lineRule="auto"/>
        <w:ind w:firstLine="476" w:firstLineChars="200"/>
        <w:rPr>
          <w:rFonts w:hint="eastAsia" w:ascii="宋体" w:hAnsi="宋体" w:eastAsia="宋体" w:cs="宋体"/>
          <w:sz w:val="24"/>
        </w:rPr>
      </w:pPr>
      <w:r>
        <w:rPr>
          <w:rFonts w:hint="eastAsia" w:ascii="宋体" w:hAnsi="宋体" w:eastAsia="宋体" w:cs="宋体"/>
          <w:spacing w:val="-1"/>
          <w:sz w:val="24"/>
        </w:rPr>
        <w:t>乙方履约完毕经甲方验收合格后</w:t>
      </w:r>
      <w:r>
        <w:rPr>
          <w:rFonts w:hint="eastAsia" w:ascii="宋体" w:hAnsi="宋体" w:eastAsia="宋体" w:cs="宋体"/>
          <w:spacing w:val="-148"/>
          <w:sz w:val="24"/>
        </w:rPr>
        <w:t xml:space="preserve"> </w:t>
      </w:r>
      <w:r>
        <w:rPr>
          <w:rFonts w:hint="eastAsia" w:ascii="宋体" w:hAnsi="宋体" w:eastAsia="宋体" w:cs="宋体"/>
          <w:spacing w:val="18"/>
          <w:sz w:val="24"/>
          <w:u w:val="single"/>
        </w:rPr>
        <w:t xml:space="preserve">   </w:t>
      </w:r>
      <w:r>
        <w:rPr>
          <w:rFonts w:hint="eastAsia" w:ascii="宋体" w:hAnsi="宋体" w:eastAsia="宋体" w:cs="宋体"/>
          <w:spacing w:val="-54"/>
          <w:sz w:val="24"/>
        </w:rPr>
        <w:t xml:space="preserve"> </w:t>
      </w:r>
      <w:r>
        <w:rPr>
          <w:rFonts w:hint="eastAsia" w:ascii="宋体" w:hAnsi="宋体" w:eastAsia="宋体" w:cs="宋体"/>
          <w:spacing w:val="-1"/>
          <w:sz w:val="24"/>
        </w:rPr>
        <w:t>日内，</w:t>
      </w:r>
      <w:r>
        <w:rPr>
          <w:rFonts w:hint="eastAsia" w:ascii="宋体" w:hAnsi="宋体" w:eastAsia="宋体" w:cs="宋体"/>
          <w:spacing w:val="-12"/>
          <w:sz w:val="24"/>
        </w:rPr>
        <w:t xml:space="preserve"> </w:t>
      </w:r>
      <w:r>
        <w:rPr>
          <w:rFonts w:hint="eastAsia" w:ascii="宋体" w:hAnsi="宋体" w:eastAsia="宋体" w:cs="宋体"/>
          <w:spacing w:val="-1"/>
          <w:sz w:val="24"/>
        </w:rPr>
        <w:t>一次性支付全部服务费。</w:t>
      </w:r>
    </w:p>
    <w:p w14:paraId="4561B582">
      <w:pPr>
        <w:spacing w:before="224" w:line="360" w:lineRule="auto"/>
        <w:ind w:firstLine="454" w:firstLineChars="200"/>
        <w:rPr>
          <w:rFonts w:hint="eastAsia" w:ascii="宋体" w:hAnsi="宋体" w:eastAsia="宋体" w:cs="宋体"/>
          <w:sz w:val="24"/>
        </w:rPr>
      </w:pPr>
      <w:bookmarkStart w:id="60" w:name="_Toc4120"/>
      <w:r>
        <w:rPr>
          <w:rFonts w:hint="eastAsia" w:ascii="宋体" w:hAnsi="宋体" w:eastAsia="宋体" w:cs="宋体"/>
          <w:b/>
          <w:bCs/>
          <w:spacing w:val="-7"/>
          <w:sz w:val="24"/>
        </w:rPr>
        <w:t>2.分期支付：</w:t>
      </w:r>
      <w:bookmarkEnd w:id="60"/>
    </w:p>
    <w:p w14:paraId="556B6621">
      <w:pPr>
        <w:spacing w:before="229" w:line="360" w:lineRule="auto"/>
        <w:ind w:firstLine="472" w:firstLineChars="200"/>
        <w:rPr>
          <w:rFonts w:hint="eastAsia" w:ascii="宋体" w:hAnsi="宋体" w:eastAsia="宋体" w:cs="宋体"/>
          <w:sz w:val="24"/>
        </w:rPr>
      </w:pPr>
      <w:r>
        <w:rPr>
          <w:rFonts w:hint="eastAsia" w:ascii="宋体" w:hAnsi="宋体" w:eastAsia="宋体" w:cs="宋体"/>
          <w:spacing w:val="-2"/>
          <w:sz w:val="24"/>
        </w:rPr>
        <w:t>(1)按年/按季度/按月支付等额的服务费；</w:t>
      </w:r>
    </w:p>
    <w:p w14:paraId="656451B3">
      <w:pPr>
        <w:spacing w:before="227" w:line="360" w:lineRule="auto"/>
        <w:ind w:firstLine="500" w:firstLineChars="200"/>
        <w:rPr>
          <w:rFonts w:hint="eastAsia" w:ascii="宋体" w:hAnsi="宋体" w:eastAsia="宋体" w:cs="宋体"/>
          <w:sz w:val="24"/>
        </w:rPr>
      </w:pPr>
      <w:r>
        <w:rPr>
          <w:rFonts w:hint="eastAsia" w:ascii="宋体" w:hAnsi="宋体" w:eastAsia="宋体" w:cs="宋体"/>
          <w:spacing w:val="5"/>
          <w:sz w:val="24"/>
        </w:rPr>
        <w:t>(2)合同签订后</w:t>
      </w:r>
      <w:r>
        <w:rPr>
          <w:rFonts w:hint="eastAsia" w:ascii="宋体" w:hAnsi="宋体" w:eastAsia="宋体" w:cs="宋体"/>
          <w:spacing w:val="18"/>
          <w:sz w:val="24"/>
          <w:u w:val="single"/>
        </w:rPr>
        <w:t xml:space="preserve">   </w:t>
      </w:r>
      <w:r>
        <w:rPr>
          <w:rFonts w:hint="eastAsia" w:ascii="宋体" w:hAnsi="宋体" w:eastAsia="宋体" w:cs="宋体"/>
          <w:spacing w:val="-75"/>
          <w:sz w:val="24"/>
        </w:rPr>
        <w:t xml:space="preserve"> </w:t>
      </w:r>
      <w:r>
        <w:rPr>
          <w:rFonts w:hint="eastAsia" w:ascii="宋体" w:hAnsi="宋体" w:eastAsia="宋体" w:cs="宋体"/>
          <w:spacing w:val="5"/>
          <w:sz w:val="24"/>
        </w:rPr>
        <w:t>日内，甲方向乙方支付</w:t>
      </w:r>
      <w:r>
        <w:rPr>
          <w:rFonts w:hint="eastAsia" w:ascii="宋体" w:hAnsi="宋体" w:eastAsia="宋体" w:cs="宋体"/>
          <w:spacing w:val="-145"/>
          <w:sz w:val="24"/>
        </w:rPr>
        <w:t xml:space="preserve"> </w:t>
      </w:r>
      <w:r>
        <w:rPr>
          <w:rFonts w:hint="eastAsia" w:ascii="宋体" w:hAnsi="宋体" w:eastAsia="宋体" w:cs="宋体"/>
          <w:spacing w:val="5"/>
          <w:sz w:val="24"/>
          <w:u w:val="single"/>
        </w:rPr>
        <w:t xml:space="preserve">    </w:t>
      </w:r>
      <w:r>
        <w:rPr>
          <w:rFonts w:hint="eastAsia" w:ascii="宋体" w:hAnsi="宋体" w:eastAsia="宋体" w:cs="宋体"/>
          <w:spacing w:val="-145"/>
          <w:sz w:val="24"/>
        </w:rPr>
        <w:t xml:space="preserve"> </w:t>
      </w:r>
      <w:r>
        <w:rPr>
          <w:rFonts w:hint="eastAsia" w:ascii="宋体" w:hAnsi="宋体" w:eastAsia="宋体" w:cs="宋体"/>
          <w:spacing w:val="5"/>
          <w:sz w:val="24"/>
        </w:rPr>
        <w:t>元(或合同总</w:t>
      </w:r>
      <w:r>
        <w:rPr>
          <w:rFonts w:hint="eastAsia" w:ascii="宋体" w:hAnsi="宋体" w:eastAsia="宋体" w:cs="宋体"/>
          <w:spacing w:val="2"/>
          <w:sz w:val="24"/>
        </w:rPr>
        <w:t>额的</w:t>
      </w:r>
      <w:r>
        <w:rPr>
          <w:rFonts w:hint="eastAsia" w:ascii="宋体" w:hAnsi="宋体" w:eastAsia="宋体" w:cs="宋体"/>
          <w:spacing w:val="-142"/>
          <w:sz w:val="24"/>
        </w:rPr>
        <w:t xml:space="preserve"> </w:t>
      </w:r>
      <w:r>
        <w:rPr>
          <w:rFonts w:hint="eastAsia" w:ascii="宋体" w:hAnsi="宋体" w:eastAsia="宋体" w:cs="宋体"/>
          <w:spacing w:val="5"/>
          <w:sz w:val="24"/>
          <w:u w:val="single"/>
        </w:rPr>
        <w:t xml:space="preserve">    </w:t>
      </w:r>
      <w:r>
        <w:rPr>
          <w:rFonts w:hint="eastAsia" w:ascii="宋体" w:hAnsi="宋体" w:eastAsia="宋体" w:cs="宋体"/>
          <w:spacing w:val="-145"/>
          <w:sz w:val="24"/>
        </w:rPr>
        <w:t xml:space="preserve"> </w:t>
      </w:r>
      <w:r>
        <w:rPr>
          <w:rFonts w:hint="eastAsia" w:ascii="宋体" w:hAnsi="宋体" w:eastAsia="宋体" w:cs="宋体"/>
          <w:spacing w:val="2"/>
          <w:sz w:val="24"/>
        </w:rPr>
        <w:t>%)；在交成果后</w:t>
      </w:r>
      <w:r>
        <w:rPr>
          <w:rFonts w:hint="eastAsia" w:ascii="宋体" w:hAnsi="宋体" w:eastAsia="宋体" w:cs="宋体"/>
          <w:spacing w:val="-142"/>
          <w:sz w:val="24"/>
        </w:rPr>
        <w:t xml:space="preserve"> </w:t>
      </w:r>
      <w:r>
        <w:rPr>
          <w:rFonts w:hint="eastAsia" w:ascii="宋体" w:hAnsi="宋体" w:eastAsia="宋体" w:cs="宋体"/>
          <w:spacing w:val="5"/>
          <w:sz w:val="24"/>
          <w:u w:val="single"/>
        </w:rPr>
        <w:t xml:space="preserve">    </w:t>
      </w:r>
      <w:r>
        <w:rPr>
          <w:rFonts w:hint="eastAsia" w:ascii="宋体" w:hAnsi="宋体" w:eastAsia="宋体" w:cs="宋体"/>
          <w:spacing w:val="-95"/>
          <w:sz w:val="24"/>
        </w:rPr>
        <w:t xml:space="preserve"> </w:t>
      </w:r>
      <w:r>
        <w:rPr>
          <w:rFonts w:hint="eastAsia" w:ascii="宋体" w:hAnsi="宋体" w:eastAsia="宋体" w:cs="宋体"/>
          <w:spacing w:val="2"/>
          <w:sz w:val="24"/>
        </w:rPr>
        <w:t>日内，支付服务费总额的</w:t>
      </w:r>
      <w:r>
        <w:rPr>
          <w:rFonts w:hint="eastAsia" w:ascii="宋体" w:hAnsi="宋体" w:eastAsia="宋体" w:cs="宋体"/>
          <w:spacing w:val="-135"/>
          <w:sz w:val="24"/>
        </w:rPr>
        <w:t xml:space="preserve"> </w:t>
      </w:r>
      <w:r>
        <w:rPr>
          <w:rFonts w:hint="eastAsia" w:ascii="宋体" w:hAnsi="宋体" w:eastAsia="宋体" w:cs="宋体"/>
          <w:spacing w:val="2"/>
          <w:sz w:val="24"/>
          <w:u w:val="single"/>
        </w:rPr>
        <w:t xml:space="preserve">    </w:t>
      </w:r>
      <w:r>
        <w:rPr>
          <w:rFonts w:hint="eastAsia" w:ascii="宋体" w:hAnsi="宋体" w:eastAsia="宋体" w:cs="宋体"/>
          <w:spacing w:val="-73"/>
          <w:sz w:val="24"/>
        </w:rPr>
        <w:t xml:space="preserve"> </w:t>
      </w:r>
      <w:r>
        <w:rPr>
          <w:rFonts w:hint="eastAsia" w:ascii="宋体" w:hAnsi="宋体" w:eastAsia="宋体" w:cs="宋体"/>
          <w:spacing w:val="2"/>
          <w:sz w:val="24"/>
        </w:rPr>
        <w:t>%；</w:t>
      </w:r>
    </w:p>
    <w:p w14:paraId="4D8C510D">
      <w:pPr>
        <w:spacing w:before="237" w:line="360" w:lineRule="auto"/>
        <w:ind w:firstLine="492" w:firstLineChars="200"/>
        <w:rPr>
          <w:rFonts w:hint="eastAsia" w:ascii="宋体" w:hAnsi="宋体" w:eastAsia="宋体" w:cs="宋体"/>
          <w:sz w:val="24"/>
        </w:rPr>
      </w:pPr>
      <w:r>
        <w:rPr>
          <w:rFonts w:hint="eastAsia" w:ascii="宋体" w:hAnsi="宋体" w:eastAsia="宋体" w:cs="宋体"/>
          <w:spacing w:val="3"/>
          <w:sz w:val="24"/>
        </w:rPr>
        <w:t>(3)按进度支付服务费；</w:t>
      </w:r>
    </w:p>
    <w:p w14:paraId="5E65C8CF">
      <w:pPr>
        <w:spacing w:before="224" w:line="360" w:lineRule="auto"/>
        <w:ind w:firstLine="442" w:firstLineChars="200"/>
        <w:rPr>
          <w:rFonts w:hint="eastAsia" w:ascii="宋体" w:hAnsi="宋体" w:eastAsia="宋体" w:cs="宋体"/>
          <w:sz w:val="24"/>
        </w:rPr>
      </w:pPr>
      <w:r>
        <w:rPr>
          <w:rFonts w:hint="eastAsia" w:ascii="宋体" w:hAnsi="宋体" w:eastAsia="宋体" w:cs="宋体"/>
          <w:b/>
          <w:bCs/>
          <w:spacing w:val="-10"/>
          <w:sz w:val="24"/>
        </w:rPr>
        <w:t>(二)支付方式：</w:t>
      </w:r>
    </w:p>
    <w:p w14:paraId="429D1720">
      <w:pPr>
        <w:spacing w:before="217" w:line="360" w:lineRule="auto"/>
        <w:ind w:firstLine="448" w:firstLineChars="200"/>
        <w:rPr>
          <w:rFonts w:hint="eastAsia" w:ascii="宋体" w:hAnsi="宋体" w:eastAsia="宋体" w:cs="宋体"/>
          <w:sz w:val="24"/>
        </w:rPr>
      </w:pPr>
      <w:r>
        <w:rPr>
          <w:rFonts w:hint="eastAsia" w:ascii="宋体" w:hAnsi="宋体" w:eastAsia="宋体" w:cs="宋体"/>
          <w:spacing w:val="-8"/>
          <w:position w:val="22"/>
          <w:sz w:val="24"/>
        </w:rPr>
        <w:t>1.支付方式：银行转账。</w:t>
      </w:r>
    </w:p>
    <w:p w14:paraId="344834CA">
      <w:pPr>
        <w:spacing w:before="1" w:line="360" w:lineRule="auto"/>
        <w:ind w:firstLine="476" w:firstLineChars="200"/>
        <w:rPr>
          <w:rFonts w:hint="eastAsia" w:ascii="宋体" w:hAnsi="宋体" w:eastAsia="宋体" w:cs="宋体"/>
          <w:sz w:val="24"/>
        </w:rPr>
      </w:pPr>
      <w:r>
        <w:rPr>
          <w:rFonts w:hint="eastAsia" w:ascii="宋体" w:hAnsi="宋体" w:eastAsia="宋体" w:cs="宋体"/>
          <w:spacing w:val="-1"/>
          <w:sz w:val="24"/>
        </w:rPr>
        <w:t>2.</w:t>
      </w:r>
      <w:r>
        <w:rPr>
          <w:rFonts w:hint="eastAsia" w:ascii="宋体" w:hAnsi="宋体" w:eastAsia="宋体" w:cs="宋体"/>
          <w:spacing w:val="-90"/>
          <w:sz w:val="24"/>
        </w:rPr>
        <w:t xml:space="preserve"> </w:t>
      </w:r>
      <w:r>
        <w:rPr>
          <w:rFonts w:hint="eastAsia" w:ascii="宋体" w:hAnsi="宋体" w:eastAsia="宋体" w:cs="宋体"/>
          <w:spacing w:val="-1"/>
          <w:sz w:val="24"/>
        </w:rPr>
        <w:t>乙方账户信息如下：</w:t>
      </w:r>
    </w:p>
    <w:p w14:paraId="646AB3C2">
      <w:pPr>
        <w:spacing w:before="217"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收款人名称：                            </w:t>
      </w:r>
    </w:p>
    <w:p w14:paraId="55921032">
      <w:pPr>
        <w:spacing w:before="217"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开户银行：                              </w:t>
      </w:r>
    </w:p>
    <w:p w14:paraId="23608626">
      <w:pPr>
        <w:spacing w:before="217"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账    号：                              </w:t>
      </w:r>
    </w:p>
    <w:p w14:paraId="340F6A2D">
      <w:pPr>
        <w:spacing w:before="268" w:line="360" w:lineRule="auto"/>
        <w:ind w:firstLine="482" w:firstLineChars="200"/>
        <w:rPr>
          <w:rFonts w:hint="eastAsia" w:ascii="宋体" w:hAnsi="宋体" w:eastAsia="宋体" w:cs="宋体"/>
          <w:b/>
          <w:bCs/>
          <w:sz w:val="24"/>
        </w:rPr>
      </w:pPr>
      <w:bookmarkStart w:id="61" w:name="_Toc17353"/>
      <w:r>
        <w:rPr>
          <w:rFonts w:hint="eastAsia" w:ascii="宋体" w:hAnsi="宋体" w:eastAsia="宋体" w:cs="宋体"/>
          <w:b/>
          <w:bCs/>
          <w:sz w:val="24"/>
        </w:rPr>
        <w:t>五、绩效评价</w:t>
      </w:r>
      <w:bookmarkEnd w:id="61"/>
    </w:p>
    <w:p w14:paraId="722D9B8D">
      <w:pPr>
        <w:spacing w:before="216" w:line="360" w:lineRule="auto"/>
        <w:ind w:firstLine="466" w:firstLineChars="200"/>
        <w:rPr>
          <w:rFonts w:hint="eastAsia" w:ascii="宋体" w:hAnsi="宋体" w:eastAsia="宋体" w:cs="宋体"/>
          <w:sz w:val="24"/>
        </w:rPr>
      </w:pPr>
      <w:r>
        <w:rPr>
          <w:rFonts w:hint="eastAsia" w:ascii="宋体" w:hAnsi="宋体" w:eastAsia="宋体" w:cs="宋体"/>
          <w:b/>
          <w:bCs/>
          <w:spacing w:val="-4"/>
          <w:sz w:val="24"/>
        </w:rPr>
        <w:t>(一)服务质量绩效目标</w:t>
      </w:r>
    </w:p>
    <w:p w14:paraId="446D0974">
      <w:pPr>
        <w:spacing w:before="236" w:line="360" w:lineRule="auto"/>
        <w:ind w:firstLine="500" w:firstLineChars="200"/>
        <w:rPr>
          <w:rFonts w:hint="eastAsia" w:ascii="宋体" w:hAnsi="宋体" w:eastAsia="宋体" w:cs="宋体"/>
          <w:sz w:val="24"/>
        </w:rPr>
      </w:pPr>
      <w:r>
        <w:rPr>
          <w:rFonts w:hint="eastAsia" w:ascii="宋体" w:hAnsi="宋体" w:eastAsia="宋体" w:cs="宋体"/>
          <w:spacing w:val="5"/>
          <w:sz w:val="24"/>
        </w:rPr>
        <w:t>(总体目标)</w:t>
      </w:r>
    </w:p>
    <w:p w14:paraId="00DB00F9">
      <w:pPr>
        <w:spacing w:before="195" w:line="360" w:lineRule="auto"/>
        <w:ind w:firstLine="458" w:firstLineChars="200"/>
        <w:rPr>
          <w:rFonts w:hint="eastAsia" w:ascii="宋体" w:hAnsi="宋体" w:eastAsia="宋体" w:cs="宋体"/>
          <w:sz w:val="24"/>
        </w:rPr>
      </w:pPr>
      <w:r>
        <w:rPr>
          <w:rFonts w:hint="eastAsia" w:ascii="宋体" w:hAnsi="宋体" w:eastAsia="宋体" w:cs="宋体"/>
          <w:b/>
          <w:bCs/>
          <w:spacing w:val="-6"/>
          <w:sz w:val="24"/>
        </w:rPr>
        <w:t>(二)服务质量评价指标</w:t>
      </w:r>
    </w:p>
    <w:p w14:paraId="78BC10BB">
      <w:pPr>
        <w:spacing w:before="223" w:line="360" w:lineRule="auto"/>
        <w:ind w:firstLine="452" w:firstLineChars="200"/>
        <w:rPr>
          <w:rFonts w:hint="eastAsia" w:ascii="宋体" w:hAnsi="宋体" w:eastAsia="宋体" w:cs="宋体"/>
          <w:sz w:val="24"/>
        </w:rPr>
      </w:pPr>
      <w:r>
        <w:rPr>
          <w:rFonts w:hint="eastAsia" w:ascii="宋体" w:hAnsi="宋体" w:eastAsia="宋体" w:cs="宋体"/>
          <w:spacing w:val="-7"/>
          <w:sz w:val="24"/>
        </w:rPr>
        <w:t>1.数量指标</w:t>
      </w:r>
    </w:p>
    <w:p w14:paraId="6996ADD3">
      <w:pPr>
        <w:spacing w:before="216" w:line="360" w:lineRule="auto"/>
        <w:ind w:firstLine="500" w:firstLineChars="200"/>
        <w:rPr>
          <w:rFonts w:hint="eastAsia" w:ascii="宋体" w:hAnsi="宋体" w:eastAsia="宋体" w:cs="宋体"/>
          <w:sz w:val="24"/>
        </w:rPr>
      </w:pPr>
      <w:r>
        <w:rPr>
          <w:rFonts w:hint="eastAsia" w:ascii="宋体" w:hAnsi="宋体" w:eastAsia="宋体" w:cs="宋体"/>
          <w:spacing w:val="5"/>
          <w:sz w:val="24"/>
        </w:rPr>
        <w:t>(具体指标)</w:t>
      </w:r>
    </w:p>
    <w:p w14:paraId="35C6A6A3">
      <w:pPr>
        <w:spacing w:before="215" w:line="360" w:lineRule="auto"/>
        <w:ind w:firstLine="496" w:firstLineChars="200"/>
        <w:rPr>
          <w:rFonts w:hint="eastAsia" w:ascii="宋体" w:hAnsi="宋体" w:eastAsia="宋体" w:cs="宋体"/>
          <w:sz w:val="24"/>
        </w:rPr>
      </w:pPr>
      <w:r>
        <w:rPr>
          <w:rFonts w:hint="eastAsia" w:ascii="宋体" w:hAnsi="宋体" w:eastAsia="宋体" w:cs="宋体"/>
          <w:spacing w:val="4"/>
          <w:sz w:val="24"/>
        </w:rPr>
        <w:t>2.质量指标</w:t>
      </w:r>
    </w:p>
    <w:p w14:paraId="06310C69">
      <w:pPr>
        <w:spacing w:before="215" w:line="360" w:lineRule="auto"/>
        <w:ind w:firstLine="500" w:firstLineChars="200"/>
        <w:rPr>
          <w:rFonts w:hint="eastAsia" w:ascii="宋体" w:hAnsi="宋体" w:eastAsia="宋体" w:cs="宋体"/>
          <w:sz w:val="24"/>
        </w:rPr>
      </w:pPr>
      <w:r>
        <w:rPr>
          <w:rFonts w:hint="eastAsia" w:ascii="宋体" w:hAnsi="宋体" w:eastAsia="宋体" w:cs="宋体"/>
          <w:spacing w:val="5"/>
          <w:sz w:val="24"/>
        </w:rPr>
        <w:t>(具体指标)</w:t>
      </w:r>
    </w:p>
    <w:p w14:paraId="4588A6E3">
      <w:pPr>
        <w:spacing w:before="215" w:line="360" w:lineRule="auto"/>
        <w:ind w:firstLine="488" w:firstLineChars="200"/>
        <w:rPr>
          <w:rFonts w:hint="eastAsia" w:ascii="宋体" w:hAnsi="宋体" w:eastAsia="宋体" w:cs="宋体"/>
          <w:sz w:val="24"/>
        </w:rPr>
      </w:pPr>
      <w:r>
        <w:rPr>
          <w:rFonts w:hint="eastAsia" w:ascii="宋体" w:hAnsi="宋体" w:eastAsia="宋体" w:cs="宋体"/>
          <w:spacing w:val="2"/>
          <w:sz w:val="24"/>
        </w:rPr>
        <w:t>3.时效指标</w:t>
      </w:r>
    </w:p>
    <w:p w14:paraId="1436F22C">
      <w:pPr>
        <w:spacing w:before="215" w:line="360" w:lineRule="auto"/>
        <w:ind w:firstLine="500" w:firstLineChars="200"/>
        <w:rPr>
          <w:rFonts w:hint="eastAsia" w:ascii="宋体" w:hAnsi="宋体" w:eastAsia="宋体" w:cs="宋体"/>
          <w:sz w:val="24"/>
        </w:rPr>
      </w:pPr>
      <w:r>
        <w:rPr>
          <w:rFonts w:hint="eastAsia" w:ascii="宋体" w:hAnsi="宋体" w:eastAsia="宋体" w:cs="宋体"/>
          <w:spacing w:val="5"/>
          <w:sz w:val="24"/>
        </w:rPr>
        <w:t>(具体指标)</w:t>
      </w:r>
    </w:p>
    <w:p w14:paraId="5F5BC0CF">
      <w:pPr>
        <w:spacing w:before="215" w:line="360" w:lineRule="auto"/>
        <w:ind w:firstLine="484" w:firstLineChars="200"/>
        <w:rPr>
          <w:rFonts w:hint="eastAsia" w:ascii="宋体" w:hAnsi="宋体" w:eastAsia="宋体" w:cs="宋体"/>
          <w:sz w:val="24"/>
        </w:rPr>
      </w:pPr>
      <w:r>
        <w:rPr>
          <w:rFonts w:hint="eastAsia" w:ascii="宋体" w:hAnsi="宋体" w:eastAsia="宋体" w:cs="宋体"/>
          <w:spacing w:val="1"/>
          <w:sz w:val="24"/>
        </w:rPr>
        <w:t>4.成本指标</w:t>
      </w:r>
    </w:p>
    <w:p w14:paraId="257118A3">
      <w:pPr>
        <w:spacing w:before="216" w:line="360" w:lineRule="auto"/>
        <w:ind w:firstLine="500" w:firstLineChars="200"/>
        <w:rPr>
          <w:rFonts w:hint="eastAsia" w:ascii="宋体" w:hAnsi="宋体" w:eastAsia="宋体" w:cs="宋体"/>
          <w:sz w:val="24"/>
        </w:rPr>
      </w:pPr>
      <w:r>
        <w:rPr>
          <w:rFonts w:hint="eastAsia" w:ascii="宋体" w:hAnsi="宋体" w:eastAsia="宋体" w:cs="宋体"/>
          <w:spacing w:val="5"/>
          <w:sz w:val="24"/>
        </w:rPr>
        <w:t>(具体指标)</w:t>
      </w:r>
    </w:p>
    <w:p w14:paraId="0A037745">
      <w:pPr>
        <w:spacing w:before="214" w:line="360" w:lineRule="auto"/>
        <w:ind w:firstLine="484" w:firstLineChars="200"/>
        <w:rPr>
          <w:rFonts w:hint="eastAsia" w:ascii="宋体" w:hAnsi="宋体" w:eastAsia="宋体" w:cs="宋体"/>
          <w:sz w:val="24"/>
        </w:rPr>
      </w:pPr>
      <w:r>
        <w:rPr>
          <w:rFonts w:hint="eastAsia" w:ascii="宋体" w:hAnsi="宋体" w:eastAsia="宋体" w:cs="宋体"/>
          <w:spacing w:val="1"/>
          <w:position w:val="23"/>
          <w:sz w:val="24"/>
        </w:rPr>
        <w:t>5.满意度指标</w:t>
      </w:r>
    </w:p>
    <w:p w14:paraId="27FBAF29">
      <w:pPr>
        <w:spacing w:before="1" w:line="360" w:lineRule="auto"/>
        <w:ind w:firstLine="500" w:firstLineChars="200"/>
        <w:rPr>
          <w:rFonts w:hint="eastAsia" w:ascii="宋体" w:hAnsi="宋体" w:eastAsia="宋体" w:cs="宋体"/>
          <w:sz w:val="24"/>
        </w:rPr>
      </w:pPr>
      <w:r>
        <w:rPr>
          <w:rFonts w:hint="eastAsia" w:ascii="宋体" w:hAnsi="宋体" w:eastAsia="宋体" w:cs="宋体"/>
          <w:spacing w:val="5"/>
          <w:sz w:val="24"/>
        </w:rPr>
        <w:t>(具体指标)</w:t>
      </w:r>
    </w:p>
    <w:p w14:paraId="00F66EE9">
      <w:pPr>
        <w:spacing w:before="268" w:line="360" w:lineRule="auto"/>
        <w:ind w:firstLine="482" w:firstLineChars="200"/>
        <w:rPr>
          <w:rFonts w:hint="eastAsia" w:ascii="宋体" w:hAnsi="宋体" w:eastAsia="宋体" w:cs="宋体"/>
          <w:b/>
          <w:bCs/>
          <w:sz w:val="24"/>
        </w:rPr>
      </w:pPr>
      <w:bookmarkStart w:id="62" w:name="_Toc27485"/>
      <w:r>
        <w:rPr>
          <w:rFonts w:hint="eastAsia" w:ascii="宋体" w:hAnsi="宋体" w:eastAsia="宋体" w:cs="宋体"/>
          <w:b/>
          <w:bCs/>
          <w:sz w:val="24"/>
        </w:rPr>
        <w:t>六、项目验收</w:t>
      </w:r>
      <w:bookmarkEnd w:id="62"/>
      <w:r>
        <w:rPr>
          <w:rFonts w:hint="eastAsia" w:ascii="宋体" w:hAnsi="宋体" w:eastAsia="宋体" w:cs="宋体"/>
          <w:b/>
          <w:bCs/>
          <w:sz w:val="24"/>
        </w:rPr>
        <w:t>（甲方验收）</w:t>
      </w:r>
    </w:p>
    <w:p w14:paraId="231C8FA4">
      <w:pPr>
        <w:spacing w:before="209" w:line="360" w:lineRule="auto"/>
        <w:ind w:firstLine="472" w:firstLineChars="200"/>
        <w:rPr>
          <w:rFonts w:hint="eastAsia" w:ascii="宋体" w:hAnsi="宋体" w:eastAsia="宋体" w:cs="宋体"/>
          <w:sz w:val="24"/>
        </w:rPr>
      </w:pPr>
      <w:r>
        <w:rPr>
          <w:rFonts w:hint="eastAsia" w:ascii="宋体" w:hAnsi="宋体" w:eastAsia="宋体" w:cs="宋体"/>
          <w:spacing w:val="-2"/>
          <w:sz w:val="24"/>
        </w:rPr>
        <w:t>(一)验收内容</w:t>
      </w:r>
    </w:p>
    <w:p w14:paraId="5C78C4D7">
      <w:pPr>
        <w:spacing w:before="226" w:line="360" w:lineRule="auto"/>
        <w:ind w:firstLine="476" w:firstLineChars="200"/>
        <w:rPr>
          <w:rFonts w:hint="eastAsia" w:ascii="宋体" w:hAnsi="宋体" w:eastAsia="宋体" w:cs="宋体"/>
          <w:sz w:val="24"/>
        </w:rPr>
      </w:pPr>
      <w:r>
        <w:rPr>
          <w:rFonts w:hint="eastAsia" w:ascii="宋体" w:hAnsi="宋体" w:eastAsia="宋体" w:cs="宋体"/>
          <w:spacing w:val="-1"/>
          <w:sz w:val="24"/>
        </w:rPr>
        <w:t>(二)结果应用</w:t>
      </w:r>
    </w:p>
    <w:p w14:paraId="117F4DE4">
      <w:pPr>
        <w:spacing w:before="174" w:line="360" w:lineRule="auto"/>
        <w:ind w:firstLine="480" w:firstLineChars="200"/>
        <w:rPr>
          <w:rFonts w:hint="eastAsia" w:ascii="宋体" w:hAnsi="宋体" w:eastAsia="宋体" w:cs="宋体"/>
          <w:sz w:val="24"/>
        </w:rPr>
      </w:pPr>
      <w:r>
        <w:rPr>
          <w:rFonts w:hint="eastAsia" w:ascii="宋体" w:hAnsi="宋体" w:eastAsia="宋体" w:cs="宋体"/>
          <w:sz w:val="24"/>
        </w:rPr>
        <w:t>(具体载明评价指标验收结果与合同资金挂钩的约定等)</w:t>
      </w:r>
    </w:p>
    <w:p w14:paraId="674A08E4">
      <w:pPr>
        <w:spacing w:before="268" w:line="360" w:lineRule="auto"/>
        <w:ind w:firstLine="482" w:firstLineChars="200"/>
        <w:rPr>
          <w:rFonts w:hint="eastAsia" w:ascii="宋体" w:hAnsi="宋体" w:eastAsia="宋体" w:cs="宋体"/>
          <w:b/>
          <w:bCs/>
          <w:sz w:val="24"/>
        </w:rPr>
      </w:pPr>
      <w:bookmarkStart w:id="63" w:name="_Toc18267"/>
      <w:r>
        <w:rPr>
          <w:rFonts w:hint="eastAsia" w:ascii="宋体" w:hAnsi="宋体" w:eastAsia="宋体" w:cs="宋体"/>
          <w:b/>
          <w:bCs/>
          <w:sz w:val="24"/>
        </w:rPr>
        <w:t>七、甲乙双方权责</w:t>
      </w:r>
      <w:bookmarkEnd w:id="63"/>
    </w:p>
    <w:p w14:paraId="475A05E9">
      <w:pPr>
        <w:spacing w:before="101" w:line="360" w:lineRule="auto"/>
        <w:ind w:firstLine="528" w:firstLineChars="200"/>
        <w:rPr>
          <w:rFonts w:hint="eastAsia" w:ascii="宋体" w:hAnsi="宋体" w:eastAsia="宋体" w:cs="宋体"/>
          <w:sz w:val="24"/>
        </w:rPr>
      </w:pPr>
      <w:r>
        <w:rPr>
          <w:rFonts w:hint="eastAsia" w:ascii="宋体" w:hAnsi="宋体" w:eastAsia="宋体" w:cs="宋体"/>
          <w:spacing w:val="12"/>
          <w:sz w:val="24"/>
        </w:rPr>
        <w:t>(具体约定甲乙双方有关权责)</w:t>
      </w:r>
    </w:p>
    <w:p w14:paraId="4D9FA0AE">
      <w:pPr>
        <w:spacing w:before="268" w:line="360" w:lineRule="auto"/>
        <w:ind w:firstLine="482" w:firstLineChars="200"/>
        <w:rPr>
          <w:rFonts w:hint="eastAsia" w:ascii="宋体" w:hAnsi="宋体" w:eastAsia="宋体" w:cs="宋体"/>
          <w:b/>
          <w:bCs/>
          <w:sz w:val="24"/>
        </w:rPr>
      </w:pPr>
      <w:bookmarkStart w:id="64" w:name="_Toc11041"/>
      <w:r>
        <w:rPr>
          <w:rFonts w:hint="eastAsia" w:ascii="宋体" w:hAnsi="宋体" w:eastAsia="宋体" w:cs="宋体"/>
          <w:b/>
          <w:bCs/>
          <w:sz w:val="24"/>
        </w:rPr>
        <w:t>八、合同的变更、终止和解除</w:t>
      </w:r>
      <w:bookmarkEnd w:id="64"/>
    </w:p>
    <w:p w14:paraId="2C9DFFC2">
      <w:pPr>
        <w:spacing w:before="136" w:line="360" w:lineRule="auto"/>
        <w:ind w:firstLine="528" w:firstLineChars="200"/>
        <w:rPr>
          <w:rFonts w:hint="eastAsia" w:ascii="宋体" w:hAnsi="宋体" w:eastAsia="宋体" w:cs="宋体"/>
          <w:spacing w:val="4"/>
          <w:sz w:val="24"/>
        </w:rPr>
      </w:pPr>
      <w:r>
        <w:rPr>
          <w:rFonts w:hint="eastAsia" w:ascii="宋体" w:hAnsi="宋体" w:eastAsia="宋体" w:cs="宋体"/>
          <w:spacing w:val="12"/>
          <w:sz w:val="24"/>
        </w:rPr>
        <w:t>(</w:t>
      </w:r>
      <w:r>
        <w:rPr>
          <w:rFonts w:hint="eastAsia" w:ascii="宋体" w:hAnsi="宋体" w:eastAsia="宋体" w:cs="宋体"/>
          <w:spacing w:val="4"/>
          <w:sz w:val="24"/>
        </w:rPr>
        <w:t>一)本合同未尽事宜，经双方协商可签订补充协议，补充协议与本合同具有同等法律效力，约定不同的，以补充协议为准。</w:t>
      </w:r>
    </w:p>
    <w:p w14:paraId="6D7B39BD">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(二)因发生不可抗力等原因导致本合同无法履行或无继续履行的必要的，双方可协商解除合同且互不承担违约责任。除上述约定外，任何一方不得擅自解除本合同。</w:t>
      </w:r>
    </w:p>
    <w:p w14:paraId="691098AD">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(三)若合同存在附条件生效的条款，应予以载明。</w:t>
      </w:r>
    </w:p>
    <w:p w14:paraId="56080D22">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(四)其他需要约定的事项</w:t>
      </w:r>
    </w:p>
    <w:p w14:paraId="750A9EE1">
      <w:pPr>
        <w:spacing w:before="268" w:line="360" w:lineRule="auto"/>
        <w:ind w:firstLine="482" w:firstLineChars="200"/>
        <w:rPr>
          <w:rFonts w:hint="eastAsia" w:ascii="宋体" w:hAnsi="宋体" w:eastAsia="宋体" w:cs="宋体"/>
          <w:b/>
          <w:bCs/>
          <w:sz w:val="24"/>
        </w:rPr>
      </w:pPr>
      <w:bookmarkStart w:id="65" w:name="_Toc2243"/>
      <w:r>
        <w:rPr>
          <w:rFonts w:hint="eastAsia" w:ascii="宋体" w:hAnsi="宋体" w:eastAsia="宋体" w:cs="宋体"/>
          <w:b/>
          <w:bCs/>
          <w:sz w:val="24"/>
        </w:rPr>
        <w:t>九、知识产权</w:t>
      </w:r>
      <w:bookmarkEnd w:id="65"/>
    </w:p>
    <w:p w14:paraId="5BEAD493">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(一)乙方保证甲方在使用成交服务时，不承担任何涉及知识产权法律诉讼的责任。</w:t>
      </w:r>
    </w:p>
    <w:p w14:paraId="29855714">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(二)乙方保证其提供的内容拥有合法的知识产权或授权，其权利义务不涉及第三人，没有任何侵权，若乙方所作的设计造成 任何第三方的专利权、商标权、著作权或其他受保护的权利的侵犯，则所引起的一切索赔和诉讼由乙方承担并负责支付损害赔 偿、诉讼费、律师费等一切费用。若发生以上情况并给甲方造成损失，乙方应负法律责任，甲方有权依法向乙方索赔并追究责任。</w:t>
      </w:r>
    </w:p>
    <w:p w14:paraId="4D5DF91E">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(三)其他需要约定的事项</w:t>
      </w:r>
    </w:p>
    <w:p w14:paraId="2B573610">
      <w:pPr>
        <w:spacing w:before="268" w:line="360" w:lineRule="auto"/>
        <w:ind w:firstLine="482" w:firstLineChars="200"/>
        <w:rPr>
          <w:rFonts w:hint="eastAsia" w:ascii="宋体" w:hAnsi="宋体" w:eastAsia="宋体" w:cs="宋体"/>
          <w:b/>
          <w:bCs/>
          <w:sz w:val="24"/>
        </w:rPr>
      </w:pPr>
      <w:bookmarkStart w:id="66" w:name="_Toc17516"/>
      <w:r>
        <w:rPr>
          <w:rFonts w:hint="eastAsia" w:ascii="宋体" w:hAnsi="宋体" w:eastAsia="宋体" w:cs="宋体"/>
          <w:b/>
          <w:bCs/>
          <w:sz w:val="24"/>
        </w:rPr>
        <w:t>十、违约责任</w:t>
      </w:r>
      <w:bookmarkEnd w:id="66"/>
    </w:p>
    <w:p w14:paraId="1B0F58F6">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一)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77B8253C">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(二)其他需要约定的事项</w:t>
      </w:r>
    </w:p>
    <w:p w14:paraId="71083D15">
      <w:pPr>
        <w:spacing w:before="268" w:line="360" w:lineRule="auto"/>
        <w:ind w:firstLine="482" w:firstLineChars="200"/>
        <w:rPr>
          <w:rFonts w:hint="eastAsia" w:ascii="宋体" w:hAnsi="宋体" w:eastAsia="宋体" w:cs="宋体"/>
          <w:b/>
          <w:bCs/>
          <w:sz w:val="24"/>
        </w:rPr>
      </w:pPr>
      <w:bookmarkStart w:id="67" w:name="_Toc1392"/>
      <w:r>
        <w:rPr>
          <w:rFonts w:hint="eastAsia" w:ascii="宋体" w:hAnsi="宋体" w:eastAsia="宋体" w:cs="宋体"/>
          <w:b/>
          <w:bCs/>
          <w:sz w:val="24"/>
        </w:rPr>
        <w:t>十一、保密条款</w:t>
      </w:r>
      <w:bookmarkEnd w:id="67"/>
    </w:p>
    <w:p w14:paraId="4F3153D2">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乙方及其项目参加人员应就合同履行过程中了解到、涉及到、搜集到甲方技术信息、经验信息以及其他尚未公开的有关信息、资料负有保密义务，并采取相应的应急预案和紧急事件处置措施，如发生以上情况，甲方有权索赔。乙方应承担的保密义务包括但不限于：</w:t>
      </w:r>
    </w:p>
    <w:p w14:paraId="4A4C1219">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(一)未经甲方书面同意，不得将上述信息、资料披露给任何第三人；</w:t>
      </w:r>
    </w:p>
    <w:p w14:paraId="48A69A68">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(二)不得将上述信息、资料用于本合同以外的其他目的；</w:t>
      </w:r>
    </w:p>
    <w:p w14:paraId="14EADD76">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(三)在本合同终止或解除后或按甲方要求，及时将上述信息、资料返还甲方，或按甲方要求作适当处理。</w:t>
      </w:r>
    </w:p>
    <w:p w14:paraId="71083015">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(四)本合同项下的保密义务约定至相关信息、资料正式向社会公开之日或甲方书面解除乙方本合同项下保密义务之日起终止。</w:t>
      </w:r>
    </w:p>
    <w:p w14:paraId="2A354791">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(五)本条约定在本合同终止后仍然继续有效，且不受合同解除、终止或无效的影响。</w:t>
      </w:r>
    </w:p>
    <w:p w14:paraId="216AEEBB">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（六）其他需要约定的事项</w:t>
      </w:r>
    </w:p>
    <w:p w14:paraId="2F543E5A">
      <w:pPr>
        <w:spacing w:before="268" w:line="360" w:lineRule="auto"/>
        <w:ind w:firstLine="482" w:firstLineChars="200"/>
        <w:rPr>
          <w:rFonts w:hint="eastAsia" w:ascii="宋体" w:hAnsi="宋体" w:eastAsia="宋体" w:cs="宋体"/>
          <w:b/>
          <w:bCs/>
          <w:sz w:val="24"/>
        </w:rPr>
      </w:pPr>
      <w:bookmarkStart w:id="68" w:name="_Toc20825"/>
      <w:r>
        <w:rPr>
          <w:rFonts w:hint="eastAsia" w:ascii="宋体" w:hAnsi="宋体" w:eastAsia="宋体" w:cs="宋体"/>
          <w:b/>
          <w:bCs/>
          <w:sz w:val="24"/>
        </w:rPr>
        <w:t>十二、不可抗力</w:t>
      </w:r>
      <w:bookmarkEnd w:id="68"/>
    </w:p>
    <w:p w14:paraId="74969543">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(一)当发生不可抗力事件而导致其中一方不能履行合同时，应依据不可抗力对其造成的影响部分或全部免除责任，但因迟延履行后发生不可抗力的除外；</w:t>
      </w:r>
    </w:p>
    <w:p w14:paraId="6349ECDE">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(二)任何一方由于不可抗力不能履行合同的，应及时通知对方并采取有效措施防止损失扩大。遭受不可抗力的一方应在事件发生后</w:t>
      </w:r>
      <w:r>
        <w:rPr>
          <w:rFonts w:hint="eastAsia" w:ascii="宋体" w:hAnsi="宋体" w:eastAsia="宋体" w:cs="宋体"/>
          <w:spacing w:val="4"/>
          <w:sz w:val="24"/>
          <w:u w:val="single"/>
        </w:rPr>
        <w:t xml:space="preserve">     </w:t>
      </w:r>
      <w:r>
        <w:rPr>
          <w:rFonts w:hint="eastAsia" w:ascii="宋体" w:hAnsi="宋体" w:eastAsia="宋体" w:cs="宋体"/>
          <w:spacing w:val="4"/>
          <w:sz w:val="24"/>
        </w:rPr>
        <w:t>日内向对方提供该不可抗力事件的详细情况，在取得有关机构的不可抗力证明或双方谅解确认后，允许延期履行或修订合同。</w:t>
      </w:r>
    </w:p>
    <w:p w14:paraId="08E7848E">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(三)因不可抗力导致双方均发生损失的，双方各自承担损失；不可抗力结束后，经甲乙双方协商确认合同仍有继续履行的必要的，双方均应积极履行合同。</w:t>
      </w:r>
    </w:p>
    <w:p w14:paraId="42074822">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(四)(其他需要约定的事项)</w:t>
      </w:r>
    </w:p>
    <w:p w14:paraId="2BD85EDD">
      <w:pPr>
        <w:spacing w:before="268" w:line="360" w:lineRule="auto"/>
        <w:ind w:firstLine="482" w:firstLineChars="200"/>
        <w:rPr>
          <w:rFonts w:hint="eastAsia" w:ascii="宋体" w:hAnsi="宋体" w:eastAsia="宋体" w:cs="宋体"/>
          <w:b/>
          <w:bCs/>
          <w:sz w:val="24"/>
        </w:rPr>
      </w:pPr>
      <w:bookmarkStart w:id="69" w:name="_Toc16364"/>
      <w:r>
        <w:rPr>
          <w:rFonts w:hint="eastAsia" w:ascii="宋体" w:hAnsi="宋体" w:eastAsia="宋体" w:cs="宋体"/>
          <w:b/>
          <w:bCs/>
          <w:sz w:val="24"/>
        </w:rPr>
        <w:t>十三、争议解决</w:t>
      </w:r>
      <w:bookmarkEnd w:id="69"/>
    </w:p>
    <w:p w14:paraId="2DB5BB2D">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 xml:space="preserve">(一)当履行本合同发生争议时，双方应友好协商解决。无法协商达成一致的，任何一方均可向 </w:t>
      </w:r>
      <w:r>
        <w:rPr>
          <w:rFonts w:hint="eastAsia" w:ascii="宋体" w:hAnsi="宋体" w:eastAsia="宋体" w:cs="宋体"/>
          <w:spacing w:val="4"/>
          <w:sz w:val="24"/>
          <w:u w:val="single"/>
        </w:rPr>
        <w:t xml:space="preserve">       </w:t>
      </w:r>
      <w:r>
        <w:rPr>
          <w:rFonts w:hint="eastAsia" w:ascii="宋体" w:hAnsi="宋体" w:eastAsia="宋体" w:cs="宋体"/>
          <w:spacing w:val="4"/>
          <w:sz w:val="24"/>
        </w:rPr>
        <w:t>人民法院提起诉讼。</w:t>
      </w:r>
    </w:p>
    <w:p w14:paraId="3B40D056">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(二)其他需要约定的事项</w:t>
      </w:r>
    </w:p>
    <w:p w14:paraId="5C849B06">
      <w:pPr>
        <w:spacing w:before="268" w:line="360" w:lineRule="auto"/>
        <w:ind w:firstLine="482" w:firstLineChars="200"/>
        <w:rPr>
          <w:rFonts w:hint="eastAsia" w:ascii="宋体" w:hAnsi="宋体" w:eastAsia="宋体" w:cs="宋体"/>
          <w:b/>
          <w:bCs/>
          <w:sz w:val="24"/>
        </w:rPr>
      </w:pPr>
      <w:bookmarkStart w:id="70" w:name="_Toc16315"/>
      <w:r>
        <w:rPr>
          <w:rFonts w:hint="eastAsia" w:ascii="宋体" w:hAnsi="宋体" w:eastAsia="宋体" w:cs="宋体"/>
          <w:b/>
          <w:bCs/>
          <w:sz w:val="24"/>
        </w:rPr>
        <w:t>十四、其他</w:t>
      </w:r>
      <w:bookmarkEnd w:id="70"/>
    </w:p>
    <w:p w14:paraId="4213C093">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(一)本合同中的保密条款、知识产权条款、争议解决条款长期有效，不随本合同的终止、无效、被撤销而失效。</w:t>
      </w:r>
    </w:p>
    <w:p w14:paraId="0FA2BC4B">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(二)本合同所有附件及政府采购文件均为合同的有效组成部分，与本合同具有同等法律效力。</w:t>
      </w:r>
    </w:p>
    <w:p w14:paraId="6B3A3C78">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（三）本合同自甲乙双方法人代表或其授权代表签字盖章后生效。</w:t>
      </w:r>
    </w:p>
    <w:p w14:paraId="4F646FBF">
      <w:pPr>
        <w:spacing w:before="136"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(四)本合同一式</w:t>
      </w:r>
      <w:r>
        <w:rPr>
          <w:rFonts w:hint="eastAsia" w:ascii="宋体" w:hAnsi="宋体" w:eastAsia="宋体" w:cs="宋体"/>
          <w:spacing w:val="4"/>
          <w:sz w:val="24"/>
          <w:u w:val="single"/>
        </w:rPr>
        <w:t xml:space="preserve">     </w:t>
      </w:r>
      <w:r>
        <w:rPr>
          <w:rFonts w:hint="eastAsia" w:ascii="宋体" w:hAnsi="宋体" w:eastAsia="宋体" w:cs="宋体"/>
          <w:spacing w:val="4"/>
          <w:sz w:val="24"/>
        </w:rPr>
        <w:t>份，其中，甲方执</w:t>
      </w:r>
      <w:r>
        <w:rPr>
          <w:rFonts w:hint="eastAsia" w:ascii="宋体" w:hAnsi="宋体" w:eastAsia="宋体" w:cs="宋体"/>
          <w:spacing w:val="4"/>
          <w:sz w:val="24"/>
          <w:u w:val="single"/>
        </w:rPr>
        <w:t xml:space="preserve">   </w:t>
      </w:r>
      <w:r>
        <w:rPr>
          <w:rFonts w:hint="eastAsia" w:ascii="宋体" w:hAnsi="宋体" w:eastAsia="宋体" w:cs="宋体"/>
          <w:spacing w:val="4"/>
          <w:sz w:val="24"/>
        </w:rPr>
        <w:t>份，乙方执</w:t>
      </w:r>
      <w:r>
        <w:rPr>
          <w:rFonts w:hint="eastAsia" w:ascii="宋体" w:hAnsi="宋体" w:eastAsia="宋体" w:cs="宋体"/>
          <w:spacing w:val="4"/>
          <w:sz w:val="24"/>
          <w:u w:val="single"/>
        </w:rPr>
        <w:t xml:space="preserve">      </w:t>
      </w:r>
      <w:r>
        <w:rPr>
          <w:rFonts w:hint="eastAsia" w:ascii="宋体" w:hAnsi="宋体" w:eastAsia="宋体" w:cs="宋体"/>
          <w:spacing w:val="4"/>
          <w:sz w:val="24"/>
        </w:rPr>
        <w:t>份，具有同等法律效力。</w:t>
      </w:r>
    </w:p>
    <w:p w14:paraId="360544C7">
      <w:pPr>
        <w:spacing w:before="211" w:line="360" w:lineRule="auto"/>
        <w:ind w:firstLine="448" w:firstLineChars="200"/>
        <w:rPr>
          <w:rFonts w:hint="eastAsia" w:ascii="宋体" w:hAnsi="宋体" w:eastAsia="宋体" w:cs="宋体"/>
          <w:spacing w:val="-8"/>
          <w:sz w:val="24"/>
        </w:rPr>
      </w:pPr>
      <w:r>
        <w:rPr>
          <w:rFonts w:hint="eastAsia" w:ascii="宋体" w:hAnsi="宋体" w:eastAsia="宋体" w:cs="宋体"/>
          <w:spacing w:val="-8"/>
          <w:sz w:val="24"/>
        </w:rPr>
        <w:t>(五)其他需要约定的事项</w:t>
      </w:r>
    </w:p>
    <w:p w14:paraId="3A958861">
      <w:pPr>
        <w:spacing w:before="268" w:line="360" w:lineRule="auto"/>
        <w:ind w:firstLine="482" w:firstLineChars="200"/>
        <w:rPr>
          <w:rFonts w:hint="eastAsia" w:ascii="宋体" w:hAnsi="宋体" w:eastAsia="宋体" w:cs="宋体"/>
          <w:sz w:val="24"/>
        </w:rPr>
      </w:pPr>
      <w:bookmarkStart w:id="71" w:name="_Toc22123"/>
      <w:r>
        <w:rPr>
          <w:rFonts w:hint="eastAsia" w:ascii="宋体" w:hAnsi="宋体" w:eastAsia="宋体" w:cs="宋体"/>
          <w:b/>
          <w:bCs/>
          <w:sz w:val="24"/>
        </w:rPr>
        <w:t>十五、合同附件(若有附件应注明，并注明附件名称)</w:t>
      </w:r>
      <w:bookmarkEnd w:id="71"/>
    </w:p>
    <w:p w14:paraId="3446A72D">
      <w:pPr>
        <w:spacing w:before="98" w:line="360" w:lineRule="auto"/>
        <w:ind w:firstLine="532" w:firstLineChars="200"/>
        <w:jc w:val="left"/>
        <w:rPr>
          <w:rFonts w:hint="eastAsia" w:ascii="宋体" w:hAnsi="宋体" w:eastAsia="宋体" w:cs="宋体"/>
          <w:sz w:val="24"/>
        </w:rPr>
      </w:pPr>
      <w:r>
        <w:rPr>
          <w:rFonts w:hint="eastAsia" w:ascii="宋体" w:hAnsi="宋体" w:eastAsia="宋体" w:cs="宋体"/>
          <w:spacing w:val="13"/>
          <w:sz w:val="24"/>
        </w:rPr>
        <w:t>甲方(公章):</w:t>
      </w:r>
      <w:r>
        <w:rPr>
          <w:rFonts w:hint="eastAsia" w:ascii="宋体" w:hAnsi="宋体" w:eastAsia="宋体" w:cs="宋体"/>
          <w:spacing w:val="7"/>
          <w:sz w:val="24"/>
        </w:rPr>
        <w:t xml:space="preserve">                  </w:t>
      </w:r>
      <w:r>
        <w:rPr>
          <w:rFonts w:hint="eastAsia" w:ascii="宋体" w:hAnsi="宋体" w:eastAsia="宋体" w:cs="宋体"/>
          <w:spacing w:val="13"/>
          <w:sz w:val="24"/>
        </w:rPr>
        <w:t>乙方(公章):</w:t>
      </w:r>
    </w:p>
    <w:p w14:paraId="096BD123">
      <w:pPr>
        <w:spacing w:before="256" w:line="360" w:lineRule="auto"/>
        <w:ind w:firstLine="432" w:firstLineChars="200"/>
        <w:jc w:val="left"/>
        <w:rPr>
          <w:rFonts w:hint="eastAsia" w:ascii="宋体" w:hAnsi="宋体" w:eastAsia="宋体" w:cs="宋体"/>
          <w:sz w:val="24"/>
        </w:rPr>
      </w:pPr>
      <w:r>
        <w:rPr>
          <w:rFonts w:hint="eastAsia" w:ascii="宋体" w:hAnsi="宋体" w:eastAsia="宋体" w:cs="宋体"/>
          <w:spacing w:val="-12"/>
          <w:sz w:val="24"/>
        </w:rPr>
        <w:t>单位名称：</w:t>
      </w:r>
      <w:r>
        <w:rPr>
          <w:rFonts w:hint="eastAsia" w:ascii="宋体" w:hAnsi="宋体" w:eastAsia="宋体" w:cs="宋体"/>
          <w:spacing w:val="4"/>
          <w:sz w:val="24"/>
        </w:rPr>
        <w:t xml:space="preserve">                      </w:t>
      </w:r>
      <w:r>
        <w:rPr>
          <w:rFonts w:hint="eastAsia" w:ascii="宋体" w:hAnsi="宋体" w:eastAsia="宋体" w:cs="宋体"/>
          <w:spacing w:val="-12"/>
          <w:sz w:val="24"/>
        </w:rPr>
        <w:t>单位名称：</w:t>
      </w:r>
    </w:p>
    <w:p w14:paraId="1F9F17D4">
      <w:pPr>
        <w:spacing w:before="254" w:line="360" w:lineRule="auto"/>
        <w:ind w:firstLine="504" w:firstLineChars="200"/>
        <w:jc w:val="left"/>
        <w:rPr>
          <w:rFonts w:hint="eastAsia" w:ascii="宋体" w:hAnsi="宋体" w:eastAsia="宋体" w:cs="宋体"/>
          <w:sz w:val="24"/>
        </w:rPr>
      </w:pPr>
      <w:r>
        <w:rPr>
          <w:rFonts w:hint="eastAsia" w:ascii="宋体" w:hAnsi="宋体" w:eastAsia="宋体" w:cs="宋体"/>
          <w:spacing w:val="6"/>
          <w:sz w:val="24"/>
        </w:rPr>
        <w:t>法定代表人或授权代表：</w:t>
      </w:r>
      <w:r>
        <w:rPr>
          <w:rFonts w:hint="eastAsia" w:ascii="宋体" w:hAnsi="宋体" w:eastAsia="宋体" w:cs="宋体"/>
          <w:spacing w:val="21"/>
          <w:sz w:val="24"/>
        </w:rPr>
        <w:t xml:space="preserve">       </w:t>
      </w:r>
      <w:r>
        <w:rPr>
          <w:rFonts w:hint="eastAsia" w:ascii="宋体" w:hAnsi="宋体" w:eastAsia="宋体" w:cs="宋体"/>
          <w:spacing w:val="6"/>
          <w:sz w:val="24"/>
        </w:rPr>
        <w:t>法定代表人或授权代表：</w:t>
      </w:r>
    </w:p>
    <w:p w14:paraId="538F8674">
      <w:pPr>
        <w:spacing w:before="230" w:line="360" w:lineRule="auto"/>
        <w:ind w:firstLine="444" w:firstLineChars="200"/>
        <w:jc w:val="left"/>
        <w:rPr>
          <w:rFonts w:hint="eastAsia" w:ascii="宋体" w:hAnsi="宋体" w:eastAsia="宋体" w:cs="宋体"/>
          <w:sz w:val="24"/>
        </w:rPr>
      </w:pPr>
      <w:r>
        <w:rPr>
          <w:rFonts w:hint="eastAsia" w:ascii="宋体" w:hAnsi="宋体" w:eastAsia="宋体" w:cs="宋体"/>
          <w:spacing w:val="-9"/>
          <w:sz w:val="24"/>
        </w:rPr>
        <w:t>联系方式：</w:t>
      </w:r>
      <w:r>
        <w:rPr>
          <w:rFonts w:hint="eastAsia" w:ascii="宋体" w:hAnsi="宋体" w:eastAsia="宋体" w:cs="宋体"/>
          <w:spacing w:val="4"/>
          <w:sz w:val="24"/>
        </w:rPr>
        <w:t xml:space="preserve">                      </w:t>
      </w:r>
      <w:r>
        <w:rPr>
          <w:rFonts w:hint="eastAsia" w:ascii="宋体" w:hAnsi="宋体" w:eastAsia="宋体" w:cs="宋体"/>
          <w:spacing w:val="-9"/>
          <w:sz w:val="24"/>
        </w:rPr>
        <w:t>联系方式：</w:t>
      </w:r>
    </w:p>
    <w:p w14:paraId="20890CBB">
      <w:pPr>
        <w:spacing w:line="360" w:lineRule="auto"/>
        <w:ind w:firstLine="432" w:firstLineChars="200"/>
        <w:rPr>
          <w:rFonts w:hint="eastAsia" w:ascii="宋体" w:hAnsi="宋体" w:eastAsia="宋体" w:cs="宋体"/>
          <w:sz w:val="24"/>
        </w:rPr>
      </w:pPr>
      <w:r>
        <w:rPr>
          <w:rFonts w:hint="eastAsia" w:ascii="宋体" w:hAnsi="宋体" w:eastAsia="宋体" w:cs="宋体"/>
          <w:spacing w:val="-12"/>
          <w:sz w:val="24"/>
        </w:rPr>
        <w:t>签约日期：</w:t>
      </w:r>
      <w:r>
        <w:rPr>
          <w:rFonts w:hint="eastAsia" w:ascii="宋体" w:hAnsi="宋体" w:eastAsia="宋体" w:cs="宋体"/>
          <w:spacing w:val="-106"/>
          <w:sz w:val="24"/>
        </w:rPr>
        <w:t xml:space="preserve"> </w:t>
      </w:r>
      <w:r>
        <w:rPr>
          <w:rFonts w:hint="eastAsia" w:ascii="宋体" w:hAnsi="宋体" w:eastAsia="宋体" w:cs="宋体"/>
          <w:spacing w:val="26"/>
          <w:sz w:val="24"/>
          <w:u w:val="single"/>
        </w:rPr>
        <w:t xml:space="preserve">   </w:t>
      </w:r>
      <w:r>
        <w:rPr>
          <w:rFonts w:hint="eastAsia" w:ascii="宋体" w:hAnsi="宋体" w:eastAsia="宋体" w:cs="宋体"/>
          <w:spacing w:val="-28"/>
          <w:sz w:val="24"/>
        </w:rPr>
        <w:t>年</w:t>
      </w:r>
      <w:r>
        <w:rPr>
          <w:rFonts w:hint="eastAsia" w:ascii="宋体" w:hAnsi="宋体" w:eastAsia="宋体" w:cs="宋体"/>
          <w:spacing w:val="-142"/>
          <w:sz w:val="24"/>
        </w:rPr>
        <w:t xml:space="preserve"> </w:t>
      </w:r>
      <w:r>
        <w:rPr>
          <w:rFonts w:hint="eastAsia" w:ascii="宋体" w:hAnsi="宋体" w:eastAsia="宋体" w:cs="宋体"/>
          <w:spacing w:val="26"/>
          <w:sz w:val="24"/>
          <w:u w:val="single"/>
        </w:rPr>
        <w:t xml:space="preserve">   </w:t>
      </w:r>
      <w:r>
        <w:rPr>
          <w:rFonts w:hint="eastAsia" w:ascii="宋体" w:hAnsi="宋体" w:eastAsia="宋体" w:cs="宋体"/>
          <w:spacing w:val="-148"/>
          <w:sz w:val="24"/>
        </w:rPr>
        <w:t xml:space="preserve"> </w:t>
      </w:r>
      <w:r>
        <w:rPr>
          <w:rFonts w:hint="eastAsia" w:ascii="宋体" w:hAnsi="宋体" w:eastAsia="宋体" w:cs="宋体"/>
          <w:spacing w:val="-28"/>
          <w:sz w:val="24"/>
        </w:rPr>
        <w:t>月</w:t>
      </w:r>
      <w:r>
        <w:rPr>
          <w:rFonts w:hint="eastAsia" w:ascii="宋体" w:hAnsi="宋体" w:eastAsia="宋体" w:cs="宋体"/>
          <w:spacing w:val="24"/>
          <w:sz w:val="24"/>
          <w:u w:val="single"/>
        </w:rPr>
        <w:t xml:space="preserve">   </w:t>
      </w:r>
      <w:r>
        <w:rPr>
          <w:rFonts w:hint="eastAsia" w:ascii="宋体" w:hAnsi="宋体" w:eastAsia="宋体" w:cs="宋体"/>
          <w:spacing w:val="-88"/>
          <w:sz w:val="24"/>
        </w:rPr>
        <w:t xml:space="preserve"> </w:t>
      </w:r>
      <w:r>
        <w:rPr>
          <w:rFonts w:hint="eastAsia" w:ascii="宋体" w:hAnsi="宋体" w:eastAsia="宋体" w:cs="宋体"/>
          <w:spacing w:val="-12"/>
          <w:sz w:val="24"/>
        </w:rPr>
        <w:t>日      签约日期：</w:t>
      </w:r>
      <w:r>
        <w:rPr>
          <w:rFonts w:hint="eastAsia" w:ascii="宋体" w:hAnsi="宋体" w:eastAsia="宋体" w:cs="宋体"/>
          <w:spacing w:val="-99"/>
          <w:sz w:val="24"/>
        </w:rPr>
        <w:t xml:space="preserve"> </w:t>
      </w:r>
      <w:r>
        <w:rPr>
          <w:rFonts w:hint="eastAsia" w:ascii="宋体" w:hAnsi="宋体" w:eastAsia="宋体" w:cs="宋体"/>
          <w:spacing w:val="23"/>
          <w:sz w:val="24"/>
          <w:u w:val="single"/>
        </w:rPr>
        <w:t xml:space="preserve">   </w:t>
      </w:r>
      <w:r>
        <w:rPr>
          <w:rFonts w:hint="eastAsia" w:ascii="宋体" w:hAnsi="宋体" w:eastAsia="宋体" w:cs="宋体"/>
          <w:spacing w:val="-28"/>
          <w:sz w:val="24"/>
        </w:rPr>
        <w:t>年</w:t>
      </w:r>
      <w:r>
        <w:rPr>
          <w:rFonts w:hint="eastAsia" w:ascii="宋体" w:hAnsi="宋体" w:eastAsia="宋体" w:cs="宋体"/>
          <w:spacing w:val="25"/>
          <w:sz w:val="24"/>
          <w:u w:val="single"/>
        </w:rPr>
        <w:t xml:space="preserve">   </w:t>
      </w:r>
      <w:r>
        <w:rPr>
          <w:rFonts w:hint="eastAsia" w:ascii="宋体" w:hAnsi="宋体" w:eastAsia="宋体" w:cs="宋体"/>
          <w:spacing w:val="-138"/>
          <w:sz w:val="24"/>
        </w:rPr>
        <w:t xml:space="preserve"> </w:t>
      </w:r>
      <w:r>
        <w:rPr>
          <w:rFonts w:hint="eastAsia" w:ascii="宋体" w:hAnsi="宋体" w:eastAsia="宋体" w:cs="宋体"/>
          <w:spacing w:val="-28"/>
          <w:sz w:val="24"/>
        </w:rPr>
        <w:t>月</w:t>
      </w:r>
      <w:r>
        <w:rPr>
          <w:rFonts w:hint="eastAsia" w:ascii="宋体" w:hAnsi="宋体" w:eastAsia="宋体" w:cs="宋体"/>
          <w:spacing w:val="24"/>
          <w:sz w:val="24"/>
          <w:u w:val="single"/>
        </w:rPr>
        <w:t xml:space="preserve">   </w:t>
      </w:r>
      <w:r>
        <w:rPr>
          <w:rFonts w:hint="eastAsia" w:ascii="宋体" w:hAnsi="宋体" w:eastAsia="宋体" w:cs="宋体"/>
          <w:spacing w:val="-88"/>
          <w:sz w:val="24"/>
        </w:rPr>
        <w:t xml:space="preserve"> </w:t>
      </w:r>
      <w:r>
        <w:rPr>
          <w:rFonts w:hint="eastAsia" w:ascii="宋体" w:hAnsi="宋体" w:eastAsia="宋体" w:cs="宋体"/>
          <w:spacing w:val="-28"/>
          <w:sz w:val="24"/>
        </w:rPr>
        <w:t>日</w:t>
      </w:r>
    </w:p>
    <w:p w14:paraId="64B114D5">
      <w:pPr>
        <w:rPr>
          <w:rFonts w:hint="eastAsia" w:ascii="宋体" w:hAnsi="宋体" w:eastAsia="宋体" w:cs="宋体"/>
          <w:b/>
          <w:sz w:val="28"/>
          <w:szCs w:val="28"/>
        </w:rPr>
      </w:pPr>
      <w:r>
        <w:rPr>
          <w:rFonts w:hint="eastAsia" w:ascii="宋体" w:hAnsi="宋体" w:eastAsia="宋体" w:cs="宋体"/>
          <w:b/>
          <w:sz w:val="28"/>
          <w:szCs w:val="28"/>
        </w:rPr>
        <w:br w:type="page"/>
      </w:r>
    </w:p>
    <w:p w14:paraId="32AB727B">
      <w:pPr>
        <w:pStyle w:val="3"/>
        <w:jc w:val="center"/>
        <w:rPr>
          <w:rFonts w:hint="eastAsia" w:ascii="宋体" w:hAnsi="宋体" w:eastAsia="宋体" w:cs="宋体"/>
        </w:rPr>
      </w:pPr>
      <w:bookmarkStart w:id="72" w:name="_Toc16102"/>
      <w:r>
        <w:rPr>
          <w:rFonts w:hint="eastAsia" w:ascii="宋体" w:hAnsi="宋体" w:eastAsia="宋体" w:cs="宋体"/>
        </w:rPr>
        <w:t>第七部分　响应文件格式</w:t>
      </w:r>
      <w:bookmarkEnd w:id="72"/>
    </w:p>
    <w:p w14:paraId="45A4E91C">
      <w:pPr>
        <w:spacing w:line="440" w:lineRule="exact"/>
        <w:rPr>
          <w:rFonts w:hint="eastAsia" w:ascii="宋体" w:hAnsi="宋体" w:eastAsia="宋体" w:cs="宋体"/>
          <w:b/>
          <w:sz w:val="28"/>
          <w:szCs w:val="28"/>
        </w:rPr>
      </w:pPr>
      <w:r>
        <w:rPr>
          <w:rFonts w:hint="eastAsia" w:ascii="宋体" w:hAnsi="宋体" w:eastAsia="宋体" w:cs="宋体"/>
          <w:b/>
          <w:sz w:val="28"/>
          <w:szCs w:val="28"/>
        </w:rPr>
        <w:t>附件1  响应文件封面（封皮）格式</w:t>
      </w:r>
    </w:p>
    <w:p w14:paraId="4F207A1E">
      <w:pPr>
        <w:spacing w:line="360" w:lineRule="auto"/>
        <w:jc w:val="right"/>
        <w:rPr>
          <w:rFonts w:hint="eastAsia" w:ascii="宋体" w:hAnsi="宋体" w:eastAsia="宋体" w:cs="宋体"/>
          <w:b/>
          <w:sz w:val="36"/>
          <w:szCs w:val="36"/>
        </w:rPr>
      </w:pPr>
    </w:p>
    <w:p w14:paraId="675A3EF5">
      <w:pPr>
        <w:spacing w:line="800" w:lineRule="exact"/>
        <w:jc w:val="center"/>
        <w:rPr>
          <w:rFonts w:hint="eastAsia" w:ascii="宋体" w:hAnsi="宋体" w:eastAsia="宋体" w:cs="宋体"/>
          <w:bCs/>
          <w:sz w:val="28"/>
          <w:szCs w:val="28"/>
        </w:rPr>
      </w:pPr>
    </w:p>
    <w:p w14:paraId="135BA8B1">
      <w:pPr>
        <w:spacing w:line="800" w:lineRule="exact"/>
        <w:jc w:val="center"/>
        <w:rPr>
          <w:rFonts w:hint="eastAsia" w:ascii="宋体" w:hAnsi="宋体" w:eastAsia="宋体" w:cs="宋体"/>
          <w:b/>
          <w:spacing w:val="78"/>
          <w:sz w:val="28"/>
          <w:szCs w:val="28"/>
        </w:rPr>
      </w:pPr>
    </w:p>
    <w:p w14:paraId="0C30C9BF">
      <w:pPr>
        <w:spacing w:line="1000" w:lineRule="exact"/>
        <w:jc w:val="center"/>
        <w:rPr>
          <w:rFonts w:hint="eastAsia" w:ascii="宋体" w:hAnsi="宋体" w:eastAsia="宋体" w:cs="宋体"/>
          <w:b/>
          <w:spacing w:val="78"/>
          <w:sz w:val="96"/>
          <w:szCs w:val="96"/>
        </w:rPr>
      </w:pPr>
      <w:r>
        <w:rPr>
          <w:rFonts w:hint="eastAsia" w:ascii="宋体" w:hAnsi="宋体" w:eastAsia="宋体" w:cs="宋体"/>
          <w:b/>
          <w:spacing w:val="78"/>
          <w:sz w:val="96"/>
          <w:szCs w:val="96"/>
        </w:rPr>
        <w:t>响 应 文 件</w:t>
      </w:r>
    </w:p>
    <w:p w14:paraId="46D05C9C">
      <w:pPr>
        <w:spacing w:line="500" w:lineRule="exact"/>
        <w:jc w:val="center"/>
        <w:rPr>
          <w:rFonts w:hint="eastAsia" w:ascii="宋体" w:hAnsi="宋体" w:eastAsia="宋体" w:cs="宋体"/>
          <w:b/>
          <w:bCs/>
          <w:sz w:val="28"/>
          <w:szCs w:val="28"/>
        </w:rPr>
      </w:pPr>
    </w:p>
    <w:p w14:paraId="6F968551">
      <w:pPr>
        <w:spacing w:line="500" w:lineRule="exact"/>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包号：</w:t>
      </w:r>
      <w:r>
        <w:rPr>
          <w:rFonts w:hint="eastAsia" w:ascii="宋体" w:hAnsi="宋体" w:cs="宋体"/>
          <w:b/>
          <w:bCs/>
          <w:sz w:val="28"/>
          <w:szCs w:val="28"/>
          <w:lang w:eastAsia="zh-CN"/>
        </w:rPr>
        <w:t>）</w:t>
      </w:r>
    </w:p>
    <w:p w14:paraId="6ED034D5">
      <w:pPr>
        <w:spacing w:line="500" w:lineRule="exact"/>
        <w:jc w:val="center"/>
        <w:rPr>
          <w:rFonts w:hint="eastAsia" w:ascii="宋体" w:hAnsi="宋体" w:eastAsia="宋体" w:cs="宋体"/>
          <w:b/>
          <w:bCs/>
          <w:sz w:val="28"/>
          <w:szCs w:val="28"/>
        </w:rPr>
      </w:pPr>
    </w:p>
    <w:p w14:paraId="0C0942D5">
      <w:pPr>
        <w:spacing w:line="500" w:lineRule="exact"/>
        <w:jc w:val="center"/>
        <w:rPr>
          <w:rFonts w:hint="eastAsia" w:ascii="宋体" w:hAnsi="宋体" w:eastAsia="宋体" w:cs="宋体"/>
          <w:b/>
          <w:bCs/>
          <w:sz w:val="28"/>
          <w:szCs w:val="28"/>
        </w:rPr>
      </w:pPr>
    </w:p>
    <w:p w14:paraId="0BBA72D1">
      <w:pPr>
        <w:spacing w:line="420" w:lineRule="exact"/>
        <w:ind w:left="1260" w:leftChars="600" w:firstLine="278" w:firstLineChars="99"/>
        <w:jc w:val="left"/>
        <w:rPr>
          <w:rFonts w:hint="eastAsia" w:ascii="宋体" w:hAnsi="宋体" w:eastAsia="宋体" w:cs="宋体"/>
          <w:b/>
          <w:bCs/>
          <w:sz w:val="28"/>
          <w:szCs w:val="28"/>
          <w:u w:val="single"/>
        </w:rPr>
      </w:pPr>
      <w:r>
        <w:rPr>
          <w:rFonts w:hint="eastAsia" w:ascii="宋体" w:hAnsi="宋体" w:eastAsia="宋体" w:cs="宋体"/>
          <w:b/>
          <w:bCs/>
          <w:sz w:val="28"/>
          <w:szCs w:val="28"/>
        </w:rPr>
        <w:t>项目编号：</w:t>
      </w:r>
      <w:r>
        <w:rPr>
          <w:rFonts w:hint="eastAsia" w:ascii="宋体" w:hAnsi="宋体" w:eastAsia="宋体" w:cs="宋体"/>
          <w:b/>
          <w:bCs/>
          <w:sz w:val="28"/>
          <w:szCs w:val="28"/>
          <w:u w:val="single"/>
        </w:rPr>
        <w:t xml:space="preserve">                            </w:t>
      </w:r>
    </w:p>
    <w:p w14:paraId="04F60B15">
      <w:pPr>
        <w:spacing w:line="420" w:lineRule="exact"/>
        <w:ind w:left="1260" w:leftChars="600" w:firstLine="278" w:firstLineChars="99"/>
        <w:jc w:val="left"/>
        <w:rPr>
          <w:rFonts w:hint="eastAsia" w:ascii="宋体" w:hAnsi="宋体" w:eastAsia="宋体" w:cs="宋体"/>
          <w:b/>
          <w:bCs/>
          <w:sz w:val="28"/>
          <w:szCs w:val="28"/>
          <w:u w:val="single"/>
        </w:rPr>
      </w:pPr>
    </w:p>
    <w:p w14:paraId="0BF31F42">
      <w:pPr>
        <w:spacing w:line="420" w:lineRule="exact"/>
        <w:ind w:left="1260" w:leftChars="600" w:firstLine="278" w:firstLineChars="99"/>
        <w:jc w:val="left"/>
        <w:rPr>
          <w:rFonts w:hint="eastAsia" w:ascii="宋体" w:hAnsi="宋体" w:eastAsia="宋体" w:cs="宋体"/>
          <w:b/>
          <w:bCs/>
          <w:sz w:val="28"/>
          <w:szCs w:val="28"/>
          <w:u w:val="single"/>
        </w:rPr>
      </w:pPr>
      <w:r>
        <w:rPr>
          <w:rFonts w:hint="eastAsia" w:ascii="宋体" w:hAnsi="宋体" w:eastAsia="宋体" w:cs="宋体"/>
          <w:b/>
          <w:bCs/>
          <w:sz w:val="28"/>
          <w:szCs w:val="28"/>
        </w:rPr>
        <w:t>项目名称：</w:t>
      </w:r>
      <w:r>
        <w:rPr>
          <w:rFonts w:hint="eastAsia" w:ascii="宋体" w:hAnsi="宋体" w:eastAsia="宋体" w:cs="宋体"/>
          <w:b/>
          <w:bCs/>
          <w:sz w:val="28"/>
          <w:szCs w:val="28"/>
          <w:u w:val="single"/>
        </w:rPr>
        <w:t xml:space="preserve">                            </w:t>
      </w:r>
    </w:p>
    <w:p w14:paraId="32188FA2">
      <w:pPr>
        <w:pStyle w:val="8"/>
        <w:rPr>
          <w:rFonts w:hint="eastAsia" w:ascii="宋体" w:hAnsi="宋体" w:eastAsia="宋体" w:cs="宋体"/>
          <w:b/>
          <w:bCs/>
          <w:sz w:val="28"/>
          <w:szCs w:val="28"/>
          <w:u w:val="single"/>
        </w:rPr>
      </w:pPr>
    </w:p>
    <w:p w14:paraId="005AEA0F">
      <w:pPr>
        <w:pStyle w:val="21"/>
        <w:ind w:firstLine="560"/>
        <w:rPr>
          <w:rFonts w:hint="eastAsia" w:ascii="宋体" w:hAnsi="宋体" w:eastAsia="宋体" w:cs="宋体"/>
          <w:sz w:val="28"/>
          <w:szCs w:val="28"/>
        </w:rPr>
      </w:pPr>
    </w:p>
    <w:p w14:paraId="65BF440D">
      <w:pPr>
        <w:pStyle w:val="8"/>
        <w:rPr>
          <w:rFonts w:hint="eastAsia" w:ascii="宋体" w:hAnsi="宋体" w:eastAsia="宋体" w:cs="宋体"/>
          <w:sz w:val="28"/>
          <w:szCs w:val="28"/>
        </w:rPr>
      </w:pPr>
    </w:p>
    <w:p w14:paraId="188DE81A">
      <w:pPr>
        <w:rPr>
          <w:rFonts w:hint="eastAsia" w:ascii="宋体" w:hAnsi="宋体" w:eastAsia="宋体" w:cs="宋体"/>
          <w:sz w:val="28"/>
          <w:szCs w:val="28"/>
        </w:rPr>
      </w:pPr>
    </w:p>
    <w:p w14:paraId="0E190D92">
      <w:pPr>
        <w:spacing w:line="420" w:lineRule="exact"/>
        <w:rPr>
          <w:rFonts w:hint="eastAsia" w:ascii="宋体" w:hAnsi="宋体" w:eastAsia="宋体" w:cs="宋体"/>
          <w:b/>
          <w:bCs/>
          <w:sz w:val="28"/>
          <w:szCs w:val="28"/>
        </w:rPr>
      </w:pPr>
    </w:p>
    <w:p w14:paraId="2E8AC58A">
      <w:pPr>
        <w:spacing w:line="420" w:lineRule="exact"/>
        <w:jc w:val="center"/>
        <w:rPr>
          <w:rFonts w:hint="eastAsia" w:ascii="宋体" w:hAnsi="宋体" w:eastAsia="宋体" w:cs="宋体"/>
          <w:b/>
          <w:bCs/>
          <w:sz w:val="28"/>
          <w:szCs w:val="28"/>
        </w:rPr>
      </w:pPr>
    </w:p>
    <w:p w14:paraId="02CB16E4">
      <w:pPr>
        <w:pStyle w:val="18"/>
        <w:rPr>
          <w:rFonts w:hint="eastAsia" w:ascii="宋体" w:hAnsi="宋体" w:eastAsia="宋体" w:cs="宋体"/>
        </w:rPr>
      </w:pPr>
    </w:p>
    <w:p w14:paraId="544594C6">
      <w:pPr>
        <w:spacing w:line="360" w:lineRule="auto"/>
        <w:ind w:firstLine="843" w:firstLineChars="300"/>
        <w:jc w:val="left"/>
        <w:rPr>
          <w:rFonts w:hint="eastAsia" w:ascii="宋体" w:hAnsi="宋体" w:eastAsia="宋体" w:cs="宋体"/>
          <w:b/>
          <w:bCs/>
          <w:sz w:val="28"/>
          <w:szCs w:val="28"/>
        </w:rPr>
      </w:pPr>
      <w:r>
        <w:rPr>
          <w:rFonts w:hint="eastAsia" w:ascii="宋体" w:hAnsi="宋体" w:eastAsia="宋体" w:cs="宋体"/>
          <w:b/>
          <w:bCs/>
          <w:sz w:val="28"/>
          <w:szCs w:val="28"/>
        </w:rPr>
        <w:t>供应商全称（公章或电子签章）：</w:t>
      </w:r>
      <w:r>
        <w:rPr>
          <w:rFonts w:hint="eastAsia" w:ascii="宋体" w:hAnsi="宋体" w:eastAsia="宋体" w:cs="宋体"/>
          <w:b/>
          <w:bCs/>
          <w:sz w:val="28"/>
          <w:szCs w:val="28"/>
          <w:u w:val="single"/>
        </w:rPr>
        <w:t xml:space="preserve">               </w:t>
      </w:r>
    </w:p>
    <w:p w14:paraId="4A21D806">
      <w:pPr>
        <w:spacing w:line="360" w:lineRule="auto"/>
        <w:ind w:firstLine="843" w:firstLineChars="300"/>
        <w:jc w:val="left"/>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（签字或电子签章）</w:t>
      </w:r>
    </w:p>
    <w:p w14:paraId="193EE842">
      <w:pPr>
        <w:spacing w:line="360" w:lineRule="auto"/>
        <w:ind w:firstLine="843" w:firstLineChars="300"/>
        <w:rPr>
          <w:rFonts w:hint="eastAsia" w:ascii="宋体" w:hAnsi="宋体" w:eastAsia="宋体" w:cs="宋体"/>
          <w:b/>
          <w:bCs/>
          <w:sz w:val="28"/>
          <w:szCs w:val="28"/>
        </w:rPr>
      </w:pPr>
      <w:r>
        <w:rPr>
          <w:rFonts w:hint="eastAsia" w:ascii="宋体" w:hAnsi="宋体" w:eastAsia="宋体" w:cs="宋体"/>
          <w:b/>
          <w:bCs/>
          <w:sz w:val="28"/>
          <w:szCs w:val="28"/>
        </w:rPr>
        <w:t>日       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006E7284">
      <w:pPr>
        <w:pStyle w:val="18"/>
        <w:rPr>
          <w:rFonts w:hint="eastAsia" w:ascii="宋体" w:hAnsi="宋体" w:eastAsia="宋体" w:cs="宋体"/>
        </w:rPr>
        <w:sectPr>
          <w:headerReference r:id="rId4" w:type="default"/>
          <w:footerReference r:id="rId5" w:type="default"/>
          <w:pgSz w:w="11905" w:h="16838"/>
          <w:pgMar w:top="1440" w:right="1800" w:bottom="1440" w:left="1800" w:header="850" w:footer="992" w:gutter="0"/>
          <w:pgNumType w:start="1"/>
          <w:cols w:space="0" w:num="1"/>
          <w:docGrid w:linePitch="312" w:charSpace="0"/>
        </w:sectPr>
      </w:pPr>
    </w:p>
    <w:p w14:paraId="319DE417">
      <w:pPr>
        <w:spacing w:line="440" w:lineRule="exact"/>
        <w:rPr>
          <w:rFonts w:hint="eastAsia" w:ascii="宋体" w:hAnsi="宋体" w:eastAsia="宋体" w:cs="宋体"/>
          <w:b/>
          <w:sz w:val="28"/>
          <w:szCs w:val="28"/>
        </w:rPr>
      </w:pPr>
      <w:r>
        <w:rPr>
          <w:rFonts w:hint="eastAsia" w:ascii="宋体" w:hAnsi="宋体" w:eastAsia="宋体" w:cs="宋体"/>
          <w:b/>
          <w:sz w:val="28"/>
          <w:szCs w:val="28"/>
        </w:rPr>
        <w:t>附件2</w:t>
      </w:r>
    </w:p>
    <w:p w14:paraId="1120518B">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响应文件目录</w:t>
      </w:r>
    </w:p>
    <w:p w14:paraId="551642F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资格证明文件</w:t>
      </w:r>
    </w:p>
    <w:p w14:paraId="52989C5B">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hAnsi="宋体" w:cs="宋体"/>
          <w:szCs w:val="21"/>
          <w:lang w:val="en-US" w:eastAsia="zh-CN"/>
        </w:rPr>
        <w:t>.</w:t>
      </w:r>
      <w:r>
        <w:rPr>
          <w:rFonts w:hint="eastAsia" w:ascii="宋体" w:hAnsi="宋体" w:eastAsia="宋体" w:cs="宋体"/>
          <w:szCs w:val="21"/>
        </w:rPr>
        <w:t>营业执照（扫描件加盖公章）</w:t>
      </w:r>
    </w:p>
    <w:p w14:paraId="48B56EF9">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hAnsi="宋体" w:cs="宋体"/>
          <w:szCs w:val="21"/>
          <w:lang w:val="en-US" w:eastAsia="zh-CN"/>
        </w:rPr>
        <w:t>.</w:t>
      </w:r>
      <w:r>
        <w:rPr>
          <w:rFonts w:hint="eastAsia" w:ascii="宋体" w:hAnsi="宋体" w:eastAsia="宋体" w:cs="宋体"/>
          <w:szCs w:val="21"/>
        </w:rPr>
        <w:t>基本账户开户许可证或基本存款账户信息（扫描件加盖公章）</w:t>
      </w:r>
    </w:p>
    <w:p w14:paraId="4A0B6986">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w:t>
      </w:r>
      <w:r>
        <w:rPr>
          <w:rFonts w:hint="eastAsia" w:hAnsi="宋体" w:cs="宋体"/>
          <w:szCs w:val="21"/>
          <w:lang w:val="en-US" w:eastAsia="zh-CN"/>
        </w:rPr>
        <w:t>.</w:t>
      </w:r>
      <w:r>
        <w:rPr>
          <w:rFonts w:hint="eastAsia" w:ascii="宋体" w:hAnsi="宋体" w:eastAsia="宋体" w:cs="宋体"/>
          <w:szCs w:val="21"/>
        </w:rPr>
        <w:t>中小企业声明函(见‘响应文件格式’)</w:t>
      </w:r>
    </w:p>
    <w:p w14:paraId="33DADB58">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hAnsi="宋体" w:cs="宋体"/>
          <w:szCs w:val="21"/>
          <w:lang w:val="en-US" w:eastAsia="zh-CN"/>
        </w:rPr>
        <w:t>.</w:t>
      </w:r>
      <w:r>
        <w:rPr>
          <w:rFonts w:hint="eastAsia" w:ascii="宋体" w:hAnsi="宋体" w:eastAsia="宋体" w:cs="宋体"/>
          <w:szCs w:val="21"/>
        </w:rPr>
        <w:t>长治市政府采购供应商信用承诺函(见“响应文件格式”)</w:t>
      </w:r>
    </w:p>
    <w:p w14:paraId="1D3FAEAA">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w:t>
      </w:r>
      <w:r>
        <w:rPr>
          <w:rFonts w:hint="eastAsia" w:hAnsi="宋体" w:cs="宋体"/>
          <w:szCs w:val="21"/>
          <w:lang w:val="en-US" w:eastAsia="zh-CN"/>
        </w:rPr>
        <w:t>.</w:t>
      </w:r>
      <w:r>
        <w:rPr>
          <w:rFonts w:hint="eastAsia" w:ascii="宋体" w:hAnsi="宋体" w:eastAsia="宋体" w:cs="宋体"/>
          <w:szCs w:val="21"/>
        </w:rPr>
        <w:t>保证金转账凭证（扫描件加盖公章）</w:t>
      </w:r>
    </w:p>
    <w:p w14:paraId="34BC427A">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商务、技术文件</w:t>
      </w:r>
    </w:p>
    <w:p w14:paraId="633A0B6B">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hAnsi="宋体" w:cs="宋体"/>
          <w:szCs w:val="21"/>
          <w:lang w:val="en-US" w:eastAsia="zh-CN"/>
        </w:rPr>
        <w:t>.</w:t>
      </w:r>
      <w:r>
        <w:rPr>
          <w:rFonts w:hint="eastAsia" w:ascii="宋体" w:hAnsi="宋体" w:eastAsia="宋体" w:cs="宋体"/>
          <w:szCs w:val="21"/>
        </w:rPr>
        <w:t>法定代表人（负责人）身份证明文件</w:t>
      </w:r>
    </w:p>
    <w:p w14:paraId="3CB0B3BA">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hAnsi="宋体" w:cs="宋体"/>
          <w:szCs w:val="21"/>
          <w:lang w:val="en-US" w:eastAsia="zh-CN"/>
        </w:rPr>
        <w:t>.</w:t>
      </w:r>
      <w:r>
        <w:rPr>
          <w:rFonts w:hint="eastAsia" w:ascii="宋体" w:hAnsi="宋体" w:eastAsia="宋体" w:cs="宋体"/>
          <w:szCs w:val="21"/>
        </w:rPr>
        <w:t>法定代表人（负责人）授权委托文件</w:t>
      </w:r>
    </w:p>
    <w:p w14:paraId="72B04007">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w:t>
      </w:r>
      <w:r>
        <w:rPr>
          <w:rFonts w:hint="eastAsia" w:hAnsi="宋体" w:cs="宋体"/>
          <w:szCs w:val="21"/>
          <w:lang w:val="en-US" w:eastAsia="zh-CN"/>
        </w:rPr>
        <w:t>.</w:t>
      </w:r>
      <w:r>
        <w:rPr>
          <w:rFonts w:hint="eastAsia" w:ascii="宋体" w:hAnsi="宋体" w:eastAsia="宋体" w:cs="宋体"/>
          <w:szCs w:val="21"/>
        </w:rPr>
        <w:t>磋商函</w:t>
      </w:r>
    </w:p>
    <w:p w14:paraId="5FCFAA61">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hAnsi="宋体" w:cs="宋体"/>
          <w:szCs w:val="21"/>
          <w:lang w:val="en-US" w:eastAsia="zh-CN"/>
        </w:rPr>
        <w:t>.</w:t>
      </w:r>
      <w:r>
        <w:rPr>
          <w:rFonts w:hint="eastAsia" w:ascii="宋体" w:hAnsi="宋体" w:eastAsia="宋体" w:cs="宋体"/>
          <w:szCs w:val="21"/>
        </w:rPr>
        <w:t>报价一览表</w:t>
      </w:r>
    </w:p>
    <w:p w14:paraId="5A58304E">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w:t>
      </w:r>
      <w:r>
        <w:rPr>
          <w:rFonts w:hint="eastAsia" w:hAnsi="宋体" w:cs="宋体"/>
          <w:szCs w:val="21"/>
          <w:lang w:val="en-US" w:eastAsia="zh-CN"/>
        </w:rPr>
        <w:t>.</w:t>
      </w:r>
      <w:r>
        <w:rPr>
          <w:rFonts w:hint="eastAsia" w:ascii="宋体" w:hAnsi="宋体" w:eastAsia="宋体" w:cs="宋体"/>
          <w:szCs w:val="21"/>
        </w:rPr>
        <w:t>商务条款响应表</w:t>
      </w:r>
    </w:p>
    <w:p w14:paraId="55DC2980">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w:t>
      </w:r>
      <w:r>
        <w:rPr>
          <w:rFonts w:hint="eastAsia" w:hAnsi="宋体" w:cs="宋体"/>
          <w:szCs w:val="21"/>
          <w:lang w:val="en-US" w:eastAsia="zh-CN"/>
        </w:rPr>
        <w:t>.</w:t>
      </w:r>
      <w:r>
        <w:rPr>
          <w:rFonts w:hint="eastAsia" w:ascii="宋体" w:hAnsi="宋体" w:eastAsia="宋体" w:cs="宋体"/>
          <w:szCs w:val="21"/>
        </w:rPr>
        <w:t>技术规范响应及偏离表</w:t>
      </w:r>
    </w:p>
    <w:p w14:paraId="19274A8F">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w:t>
      </w:r>
      <w:r>
        <w:rPr>
          <w:rFonts w:hint="eastAsia" w:hAnsi="宋体" w:cs="宋体"/>
          <w:szCs w:val="21"/>
          <w:lang w:val="en-US" w:eastAsia="zh-CN"/>
        </w:rPr>
        <w:t>.</w:t>
      </w:r>
      <w:r>
        <w:rPr>
          <w:rFonts w:hint="eastAsia" w:ascii="宋体" w:hAnsi="宋体" w:eastAsia="宋体" w:cs="宋体"/>
          <w:szCs w:val="21"/>
        </w:rPr>
        <w:t>政策性要求</w:t>
      </w:r>
    </w:p>
    <w:p w14:paraId="0444918E">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w:t>
      </w:r>
      <w:r>
        <w:rPr>
          <w:rFonts w:hint="eastAsia" w:hAnsi="宋体" w:cs="宋体"/>
          <w:szCs w:val="21"/>
          <w:lang w:val="en-US" w:eastAsia="zh-CN"/>
        </w:rPr>
        <w:t>.</w:t>
      </w:r>
      <w:r>
        <w:rPr>
          <w:rFonts w:hint="eastAsia" w:ascii="宋体" w:hAnsi="宋体" w:eastAsia="宋体" w:cs="宋体"/>
          <w:szCs w:val="21"/>
        </w:rPr>
        <w:t>响应文件递交截止日近三年内完成的类似项目合同案例列表及相关证明资料</w:t>
      </w:r>
    </w:p>
    <w:p w14:paraId="16DDD968">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w:t>
      </w:r>
      <w:r>
        <w:rPr>
          <w:rFonts w:hint="eastAsia" w:hAnsi="宋体" w:cs="宋体"/>
          <w:szCs w:val="21"/>
          <w:lang w:val="en-US" w:eastAsia="zh-CN"/>
        </w:rPr>
        <w:t>.</w:t>
      </w:r>
      <w:r>
        <w:rPr>
          <w:rFonts w:hint="eastAsia" w:ascii="宋体" w:hAnsi="宋体" w:eastAsia="宋体" w:cs="宋体"/>
          <w:szCs w:val="21"/>
        </w:rPr>
        <w:t>技术方案</w:t>
      </w:r>
    </w:p>
    <w:p w14:paraId="7DCEF4CC">
      <w:pPr>
        <w:pStyle w:val="13"/>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w:t>
      </w:r>
      <w:r>
        <w:rPr>
          <w:rFonts w:hint="eastAsia" w:hAnsi="宋体" w:cs="宋体"/>
          <w:szCs w:val="21"/>
          <w:lang w:val="en-US" w:eastAsia="zh-CN"/>
        </w:rPr>
        <w:t>.</w:t>
      </w:r>
      <w:r>
        <w:rPr>
          <w:rFonts w:hint="eastAsia" w:ascii="宋体" w:hAnsi="宋体" w:eastAsia="宋体" w:cs="宋体"/>
          <w:szCs w:val="21"/>
        </w:rPr>
        <w:t>供应商认为需要提供的其他商务、技术材料</w:t>
      </w:r>
    </w:p>
    <w:p w14:paraId="3B054B4C">
      <w:pPr>
        <w:pStyle w:val="13"/>
        <w:snapToGrid w:val="0"/>
        <w:spacing w:line="360" w:lineRule="auto"/>
        <w:ind w:firstLine="420" w:firstLineChars="200"/>
        <w:jc w:val="left"/>
        <w:rPr>
          <w:rFonts w:hint="eastAsia" w:ascii="宋体" w:hAnsi="宋体" w:eastAsia="宋体" w:cs="宋体"/>
          <w:szCs w:val="21"/>
        </w:rPr>
      </w:pPr>
    </w:p>
    <w:p w14:paraId="6FA44232">
      <w:pPr>
        <w:spacing w:line="360" w:lineRule="auto"/>
        <w:rPr>
          <w:rFonts w:hint="eastAsia" w:ascii="宋体" w:hAnsi="宋体" w:eastAsia="宋体" w:cs="宋体"/>
          <w:b/>
          <w:sz w:val="28"/>
          <w:szCs w:val="28"/>
        </w:rPr>
        <w:sectPr>
          <w:footerReference r:id="rId6" w:type="default"/>
          <w:pgSz w:w="11905" w:h="16838"/>
          <w:pgMar w:top="1440" w:right="1800" w:bottom="1440" w:left="1800" w:header="850" w:footer="992" w:gutter="0"/>
          <w:cols w:space="0" w:num="1"/>
          <w:docGrid w:type="lines" w:linePitch="318" w:charSpace="0"/>
        </w:sectPr>
      </w:pPr>
    </w:p>
    <w:p w14:paraId="110E34D0">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资格证明文件</w:t>
      </w:r>
    </w:p>
    <w:p w14:paraId="54358A35">
      <w:pPr>
        <w:snapToGrid w:val="0"/>
        <w:spacing w:line="360" w:lineRule="auto"/>
        <w:ind w:firstLine="480" w:firstLineChars="200"/>
        <w:rPr>
          <w:rFonts w:hint="eastAsia" w:ascii="宋体" w:hAnsi="宋体" w:eastAsia="宋体" w:cs="宋体"/>
          <w:sz w:val="24"/>
        </w:rPr>
      </w:pPr>
    </w:p>
    <w:p w14:paraId="032CE8D1">
      <w:pPr>
        <w:pStyle w:val="13"/>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1．营业执照（扫描件加盖公章）</w:t>
      </w:r>
    </w:p>
    <w:p w14:paraId="078E773E">
      <w:pPr>
        <w:rPr>
          <w:rFonts w:hint="eastAsia" w:ascii="宋体" w:hAnsi="宋体" w:eastAsia="宋体" w:cs="宋体"/>
          <w:b/>
          <w:bCs/>
          <w:sz w:val="24"/>
        </w:rPr>
      </w:pPr>
      <w:r>
        <w:rPr>
          <w:rFonts w:hint="eastAsia" w:ascii="宋体" w:hAnsi="宋体" w:eastAsia="宋体" w:cs="宋体"/>
          <w:b/>
          <w:bCs/>
          <w:sz w:val="24"/>
        </w:rPr>
        <w:br w:type="page"/>
      </w:r>
    </w:p>
    <w:p w14:paraId="0E1EB0B6">
      <w:pPr>
        <w:pStyle w:val="13"/>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2．基本账户开户许可证或基本存款账户信息（扫描件加盖公章）</w:t>
      </w:r>
    </w:p>
    <w:p w14:paraId="1A4B2D00">
      <w:pPr>
        <w:rPr>
          <w:rFonts w:hint="eastAsia" w:ascii="宋体" w:hAnsi="宋体" w:eastAsia="宋体" w:cs="宋体"/>
          <w:b/>
          <w:bCs/>
          <w:sz w:val="24"/>
        </w:rPr>
      </w:pPr>
      <w:r>
        <w:rPr>
          <w:rFonts w:hint="eastAsia" w:ascii="宋体" w:hAnsi="宋体" w:eastAsia="宋体" w:cs="宋体"/>
          <w:b/>
          <w:bCs/>
          <w:sz w:val="24"/>
        </w:rPr>
        <w:br w:type="page"/>
      </w:r>
    </w:p>
    <w:p w14:paraId="4372DEE0">
      <w:pPr>
        <w:pStyle w:val="13"/>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3．中小企业声明函(见‘响应文件格式’)</w:t>
      </w:r>
    </w:p>
    <w:p w14:paraId="08C36543">
      <w:pPr>
        <w:tabs>
          <w:tab w:val="left" w:pos="1680"/>
        </w:tabs>
        <w:snapToGrid w:val="0"/>
        <w:spacing w:line="440" w:lineRule="exact"/>
        <w:jc w:val="center"/>
        <w:rPr>
          <w:rFonts w:hint="eastAsia" w:ascii="宋体" w:hAnsi="宋体" w:eastAsia="宋体" w:cs="宋体"/>
          <w:b/>
          <w:sz w:val="24"/>
        </w:rPr>
      </w:pPr>
      <w:r>
        <w:rPr>
          <w:rFonts w:hint="eastAsia" w:ascii="宋体" w:hAnsi="宋体" w:eastAsia="宋体" w:cs="宋体"/>
          <w:b/>
          <w:sz w:val="24"/>
        </w:rPr>
        <w:t xml:space="preserve">中小企业声明函（工程、服务） </w:t>
      </w:r>
    </w:p>
    <w:p w14:paraId="4F5AA77B">
      <w:pPr>
        <w:snapToGrid w:val="0"/>
        <w:spacing w:line="540" w:lineRule="exact"/>
        <w:ind w:left="-1" w:firstLine="480" w:firstLineChars="200"/>
        <w:jc w:val="left"/>
        <w:rPr>
          <w:rFonts w:hint="eastAsia" w:ascii="宋体" w:hAnsi="宋体" w:eastAsia="宋体" w:cs="宋体"/>
          <w:sz w:val="24"/>
        </w:rPr>
      </w:pPr>
      <w:r>
        <w:rPr>
          <w:rFonts w:hint="eastAsia" w:ascii="宋体" w:hAnsi="宋体" w:eastAsia="宋体" w:cs="宋体"/>
          <w:sz w:val="24"/>
        </w:rPr>
        <w:t>本公司（联合体）郑重声明，根据</w:t>
      </w:r>
      <w:r>
        <w:rPr>
          <w:rFonts w:hint="eastAsia" w:ascii="宋体" w:hAnsi="宋体" w:eastAsia="宋体" w:cs="宋体"/>
          <w:color w:val="000000"/>
          <w:sz w:val="24"/>
        </w:rPr>
        <w:t>《政府采购促进中小企业发展管理办法》（财库﹝2020﹞46 号）的规定，本公司</w:t>
      </w:r>
      <w:r>
        <w:rPr>
          <w:rFonts w:hint="eastAsia" w:ascii="宋体" w:hAnsi="宋体" w:eastAsia="宋体" w:cs="宋体"/>
          <w:sz w:val="24"/>
        </w:rPr>
        <w:t xml:space="preserve"> （联合体）参加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cs="宋体"/>
          <w:sz w:val="24"/>
          <w:u w:val="single"/>
          <w:lang w:eastAsia="zh-CN"/>
        </w:rPr>
        <w:t>、（</w:t>
      </w:r>
      <w:r>
        <w:rPr>
          <w:rFonts w:hint="eastAsia" w:ascii="宋体" w:hAnsi="宋体" w:cs="宋体"/>
          <w:sz w:val="24"/>
          <w:u w:val="single"/>
          <w:lang w:val="en-US" w:eastAsia="zh-CN"/>
        </w:rPr>
        <w:t>包号</w:t>
      </w:r>
      <w:r>
        <w:rPr>
          <w:rFonts w:hint="eastAsia" w:ascii="宋体" w:hAnsi="宋体" w:cs="宋体"/>
          <w:sz w:val="24"/>
          <w:u w:val="single"/>
          <w:lang w:eastAsia="zh-CN"/>
        </w:rPr>
        <w:t>）</w:t>
      </w:r>
      <w:r>
        <w:rPr>
          <w:rFonts w:hint="eastAsia" w:ascii="宋体" w:hAnsi="宋体" w:eastAsia="宋体" w:cs="宋体"/>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F7A85C7">
      <w:pPr>
        <w:snapToGrid w:val="0"/>
        <w:spacing w:line="540" w:lineRule="exact"/>
        <w:ind w:left="-1"/>
        <w:jc w:val="left"/>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xml:space="preserve">（标的名称） </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万元，资产总额为万元</w:t>
      </w:r>
      <w:r>
        <w:rPr>
          <w:rFonts w:hint="eastAsia" w:ascii="宋体" w:hAnsi="宋体" w:eastAsia="宋体" w:cs="宋体"/>
          <w:sz w:val="24"/>
          <w:vertAlign w:val="superscript"/>
        </w:rPr>
        <w:t xml:space="preserve"> 1</w:t>
      </w:r>
      <w:r>
        <w:rPr>
          <w:rFonts w:hint="eastAsia" w:ascii="宋体" w:hAnsi="宋体" w:eastAsia="宋体" w:cs="宋体"/>
          <w:sz w:val="24"/>
        </w:rPr>
        <w:t>，属于</w:t>
      </w:r>
      <w:r>
        <w:rPr>
          <w:rFonts w:hint="eastAsia" w:ascii="宋体" w:hAnsi="宋体" w:eastAsia="宋体" w:cs="宋体"/>
          <w:sz w:val="24"/>
          <w:u w:val="single"/>
        </w:rPr>
        <w:t>（中型企业、 小型企业、微型企业）</w:t>
      </w:r>
      <w:r>
        <w:rPr>
          <w:rFonts w:hint="eastAsia" w:ascii="宋体" w:hAnsi="宋体" w:eastAsia="宋体" w:cs="宋体"/>
          <w:sz w:val="24"/>
        </w:rPr>
        <w:t xml:space="preserve">； </w:t>
      </w:r>
    </w:p>
    <w:p w14:paraId="39CC3AFC">
      <w:pPr>
        <w:snapToGrid w:val="0"/>
        <w:spacing w:line="540" w:lineRule="exact"/>
        <w:ind w:left="-1"/>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（标的名称） </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（中型企业、小型企业、微型企业）</w:t>
      </w:r>
      <w:r>
        <w:rPr>
          <w:rFonts w:hint="eastAsia" w:ascii="宋体" w:hAnsi="宋体" w:eastAsia="宋体" w:cs="宋体"/>
          <w:sz w:val="24"/>
        </w:rPr>
        <w:t xml:space="preserve">； </w:t>
      </w:r>
    </w:p>
    <w:p w14:paraId="12783456">
      <w:pPr>
        <w:snapToGrid w:val="0"/>
        <w:spacing w:line="54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w:t>
      </w:r>
    </w:p>
    <w:p w14:paraId="4EC54D49">
      <w:pPr>
        <w:snapToGrid w:val="0"/>
        <w:spacing w:line="540" w:lineRule="exact"/>
        <w:ind w:left="-1" w:firstLine="480" w:firstLineChars="200"/>
        <w:jc w:val="left"/>
        <w:rPr>
          <w:rFonts w:hint="eastAsia" w:ascii="宋体" w:hAnsi="宋体" w:eastAsia="宋体" w:cs="宋体"/>
          <w:sz w:val="24"/>
        </w:rPr>
      </w:pPr>
      <w:r>
        <w:rPr>
          <w:rFonts w:hint="eastAsia" w:ascii="宋体" w:hAnsi="宋体" w:eastAsia="宋体" w:cs="宋体"/>
          <w:sz w:val="24"/>
        </w:rPr>
        <w:t xml:space="preserve">以上企业，不属于大企业的分支机构，不存在控股股东为大企业的情形，也不存在与大企业的负责人为同一人的情形。 </w:t>
      </w:r>
    </w:p>
    <w:p w14:paraId="15BAD447">
      <w:pPr>
        <w:snapToGrid w:val="0"/>
        <w:spacing w:line="540" w:lineRule="exact"/>
        <w:ind w:left="-1" w:firstLine="480" w:firstLineChars="200"/>
        <w:jc w:val="left"/>
        <w:rPr>
          <w:rFonts w:hint="eastAsia" w:ascii="宋体" w:hAnsi="宋体" w:eastAsia="宋体" w:cs="宋体"/>
          <w:sz w:val="24"/>
        </w:rPr>
      </w:pPr>
      <w:r>
        <w:rPr>
          <w:rFonts w:hint="eastAsia" w:ascii="宋体" w:hAnsi="宋体" w:eastAsia="宋体" w:cs="宋体"/>
          <w:sz w:val="24"/>
        </w:rPr>
        <w:t xml:space="preserve">本企业对上述声明内容的真实性负责。如有虚假，将依法承担相应责任。 </w:t>
      </w:r>
    </w:p>
    <w:p w14:paraId="4EC9A1DB">
      <w:pPr>
        <w:snapToGrid w:val="0"/>
        <w:spacing w:line="540" w:lineRule="exact"/>
        <w:ind w:left="-1"/>
        <w:jc w:val="left"/>
        <w:rPr>
          <w:rFonts w:hint="eastAsia" w:ascii="宋体" w:hAnsi="宋体" w:eastAsia="宋体" w:cs="宋体"/>
          <w:sz w:val="24"/>
        </w:rPr>
      </w:pPr>
      <w:r>
        <w:rPr>
          <w:rFonts w:hint="eastAsia" w:ascii="宋体" w:hAnsi="宋体" w:eastAsia="宋体" w:cs="宋体"/>
          <w:sz w:val="24"/>
        </w:rPr>
        <w:t xml:space="preserve"> </w:t>
      </w:r>
    </w:p>
    <w:p w14:paraId="52B66A27">
      <w:pPr>
        <w:snapToGrid w:val="0"/>
        <w:spacing w:line="540" w:lineRule="exact"/>
        <w:ind w:firstLine="480" w:firstLineChars="200"/>
        <w:rPr>
          <w:rFonts w:hint="eastAsia" w:ascii="宋体" w:hAnsi="宋体" w:eastAsia="宋体" w:cs="宋体"/>
          <w:sz w:val="24"/>
        </w:rPr>
      </w:pPr>
      <w:r>
        <w:rPr>
          <w:rFonts w:hint="eastAsia" w:ascii="宋体" w:hAnsi="宋体" w:eastAsia="宋体" w:cs="宋体"/>
          <w:sz w:val="24"/>
        </w:rPr>
        <w:t>　                              企业名称（盖章）：</w:t>
      </w:r>
    </w:p>
    <w:p w14:paraId="190DDA84">
      <w:pPr>
        <w:snapToGrid w:val="0"/>
        <w:spacing w:line="540" w:lineRule="exact"/>
        <w:ind w:firstLine="480" w:firstLineChars="200"/>
        <w:rPr>
          <w:rFonts w:hint="eastAsia" w:ascii="宋体" w:hAnsi="宋体" w:eastAsia="宋体" w:cs="宋体"/>
          <w:sz w:val="24"/>
        </w:rPr>
      </w:pPr>
      <w:r>
        <w:rPr>
          <w:rFonts w:hint="eastAsia" w:ascii="宋体" w:hAnsi="宋体" w:eastAsia="宋体" w:cs="宋体"/>
          <w:sz w:val="24"/>
        </w:rPr>
        <w:t xml:space="preserve">                                 日期：                        </w:t>
      </w:r>
    </w:p>
    <w:p w14:paraId="5E7D2ED9">
      <w:pPr>
        <w:snapToGrid w:val="0"/>
        <w:spacing w:line="540" w:lineRule="exact"/>
        <w:ind w:firstLine="6000" w:firstLineChars="2500"/>
        <w:rPr>
          <w:rFonts w:hint="eastAsia" w:ascii="宋体" w:hAnsi="宋体" w:eastAsia="宋体" w:cs="宋体"/>
          <w:color w:val="auto"/>
          <w:sz w:val="24"/>
        </w:rPr>
      </w:pPr>
      <w:r>
        <w:rPr>
          <w:rFonts w:hint="eastAsia" w:ascii="宋体" w:hAnsi="宋体" w:eastAsia="宋体" w:cs="宋体"/>
          <w:color w:val="auto"/>
          <w:sz w:val="24"/>
        </w:rPr>
        <w:t>年  月  日</w:t>
      </w:r>
    </w:p>
    <w:p w14:paraId="4D895F29">
      <w:pPr>
        <w:widowControl/>
        <w:ind w:firstLine="220" w:firstLineChars="200"/>
        <w:jc w:val="left"/>
        <w:rPr>
          <w:rFonts w:hint="eastAsia" w:ascii="宋体" w:hAnsi="宋体" w:eastAsia="宋体" w:cs="宋体"/>
          <w:color w:val="auto"/>
        </w:rPr>
      </w:pPr>
      <w:r>
        <w:rPr>
          <w:rFonts w:hint="eastAsia" w:ascii="宋体" w:hAnsi="宋体" w:eastAsia="宋体" w:cs="宋体"/>
          <w:color w:val="auto"/>
          <w:kern w:val="0"/>
          <w:sz w:val="11"/>
          <w:szCs w:val="11"/>
          <w:lang w:bidi="ar"/>
        </w:rPr>
        <w:t>1</w:t>
      </w:r>
      <w:r>
        <w:rPr>
          <w:rFonts w:hint="eastAsia" w:ascii="宋体" w:hAnsi="宋体" w:eastAsia="宋体" w:cs="宋体"/>
          <w:color w:val="auto"/>
          <w:kern w:val="0"/>
          <w:sz w:val="18"/>
          <w:szCs w:val="18"/>
          <w:lang w:bidi="ar"/>
        </w:rPr>
        <w:t>从业人员、营业收入、资产总额填报上一年度数据，无上一年度数据的新成立企业可不填报。</w:t>
      </w:r>
    </w:p>
    <w:p w14:paraId="69764412">
      <w:pPr>
        <w:ind w:firstLine="1446" w:firstLineChars="600"/>
        <w:rPr>
          <w:rFonts w:hint="eastAsia" w:ascii="宋体" w:hAnsi="宋体" w:eastAsia="宋体" w:cs="宋体"/>
          <w:b/>
          <w:bCs/>
          <w:color w:val="auto"/>
          <w:sz w:val="24"/>
        </w:rPr>
      </w:pPr>
      <w:r>
        <w:rPr>
          <w:rFonts w:hint="eastAsia" w:ascii="宋体" w:hAnsi="宋体" w:eastAsia="宋体" w:cs="宋体"/>
          <w:b/>
          <w:bCs/>
          <w:color w:val="auto"/>
          <w:sz w:val="24"/>
        </w:rPr>
        <w:br w:type="page"/>
      </w:r>
    </w:p>
    <w:p w14:paraId="11254015">
      <w:pPr>
        <w:pStyle w:val="13"/>
        <w:snapToGrid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rPr>
        <w:t>4．</w:t>
      </w:r>
      <w:r>
        <w:rPr>
          <w:rFonts w:hint="eastAsia" w:ascii="宋体" w:hAnsi="宋体" w:eastAsia="宋体" w:cs="宋体"/>
          <w:b/>
          <w:bCs/>
          <w:sz w:val="24"/>
          <w:szCs w:val="24"/>
          <w:highlight w:val="none"/>
        </w:rPr>
        <w:t>长治市政府采购供应商信用承诺函(见“响应文件格式”)</w:t>
      </w:r>
    </w:p>
    <w:p w14:paraId="78A14C65">
      <w:pPr>
        <w:jc w:val="center"/>
        <w:outlineLvl w:val="0"/>
        <w:rPr>
          <w:rFonts w:hint="eastAsia" w:ascii="宋体" w:hAnsi="宋体" w:eastAsia="宋体" w:cs="宋体"/>
          <w:b/>
          <w:bCs/>
          <w:sz w:val="30"/>
          <w:szCs w:val="30"/>
          <w:highlight w:val="none"/>
        </w:rPr>
      </w:pPr>
      <w:bookmarkStart w:id="73" w:name="_Toc14757"/>
      <w:bookmarkStart w:id="74" w:name="_Toc29773"/>
      <w:r>
        <w:rPr>
          <w:rFonts w:hint="eastAsia" w:ascii="宋体" w:hAnsi="宋体" w:eastAsia="宋体" w:cs="宋体"/>
          <w:b/>
          <w:bCs/>
          <w:sz w:val="30"/>
          <w:szCs w:val="30"/>
          <w:highlight w:val="none"/>
        </w:rPr>
        <w:t>长治市政府采购供应商信用承诺函</w:t>
      </w:r>
      <w:bookmarkEnd w:id="73"/>
      <w:bookmarkEnd w:id="74"/>
    </w:p>
    <w:p w14:paraId="6A1E8843">
      <w:pPr>
        <w:pStyle w:val="13"/>
        <w:rPr>
          <w:rFonts w:hint="eastAsia" w:ascii="宋体" w:hAnsi="宋体" w:eastAsia="宋体" w:cs="宋体"/>
        </w:rPr>
      </w:pPr>
    </w:p>
    <w:p w14:paraId="0CC980E4">
      <w:pPr>
        <w:pStyle w:val="10"/>
        <w:tabs>
          <w:tab w:val="left" w:pos="4304"/>
          <w:tab w:val="left" w:pos="7661"/>
        </w:tabs>
        <w:spacing w:before="153" w:line="480" w:lineRule="auto"/>
        <w:ind w:right="110"/>
        <w:rPr>
          <w:rFonts w:hint="eastAsia" w:ascii="宋体" w:hAnsi="宋体" w:eastAsia="宋体" w:cs="宋体"/>
          <w:sz w:val="22"/>
          <w:szCs w:val="22"/>
        </w:rPr>
      </w:pPr>
      <w:r>
        <w:rPr>
          <w:rFonts w:hint="eastAsia" w:ascii="宋体" w:hAnsi="宋体" w:eastAsia="宋体" w:cs="宋体"/>
          <w:sz w:val="22"/>
          <w:szCs w:val="22"/>
        </w:rPr>
        <w:t xml:space="preserve">致 </w:t>
      </w:r>
      <w:r>
        <w:rPr>
          <w:rFonts w:hint="eastAsia" w:ascii="宋体" w:hAnsi="宋体" w:eastAsia="宋体" w:cs="宋体"/>
          <w:sz w:val="22"/>
          <w:szCs w:val="22"/>
          <w:u w:val="single"/>
        </w:rPr>
        <w:t xml:space="preserve">   （采购人或采购代理机构）：</w:t>
      </w:r>
    </w:p>
    <w:p w14:paraId="26FDD8EC">
      <w:pPr>
        <w:pStyle w:val="10"/>
        <w:tabs>
          <w:tab w:val="left" w:pos="4304"/>
          <w:tab w:val="left" w:pos="7661"/>
        </w:tabs>
        <w:spacing w:before="153" w:line="480" w:lineRule="auto"/>
        <w:ind w:right="110"/>
        <w:rPr>
          <w:rFonts w:hint="eastAsia" w:ascii="宋体" w:hAnsi="宋体" w:eastAsia="宋体" w:cs="宋体"/>
          <w:sz w:val="22"/>
          <w:szCs w:val="22"/>
        </w:rPr>
      </w:pPr>
      <w:r>
        <w:rPr>
          <w:rFonts w:hint="eastAsia" w:ascii="宋体" w:hAnsi="宋体" w:eastAsia="宋体" w:cs="宋体"/>
          <w:sz w:val="22"/>
          <w:szCs w:val="22"/>
        </w:rPr>
        <w:t>供应商名称（自然人姓名）：</w:t>
      </w:r>
      <w:r>
        <w:rPr>
          <w:rFonts w:hint="eastAsia" w:ascii="宋体" w:hAnsi="宋体" w:eastAsia="宋体" w:cs="宋体"/>
          <w:sz w:val="22"/>
          <w:szCs w:val="22"/>
          <w:u w:val="single"/>
        </w:rPr>
        <w:t xml:space="preserve">                                       </w:t>
      </w:r>
      <w:r>
        <w:rPr>
          <w:rFonts w:hint="eastAsia" w:ascii="宋体" w:hAnsi="宋体" w:eastAsia="宋体" w:cs="宋体"/>
          <w:sz w:val="22"/>
          <w:szCs w:val="22"/>
        </w:rPr>
        <w:tab/>
      </w:r>
    </w:p>
    <w:p w14:paraId="33F7D29B">
      <w:pPr>
        <w:pStyle w:val="10"/>
        <w:tabs>
          <w:tab w:val="left" w:pos="4304"/>
          <w:tab w:val="left" w:pos="7661"/>
        </w:tabs>
        <w:spacing w:before="153" w:line="480" w:lineRule="auto"/>
        <w:ind w:right="110"/>
        <w:rPr>
          <w:rFonts w:hint="eastAsia" w:ascii="宋体" w:hAnsi="宋体" w:eastAsia="宋体" w:cs="宋体"/>
          <w:sz w:val="22"/>
          <w:szCs w:val="22"/>
        </w:rPr>
      </w:pPr>
      <w:r>
        <w:rPr>
          <w:rFonts w:hint="eastAsia" w:ascii="宋体" w:hAnsi="宋体" w:eastAsia="宋体" w:cs="宋体"/>
          <w:sz w:val="22"/>
          <w:szCs w:val="22"/>
        </w:rPr>
        <w:t>统一社会信用代码（身份证号码）：</w:t>
      </w:r>
      <w:r>
        <w:rPr>
          <w:rFonts w:hint="eastAsia" w:ascii="宋体" w:hAnsi="宋体" w:eastAsia="宋体" w:cs="宋体"/>
          <w:sz w:val="22"/>
          <w:szCs w:val="22"/>
          <w:u w:val="single"/>
        </w:rPr>
        <w:t xml:space="preserve">                                 </w:t>
      </w:r>
      <w:r>
        <w:rPr>
          <w:rFonts w:hint="eastAsia" w:ascii="宋体" w:hAnsi="宋体" w:eastAsia="宋体" w:cs="宋体"/>
          <w:sz w:val="22"/>
          <w:szCs w:val="22"/>
        </w:rPr>
        <w:tab/>
      </w:r>
    </w:p>
    <w:p w14:paraId="35F4AC5F">
      <w:pPr>
        <w:pStyle w:val="10"/>
        <w:tabs>
          <w:tab w:val="left" w:pos="4304"/>
          <w:tab w:val="left" w:pos="7661"/>
        </w:tabs>
        <w:spacing w:before="153" w:line="480" w:lineRule="auto"/>
        <w:ind w:right="110"/>
        <w:rPr>
          <w:rFonts w:hint="eastAsia" w:ascii="宋体" w:hAnsi="宋体" w:eastAsia="宋体" w:cs="宋体"/>
          <w:sz w:val="22"/>
          <w:szCs w:val="22"/>
          <w:u w:val="single"/>
        </w:rPr>
      </w:pPr>
      <w:r>
        <w:rPr>
          <w:rFonts w:hint="eastAsia" w:ascii="宋体" w:hAnsi="宋体" w:eastAsia="宋体" w:cs="宋体"/>
          <w:sz w:val="22"/>
          <w:szCs w:val="22"/>
        </w:rPr>
        <w:t>法定代表人（负责人）：</w:t>
      </w:r>
      <w:r>
        <w:rPr>
          <w:rFonts w:hint="eastAsia" w:ascii="宋体" w:hAnsi="宋体" w:eastAsia="宋体" w:cs="宋体"/>
          <w:sz w:val="22"/>
          <w:szCs w:val="22"/>
          <w:u w:val="single"/>
        </w:rPr>
        <w:t xml:space="preserve">                                           </w:t>
      </w:r>
    </w:p>
    <w:p w14:paraId="6113A268">
      <w:pPr>
        <w:pStyle w:val="10"/>
        <w:tabs>
          <w:tab w:val="left" w:pos="4304"/>
          <w:tab w:val="left" w:pos="7661"/>
        </w:tabs>
        <w:spacing w:before="153" w:line="480" w:lineRule="auto"/>
        <w:ind w:right="110"/>
        <w:rPr>
          <w:rFonts w:hint="eastAsia" w:ascii="宋体" w:hAnsi="宋体" w:eastAsia="宋体" w:cs="宋体"/>
          <w:sz w:val="22"/>
          <w:szCs w:val="22"/>
        </w:rPr>
      </w:pPr>
      <w:r>
        <w:rPr>
          <w:rFonts w:hint="eastAsia" w:ascii="宋体" w:hAnsi="宋体" w:eastAsia="宋体" w:cs="宋体"/>
          <w:sz w:val="22"/>
          <w:szCs w:val="22"/>
        </w:rPr>
        <w:t>联系地址和电话：</w:t>
      </w:r>
      <w:r>
        <w:rPr>
          <w:rFonts w:hint="eastAsia" w:ascii="宋体" w:hAnsi="宋体" w:eastAsia="宋体" w:cs="宋体"/>
          <w:sz w:val="22"/>
          <w:szCs w:val="22"/>
          <w:u w:val="single"/>
        </w:rPr>
        <w:t xml:space="preserve">                                                 </w:t>
      </w:r>
      <w:r>
        <w:rPr>
          <w:rFonts w:hint="eastAsia" w:ascii="宋体" w:hAnsi="宋体" w:eastAsia="宋体" w:cs="宋体"/>
          <w:sz w:val="22"/>
          <w:szCs w:val="22"/>
        </w:rPr>
        <w:tab/>
      </w:r>
    </w:p>
    <w:p w14:paraId="674E936C">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为维护公平、公正、公开的政府采购市场秩序，树立诚实守信的政府采购供应商形象，本单位（本人）自愿作出以下承诺：</w:t>
      </w:r>
    </w:p>
    <w:p w14:paraId="0D8B906B">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一、我单位（本人）自愿参加本次政府采购活动（项目名称：</w:t>
      </w:r>
      <w:r>
        <w:rPr>
          <w:rFonts w:hint="eastAsia" w:ascii="宋体" w:hAnsi="宋体" w:eastAsia="宋体" w:cs="宋体"/>
          <w:sz w:val="22"/>
          <w:szCs w:val="22"/>
          <w:u w:val="single"/>
        </w:rPr>
        <w:t xml:space="preserve">       </w:t>
      </w:r>
      <w:r>
        <w:rPr>
          <w:rFonts w:hint="eastAsia" w:ascii="宋体" w:hAnsi="宋体" w:eastAsia="宋体" w:cs="宋体"/>
          <w:sz w:val="22"/>
          <w:szCs w:val="22"/>
        </w:rPr>
        <w:t>，项目编号：</w:t>
      </w:r>
      <w:r>
        <w:rPr>
          <w:rFonts w:hint="eastAsia" w:ascii="宋体" w:hAnsi="宋体" w:eastAsia="宋体" w:cs="宋体"/>
          <w:sz w:val="22"/>
          <w:szCs w:val="22"/>
          <w:u w:val="single"/>
        </w:rPr>
        <w:t xml:space="preserve">                </w:t>
      </w:r>
      <w:r>
        <w:rPr>
          <w:rFonts w:hint="eastAsia" w:ascii="宋体" w:hAnsi="宋体" w:eastAsia="宋体" w:cs="宋体"/>
          <w:sz w:val="22"/>
          <w:szCs w:val="22"/>
        </w:rPr>
        <w:t>），严格遵守《中华人民共和国政府采购法》及相关法律法规，依法诚信经营，无条件遵守本次政府采购活动的各项规定。 我单位（本人）郑重承诺，我单位（本人）符合《中华人民共和国政府采购法》第二十二条规定和采购文件、本承诺函的条件：</w:t>
      </w:r>
    </w:p>
    <w:p w14:paraId="132AC5E4">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（一）具有独立承担民事责任的能力；</w:t>
      </w:r>
    </w:p>
    <w:p w14:paraId="3A16B379">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（二）具有良好的商业信誉和健全的财务会计制度；</w:t>
      </w:r>
    </w:p>
    <w:p w14:paraId="17CD6205">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（三）具有履行合同所必需的设备和专业技术能力；</w:t>
      </w:r>
    </w:p>
    <w:p w14:paraId="0FEB45B1">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（四）有依法缴纳税收和社会保障资金的良好记录；</w:t>
      </w:r>
    </w:p>
    <w:p w14:paraId="61AD658A">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（五）参加政府采购活动前三年内，在经营活动中没有重大违法记录；</w:t>
      </w:r>
    </w:p>
    <w:p w14:paraId="1FF1DC1D">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（六）符合法律、行政法规规定的其他条件。</w:t>
      </w:r>
    </w:p>
    <w:p w14:paraId="7AF86700">
      <w:pPr>
        <w:pStyle w:val="10"/>
        <w:tabs>
          <w:tab w:val="left" w:pos="4304"/>
          <w:tab w:val="left" w:pos="7661"/>
        </w:tabs>
        <w:spacing w:before="153" w:line="480" w:lineRule="auto"/>
        <w:ind w:right="110" w:firstLine="440" w:firstLineChars="200"/>
        <w:rPr>
          <w:rFonts w:hint="eastAsia" w:ascii="宋体" w:hAnsi="宋体" w:eastAsia="宋体" w:cs="宋体"/>
          <w:sz w:val="22"/>
          <w:szCs w:val="22"/>
        </w:rPr>
      </w:pPr>
      <w:r>
        <w:rPr>
          <w:rFonts w:hint="eastAsia" w:ascii="宋体" w:hAnsi="宋体" w:eastAsia="宋体" w:cs="宋体"/>
          <w:sz w:val="22"/>
          <w:szCs w:val="22"/>
        </w:rPr>
        <w:t>二、我单位（本人）保证上述承诺事项的真实性。如有弄虚作假或其他违法违规行为，自愿承担一切法律责任，接受政府采购监管部门和其他机关的审查和处罚。</w:t>
      </w:r>
    </w:p>
    <w:p w14:paraId="08DD8830">
      <w:pPr>
        <w:pStyle w:val="10"/>
        <w:rPr>
          <w:rFonts w:hint="eastAsia" w:ascii="宋体" w:hAnsi="宋体" w:eastAsia="宋体" w:cs="宋体"/>
          <w:sz w:val="22"/>
          <w:szCs w:val="22"/>
        </w:rPr>
      </w:pPr>
    </w:p>
    <w:p w14:paraId="059EE919">
      <w:pPr>
        <w:pStyle w:val="26"/>
        <w:rPr>
          <w:rFonts w:hint="eastAsia" w:ascii="宋体" w:hAnsi="宋体" w:eastAsia="宋体" w:cs="宋体"/>
          <w:sz w:val="22"/>
          <w:szCs w:val="22"/>
        </w:rPr>
      </w:pPr>
    </w:p>
    <w:p w14:paraId="4A5399AF">
      <w:pPr>
        <w:pStyle w:val="10"/>
        <w:spacing w:before="5"/>
        <w:rPr>
          <w:rFonts w:hint="eastAsia" w:ascii="宋体" w:hAnsi="宋体" w:eastAsia="宋体" w:cs="宋体"/>
          <w:sz w:val="22"/>
          <w:szCs w:val="22"/>
        </w:rPr>
      </w:pPr>
    </w:p>
    <w:p w14:paraId="462E408F">
      <w:pPr>
        <w:pStyle w:val="10"/>
        <w:spacing w:line="360" w:lineRule="auto"/>
        <w:ind w:left="735"/>
        <w:rPr>
          <w:rFonts w:hint="eastAsia" w:ascii="宋体" w:hAnsi="宋体" w:eastAsia="宋体" w:cs="宋体"/>
          <w:sz w:val="22"/>
          <w:szCs w:val="22"/>
        </w:rPr>
      </w:pPr>
      <w:r>
        <w:rPr>
          <w:rFonts w:hint="eastAsia" w:ascii="宋体" w:hAnsi="宋体" w:eastAsia="宋体" w:cs="宋体"/>
          <w:sz w:val="22"/>
          <w:szCs w:val="22"/>
        </w:rPr>
        <w:t>供应商</w:t>
      </w:r>
      <w:r>
        <w:rPr>
          <w:rFonts w:hint="eastAsia" w:ascii="宋体" w:hAnsi="宋体" w:eastAsia="宋体" w:cs="宋体"/>
          <w:w w:val="80"/>
          <w:sz w:val="22"/>
          <w:szCs w:val="22"/>
        </w:rPr>
        <w:t>（</w:t>
      </w:r>
      <w:r>
        <w:rPr>
          <w:rFonts w:hint="eastAsia" w:ascii="宋体" w:hAnsi="宋体" w:eastAsia="宋体" w:cs="宋体"/>
          <w:sz w:val="22"/>
          <w:szCs w:val="22"/>
        </w:rPr>
        <w:t>电子章</w:t>
      </w:r>
      <w:r>
        <w:rPr>
          <w:rFonts w:hint="eastAsia" w:ascii="宋体" w:hAnsi="宋体" w:eastAsia="宋体" w:cs="宋体"/>
          <w:w w:val="80"/>
          <w:sz w:val="22"/>
          <w:szCs w:val="22"/>
        </w:rPr>
        <w:t>）：</w:t>
      </w:r>
    </w:p>
    <w:p w14:paraId="06BD5147">
      <w:pPr>
        <w:pStyle w:val="10"/>
        <w:tabs>
          <w:tab w:val="left" w:pos="2256"/>
          <w:tab w:val="left" w:pos="3199"/>
          <w:tab w:val="left" w:pos="4143"/>
        </w:tabs>
        <w:spacing w:before="155" w:line="360" w:lineRule="auto"/>
        <w:ind w:left="735"/>
        <w:rPr>
          <w:rFonts w:hint="eastAsia" w:ascii="宋体" w:hAnsi="宋体" w:eastAsia="宋体" w:cs="宋体"/>
          <w:sz w:val="22"/>
          <w:szCs w:val="22"/>
        </w:rPr>
      </w:pPr>
      <w:r>
        <w:rPr>
          <w:rFonts w:hint="eastAsia" w:ascii="宋体" w:hAnsi="宋体" w:eastAsia="宋体" w:cs="宋体"/>
          <w:sz w:val="22"/>
          <w:szCs w:val="22"/>
        </w:rPr>
        <w:t>法定代表人或授权代表、负责人、本人 (签字或电子印章)：</w:t>
      </w:r>
    </w:p>
    <w:p w14:paraId="45979230">
      <w:pPr>
        <w:pStyle w:val="10"/>
        <w:tabs>
          <w:tab w:val="left" w:pos="2256"/>
          <w:tab w:val="left" w:pos="3199"/>
          <w:tab w:val="left" w:pos="4143"/>
        </w:tabs>
        <w:spacing w:before="155" w:line="360" w:lineRule="auto"/>
        <w:ind w:left="735"/>
        <w:rPr>
          <w:rFonts w:hint="eastAsia" w:ascii="宋体" w:hAnsi="宋体" w:eastAsia="宋体" w:cs="宋体"/>
          <w:sz w:val="22"/>
          <w:szCs w:val="22"/>
        </w:rPr>
      </w:pPr>
      <w:r>
        <w:rPr>
          <w:rFonts w:hint="eastAsia" w:ascii="宋体" w:hAnsi="宋体" w:eastAsia="宋体" w:cs="宋体"/>
          <w:sz w:val="22"/>
          <w:szCs w:val="22"/>
        </w:rPr>
        <w:t>日期</w:t>
      </w:r>
      <w:r>
        <w:rPr>
          <w:rFonts w:hint="eastAsia" w:ascii="宋体" w:hAnsi="宋体" w:eastAsia="宋体" w:cs="宋体"/>
          <w:w w:val="80"/>
          <w:sz w:val="22"/>
          <w:szCs w:val="22"/>
        </w:rPr>
        <w:t>：</w:t>
      </w:r>
      <w:r>
        <w:rPr>
          <w:rFonts w:hint="eastAsia" w:ascii="宋体" w:hAnsi="宋体" w:eastAsia="宋体" w:cs="宋体"/>
          <w:w w:val="80"/>
          <w:sz w:val="22"/>
          <w:szCs w:val="22"/>
        </w:rPr>
        <w:tab/>
      </w:r>
      <w:r>
        <w:rPr>
          <w:rFonts w:hint="eastAsia" w:ascii="宋体" w:hAnsi="宋体" w:eastAsia="宋体" w:cs="宋体"/>
          <w:sz w:val="22"/>
          <w:szCs w:val="22"/>
        </w:rPr>
        <w:t>年</w:t>
      </w:r>
      <w:r>
        <w:rPr>
          <w:rFonts w:hint="eastAsia" w:ascii="宋体" w:hAnsi="宋体" w:eastAsia="宋体" w:cs="宋体"/>
          <w:sz w:val="22"/>
          <w:szCs w:val="22"/>
        </w:rPr>
        <w:tab/>
      </w:r>
      <w:r>
        <w:rPr>
          <w:rFonts w:hint="eastAsia" w:ascii="宋体" w:hAnsi="宋体" w:eastAsia="宋体" w:cs="宋体"/>
          <w:sz w:val="22"/>
          <w:szCs w:val="22"/>
        </w:rPr>
        <w:t>月</w:t>
      </w:r>
      <w:r>
        <w:rPr>
          <w:rFonts w:hint="eastAsia" w:ascii="宋体" w:hAnsi="宋体" w:eastAsia="宋体" w:cs="宋体"/>
          <w:sz w:val="22"/>
          <w:szCs w:val="22"/>
        </w:rPr>
        <w:tab/>
      </w:r>
      <w:r>
        <w:rPr>
          <w:rFonts w:hint="eastAsia" w:ascii="宋体" w:hAnsi="宋体" w:eastAsia="宋体" w:cs="宋体"/>
          <w:sz w:val="22"/>
          <w:szCs w:val="22"/>
        </w:rPr>
        <w:t>日</w:t>
      </w:r>
    </w:p>
    <w:p w14:paraId="5B8838FE">
      <w:pPr>
        <w:pStyle w:val="10"/>
        <w:spacing w:before="11"/>
        <w:rPr>
          <w:rFonts w:hint="eastAsia" w:ascii="宋体" w:hAnsi="宋体" w:eastAsia="宋体" w:cs="宋体"/>
          <w:sz w:val="22"/>
          <w:szCs w:val="22"/>
        </w:rPr>
      </w:pPr>
    </w:p>
    <w:p w14:paraId="11F18419">
      <w:pPr>
        <w:adjustRightInd w:val="0"/>
        <w:snapToGrid w:val="0"/>
        <w:spacing w:line="360" w:lineRule="exact"/>
        <w:rPr>
          <w:rFonts w:hint="eastAsia" w:ascii="宋体" w:hAnsi="宋体" w:eastAsia="宋体" w:cs="宋体"/>
        </w:rPr>
      </w:pPr>
      <w:r>
        <w:rPr>
          <w:rFonts w:hint="eastAsia" w:ascii="宋体" w:hAnsi="宋体" w:eastAsia="宋体" w:cs="宋体"/>
        </w:rPr>
        <w:t>注：1.</w:t>
      </w:r>
      <w:r>
        <w:rPr>
          <w:rFonts w:hint="eastAsia" w:ascii="宋体" w:hAnsi="宋体" w:eastAsia="宋体" w:cs="宋体"/>
          <w:lang w:eastAsia="zh-CN"/>
        </w:rPr>
        <w:t>供应商</w:t>
      </w:r>
      <w:r>
        <w:rPr>
          <w:rFonts w:hint="eastAsia" w:ascii="宋体" w:hAnsi="宋体" w:eastAsia="宋体" w:cs="宋体"/>
        </w:rPr>
        <w:t>须在投标（响应）文件中按此模板提供承诺函，既未提供上述承诺函，又未提供对应事项证明材料的，视为未实质性响应采购文件要求，按无效投标（响应）处理。</w:t>
      </w:r>
    </w:p>
    <w:p w14:paraId="06F2403A">
      <w:pPr>
        <w:adjustRightInd w:val="0"/>
        <w:snapToGrid w:val="0"/>
        <w:spacing w:line="360" w:lineRule="exact"/>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供应商</w:t>
      </w:r>
      <w:r>
        <w:rPr>
          <w:rFonts w:hint="eastAsia" w:ascii="宋体" w:hAnsi="宋体" w:eastAsia="宋体" w:cs="宋体"/>
        </w:rPr>
        <w:t>的法定代表人或者授权代表的签字或盖章应真实、有效，如由授权代表签字或盖章的，应提供“法定代表人授权书”。</w:t>
      </w:r>
    </w:p>
    <w:p w14:paraId="4403FAB4">
      <w:pPr>
        <w:rPr>
          <w:rFonts w:hint="eastAsia" w:ascii="宋体" w:hAnsi="宋体" w:eastAsia="宋体" w:cs="宋体"/>
          <w:b/>
          <w:bCs/>
          <w:sz w:val="24"/>
        </w:rPr>
      </w:pPr>
      <w:r>
        <w:rPr>
          <w:rFonts w:hint="eastAsia" w:ascii="宋体" w:hAnsi="宋体" w:eastAsia="宋体" w:cs="宋体"/>
          <w:b/>
          <w:bCs/>
          <w:sz w:val="24"/>
        </w:rPr>
        <w:br w:type="page"/>
      </w:r>
    </w:p>
    <w:p w14:paraId="4F00380B">
      <w:pPr>
        <w:pStyle w:val="13"/>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5．保证金转账凭证（扫描件加盖公章）</w:t>
      </w:r>
    </w:p>
    <w:p w14:paraId="2DA8D30F">
      <w:pPr>
        <w:rPr>
          <w:rFonts w:hint="eastAsia" w:ascii="宋体" w:hAnsi="宋体" w:eastAsia="宋体" w:cs="宋体"/>
          <w:b/>
          <w:bCs/>
          <w:sz w:val="24"/>
        </w:rPr>
      </w:pPr>
      <w:r>
        <w:rPr>
          <w:rFonts w:hint="eastAsia" w:ascii="宋体" w:hAnsi="宋体" w:eastAsia="宋体" w:cs="宋体"/>
          <w:b/>
          <w:bCs/>
          <w:sz w:val="24"/>
        </w:rPr>
        <w:br w:type="page"/>
      </w:r>
    </w:p>
    <w:p w14:paraId="7FBB74F7">
      <w:pPr>
        <w:snapToGrid w:val="0"/>
        <w:spacing w:line="360" w:lineRule="auto"/>
        <w:ind w:firstLine="480" w:firstLineChars="200"/>
        <w:rPr>
          <w:rFonts w:hint="eastAsia" w:ascii="宋体" w:hAnsi="宋体" w:eastAsia="宋体" w:cs="宋体"/>
          <w:sz w:val="24"/>
        </w:rPr>
        <w:sectPr>
          <w:footerReference r:id="rId7" w:type="default"/>
          <w:pgSz w:w="11905" w:h="16838"/>
          <w:pgMar w:top="1440" w:right="1800" w:bottom="1440" w:left="1800" w:header="850" w:footer="992" w:gutter="0"/>
          <w:cols w:space="0" w:num="1"/>
          <w:docGrid w:type="lines" w:linePitch="318" w:charSpace="0"/>
        </w:sectPr>
      </w:pPr>
    </w:p>
    <w:p w14:paraId="2DB55F4E">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商务、技术文件</w:t>
      </w:r>
    </w:p>
    <w:p w14:paraId="5117F8EB">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1．法定代表人（负责人）身份证明书格式</w:t>
      </w:r>
    </w:p>
    <w:p w14:paraId="2CBA862B">
      <w:pPr>
        <w:snapToGrid w:val="0"/>
        <w:spacing w:line="360" w:lineRule="auto"/>
        <w:ind w:left="482" w:hanging="482" w:hangingChars="200"/>
        <w:jc w:val="center"/>
        <w:rPr>
          <w:rFonts w:hint="eastAsia" w:ascii="宋体" w:hAnsi="宋体" w:eastAsia="宋体" w:cs="宋体"/>
          <w:b/>
          <w:kern w:val="0"/>
          <w:sz w:val="24"/>
        </w:rPr>
      </w:pPr>
    </w:p>
    <w:p w14:paraId="2C658E49">
      <w:pPr>
        <w:snapToGrid w:val="0"/>
        <w:spacing w:line="360" w:lineRule="auto"/>
        <w:ind w:left="482" w:hanging="482" w:hangingChars="200"/>
        <w:jc w:val="center"/>
        <w:rPr>
          <w:rFonts w:hint="eastAsia" w:ascii="宋体" w:hAnsi="宋体" w:eastAsia="宋体" w:cs="宋体"/>
          <w:b/>
          <w:kern w:val="0"/>
          <w:sz w:val="24"/>
        </w:rPr>
      </w:pPr>
      <w:r>
        <w:rPr>
          <w:rFonts w:hint="eastAsia" w:ascii="宋体" w:hAnsi="宋体" w:eastAsia="宋体" w:cs="宋体"/>
          <w:b/>
          <w:kern w:val="0"/>
          <w:sz w:val="24"/>
        </w:rPr>
        <w:t xml:space="preserve">法定代表人（负责人）身份证明书 </w:t>
      </w:r>
    </w:p>
    <w:p w14:paraId="441A0BA3">
      <w:pPr>
        <w:snapToGrid w:val="0"/>
        <w:spacing w:line="36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单位名称：</w:t>
      </w:r>
      <w:r>
        <w:rPr>
          <w:rFonts w:hint="eastAsia" w:ascii="宋体" w:hAnsi="宋体" w:eastAsia="宋体" w:cs="宋体"/>
          <w:kern w:val="0"/>
          <w:sz w:val="24"/>
          <w:u w:val="single"/>
        </w:rPr>
        <w:t xml:space="preserve">                                                    </w:t>
      </w:r>
    </w:p>
    <w:p w14:paraId="2881BCA3">
      <w:pPr>
        <w:snapToGrid w:val="0"/>
        <w:spacing w:line="360" w:lineRule="auto"/>
        <w:jc w:val="left"/>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182245</wp:posOffset>
                </wp:positionV>
                <wp:extent cx="41148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4.35pt;height:0pt;width:324pt;z-index:251661312;mso-width-relative:page;mso-height-relative:page;" filled="f" stroked="t" coordsize="21600,21600" o:gfxdata="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6Pg/s&#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单位性质：</w:t>
      </w:r>
    </w:p>
    <w:p w14:paraId="370A8D2F">
      <w:pPr>
        <w:snapToGrid w:val="0"/>
        <w:spacing w:line="360" w:lineRule="auto"/>
        <w:jc w:val="left"/>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917575</wp:posOffset>
                </wp:positionH>
                <wp:positionV relativeFrom="paragraph">
                  <wp:posOffset>210820</wp:posOffset>
                </wp:positionV>
                <wp:extent cx="4114800" cy="0"/>
                <wp:effectExtent l="0" t="4445" r="0" b="508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25pt;margin-top:16.6pt;height:0pt;width:324pt;z-index:251662336;mso-width-relative:page;mso-height-relative:page;" filled="f" stroked="t" coordsize="21600,21600" o:gfxdata="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4QdU&#10;1gAAAAkBAAAPAAAAAAAAAAEAIAAAACIAAABkcnMvZG93bnJldi54bWxQSwECFAAUAAAACACHTuJA&#10;zXzjhO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地    址：</w:t>
      </w:r>
    </w:p>
    <w:p w14:paraId="155B91CE">
      <w:pPr>
        <w:snapToGrid w:val="0"/>
        <w:spacing w:line="360" w:lineRule="auto"/>
        <w:jc w:val="left"/>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193675</wp:posOffset>
                </wp:positionV>
                <wp:extent cx="411480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5.25pt;height:0pt;width:324pt;z-index:251663360;mso-width-relative:page;mso-height-relative:page;" filled="f" stroked="t" coordsize="21600,21600" o:gfxdata="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CSBDr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成立时间：               年    月    日</w:t>
      </w:r>
    </w:p>
    <w:p w14:paraId="2058A062">
      <w:pPr>
        <w:snapToGrid w:val="0"/>
        <w:spacing w:line="360" w:lineRule="auto"/>
        <w:jc w:val="left"/>
        <w:rPr>
          <w:rFonts w:hint="eastAsia" w:ascii="宋体" w:hAnsi="宋体" w:eastAsia="宋体" w:cs="宋体"/>
          <w:kern w:val="0"/>
          <w:sz w:val="24"/>
          <w:u w:val="single"/>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923925</wp:posOffset>
                </wp:positionH>
                <wp:positionV relativeFrom="paragraph">
                  <wp:posOffset>198120</wp:posOffset>
                </wp:positionV>
                <wp:extent cx="4114800" cy="0"/>
                <wp:effectExtent l="0" t="4445" r="0" b="508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5.6pt;height:0pt;width:324pt;z-index:251664384;mso-width-relative:page;mso-height-relative:page;" filled="f" stroked="t" coordsize="21600,21600" o:gfxdata="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anvm&#10;1gAAAAkBAAAPAAAAAAAAAAEAIAAAACIAAABkcnMvZG93bnJldi54bWxQSwECFAAUAAAACACHTuJA&#10;IIrFse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经营期限：</w:t>
      </w:r>
    </w:p>
    <w:p w14:paraId="231C6B71">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6432" behindDoc="0" locked="0" layoutInCell="1" allowOverlap="1">
                <wp:simplePos x="0" y="0"/>
                <wp:positionH relativeFrom="column">
                  <wp:posOffset>928370</wp:posOffset>
                </wp:positionH>
                <wp:positionV relativeFrom="paragraph">
                  <wp:posOffset>190500</wp:posOffset>
                </wp:positionV>
                <wp:extent cx="4114800"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1pt;margin-top:15pt;height:0pt;width:324pt;z-index:251666432;mso-width-relative:page;mso-height-relative:page;" filled="f" stroked="t" coordsize="21600,21600" o:gfxdata="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mNB7nV&#10;AAAACQEAAA8AAAAAAAAAAQAgAAAAIgAAAGRycy9kb3ducmV2LnhtbFBLAQIUABQAAAAIAIdO4kDm&#10;gHb/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姓    名：              性  别：                </w:t>
      </w:r>
    </w:p>
    <w:p w14:paraId="24E2E456">
      <w:pPr>
        <w:snapToGrid w:val="0"/>
        <w:spacing w:line="360" w:lineRule="auto"/>
        <w:jc w:val="left"/>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161925</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2.75pt;height:0pt;width:324pt;z-index:251665408;mso-width-relative:page;mso-height-relative:page;" filled="f" stroked="t" coordsize="21600,21600" o:gfxdata="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XwvdbW&#10;AAAACQEAAA8AAAAAAAAAAQAgAAAAIgAAAGRycy9kb3ducmV2LnhtbFBLAQIUABQAAAAIAIdO4kBp&#10;Zwcx6QEAALg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年    龄：              职  务： </w:t>
      </w:r>
    </w:p>
    <w:p w14:paraId="44034615">
      <w:pPr>
        <w:snapToGrid w:val="0"/>
        <w:spacing w:line="360" w:lineRule="auto"/>
        <w:jc w:val="left"/>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s4KbV&#10;AAAACAEAAA8AAAAAAAAAAQAgAAAAIgAAAGRycy9kb3ducmV2LnhtbFBLAQIUABQAAAAIAIdO4kC7&#10;oySB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系       （供应商名称）          的法定代表人。</w:t>
      </w:r>
    </w:p>
    <w:p w14:paraId="4C37740F">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w:t>
      </w:r>
    </w:p>
    <w:p w14:paraId="548E6C02">
      <w:pPr>
        <w:snapToGrid w:val="0"/>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 xml:space="preserve"> 特此证明。</w:t>
      </w:r>
    </w:p>
    <w:p w14:paraId="0008EB74">
      <w:pPr>
        <w:widowControl/>
        <w:spacing w:line="330" w:lineRule="atLeast"/>
        <w:jc w:val="left"/>
        <w:rPr>
          <w:rFonts w:hint="eastAsia" w:ascii="宋体" w:hAnsi="宋体" w:eastAsia="宋体" w:cs="宋体"/>
          <w:kern w:val="0"/>
          <w:sz w:val="24"/>
        </w:rPr>
      </w:pPr>
    </w:p>
    <w:p w14:paraId="5BBFE8EE">
      <w:pPr>
        <w:snapToGrid w:val="0"/>
        <w:spacing w:line="480" w:lineRule="exact"/>
        <w:ind w:firstLine="2880" w:firstLineChars="1200"/>
        <w:rPr>
          <w:rFonts w:hint="eastAsia" w:ascii="宋体" w:hAnsi="宋体" w:eastAsia="宋体" w:cs="宋体"/>
          <w:sz w:val="24"/>
        </w:rPr>
      </w:pPr>
      <w:r>
        <w:rPr>
          <w:rFonts w:hint="eastAsia" w:ascii="宋体" w:hAnsi="宋体" w:eastAsia="宋体" w:cs="宋体"/>
          <w:kern w:val="0"/>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1E7C9232">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rPr>
        <w:t>法定代表人（负责人）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（签字或盖章）  </w:t>
      </w:r>
    </w:p>
    <w:p w14:paraId="2EC7E89D">
      <w:pPr>
        <w:spacing w:line="480" w:lineRule="exact"/>
        <w:rPr>
          <w:rFonts w:hint="eastAsia" w:ascii="宋体" w:hAnsi="宋体" w:eastAsia="宋体" w:cs="宋体"/>
          <w:sz w:val="24"/>
        </w:rPr>
      </w:pPr>
      <w:r>
        <w:rPr>
          <w:rFonts w:hint="eastAsia" w:ascii="宋体" w:hAnsi="宋体" w:eastAsia="宋体" w:cs="宋体"/>
          <w:sz w:val="24"/>
        </w:rPr>
        <w:t xml:space="preserve">                                  日      期：</w:t>
      </w:r>
    </w:p>
    <w:p w14:paraId="54793A1D">
      <w:pPr>
        <w:widowControl/>
        <w:spacing w:line="330" w:lineRule="atLeast"/>
        <w:jc w:val="left"/>
        <w:rPr>
          <w:rFonts w:hint="eastAsia" w:ascii="宋体" w:hAnsi="宋体" w:eastAsia="宋体" w:cs="宋体"/>
          <w:kern w:val="0"/>
          <w:sz w:val="24"/>
        </w:rPr>
      </w:pPr>
    </w:p>
    <w:p w14:paraId="79481AE7">
      <w:pPr>
        <w:widowControl/>
        <w:spacing w:line="330" w:lineRule="atLeast"/>
        <w:jc w:val="left"/>
        <w:rPr>
          <w:rFonts w:hint="eastAsia" w:ascii="宋体" w:hAnsi="宋体" w:eastAsia="宋体" w:cs="宋体"/>
          <w:kern w:val="0"/>
          <w:sz w:val="24"/>
        </w:rPr>
      </w:pPr>
    </w:p>
    <w:p w14:paraId="425AD840">
      <w:pPr>
        <w:spacing w:line="360" w:lineRule="auto"/>
        <w:rPr>
          <w:rFonts w:hint="eastAsia" w:ascii="宋体" w:hAnsi="宋体" w:eastAsia="宋体" w:cs="宋体"/>
          <w:b/>
          <w:bCs/>
          <w:sz w:val="24"/>
        </w:rPr>
      </w:pPr>
      <w:r>
        <w:rPr>
          <w:rFonts w:hint="eastAsia" w:ascii="宋体" w:hAnsi="宋体" w:eastAsia="宋体" w:cs="宋体"/>
          <w:b/>
          <w:bCs/>
          <w:kern w:val="0"/>
          <w:sz w:val="24"/>
        </w:rPr>
        <w:t>附：法定代表人身份证正反面扫描件或影印件。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66C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594B369A">
            <w:pPr>
              <w:spacing w:line="360" w:lineRule="auto"/>
              <w:rPr>
                <w:rFonts w:hint="eastAsia" w:ascii="宋体" w:hAnsi="宋体" w:eastAsia="宋体" w:cs="宋体"/>
                <w:sz w:val="24"/>
              </w:rPr>
            </w:pPr>
          </w:p>
        </w:tc>
        <w:tc>
          <w:tcPr>
            <w:tcW w:w="4615" w:type="dxa"/>
          </w:tcPr>
          <w:p w14:paraId="1F0B5641">
            <w:pPr>
              <w:spacing w:line="360" w:lineRule="auto"/>
              <w:rPr>
                <w:rFonts w:hint="eastAsia" w:ascii="宋体" w:hAnsi="宋体" w:eastAsia="宋体" w:cs="宋体"/>
                <w:sz w:val="24"/>
              </w:rPr>
            </w:pPr>
          </w:p>
        </w:tc>
      </w:tr>
    </w:tbl>
    <w:p w14:paraId="64298C60">
      <w:pPr>
        <w:snapToGrid w:val="0"/>
        <w:spacing w:line="360" w:lineRule="auto"/>
        <w:rPr>
          <w:rFonts w:hint="eastAsia" w:ascii="宋体" w:hAnsi="宋体" w:eastAsia="宋体" w:cs="宋体"/>
          <w:sz w:val="24"/>
        </w:rPr>
      </w:pPr>
    </w:p>
    <w:p w14:paraId="241512FD">
      <w:pPr>
        <w:tabs>
          <w:tab w:val="left" w:pos="567"/>
        </w:tabs>
        <w:snapToGrid w:val="0"/>
        <w:spacing w:line="360" w:lineRule="auto"/>
        <w:jc w:val="left"/>
        <w:rPr>
          <w:rFonts w:hint="eastAsia" w:ascii="宋体" w:hAnsi="宋体" w:eastAsia="宋体" w:cs="宋体"/>
          <w:b/>
          <w:kern w:val="0"/>
          <w:sz w:val="24"/>
        </w:rPr>
      </w:pPr>
    </w:p>
    <w:p w14:paraId="2BC038C4">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2．法定代表人（负责人）授权委托书格式</w:t>
      </w:r>
    </w:p>
    <w:p w14:paraId="0207540A">
      <w:pPr>
        <w:snapToGrid w:val="0"/>
        <w:spacing w:line="360" w:lineRule="auto"/>
        <w:ind w:left="482" w:hanging="482" w:hangingChars="200"/>
        <w:jc w:val="center"/>
        <w:rPr>
          <w:rFonts w:hint="eastAsia" w:ascii="宋体" w:hAnsi="宋体" w:eastAsia="宋体" w:cs="宋体"/>
          <w:b/>
          <w:kern w:val="0"/>
          <w:sz w:val="24"/>
        </w:rPr>
      </w:pPr>
      <w:r>
        <w:rPr>
          <w:rFonts w:hint="eastAsia" w:ascii="宋体" w:hAnsi="宋体" w:eastAsia="宋体" w:cs="宋体"/>
          <w:b/>
          <w:kern w:val="0"/>
          <w:sz w:val="24"/>
        </w:rPr>
        <w:t>法定代表人（负责人）授权委托书</w:t>
      </w:r>
    </w:p>
    <w:p w14:paraId="00738AFD">
      <w:pPr>
        <w:snapToGrid w:val="0"/>
        <w:spacing w:line="360" w:lineRule="auto"/>
        <w:jc w:val="left"/>
        <w:rPr>
          <w:rFonts w:hint="eastAsia" w:ascii="宋体" w:hAnsi="宋体" w:eastAsia="宋体" w:cs="宋体"/>
          <w:kern w:val="0"/>
          <w:szCs w:val="21"/>
        </w:rPr>
      </w:pPr>
    </w:p>
    <w:p w14:paraId="5E1D9232">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代理机构名称</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2AD71C18">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本授权书声明：注册于</w:t>
      </w:r>
      <w:r>
        <w:rPr>
          <w:rFonts w:hint="eastAsia" w:ascii="宋体" w:hAnsi="宋体" w:eastAsia="宋体" w:cs="宋体"/>
          <w:kern w:val="0"/>
          <w:sz w:val="24"/>
          <w:u w:val="single"/>
        </w:rPr>
        <w:t xml:space="preserve">             （供应商住址）</w:t>
      </w:r>
      <w:r>
        <w:rPr>
          <w:rFonts w:hint="eastAsia" w:ascii="宋体" w:hAnsi="宋体" w:eastAsia="宋体" w:cs="宋体"/>
          <w:kern w:val="0"/>
          <w:sz w:val="24"/>
        </w:rPr>
        <w:t>的</w:t>
      </w:r>
      <w:r>
        <w:rPr>
          <w:rFonts w:hint="eastAsia" w:ascii="宋体" w:hAnsi="宋体" w:eastAsia="宋体" w:cs="宋体"/>
          <w:kern w:val="0"/>
          <w:sz w:val="24"/>
          <w:u w:val="single"/>
        </w:rPr>
        <w:t xml:space="preserve">               （供应商名称）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（法定代表人姓名、职务）</w:t>
      </w:r>
      <w:r>
        <w:rPr>
          <w:rFonts w:hint="eastAsia" w:ascii="宋体" w:hAnsi="宋体" w:eastAsia="宋体" w:cs="宋体"/>
          <w:kern w:val="0"/>
          <w:sz w:val="24"/>
        </w:rPr>
        <w:t>代表本公司授权</w:t>
      </w:r>
      <w:r>
        <w:rPr>
          <w:rFonts w:hint="eastAsia" w:ascii="宋体" w:hAnsi="宋体" w:eastAsia="宋体" w:cs="宋体"/>
          <w:kern w:val="0"/>
          <w:sz w:val="24"/>
          <w:u w:val="single"/>
        </w:rPr>
        <w:t xml:space="preserve">     （被授权人姓名、职务）</w:t>
      </w:r>
      <w:r>
        <w:rPr>
          <w:rFonts w:hint="eastAsia" w:ascii="宋体" w:hAnsi="宋体" w:eastAsia="宋体" w:cs="宋体"/>
          <w:kern w:val="0"/>
          <w:sz w:val="24"/>
        </w:rPr>
        <w:t>为本公司的合法代理人，就贵方组织的</w:t>
      </w:r>
      <w:r>
        <w:rPr>
          <w:rFonts w:hint="eastAsia" w:ascii="宋体" w:hAnsi="宋体" w:eastAsia="宋体" w:cs="宋体"/>
          <w:kern w:val="0"/>
          <w:sz w:val="24"/>
          <w:u w:val="single"/>
        </w:rPr>
        <w:t xml:space="preserve">             项目</w:t>
      </w:r>
      <w:r>
        <w:rPr>
          <w:rFonts w:hint="eastAsia" w:ascii="宋体" w:hAnsi="宋体" w:eastAsia="宋体" w:cs="宋体"/>
          <w:kern w:val="0"/>
          <w:sz w:val="24"/>
        </w:rPr>
        <w:t>，</w:t>
      </w:r>
      <w:r>
        <w:rPr>
          <w:rFonts w:hint="eastAsia" w:ascii="宋体" w:hAnsi="宋体" w:cs="宋体"/>
          <w:kern w:val="0"/>
          <w:sz w:val="24"/>
          <w:lang w:val="en-US" w:eastAsia="zh-CN"/>
        </w:rPr>
        <w:t>包号：</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w:t>
      </w:r>
      <w:r>
        <w:rPr>
          <w:rFonts w:hint="eastAsia" w:ascii="宋体" w:hAnsi="宋体" w:eastAsia="宋体" w:cs="宋体"/>
          <w:kern w:val="0"/>
          <w:sz w:val="24"/>
          <w:u w:val="single"/>
        </w:rPr>
        <w:t xml:space="preserve">项目编号：          </w:t>
      </w:r>
      <w:r>
        <w:rPr>
          <w:rFonts w:hint="eastAsia" w:ascii="宋体" w:hAnsi="宋体" w:eastAsia="宋体" w:cs="宋体"/>
          <w:kern w:val="0"/>
          <w:sz w:val="24"/>
        </w:rPr>
        <w:t>，以本公司名义处理一切与之有关的事务。</w:t>
      </w:r>
    </w:p>
    <w:p w14:paraId="02178760">
      <w:pPr>
        <w:snapToGrid w:val="0"/>
        <w:spacing w:line="360" w:lineRule="auto"/>
        <w:ind w:firstLine="480"/>
        <w:jc w:val="left"/>
        <w:rPr>
          <w:rFonts w:hint="eastAsia" w:ascii="宋体" w:hAnsi="宋体" w:eastAsia="宋体" w:cs="宋体"/>
          <w:kern w:val="0"/>
          <w:sz w:val="24"/>
        </w:rPr>
      </w:pPr>
    </w:p>
    <w:p w14:paraId="5EB6A3DC">
      <w:pPr>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本授权书于     年    月  日起生效。</w:t>
      </w:r>
    </w:p>
    <w:p w14:paraId="4E595389">
      <w:pPr>
        <w:snapToGrid w:val="0"/>
        <w:spacing w:line="360" w:lineRule="auto"/>
        <w:ind w:firstLine="480"/>
        <w:jc w:val="left"/>
        <w:rPr>
          <w:rFonts w:hint="eastAsia" w:ascii="宋体" w:hAnsi="宋体" w:eastAsia="宋体" w:cs="宋体"/>
          <w:kern w:val="0"/>
          <w:sz w:val="24"/>
        </w:rPr>
      </w:pPr>
    </w:p>
    <w:p w14:paraId="2574F9F6">
      <w:pPr>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特此声明</w:t>
      </w:r>
    </w:p>
    <w:p w14:paraId="449554EA">
      <w:pPr>
        <w:snapToGrid w:val="0"/>
        <w:spacing w:line="360" w:lineRule="auto"/>
        <w:rPr>
          <w:rFonts w:hint="eastAsia" w:ascii="宋体" w:hAnsi="宋体" w:eastAsia="宋体" w:cs="宋体"/>
          <w:kern w:val="0"/>
          <w:sz w:val="24"/>
        </w:rPr>
      </w:pPr>
    </w:p>
    <w:p w14:paraId="7B476482">
      <w:pPr>
        <w:snapToGrid w:val="0"/>
        <w:spacing w:line="480" w:lineRule="auto"/>
        <w:ind w:firstLine="2880" w:firstLineChars="1200"/>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08D55DAB">
      <w:pPr>
        <w:snapToGrid w:val="0"/>
        <w:spacing w:line="480" w:lineRule="auto"/>
        <w:jc w:val="center"/>
        <w:rPr>
          <w:rFonts w:hint="eastAsia" w:ascii="宋体" w:hAnsi="宋体" w:eastAsia="宋体" w:cs="宋体"/>
          <w:kern w:val="0"/>
          <w:sz w:val="24"/>
        </w:rPr>
      </w:pPr>
      <w:r>
        <w:rPr>
          <w:rFonts w:hint="eastAsia" w:ascii="宋体" w:hAnsi="宋体" w:eastAsia="宋体" w:cs="宋体"/>
          <w:kern w:val="0"/>
          <w:sz w:val="24"/>
        </w:rPr>
        <w:t xml:space="preserve">                        法定代表人（负责人）：</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1D80B346">
      <w:pPr>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auto"/>
          <w:kern w:val="0"/>
          <w:sz w:val="24"/>
        </w:rPr>
        <w:t xml:space="preserve">   供应商授权代表：</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（签字或盖章）</w:t>
      </w:r>
      <w:r>
        <w:rPr>
          <w:rFonts w:hint="eastAsia" w:ascii="宋体" w:hAnsi="宋体" w:eastAsia="宋体" w:cs="宋体"/>
          <w:kern w:val="0"/>
          <w:sz w:val="24"/>
        </w:rPr>
        <w:t xml:space="preserve">                                                  </w:t>
      </w:r>
    </w:p>
    <w:p w14:paraId="33820CBC">
      <w:pPr>
        <w:tabs>
          <w:tab w:val="left" w:pos="730"/>
        </w:tabs>
        <w:snapToGrid w:val="0"/>
        <w:spacing w:line="360" w:lineRule="auto"/>
        <w:rPr>
          <w:rFonts w:hint="eastAsia" w:ascii="宋体" w:hAnsi="宋体" w:eastAsia="宋体" w:cs="宋体"/>
          <w:b/>
          <w:bCs/>
          <w:kern w:val="0"/>
          <w:sz w:val="24"/>
        </w:rPr>
      </w:pPr>
      <w:r>
        <w:rPr>
          <w:rFonts w:hint="eastAsia" w:ascii="宋体" w:hAnsi="宋体" w:eastAsia="宋体" w:cs="宋体"/>
          <w:b/>
          <w:bCs/>
          <w:kern w:val="0"/>
          <w:sz w:val="24"/>
        </w:rPr>
        <w:t>附：被授权人身份证正反面扫描件或影印件。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E89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4615" w:type="dxa"/>
          </w:tcPr>
          <w:p w14:paraId="0165DC0D">
            <w:pPr>
              <w:spacing w:line="360" w:lineRule="auto"/>
              <w:rPr>
                <w:rFonts w:hint="eastAsia" w:ascii="宋体" w:hAnsi="宋体" w:eastAsia="宋体" w:cs="宋体"/>
                <w:sz w:val="24"/>
              </w:rPr>
            </w:pPr>
          </w:p>
        </w:tc>
        <w:tc>
          <w:tcPr>
            <w:tcW w:w="4615" w:type="dxa"/>
          </w:tcPr>
          <w:p w14:paraId="236A0383">
            <w:pPr>
              <w:spacing w:line="360" w:lineRule="auto"/>
              <w:rPr>
                <w:rFonts w:hint="eastAsia" w:ascii="宋体" w:hAnsi="宋体" w:eastAsia="宋体" w:cs="宋体"/>
                <w:sz w:val="24"/>
              </w:rPr>
            </w:pPr>
          </w:p>
        </w:tc>
      </w:tr>
    </w:tbl>
    <w:p w14:paraId="0AD43704">
      <w:pPr>
        <w:snapToGrid w:val="0"/>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注：</w:t>
      </w:r>
    </w:p>
    <w:p w14:paraId="2E6F359B">
      <w:pPr>
        <w:snapToGrid w:val="0"/>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 xml:space="preserve">1. 除可填报项目外，对本法定代表人授权委托书内容的修改将被视为未实质性响应，从而导致该响应文件被拒绝； </w:t>
      </w:r>
    </w:p>
    <w:p w14:paraId="5052F0C1">
      <w:pPr>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bCs/>
          <w:kern w:val="0"/>
          <w:sz w:val="24"/>
        </w:rPr>
        <w:t>2. 若供应商授权代表为法定代表人或负责人的可不提供。</w:t>
      </w:r>
    </w:p>
    <w:p w14:paraId="63781F2A">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3．磋商函格式</w:t>
      </w:r>
    </w:p>
    <w:p w14:paraId="444B54BD">
      <w:pPr>
        <w:spacing w:line="480" w:lineRule="exact"/>
        <w:jc w:val="center"/>
        <w:rPr>
          <w:rFonts w:hint="eastAsia" w:ascii="宋体" w:hAnsi="宋体" w:eastAsia="宋体" w:cs="宋体"/>
          <w:b/>
          <w:kern w:val="0"/>
          <w:sz w:val="24"/>
        </w:rPr>
      </w:pPr>
      <w:r>
        <w:rPr>
          <w:rFonts w:hint="eastAsia" w:ascii="宋体" w:hAnsi="宋体" w:eastAsia="宋体" w:cs="宋体"/>
          <w:b/>
          <w:kern w:val="0"/>
          <w:sz w:val="24"/>
        </w:rPr>
        <w:t>磋  商  函</w:t>
      </w:r>
    </w:p>
    <w:p w14:paraId="2954FF89">
      <w:pPr>
        <w:tabs>
          <w:tab w:val="left" w:pos="4860"/>
        </w:tabs>
        <w:snapToGrid w:val="0"/>
        <w:spacing w:line="360" w:lineRule="auto"/>
        <w:rPr>
          <w:rFonts w:hint="eastAsia" w:ascii="宋体" w:hAnsi="宋体" w:eastAsia="宋体" w:cs="宋体"/>
          <w:kern w:val="0"/>
          <w:sz w:val="24"/>
          <w:u w:val="single"/>
        </w:rPr>
      </w:pPr>
    </w:p>
    <w:p w14:paraId="05269F58">
      <w:pPr>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代理机构名称</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21569DE">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（供应商全称）</w:t>
      </w:r>
      <w:r>
        <w:rPr>
          <w:rFonts w:hint="eastAsia" w:ascii="宋体" w:hAnsi="宋体" w:eastAsia="宋体" w:cs="宋体"/>
          <w:kern w:val="0"/>
          <w:sz w:val="24"/>
        </w:rPr>
        <w:t>授权</w:t>
      </w:r>
      <w:r>
        <w:rPr>
          <w:rFonts w:hint="eastAsia" w:ascii="宋体" w:hAnsi="宋体" w:eastAsia="宋体" w:cs="宋体"/>
          <w:kern w:val="0"/>
          <w:sz w:val="24"/>
          <w:u w:val="single"/>
        </w:rPr>
        <w:t xml:space="preserve">            （供应商授权代表姓名、职务)</w:t>
      </w:r>
      <w:r>
        <w:rPr>
          <w:rFonts w:hint="eastAsia" w:ascii="宋体" w:hAnsi="宋体" w:eastAsia="宋体" w:cs="宋体"/>
          <w:kern w:val="0"/>
          <w:sz w:val="24"/>
        </w:rPr>
        <w:t>为我方代表，参加贵方组织的</w:t>
      </w:r>
      <w:r>
        <w:rPr>
          <w:rFonts w:hint="eastAsia" w:ascii="宋体" w:hAnsi="宋体" w:eastAsia="宋体" w:cs="宋体"/>
          <w:kern w:val="0"/>
          <w:sz w:val="24"/>
          <w:u w:val="single"/>
        </w:rPr>
        <w:t>（项目名称）</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包号</w:t>
      </w:r>
      <w:r>
        <w:rPr>
          <w:rFonts w:hint="eastAsia" w:ascii="宋体" w:hAnsi="宋体" w:cs="宋体"/>
          <w:kern w:val="0"/>
          <w:sz w:val="24"/>
          <w:u w:val="single"/>
          <w:lang w:eastAsia="zh-CN"/>
        </w:rPr>
        <w:t>）</w:t>
      </w:r>
      <w:r>
        <w:rPr>
          <w:rFonts w:hint="eastAsia" w:ascii="宋体" w:hAnsi="宋体" w:eastAsia="宋体" w:cs="宋体"/>
          <w:kern w:val="0"/>
          <w:sz w:val="24"/>
          <w:u w:val="single"/>
        </w:rPr>
        <w:t xml:space="preserve">（项目编号） </w:t>
      </w:r>
      <w:r>
        <w:rPr>
          <w:rFonts w:hint="eastAsia" w:ascii="宋体" w:hAnsi="宋体" w:eastAsia="宋体" w:cs="宋体"/>
          <w:kern w:val="0"/>
          <w:sz w:val="24"/>
        </w:rPr>
        <w:t>磋商的有关活动，并对此项目进行报价。为此：</w:t>
      </w:r>
    </w:p>
    <w:p w14:paraId="1B882D84">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1．我方同意在本项目响应文件中规定的响应文件提交截止之日起90个日历天内遵守本响应文件中的承诺且在此期限期满之前均具有约束力。</w:t>
      </w:r>
    </w:p>
    <w:p w14:paraId="52133897">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2．我方承诺已经具备《中华人民共和国政府采购法》、《政府采购竞争性磋商采购方式管理暂行办法》中规定的参加采购活动的供应商应当具备的全部条件。</w:t>
      </w:r>
    </w:p>
    <w:p w14:paraId="3BF090A4">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3．提供供应商须知规定的全部响应文件，包括响应文件。</w:t>
      </w:r>
    </w:p>
    <w:p w14:paraId="17CA1F6D">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4．按响应文件要求提供和交付的货物和服务的报价详见报价一览表。</w:t>
      </w:r>
    </w:p>
    <w:p w14:paraId="2C588965">
      <w:pPr>
        <w:tabs>
          <w:tab w:val="left" w:pos="1680"/>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5．我方承诺：完全理解并接受磋商报价超过预算金额时，磋商将被拒绝。</w:t>
      </w:r>
    </w:p>
    <w:p w14:paraId="4F51DBC0">
      <w:pPr>
        <w:tabs>
          <w:tab w:val="left" w:pos="1680"/>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6．保证忠实地执行双方所签订的合同，并承担合同规定的责任和义务。</w:t>
      </w:r>
    </w:p>
    <w:p w14:paraId="733D7798">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7．承诺完全满足和响应磋商文件中的各项商务和技术要求，若有偏差，已在响应文件商务和技术条款偏离表中予以明确特别说明。</w:t>
      </w:r>
    </w:p>
    <w:p w14:paraId="7529707A">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8．保证遵守磋商文件的规定。</w:t>
      </w:r>
    </w:p>
    <w:p w14:paraId="1F906878">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9．如果在规定的响应文件有效期内撤回响应文件，我方的磋商保证金可被贵方没收。</w:t>
      </w:r>
    </w:p>
    <w:p w14:paraId="4621CE42">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10．我方完全理解贵方不接受可选择性报价。</w:t>
      </w:r>
    </w:p>
    <w:p w14:paraId="4C1FE609">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11．我方愿意向贵方提供任何与本项磋商有关的数据、情况和技术资料。若贵方需要，我方愿意提供我方做出的一切承诺的证明材料。</w:t>
      </w:r>
    </w:p>
    <w:p w14:paraId="7BDA5FE2">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12．我方已详细审核全部响应文件，包括响应文件修改书（如有的话）、参考资料及有关附件，确认无误。</w:t>
      </w:r>
    </w:p>
    <w:p w14:paraId="4BE53C2F">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13．我方承诺：采购人若需追加采购本项目响应文件所列货物及相关服务的，在不改变合同其他实质性条款的前提下，按相同或更优惠的折扣并保证供货质量。</w:t>
      </w:r>
    </w:p>
    <w:p w14:paraId="73271372">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14．我方承诺接受磋商文件中《采购合同范本》的全部条款且无任何异议。</w:t>
      </w:r>
    </w:p>
    <w:p w14:paraId="54DB47F9">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15．我方将严格遵守《中华人民共和国政府采购法》</w:t>
      </w:r>
      <w:r>
        <w:rPr>
          <w:rFonts w:hint="eastAsia" w:ascii="宋体" w:hAnsi="宋体" w:eastAsia="宋体" w:cs="宋体"/>
          <w:sz w:val="24"/>
        </w:rPr>
        <w:t>、</w:t>
      </w:r>
      <w:r>
        <w:rPr>
          <w:rFonts w:hint="eastAsia" w:ascii="宋体" w:hAnsi="宋体" w:eastAsia="宋体" w:cs="宋体"/>
          <w:kern w:val="0"/>
          <w:sz w:val="24"/>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6D2F307F">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（1）提供虚假材料谋取成交的；</w:t>
      </w:r>
    </w:p>
    <w:p w14:paraId="3F8570DA">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（2）采取不正当手段诋毁、排挤其他供应商的；</w:t>
      </w:r>
    </w:p>
    <w:p w14:paraId="4752D8F5">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（3）与采购人、其它供应商或者代理机构工作人员恶意串通的；</w:t>
      </w:r>
    </w:p>
    <w:p w14:paraId="02F3410B">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（4）向采购人、代理机构工作人员行贿或者提供其他不正当利益的；</w:t>
      </w:r>
    </w:p>
    <w:p w14:paraId="30C2D963">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（5）响应文件提交截止时间后撤回响应文件的；</w:t>
      </w:r>
    </w:p>
    <w:p w14:paraId="6E485996">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（6）在磋商期间，影响代理机构或磋商小组正常履行职责的；</w:t>
      </w:r>
    </w:p>
    <w:p w14:paraId="45023745">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（7）未经代理机构同意，在采购过程中与采购人进行协商磋商的；</w:t>
      </w:r>
    </w:p>
    <w:p w14:paraId="0FD5BBCA">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（8）成交后未按磋商文件、响应文件及相关承诺规定签约或与采购人订立背离合同实质性内容的其它协议的；</w:t>
      </w:r>
    </w:p>
    <w:p w14:paraId="323B6F56">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（9）未按磋商文件规定和合同约定履行义务的；</w:t>
      </w:r>
    </w:p>
    <w:p w14:paraId="0F299B42">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（10）拒绝有关部门监督检查或提供虚假情况的；</w:t>
      </w:r>
    </w:p>
    <w:p w14:paraId="72EB4918">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（11）违反法律法规规定的其他行为。</w:t>
      </w:r>
    </w:p>
    <w:p w14:paraId="6D64DA1F">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所有有关本磋商项目的一切往来联系方式为：</w:t>
      </w:r>
    </w:p>
    <w:p w14:paraId="382F44B4">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rPr>
        <w:tab/>
      </w:r>
      <w:r>
        <w:rPr>
          <w:rFonts w:hint="eastAsia" w:ascii="宋体" w:hAnsi="宋体" w:eastAsia="宋体" w:cs="宋体"/>
          <w:kern w:val="0"/>
          <w:sz w:val="24"/>
        </w:rPr>
        <w:t xml:space="preserve">                            邮编：</w:t>
      </w:r>
      <w:r>
        <w:rPr>
          <w:rFonts w:hint="eastAsia" w:ascii="宋体" w:hAnsi="宋体" w:eastAsia="宋体" w:cs="宋体"/>
          <w:kern w:val="0"/>
          <w:sz w:val="24"/>
        </w:rPr>
        <w:tab/>
      </w:r>
    </w:p>
    <w:p w14:paraId="11B65B90">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rPr>
        <w:tab/>
      </w:r>
      <w:r>
        <w:rPr>
          <w:rFonts w:hint="eastAsia" w:ascii="宋体" w:hAnsi="宋体" w:eastAsia="宋体" w:cs="宋体"/>
          <w:kern w:val="0"/>
          <w:sz w:val="24"/>
        </w:rPr>
        <w:t xml:space="preserve">                            传真：</w:t>
      </w:r>
    </w:p>
    <w:p w14:paraId="6B6EDF58">
      <w:pPr>
        <w:tabs>
          <w:tab w:val="left" w:pos="48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供应商授权代表姓名：</w:t>
      </w:r>
    </w:p>
    <w:p w14:paraId="0B9A1C5A">
      <w:pPr>
        <w:tabs>
          <w:tab w:val="left" w:pos="48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供应商授权代表联系电话：                （办公）         （移动）</w:t>
      </w:r>
    </w:p>
    <w:p w14:paraId="6CAF2B2D">
      <w:pPr>
        <w:tabs>
          <w:tab w:val="left" w:pos="48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E-mail:</w:t>
      </w:r>
    </w:p>
    <w:p w14:paraId="65ADCA46">
      <w:pPr>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2DF20D50">
      <w:pPr>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法定代表人（负责人）或供应商授权代表：</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5330F61C">
      <w:pPr>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日　期：</w:t>
      </w:r>
    </w:p>
    <w:p w14:paraId="74887D2C">
      <w:pPr>
        <w:snapToGrid w:val="0"/>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注：除可填报项目外，对本磋商函内容的修改将被视为非实质性响应，从而导致该响应文件无效。</w:t>
      </w:r>
    </w:p>
    <w:p w14:paraId="19BEE953">
      <w:pPr>
        <w:tabs>
          <w:tab w:val="left" w:pos="567"/>
        </w:tabs>
        <w:snapToGrid w:val="0"/>
        <w:spacing w:line="360" w:lineRule="auto"/>
        <w:jc w:val="left"/>
        <w:rPr>
          <w:rFonts w:hint="eastAsia" w:ascii="宋体" w:hAnsi="宋体" w:eastAsia="宋体" w:cs="宋体"/>
          <w:b/>
          <w:kern w:val="0"/>
          <w:sz w:val="24"/>
        </w:rPr>
      </w:pPr>
    </w:p>
    <w:p w14:paraId="50D810EA">
      <w:pPr>
        <w:pStyle w:val="18"/>
        <w:rPr>
          <w:rFonts w:hint="eastAsia" w:ascii="宋体" w:hAnsi="宋体" w:eastAsia="宋体" w:cs="宋体"/>
        </w:rPr>
      </w:pPr>
    </w:p>
    <w:p w14:paraId="686BB4AE">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4．报价一览表格式</w:t>
      </w:r>
    </w:p>
    <w:p w14:paraId="068C688A">
      <w:pPr>
        <w:widowControl/>
        <w:spacing w:line="330" w:lineRule="atLeast"/>
        <w:jc w:val="left"/>
        <w:rPr>
          <w:rFonts w:hint="eastAsia" w:ascii="宋体" w:hAnsi="宋体" w:eastAsia="宋体" w:cs="宋体"/>
          <w:b/>
          <w:kern w:val="0"/>
          <w:sz w:val="24"/>
        </w:rPr>
      </w:pPr>
    </w:p>
    <w:p w14:paraId="6F86543B">
      <w:pPr>
        <w:jc w:val="center"/>
        <w:rPr>
          <w:rFonts w:hint="eastAsia" w:ascii="宋体" w:hAnsi="宋体" w:eastAsia="宋体" w:cs="宋体"/>
          <w:sz w:val="24"/>
        </w:rPr>
      </w:pPr>
      <w:r>
        <w:rPr>
          <w:rFonts w:hint="eastAsia" w:ascii="宋体" w:hAnsi="宋体" w:eastAsia="宋体" w:cs="宋体"/>
          <w:b/>
          <w:bCs/>
          <w:sz w:val="24"/>
        </w:rPr>
        <w:t>报价一览表</w:t>
      </w:r>
    </w:p>
    <w:p w14:paraId="723ED315">
      <w:pPr>
        <w:spacing w:line="360" w:lineRule="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cs="宋体"/>
          <w:sz w:val="24"/>
          <w:lang w:eastAsia="zh-CN"/>
        </w:rPr>
        <w:t>、</w:t>
      </w:r>
      <w:r>
        <w:rPr>
          <w:rFonts w:hint="eastAsia" w:ascii="宋体" w:hAnsi="宋体" w:cs="宋体"/>
          <w:sz w:val="24"/>
          <w:lang w:val="en-US" w:eastAsia="zh-CN"/>
        </w:rPr>
        <w:t>包号</w:t>
      </w:r>
      <w:r>
        <w:rPr>
          <w:rFonts w:hint="eastAsia" w:ascii="宋体" w:hAnsi="宋体" w:eastAsia="宋体" w:cs="宋体"/>
          <w:sz w:val="24"/>
        </w:rPr>
        <w:t>：</w:t>
      </w:r>
      <w:r>
        <w:rPr>
          <w:rFonts w:hint="eastAsia" w:ascii="宋体" w:hAnsi="宋体" w:cs="宋体"/>
          <w:sz w:val="24"/>
          <w:lang w:val="en-US" w:eastAsia="zh-CN"/>
        </w:rPr>
        <w:t xml:space="preserve">                                             </w:t>
      </w:r>
    </w:p>
    <w:p w14:paraId="29655C81">
      <w:pPr>
        <w:spacing w:line="360" w:lineRule="auto"/>
        <w:rPr>
          <w:rFonts w:hint="eastAsia" w:ascii="宋体" w:hAnsi="宋体" w:eastAsia="宋体" w:cs="宋体"/>
          <w:sz w:val="24"/>
        </w:rPr>
      </w:pPr>
      <w:r>
        <w:rPr>
          <w:rFonts w:hint="eastAsia" w:ascii="宋体" w:hAnsi="宋体" w:eastAsia="宋体" w:cs="宋体"/>
          <w:sz w:val="24"/>
        </w:rPr>
        <w:t>项目编号：</w:t>
      </w:r>
    </w:p>
    <w:p w14:paraId="2283615A">
      <w:pPr>
        <w:jc w:val="right"/>
        <w:rPr>
          <w:rFonts w:hint="eastAsia" w:ascii="宋体" w:hAnsi="宋体" w:eastAsia="宋体" w:cs="宋体"/>
          <w:sz w:val="24"/>
        </w:rPr>
      </w:pPr>
      <w:r>
        <w:rPr>
          <w:rFonts w:hint="eastAsia" w:ascii="宋体" w:hAnsi="宋体" w:eastAsia="宋体" w:cs="宋体"/>
          <w:sz w:val="24"/>
        </w:rPr>
        <w:t xml:space="preserve">货币：人民币/元 </w:t>
      </w:r>
    </w:p>
    <w:tbl>
      <w:tblPr>
        <w:tblStyle w:val="23"/>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2817"/>
        <w:gridCol w:w="2445"/>
        <w:gridCol w:w="1770"/>
      </w:tblGrid>
      <w:tr w14:paraId="4F39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699" w:type="dxa"/>
            <w:vAlign w:val="center"/>
          </w:tcPr>
          <w:p w14:paraId="62956360">
            <w:pPr>
              <w:jc w:val="center"/>
              <w:rPr>
                <w:rFonts w:hint="eastAsia" w:ascii="宋体" w:hAnsi="宋体" w:eastAsia="宋体" w:cs="宋体"/>
                <w:b/>
                <w:bCs/>
                <w:sz w:val="24"/>
              </w:rPr>
            </w:pPr>
            <w:r>
              <w:rPr>
                <w:rFonts w:hint="eastAsia" w:ascii="宋体" w:hAnsi="宋体" w:eastAsia="宋体" w:cs="宋体"/>
                <w:b/>
                <w:bCs/>
                <w:sz w:val="24"/>
              </w:rPr>
              <w:t>项目名称</w:t>
            </w:r>
          </w:p>
        </w:tc>
        <w:tc>
          <w:tcPr>
            <w:tcW w:w="2817" w:type="dxa"/>
            <w:vAlign w:val="center"/>
          </w:tcPr>
          <w:p w14:paraId="011CBEF6">
            <w:pPr>
              <w:jc w:val="center"/>
              <w:rPr>
                <w:rFonts w:hint="eastAsia" w:ascii="宋体" w:hAnsi="宋体" w:eastAsia="宋体" w:cs="宋体"/>
                <w:b/>
                <w:bCs/>
                <w:sz w:val="24"/>
              </w:rPr>
            </w:pPr>
            <w:r>
              <w:rPr>
                <w:rFonts w:hint="eastAsia" w:ascii="宋体" w:hAnsi="宋体" w:eastAsia="宋体" w:cs="宋体"/>
                <w:b/>
                <w:bCs/>
                <w:sz w:val="24"/>
              </w:rPr>
              <w:t>服务费</w:t>
            </w:r>
          </w:p>
        </w:tc>
        <w:tc>
          <w:tcPr>
            <w:tcW w:w="2445" w:type="dxa"/>
            <w:vAlign w:val="center"/>
          </w:tcPr>
          <w:p w14:paraId="680C5854">
            <w:pPr>
              <w:jc w:val="center"/>
              <w:rPr>
                <w:rFonts w:hint="eastAsia" w:ascii="宋体" w:hAnsi="宋体" w:eastAsia="宋体" w:cs="宋体"/>
                <w:b/>
                <w:bCs/>
                <w:sz w:val="24"/>
              </w:rPr>
            </w:pPr>
            <w:r>
              <w:rPr>
                <w:rFonts w:hint="eastAsia" w:ascii="宋体" w:hAnsi="宋体" w:eastAsia="宋体" w:cs="宋体"/>
                <w:b/>
                <w:bCs/>
                <w:sz w:val="24"/>
              </w:rPr>
              <w:t>合同履约期限</w:t>
            </w:r>
          </w:p>
          <w:p w14:paraId="5E1DFA26">
            <w:pPr>
              <w:jc w:val="center"/>
              <w:rPr>
                <w:rFonts w:hint="eastAsia" w:ascii="宋体" w:hAnsi="宋体" w:eastAsia="宋体" w:cs="宋体"/>
                <w:b/>
                <w:bCs/>
                <w:sz w:val="24"/>
              </w:rPr>
            </w:pPr>
            <w:r>
              <w:rPr>
                <w:rFonts w:hint="eastAsia" w:ascii="宋体" w:hAnsi="宋体" w:eastAsia="宋体" w:cs="宋体"/>
                <w:b/>
                <w:bCs/>
                <w:sz w:val="24"/>
              </w:rPr>
              <w:t>（服务期）</w:t>
            </w:r>
          </w:p>
        </w:tc>
        <w:tc>
          <w:tcPr>
            <w:tcW w:w="1770" w:type="dxa"/>
            <w:vAlign w:val="center"/>
          </w:tcPr>
          <w:p w14:paraId="2DF05A2C">
            <w:pPr>
              <w:jc w:val="center"/>
              <w:rPr>
                <w:rFonts w:hint="eastAsia" w:ascii="宋体" w:hAnsi="宋体" w:eastAsia="宋体" w:cs="宋体"/>
                <w:b/>
                <w:bCs/>
                <w:sz w:val="24"/>
              </w:rPr>
            </w:pPr>
            <w:r>
              <w:rPr>
                <w:rFonts w:hint="eastAsia" w:ascii="宋体" w:hAnsi="宋体" w:eastAsia="宋体" w:cs="宋体"/>
                <w:b/>
                <w:bCs/>
                <w:sz w:val="24"/>
              </w:rPr>
              <w:t>备注</w:t>
            </w:r>
          </w:p>
        </w:tc>
      </w:tr>
      <w:tr w14:paraId="2441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699" w:type="dxa"/>
          </w:tcPr>
          <w:p w14:paraId="67DB60F9">
            <w:pPr>
              <w:rPr>
                <w:rFonts w:hint="eastAsia" w:ascii="宋体" w:hAnsi="宋体" w:eastAsia="宋体" w:cs="宋体"/>
                <w:sz w:val="24"/>
              </w:rPr>
            </w:pPr>
          </w:p>
        </w:tc>
        <w:tc>
          <w:tcPr>
            <w:tcW w:w="2817" w:type="dxa"/>
          </w:tcPr>
          <w:p w14:paraId="4370B3EA">
            <w:pPr>
              <w:rPr>
                <w:rFonts w:hint="eastAsia" w:ascii="宋体" w:hAnsi="宋体" w:eastAsia="宋体" w:cs="宋体"/>
                <w:b/>
                <w:bCs/>
                <w:sz w:val="24"/>
              </w:rPr>
            </w:pPr>
            <w:r>
              <w:rPr>
                <w:rFonts w:hint="eastAsia" w:ascii="宋体" w:hAnsi="宋体" w:eastAsia="宋体" w:cs="宋体"/>
                <w:b/>
                <w:bCs/>
                <w:sz w:val="24"/>
              </w:rPr>
              <w:t>大写：</w:t>
            </w:r>
          </w:p>
          <w:p w14:paraId="5688A60C">
            <w:pPr>
              <w:jc w:val="center"/>
              <w:rPr>
                <w:rFonts w:hint="eastAsia" w:ascii="宋体" w:hAnsi="宋体" w:eastAsia="宋体" w:cs="宋体"/>
                <w:b/>
                <w:bCs/>
                <w:sz w:val="24"/>
              </w:rPr>
            </w:pPr>
          </w:p>
          <w:p w14:paraId="1C9F0F61">
            <w:pPr>
              <w:rPr>
                <w:rFonts w:hint="eastAsia" w:ascii="宋体" w:hAnsi="宋体" w:eastAsia="宋体" w:cs="宋体"/>
                <w:b/>
                <w:bCs/>
                <w:sz w:val="24"/>
              </w:rPr>
            </w:pPr>
          </w:p>
          <w:p w14:paraId="75AC1990">
            <w:pPr>
              <w:rPr>
                <w:rFonts w:hint="eastAsia" w:ascii="宋体" w:hAnsi="宋体" w:eastAsia="宋体" w:cs="宋体"/>
                <w:b/>
                <w:bCs/>
                <w:sz w:val="24"/>
              </w:rPr>
            </w:pPr>
            <w:r>
              <w:rPr>
                <w:rFonts w:hint="eastAsia" w:ascii="宋体" w:hAnsi="宋体" w:eastAsia="宋体" w:cs="宋体"/>
                <w:b/>
                <w:bCs/>
                <w:sz w:val="24"/>
              </w:rPr>
              <w:t>小写：</w:t>
            </w:r>
          </w:p>
        </w:tc>
        <w:tc>
          <w:tcPr>
            <w:tcW w:w="2445" w:type="dxa"/>
          </w:tcPr>
          <w:p w14:paraId="1EA3A8CB">
            <w:pPr>
              <w:jc w:val="center"/>
              <w:rPr>
                <w:rFonts w:hint="eastAsia" w:ascii="宋体" w:hAnsi="宋体" w:eastAsia="宋体" w:cs="宋体"/>
                <w:b/>
                <w:bCs/>
                <w:sz w:val="24"/>
              </w:rPr>
            </w:pPr>
          </w:p>
        </w:tc>
        <w:tc>
          <w:tcPr>
            <w:tcW w:w="1770" w:type="dxa"/>
          </w:tcPr>
          <w:p w14:paraId="6CAAC758">
            <w:pPr>
              <w:jc w:val="center"/>
              <w:rPr>
                <w:rFonts w:hint="eastAsia" w:ascii="宋体" w:hAnsi="宋体" w:eastAsia="宋体" w:cs="宋体"/>
                <w:b/>
                <w:bCs/>
                <w:sz w:val="24"/>
              </w:rPr>
            </w:pPr>
          </w:p>
        </w:tc>
      </w:tr>
    </w:tbl>
    <w:p w14:paraId="232F7A73">
      <w:pPr>
        <w:rPr>
          <w:rFonts w:hint="eastAsia" w:ascii="宋体" w:hAnsi="宋体" w:eastAsia="宋体" w:cs="宋体"/>
          <w:sz w:val="24"/>
        </w:rPr>
      </w:pPr>
    </w:p>
    <w:p w14:paraId="16901EA9">
      <w:pPr>
        <w:rPr>
          <w:rFonts w:hint="eastAsia" w:ascii="宋体" w:hAnsi="宋体" w:eastAsia="宋体" w:cs="宋体"/>
          <w:sz w:val="24"/>
        </w:rPr>
      </w:pPr>
      <w:r>
        <w:rPr>
          <w:rFonts w:hint="eastAsia" w:ascii="宋体" w:hAnsi="宋体" w:eastAsia="宋体" w:cs="宋体"/>
          <w:sz w:val="24"/>
        </w:rPr>
        <w:t>注：说明</w:t>
      </w:r>
    </w:p>
    <w:p w14:paraId="530E530A">
      <w:pPr>
        <w:rPr>
          <w:rFonts w:hint="eastAsia" w:ascii="宋体" w:hAnsi="宋体" w:eastAsia="宋体" w:cs="宋体"/>
          <w:sz w:val="24"/>
        </w:rPr>
      </w:pPr>
      <w:r>
        <w:rPr>
          <w:rFonts w:hint="eastAsia" w:ascii="宋体" w:hAnsi="宋体" w:eastAsia="宋体" w:cs="宋体"/>
          <w:sz w:val="24"/>
        </w:rPr>
        <w:t>1、报价以外的费用，采购人不予支付。</w:t>
      </w:r>
    </w:p>
    <w:p w14:paraId="0501F27E">
      <w:pPr>
        <w:rPr>
          <w:rFonts w:hint="eastAsia" w:ascii="宋体" w:hAnsi="宋体" w:eastAsia="宋体" w:cs="宋体"/>
          <w:sz w:val="24"/>
        </w:rPr>
      </w:pPr>
      <w:r>
        <w:rPr>
          <w:rFonts w:hint="eastAsia" w:ascii="宋体" w:hAnsi="宋体" w:eastAsia="宋体" w:cs="宋体"/>
          <w:sz w:val="24"/>
        </w:rPr>
        <w:t>2、合同执行过程中，合同价固定不变。</w:t>
      </w:r>
    </w:p>
    <w:p w14:paraId="78FA5155">
      <w:pPr>
        <w:rPr>
          <w:rFonts w:hint="eastAsia" w:ascii="宋体" w:hAnsi="宋体" w:eastAsia="宋体" w:cs="宋体"/>
          <w:sz w:val="24"/>
        </w:rPr>
      </w:pPr>
    </w:p>
    <w:p w14:paraId="0A068043">
      <w:pPr>
        <w:tabs>
          <w:tab w:val="left" w:pos="4000"/>
        </w:tabs>
        <w:snapToGrid w:val="0"/>
        <w:spacing w:line="480" w:lineRule="auto"/>
        <w:ind w:firstLine="1920" w:firstLineChars="800"/>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2AA6F2CF">
      <w:pPr>
        <w:tabs>
          <w:tab w:val="left" w:pos="4000"/>
        </w:tabs>
        <w:snapToGrid w:val="0"/>
        <w:spacing w:line="480" w:lineRule="auto"/>
        <w:ind w:firstLine="1920" w:firstLineChars="800"/>
        <w:jc w:val="left"/>
        <w:rPr>
          <w:rFonts w:hint="eastAsia" w:ascii="宋体" w:hAnsi="宋体" w:eastAsia="宋体" w:cs="宋体"/>
          <w:kern w:val="0"/>
          <w:sz w:val="24"/>
        </w:rPr>
      </w:pPr>
      <w:r>
        <w:rPr>
          <w:rFonts w:hint="eastAsia" w:ascii="宋体" w:hAnsi="宋体" w:eastAsia="宋体" w:cs="宋体"/>
          <w:kern w:val="0"/>
          <w:sz w:val="24"/>
        </w:rPr>
        <w:t>法定代表人（负责人）或供应商授权代表：</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3B673B27">
      <w:pPr>
        <w:snapToGrid w:val="0"/>
        <w:spacing w:line="480" w:lineRule="auto"/>
        <w:ind w:firstLine="1920" w:firstLineChars="800"/>
        <w:rPr>
          <w:rFonts w:hint="eastAsia" w:ascii="宋体" w:hAnsi="宋体" w:eastAsia="宋体" w:cs="宋体"/>
          <w:sz w:val="24"/>
        </w:rPr>
      </w:pPr>
      <w:r>
        <w:rPr>
          <w:rFonts w:hint="eastAsia" w:ascii="宋体" w:hAnsi="宋体" w:eastAsia="宋体" w:cs="宋体"/>
          <w:sz w:val="24"/>
        </w:rPr>
        <w:t>日     期：</w:t>
      </w:r>
    </w:p>
    <w:p w14:paraId="22339762">
      <w:pPr>
        <w:rPr>
          <w:rFonts w:hint="eastAsia" w:ascii="宋体" w:hAnsi="宋体" w:eastAsia="宋体" w:cs="宋体"/>
          <w:b/>
          <w:bCs/>
          <w:sz w:val="24"/>
        </w:rPr>
      </w:pPr>
      <w:r>
        <w:rPr>
          <w:rFonts w:hint="eastAsia" w:ascii="宋体" w:hAnsi="宋体" w:eastAsia="宋体" w:cs="宋体"/>
          <w:b/>
          <w:bCs/>
          <w:sz w:val="24"/>
        </w:rPr>
        <w:br w:type="page"/>
      </w:r>
    </w:p>
    <w:p w14:paraId="41601D04">
      <w:pPr>
        <w:rPr>
          <w:rFonts w:hint="eastAsia" w:ascii="宋体" w:hAnsi="宋体" w:eastAsia="宋体" w:cs="宋体"/>
          <w:b/>
          <w:bCs/>
          <w:sz w:val="24"/>
        </w:rPr>
      </w:pPr>
      <w:r>
        <w:rPr>
          <w:rFonts w:hint="eastAsia" w:ascii="宋体" w:hAnsi="宋体" w:eastAsia="宋体" w:cs="宋体"/>
          <w:b/>
          <w:kern w:val="0"/>
          <w:sz w:val="24"/>
        </w:rPr>
        <w:t>5．商务条款响应表格式</w:t>
      </w:r>
    </w:p>
    <w:p w14:paraId="24D5B379">
      <w:pPr>
        <w:snapToGrid w:val="0"/>
        <w:spacing w:line="360" w:lineRule="auto"/>
        <w:ind w:firstLine="482" w:firstLineChars="200"/>
        <w:jc w:val="center"/>
        <w:rPr>
          <w:rFonts w:hint="eastAsia" w:ascii="宋体" w:hAnsi="宋体" w:eastAsia="宋体" w:cs="宋体"/>
          <w:sz w:val="24"/>
        </w:rPr>
      </w:pPr>
      <w:r>
        <w:rPr>
          <w:rFonts w:hint="eastAsia" w:ascii="宋体" w:hAnsi="宋体" w:eastAsia="宋体" w:cs="宋体"/>
          <w:b/>
          <w:bCs/>
          <w:sz w:val="24"/>
        </w:rPr>
        <w:t>商务条款响应表</w:t>
      </w:r>
    </w:p>
    <w:p w14:paraId="04EFB556">
      <w:pPr>
        <w:spacing w:line="360" w:lineRule="auto"/>
        <w:rPr>
          <w:rFonts w:hint="eastAsia" w:ascii="宋体" w:hAnsi="宋体" w:eastAsia="宋体" w:cs="宋体"/>
          <w:sz w:val="24"/>
          <w:lang w:val="en-US" w:eastAsia="zh-CN"/>
        </w:rPr>
      </w:pPr>
      <w:r>
        <w:rPr>
          <w:rFonts w:hint="eastAsia" w:ascii="宋体" w:hAnsi="宋体" w:eastAsia="宋体" w:cs="宋体"/>
          <w:sz w:val="24"/>
        </w:rPr>
        <w:t>项目名称：</w:t>
      </w:r>
      <w:r>
        <w:rPr>
          <w:rFonts w:hint="eastAsia" w:ascii="宋体" w:hAnsi="宋体" w:cs="宋体"/>
          <w:sz w:val="24"/>
          <w:lang w:val="en-US" w:eastAsia="zh-CN"/>
        </w:rPr>
        <w:t xml:space="preserve">                                                   包号：</w:t>
      </w:r>
    </w:p>
    <w:p w14:paraId="4E65D24C">
      <w:pPr>
        <w:spacing w:line="360" w:lineRule="auto"/>
        <w:rPr>
          <w:rFonts w:hint="eastAsia" w:ascii="宋体" w:hAnsi="宋体" w:eastAsia="宋体" w:cs="宋体"/>
          <w:sz w:val="24"/>
        </w:rPr>
      </w:pPr>
      <w:r>
        <w:rPr>
          <w:rFonts w:hint="eastAsia" w:ascii="宋体" w:hAnsi="宋体" w:eastAsia="宋体" w:cs="宋体"/>
          <w:sz w:val="24"/>
        </w:rPr>
        <w:t>项目编号：</w:t>
      </w:r>
    </w:p>
    <w:tbl>
      <w:tblPr>
        <w:tblStyle w:val="22"/>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446"/>
        <w:gridCol w:w="2864"/>
        <w:gridCol w:w="1252"/>
      </w:tblGrid>
      <w:tr w14:paraId="0F10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96" w:type="dxa"/>
            <w:vAlign w:val="center"/>
          </w:tcPr>
          <w:p w14:paraId="0F50F7E8">
            <w:pPr>
              <w:snapToGrid w:val="0"/>
              <w:jc w:val="center"/>
              <w:rPr>
                <w:rFonts w:hint="eastAsia" w:ascii="宋体" w:hAnsi="宋体" w:eastAsia="宋体" w:cs="宋体"/>
                <w:sz w:val="24"/>
              </w:rPr>
            </w:pPr>
            <w:r>
              <w:rPr>
                <w:rFonts w:hint="eastAsia" w:ascii="宋体" w:hAnsi="宋体" w:eastAsia="宋体" w:cs="宋体"/>
                <w:sz w:val="24"/>
              </w:rPr>
              <w:t>序号</w:t>
            </w:r>
          </w:p>
        </w:tc>
        <w:tc>
          <w:tcPr>
            <w:tcW w:w="3446" w:type="dxa"/>
            <w:vAlign w:val="center"/>
          </w:tcPr>
          <w:p w14:paraId="13647F73">
            <w:pPr>
              <w:snapToGrid w:val="0"/>
              <w:spacing w:line="420" w:lineRule="exact"/>
              <w:jc w:val="center"/>
              <w:rPr>
                <w:rFonts w:hint="eastAsia" w:ascii="宋体" w:hAnsi="宋体" w:eastAsia="宋体" w:cs="宋体"/>
                <w:sz w:val="24"/>
              </w:rPr>
            </w:pPr>
            <w:r>
              <w:rPr>
                <w:rFonts w:hint="eastAsia" w:ascii="宋体" w:hAnsi="宋体" w:eastAsia="宋体" w:cs="宋体"/>
                <w:sz w:val="24"/>
              </w:rPr>
              <w:t>磋商文件商务要求</w:t>
            </w:r>
          </w:p>
        </w:tc>
        <w:tc>
          <w:tcPr>
            <w:tcW w:w="2864" w:type="dxa"/>
            <w:vAlign w:val="center"/>
          </w:tcPr>
          <w:p w14:paraId="52D19303">
            <w:pPr>
              <w:snapToGrid w:val="0"/>
              <w:jc w:val="center"/>
              <w:rPr>
                <w:rFonts w:hint="eastAsia" w:ascii="宋体" w:hAnsi="宋体" w:eastAsia="宋体" w:cs="宋体"/>
                <w:sz w:val="24"/>
              </w:rPr>
            </w:pPr>
            <w:r>
              <w:rPr>
                <w:rFonts w:hint="eastAsia" w:ascii="宋体" w:hAnsi="宋体" w:eastAsia="宋体" w:cs="宋体"/>
                <w:sz w:val="24"/>
              </w:rPr>
              <w:t>响应文件的对应响应</w:t>
            </w:r>
          </w:p>
        </w:tc>
        <w:tc>
          <w:tcPr>
            <w:tcW w:w="1252" w:type="dxa"/>
            <w:vAlign w:val="center"/>
          </w:tcPr>
          <w:p w14:paraId="24A3E6CF">
            <w:pPr>
              <w:snapToGrid w:val="0"/>
              <w:jc w:val="center"/>
              <w:rPr>
                <w:rFonts w:hint="eastAsia" w:ascii="宋体" w:hAnsi="宋体" w:eastAsia="宋体" w:cs="宋体"/>
                <w:sz w:val="24"/>
              </w:rPr>
            </w:pPr>
            <w:r>
              <w:rPr>
                <w:rFonts w:hint="eastAsia" w:ascii="宋体" w:hAnsi="宋体" w:eastAsia="宋体" w:cs="宋体"/>
                <w:sz w:val="24"/>
              </w:rPr>
              <w:t>说  明</w:t>
            </w:r>
          </w:p>
        </w:tc>
      </w:tr>
      <w:tr w14:paraId="0245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96" w:type="dxa"/>
            <w:vAlign w:val="center"/>
          </w:tcPr>
          <w:p w14:paraId="2DCF867C">
            <w:pPr>
              <w:snapToGrid w:val="0"/>
              <w:spacing w:line="480" w:lineRule="exact"/>
              <w:jc w:val="center"/>
              <w:rPr>
                <w:rFonts w:hint="eastAsia" w:ascii="宋体" w:hAnsi="宋体" w:eastAsia="宋体" w:cs="宋体"/>
                <w:sz w:val="24"/>
              </w:rPr>
            </w:pPr>
            <w:r>
              <w:rPr>
                <w:rFonts w:hint="eastAsia" w:ascii="宋体" w:hAnsi="宋体" w:eastAsia="宋体" w:cs="宋体"/>
                <w:sz w:val="24"/>
              </w:rPr>
              <w:t>1</w:t>
            </w:r>
          </w:p>
        </w:tc>
        <w:tc>
          <w:tcPr>
            <w:tcW w:w="3446" w:type="dxa"/>
            <w:vAlign w:val="center"/>
          </w:tcPr>
          <w:p w14:paraId="3470F1E1">
            <w:pPr>
              <w:snapToGrid w:val="0"/>
              <w:spacing w:line="420" w:lineRule="exact"/>
              <w:jc w:val="left"/>
              <w:rPr>
                <w:rFonts w:hint="eastAsia" w:ascii="宋体" w:hAnsi="宋体" w:eastAsia="宋体" w:cs="宋体"/>
                <w:sz w:val="24"/>
              </w:rPr>
            </w:pPr>
          </w:p>
        </w:tc>
        <w:tc>
          <w:tcPr>
            <w:tcW w:w="2864" w:type="dxa"/>
            <w:vAlign w:val="center"/>
          </w:tcPr>
          <w:p w14:paraId="492545E4">
            <w:pPr>
              <w:snapToGrid w:val="0"/>
              <w:jc w:val="center"/>
              <w:rPr>
                <w:rFonts w:hint="eastAsia" w:ascii="宋体" w:hAnsi="宋体" w:eastAsia="宋体" w:cs="宋体"/>
                <w:sz w:val="24"/>
              </w:rPr>
            </w:pPr>
          </w:p>
        </w:tc>
        <w:tc>
          <w:tcPr>
            <w:tcW w:w="1252" w:type="dxa"/>
            <w:vAlign w:val="center"/>
          </w:tcPr>
          <w:p w14:paraId="6EA6D438">
            <w:pPr>
              <w:snapToGrid w:val="0"/>
              <w:jc w:val="center"/>
              <w:rPr>
                <w:rFonts w:hint="eastAsia" w:ascii="宋体" w:hAnsi="宋体" w:eastAsia="宋体" w:cs="宋体"/>
                <w:sz w:val="24"/>
              </w:rPr>
            </w:pPr>
          </w:p>
        </w:tc>
      </w:tr>
      <w:tr w14:paraId="2FD8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6" w:type="dxa"/>
            <w:vAlign w:val="center"/>
          </w:tcPr>
          <w:p w14:paraId="7132D9A0">
            <w:pPr>
              <w:snapToGrid w:val="0"/>
              <w:spacing w:line="480" w:lineRule="exact"/>
              <w:jc w:val="center"/>
              <w:rPr>
                <w:rFonts w:hint="eastAsia" w:ascii="宋体" w:hAnsi="宋体" w:eastAsia="宋体" w:cs="宋体"/>
                <w:sz w:val="24"/>
              </w:rPr>
            </w:pPr>
            <w:r>
              <w:rPr>
                <w:rFonts w:hint="eastAsia" w:ascii="宋体" w:hAnsi="宋体" w:eastAsia="宋体" w:cs="宋体"/>
                <w:sz w:val="24"/>
              </w:rPr>
              <w:t>2</w:t>
            </w:r>
          </w:p>
        </w:tc>
        <w:tc>
          <w:tcPr>
            <w:tcW w:w="3446" w:type="dxa"/>
            <w:vAlign w:val="center"/>
          </w:tcPr>
          <w:p w14:paraId="5380A30B">
            <w:pPr>
              <w:snapToGrid w:val="0"/>
              <w:spacing w:line="420" w:lineRule="exact"/>
              <w:rPr>
                <w:rFonts w:hint="eastAsia" w:ascii="宋体" w:hAnsi="宋体" w:eastAsia="宋体" w:cs="宋体"/>
                <w:kern w:val="0"/>
                <w:sz w:val="24"/>
              </w:rPr>
            </w:pPr>
          </w:p>
        </w:tc>
        <w:tc>
          <w:tcPr>
            <w:tcW w:w="2864" w:type="dxa"/>
          </w:tcPr>
          <w:p w14:paraId="1800C1B4">
            <w:pPr>
              <w:snapToGrid w:val="0"/>
              <w:spacing w:line="480" w:lineRule="exact"/>
              <w:jc w:val="center"/>
              <w:rPr>
                <w:rFonts w:hint="eastAsia" w:ascii="宋体" w:hAnsi="宋体" w:eastAsia="宋体" w:cs="宋体"/>
                <w:sz w:val="24"/>
              </w:rPr>
            </w:pPr>
          </w:p>
        </w:tc>
        <w:tc>
          <w:tcPr>
            <w:tcW w:w="1252" w:type="dxa"/>
          </w:tcPr>
          <w:p w14:paraId="1FA95449">
            <w:pPr>
              <w:snapToGrid w:val="0"/>
              <w:spacing w:line="480" w:lineRule="exact"/>
              <w:jc w:val="center"/>
              <w:rPr>
                <w:rFonts w:hint="eastAsia" w:ascii="宋体" w:hAnsi="宋体" w:eastAsia="宋体" w:cs="宋体"/>
                <w:sz w:val="24"/>
              </w:rPr>
            </w:pPr>
          </w:p>
        </w:tc>
      </w:tr>
      <w:tr w14:paraId="1028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6" w:type="dxa"/>
            <w:vAlign w:val="center"/>
          </w:tcPr>
          <w:p w14:paraId="1AE4F695">
            <w:pPr>
              <w:snapToGrid w:val="0"/>
              <w:spacing w:line="480" w:lineRule="exact"/>
              <w:jc w:val="center"/>
              <w:rPr>
                <w:rFonts w:hint="eastAsia" w:ascii="宋体" w:hAnsi="宋体" w:eastAsia="宋体" w:cs="宋体"/>
                <w:sz w:val="24"/>
              </w:rPr>
            </w:pPr>
            <w:r>
              <w:rPr>
                <w:rFonts w:hint="eastAsia" w:ascii="宋体" w:hAnsi="宋体" w:eastAsia="宋体" w:cs="宋体"/>
                <w:sz w:val="24"/>
              </w:rPr>
              <w:t>3</w:t>
            </w:r>
          </w:p>
        </w:tc>
        <w:tc>
          <w:tcPr>
            <w:tcW w:w="3446" w:type="dxa"/>
            <w:vAlign w:val="center"/>
          </w:tcPr>
          <w:p w14:paraId="528CA534">
            <w:pPr>
              <w:spacing w:line="360" w:lineRule="auto"/>
              <w:rPr>
                <w:rFonts w:hint="eastAsia" w:ascii="宋体" w:hAnsi="宋体" w:eastAsia="宋体" w:cs="宋体"/>
                <w:kern w:val="0"/>
                <w:sz w:val="24"/>
              </w:rPr>
            </w:pPr>
          </w:p>
        </w:tc>
        <w:tc>
          <w:tcPr>
            <w:tcW w:w="2864" w:type="dxa"/>
          </w:tcPr>
          <w:p w14:paraId="2E6FCDF3">
            <w:pPr>
              <w:snapToGrid w:val="0"/>
              <w:spacing w:line="480" w:lineRule="exact"/>
              <w:jc w:val="center"/>
              <w:rPr>
                <w:rFonts w:hint="eastAsia" w:ascii="宋体" w:hAnsi="宋体" w:eastAsia="宋体" w:cs="宋体"/>
                <w:sz w:val="24"/>
              </w:rPr>
            </w:pPr>
          </w:p>
        </w:tc>
        <w:tc>
          <w:tcPr>
            <w:tcW w:w="1252" w:type="dxa"/>
          </w:tcPr>
          <w:p w14:paraId="12C159EC">
            <w:pPr>
              <w:snapToGrid w:val="0"/>
              <w:spacing w:line="480" w:lineRule="exact"/>
              <w:jc w:val="center"/>
              <w:rPr>
                <w:rFonts w:hint="eastAsia" w:ascii="宋体" w:hAnsi="宋体" w:eastAsia="宋体" w:cs="宋体"/>
                <w:sz w:val="24"/>
              </w:rPr>
            </w:pPr>
          </w:p>
        </w:tc>
      </w:tr>
      <w:tr w14:paraId="2BBA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6" w:type="dxa"/>
            <w:vAlign w:val="center"/>
          </w:tcPr>
          <w:p w14:paraId="56AEB836">
            <w:pPr>
              <w:snapToGrid w:val="0"/>
              <w:spacing w:line="480" w:lineRule="exact"/>
              <w:jc w:val="center"/>
              <w:rPr>
                <w:rFonts w:hint="eastAsia" w:ascii="宋体" w:hAnsi="宋体" w:eastAsia="宋体" w:cs="宋体"/>
                <w:sz w:val="24"/>
              </w:rPr>
            </w:pPr>
            <w:r>
              <w:rPr>
                <w:rFonts w:hint="eastAsia" w:ascii="宋体" w:hAnsi="宋体" w:eastAsia="宋体" w:cs="宋体"/>
                <w:sz w:val="24"/>
              </w:rPr>
              <w:t>4</w:t>
            </w:r>
          </w:p>
        </w:tc>
        <w:tc>
          <w:tcPr>
            <w:tcW w:w="3446" w:type="dxa"/>
            <w:vAlign w:val="center"/>
          </w:tcPr>
          <w:p w14:paraId="0A873DD3">
            <w:pPr>
              <w:tabs>
                <w:tab w:val="left" w:pos="474"/>
              </w:tabs>
              <w:snapToGrid w:val="0"/>
              <w:spacing w:line="420" w:lineRule="exact"/>
              <w:rPr>
                <w:rFonts w:hint="eastAsia" w:ascii="宋体" w:hAnsi="宋体" w:eastAsia="宋体" w:cs="宋体"/>
                <w:kern w:val="0"/>
                <w:sz w:val="24"/>
              </w:rPr>
            </w:pPr>
          </w:p>
        </w:tc>
        <w:tc>
          <w:tcPr>
            <w:tcW w:w="2864" w:type="dxa"/>
          </w:tcPr>
          <w:p w14:paraId="6A3F8289">
            <w:pPr>
              <w:snapToGrid w:val="0"/>
              <w:spacing w:line="480" w:lineRule="exact"/>
              <w:jc w:val="center"/>
              <w:rPr>
                <w:rFonts w:hint="eastAsia" w:ascii="宋体" w:hAnsi="宋体" w:eastAsia="宋体" w:cs="宋体"/>
                <w:sz w:val="24"/>
              </w:rPr>
            </w:pPr>
          </w:p>
        </w:tc>
        <w:tc>
          <w:tcPr>
            <w:tcW w:w="1252" w:type="dxa"/>
          </w:tcPr>
          <w:p w14:paraId="10CA9142">
            <w:pPr>
              <w:snapToGrid w:val="0"/>
              <w:spacing w:line="480" w:lineRule="exact"/>
              <w:jc w:val="center"/>
              <w:rPr>
                <w:rFonts w:hint="eastAsia" w:ascii="宋体" w:hAnsi="宋体" w:eastAsia="宋体" w:cs="宋体"/>
                <w:sz w:val="24"/>
              </w:rPr>
            </w:pPr>
          </w:p>
        </w:tc>
      </w:tr>
      <w:tr w14:paraId="664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6" w:type="dxa"/>
            <w:vAlign w:val="center"/>
          </w:tcPr>
          <w:p w14:paraId="48556456">
            <w:pPr>
              <w:snapToGrid w:val="0"/>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3446" w:type="dxa"/>
            <w:vAlign w:val="center"/>
          </w:tcPr>
          <w:p w14:paraId="6A138189">
            <w:pPr>
              <w:snapToGrid w:val="0"/>
              <w:spacing w:line="420" w:lineRule="exact"/>
              <w:rPr>
                <w:rFonts w:hint="eastAsia" w:ascii="宋体" w:hAnsi="宋体" w:eastAsia="宋体" w:cs="宋体"/>
                <w:kern w:val="0"/>
                <w:sz w:val="24"/>
              </w:rPr>
            </w:pPr>
          </w:p>
        </w:tc>
        <w:tc>
          <w:tcPr>
            <w:tcW w:w="2864" w:type="dxa"/>
          </w:tcPr>
          <w:p w14:paraId="6B9BBCAA">
            <w:pPr>
              <w:snapToGrid w:val="0"/>
              <w:spacing w:line="480" w:lineRule="exact"/>
              <w:jc w:val="center"/>
              <w:rPr>
                <w:rFonts w:hint="eastAsia" w:ascii="宋体" w:hAnsi="宋体" w:eastAsia="宋体" w:cs="宋体"/>
                <w:sz w:val="24"/>
              </w:rPr>
            </w:pPr>
          </w:p>
        </w:tc>
        <w:tc>
          <w:tcPr>
            <w:tcW w:w="1252" w:type="dxa"/>
          </w:tcPr>
          <w:p w14:paraId="48A94CC6">
            <w:pPr>
              <w:snapToGrid w:val="0"/>
              <w:spacing w:line="480" w:lineRule="exact"/>
              <w:jc w:val="center"/>
              <w:rPr>
                <w:rFonts w:hint="eastAsia" w:ascii="宋体" w:hAnsi="宋体" w:eastAsia="宋体" w:cs="宋体"/>
                <w:sz w:val="24"/>
              </w:rPr>
            </w:pPr>
          </w:p>
        </w:tc>
      </w:tr>
      <w:tr w14:paraId="68ED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96" w:type="dxa"/>
            <w:vAlign w:val="center"/>
          </w:tcPr>
          <w:p w14:paraId="05115DDD">
            <w:pPr>
              <w:snapToGrid w:val="0"/>
              <w:spacing w:line="400" w:lineRule="exact"/>
              <w:jc w:val="center"/>
              <w:rPr>
                <w:rFonts w:hint="eastAsia" w:ascii="宋体" w:hAnsi="宋体" w:eastAsia="宋体" w:cs="宋体"/>
                <w:sz w:val="24"/>
              </w:rPr>
            </w:pPr>
            <w:r>
              <w:rPr>
                <w:rFonts w:hint="eastAsia" w:ascii="宋体" w:hAnsi="宋体" w:eastAsia="宋体" w:cs="宋体"/>
                <w:sz w:val="24"/>
              </w:rPr>
              <w:t>6</w:t>
            </w:r>
          </w:p>
        </w:tc>
        <w:tc>
          <w:tcPr>
            <w:tcW w:w="3446" w:type="dxa"/>
            <w:vAlign w:val="center"/>
          </w:tcPr>
          <w:p w14:paraId="5829902A">
            <w:pPr>
              <w:snapToGrid w:val="0"/>
              <w:spacing w:line="420" w:lineRule="exact"/>
              <w:rPr>
                <w:rFonts w:hint="eastAsia" w:ascii="宋体" w:hAnsi="宋体" w:eastAsia="宋体" w:cs="宋体"/>
                <w:kern w:val="0"/>
                <w:sz w:val="24"/>
              </w:rPr>
            </w:pPr>
          </w:p>
        </w:tc>
        <w:tc>
          <w:tcPr>
            <w:tcW w:w="2864" w:type="dxa"/>
          </w:tcPr>
          <w:p w14:paraId="1FD07631">
            <w:pPr>
              <w:snapToGrid w:val="0"/>
              <w:spacing w:line="400" w:lineRule="exact"/>
              <w:jc w:val="center"/>
              <w:rPr>
                <w:rFonts w:hint="eastAsia" w:ascii="宋体" w:hAnsi="宋体" w:eastAsia="宋体" w:cs="宋体"/>
                <w:sz w:val="24"/>
              </w:rPr>
            </w:pPr>
          </w:p>
        </w:tc>
        <w:tc>
          <w:tcPr>
            <w:tcW w:w="1252" w:type="dxa"/>
          </w:tcPr>
          <w:p w14:paraId="110132EE">
            <w:pPr>
              <w:snapToGrid w:val="0"/>
              <w:spacing w:line="400" w:lineRule="exact"/>
              <w:jc w:val="center"/>
              <w:rPr>
                <w:rFonts w:hint="eastAsia" w:ascii="宋体" w:hAnsi="宋体" w:eastAsia="宋体" w:cs="宋体"/>
                <w:sz w:val="24"/>
              </w:rPr>
            </w:pPr>
          </w:p>
        </w:tc>
      </w:tr>
      <w:tr w14:paraId="2CA8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96" w:type="dxa"/>
            <w:vAlign w:val="center"/>
          </w:tcPr>
          <w:p w14:paraId="6ACF50E7">
            <w:pPr>
              <w:snapToGrid w:val="0"/>
              <w:spacing w:line="400" w:lineRule="exact"/>
              <w:jc w:val="center"/>
              <w:rPr>
                <w:rFonts w:hint="eastAsia" w:ascii="宋体" w:hAnsi="宋体" w:eastAsia="宋体" w:cs="宋体"/>
                <w:sz w:val="24"/>
              </w:rPr>
            </w:pPr>
            <w:r>
              <w:rPr>
                <w:rFonts w:hint="eastAsia" w:ascii="宋体" w:hAnsi="宋体" w:eastAsia="宋体" w:cs="宋体"/>
                <w:sz w:val="24"/>
              </w:rPr>
              <w:t>7</w:t>
            </w:r>
          </w:p>
        </w:tc>
        <w:tc>
          <w:tcPr>
            <w:tcW w:w="3446" w:type="dxa"/>
            <w:vAlign w:val="center"/>
          </w:tcPr>
          <w:p w14:paraId="54670BB9">
            <w:pPr>
              <w:snapToGrid w:val="0"/>
              <w:spacing w:line="420" w:lineRule="exact"/>
              <w:rPr>
                <w:rFonts w:hint="eastAsia" w:ascii="宋体" w:hAnsi="宋体" w:eastAsia="宋体" w:cs="宋体"/>
                <w:kern w:val="0"/>
                <w:sz w:val="24"/>
              </w:rPr>
            </w:pPr>
          </w:p>
        </w:tc>
        <w:tc>
          <w:tcPr>
            <w:tcW w:w="2864" w:type="dxa"/>
          </w:tcPr>
          <w:p w14:paraId="4A36DE08">
            <w:pPr>
              <w:snapToGrid w:val="0"/>
              <w:spacing w:line="400" w:lineRule="exact"/>
              <w:jc w:val="center"/>
              <w:rPr>
                <w:rFonts w:hint="eastAsia" w:ascii="宋体" w:hAnsi="宋体" w:eastAsia="宋体" w:cs="宋体"/>
                <w:sz w:val="24"/>
              </w:rPr>
            </w:pPr>
          </w:p>
        </w:tc>
        <w:tc>
          <w:tcPr>
            <w:tcW w:w="1252" w:type="dxa"/>
          </w:tcPr>
          <w:p w14:paraId="56D36E00">
            <w:pPr>
              <w:snapToGrid w:val="0"/>
              <w:spacing w:line="400" w:lineRule="exact"/>
              <w:jc w:val="center"/>
              <w:rPr>
                <w:rFonts w:hint="eastAsia" w:ascii="宋体" w:hAnsi="宋体" w:eastAsia="宋体" w:cs="宋体"/>
                <w:sz w:val="24"/>
              </w:rPr>
            </w:pPr>
          </w:p>
        </w:tc>
      </w:tr>
      <w:tr w14:paraId="6018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6" w:type="dxa"/>
            <w:vAlign w:val="center"/>
          </w:tcPr>
          <w:p w14:paraId="2E20DA06">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w:t>
            </w:r>
          </w:p>
        </w:tc>
        <w:tc>
          <w:tcPr>
            <w:tcW w:w="3446" w:type="dxa"/>
          </w:tcPr>
          <w:p w14:paraId="04783121">
            <w:pPr>
              <w:snapToGrid w:val="0"/>
              <w:spacing w:line="420" w:lineRule="exact"/>
              <w:rPr>
                <w:rFonts w:hint="eastAsia" w:ascii="宋体" w:hAnsi="宋体" w:eastAsia="宋体" w:cs="宋体"/>
                <w:color w:val="auto"/>
                <w:kern w:val="0"/>
                <w:sz w:val="24"/>
              </w:rPr>
            </w:pPr>
          </w:p>
        </w:tc>
        <w:tc>
          <w:tcPr>
            <w:tcW w:w="2864" w:type="dxa"/>
          </w:tcPr>
          <w:p w14:paraId="1FAA576E">
            <w:pPr>
              <w:snapToGrid w:val="0"/>
              <w:spacing w:line="400" w:lineRule="exact"/>
              <w:jc w:val="center"/>
              <w:rPr>
                <w:rFonts w:hint="eastAsia" w:ascii="宋体" w:hAnsi="宋体" w:eastAsia="宋体" w:cs="宋体"/>
                <w:color w:val="auto"/>
                <w:sz w:val="24"/>
              </w:rPr>
            </w:pPr>
          </w:p>
        </w:tc>
        <w:tc>
          <w:tcPr>
            <w:tcW w:w="1252" w:type="dxa"/>
          </w:tcPr>
          <w:p w14:paraId="0B57E994">
            <w:pPr>
              <w:snapToGrid w:val="0"/>
              <w:spacing w:line="400" w:lineRule="exact"/>
              <w:jc w:val="center"/>
              <w:rPr>
                <w:rFonts w:hint="eastAsia" w:ascii="宋体" w:hAnsi="宋体" w:eastAsia="宋体" w:cs="宋体"/>
                <w:color w:val="auto"/>
                <w:sz w:val="24"/>
              </w:rPr>
            </w:pPr>
          </w:p>
        </w:tc>
      </w:tr>
    </w:tbl>
    <w:p w14:paraId="0E94068F">
      <w:pPr>
        <w:widowControl/>
        <w:spacing w:line="330" w:lineRule="atLeast"/>
        <w:jc w:val="left"/>
        <w:rPr>
          <w:rFonts w:hint="eastAsia" w:ascii="宋体" w:hAnsi="宋体" w:eastAsia="宋体" w:cs="宋体"/>
          <w:kern w:val="0"/>
          <w:sz w:val="24"/>
        </w:rPr>
      </w:pPr>
    </w:p>
    <w:p w14:paraId="3CE72617">
      <w:pPr>
        <w:tabs>
          <w:tab w:val="left" w:pos="4000"/>
        </w:tabs>
        <w:snapToGrid w:val="0"/>
        <w:spacing w:line="480" w:lineRule="auto"/>
        <w:ind w:firstLine="1920" w:firstLineChars="800"/>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1F044618">
      <w:pPr>
        <w:tabs>
          <w:tab w:val="left" w:pos="4000"/>
        </w:tabs>
        <w:snapToGrid w:val="0"/>
        <w:spacing w:line="480" w:lineRule="auto"/>
        <w:ind w:firstLine="1920" w:firstLineChars="800"/>
        <w:jc w:val="left"/>
        <w:rPr>
          <w:rFonts w:hint="eastAsia" w:ascii="宋体" w:hAnsi="宋体" w:eastAsia="宋体" w:cs="宋体"/>
          <w:kern w:val="0"/>
          <w:sz w:val="24"/>
        </w:rPr>
      </w:pPr>
      <w:r>
        <w:rPr>
          <w:rFonts w:hint="eastAsia" w:ascii="宋体" w:hAnsi="宋体" w:eastAsia="宋体" w:cs="宋体"/>
          <w:kern w:val="0"/>
          <w:sz w:val="24"/>
        </w:rPr>
        <w:t>法定代表人（负责人）或供应商授权代表：</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2CF7DD99">
      <w:pPr>
        <w:snapToGrid w:val="0"/>
        <w:spacing w:line="480" w:lineRule="auto"/>
        <w:ind w:firstLine="1920" w:firstLineChars="800"/>
        <w:rPr>
          <w:rFonts w:hint="eastAsia" w:ascii="宋体" w:hAnsi="宋体" w:eastAsia="宋体" w:cs="宋体"/>
          <w:sz w:val="24"/>
        </w:rPr>
      </w:pPr>
      <w:r>
        <w:rPr>
          <w:rFonts w:hint="eastAsia" w:ascii="宋体" w:hAnsi="宋体" w:eastAsia="宋体" w:cs="宋体"/>
          <w:sz w:val="24"/>
        </w:rPr>
        <w:t>日     期：</w:t>
      </w:r>
    </w:p>
    <w:p w14:paraId="4D85E236">
      <w:pPr>
        <w:tabs>
          <w:tab w:val="left" w:pos="567"/>
        </w:tabs>
        <w:snapToGrid w:val="0"/>
        <w:spacing w:line="360" w:lineRule="auto"/>
        <w:jc w:val="left"/>
        <w:rPr>
          <w:rFonts w:hint="eastAsia" w:ascii="宋体" w:hAnsi="宋体" w:eastAsia="宋体" w:cs="宋体"/>
          <w:b/>
          <w:kern w:val="0"/>
          <w:sz w:val="24"/>
        </w:rPr>
      </w:pPr>
    </w:p>
    <w:p w14:paraId="4AE43043">
      <w:pPr>
        <w:tabs>
          <w:tab w:val="left" w:pos="567"/>
        </w:tabs>
        <w:snapToGrid w:val="0"/>
        <w:spacing w:line="360" w:lineRule="auto"/>
        <w:jc w:val="left"/>
        <w:rPr>
          <w:rFonts w:hint="eastAsia" w:ascii="宋体" w:hAnsi="宋体" w:eastAsia="宋体" w:cs="宋体"/>
          <w:b/>
          <w:kern w:val="0"/>
          <w:sz w:val="24"/>
        </w:rPr>
      </w:pPr>
    </w:p>
    <w:p w14:paraId="59F33F14">
      <w:pPr>
        <w:rPr>
          <w:rFonts w:hint="eastAsia" w:ascii="宋体" w:hAnsi="宋体" w:eastAsia="宋体" w:cs="宋体"/>
          <w:b/>
          <w:kern w:val="0"/>
          <w:sz w:val="24"/>
        </w:rPr>
      </w:pPr>
      <w:r>
        <w:rPr>
          <w:rFonts w:hint="eastAsia" w:ascii="宋体" w:hAnsi="宋体" w:eastAsia="宋体" w:cs="宋体"/>
          <w:b/>
          <w:kern w:val="0"/>
          <w:sz w:val="24"/>
        </w:rPr>
        <w:br w:type="page"/>
      </w:r>
    </w:p>
    <w:p w14:paraId="351C2019">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6.</w:t>
      </w:r>
      <w:r>
        <w:rPr>
          <w:rFonts w:hint="eastAsia" w:ascii="宋体" w:hAnsi="宋体" w:cs="宋体"/>
          <w:b/>
          <w:kern w:val="0"/>
          <w:sz w:val="24"/>
          <w:lang w:val="en-US" w:eastAsia="zh-CN"/>
        </w:rPr>
        <w:t>服务</w:t>
      </w:r>
      <w:r>
        <w:rPr>
          <w:rFonts w:hint="eastAsia" w:ascii="宋体" w:hAnsi="宋体" w:eastAsia="宋体" w:cs="宋体"/>
          <w:b/>
          <w:kern w:val="0"/>
          <w:sz w:val="24"/>
        </w:rPr>
        <w:t>技术规范响应及偏离表格式</w:t>
      </w:r>
    </w:p>
    <w:p w14:paraId="27C5870A">
      <w:pPr>
        <w:widowControl/>
        <w:snapToGrid w:val="0"/>
        <w:spacing w:line="360" w:lineRule="auto"/>
        <w:jc w:val="center"/>
        <w:rPr>
          <w:rFonts w:hint="eastAsia" w:ascii="宋体" w:hAnsi="宋体" w:eastAsia="宋体" w:cs="宋体"/>
          <w:b/>
          <w:kern w:val="0"/>
          <w:sz w:val="24"/>
        </w:rPr>
      </w:pPr>
      <w:r>
        <w:rPr>
          <w:rFonts w:hint="eastAsia" w:ascii="宋体" w:hAnsi="宋体" w:cs="宋体"/>
          <w:b/>
          <w:kern w:val="0"/>
          <w:sz w:val="24"/>
          <w:lang w:val="en-US" w:eastAsia="zh-CN"/>
        </w:rPr>
        <w:t>服务</w:t>
      </w:r>
      <w:r>
        <w:rPr>
          <w:rFonts w:hint="eastAsia" w:ascii="宋体" w:hAnsi="宋体" w:eastAsia="宋体" w:cs="宋体"/>
          <w:b/>
          <w:kern w:val="0"/>
          <w:sz w:val="24"/>
        </w:rPr>
        <w:t>技术规范响应及偏离表</w:t>
      </w:r>
    </w:p>
    <w:p w14:paraId="27FCCF22">
      <w:pPr>
        <w:widowControl/>
        <w:snapToGrid w:val="0"/>
        <w:spacing w:line="360" w:lineRule="auto"/>
        <w:rPr>
          <w:rFonts w:hint="eastAsia" w:ascii="宋体" w:hAnsi="宋体" w:eastAsia="宋体" w:cs="宋体"/>
          <w:kern w:val="0"/>
          <w:sz w:val="24"/>
        </w:rPr>
      </w:pPr>
    </w:p>
    <w:p w14:paraId="1C0038CF">
      <w:pPr>
        <w:widowControl/>
        <w:snapToGrid w:val="0"/>
        <w:spacing w:line="360" w:lineRule="auto"/>
        <w:rPr>
          <w:rFonts w:hint="eastAsia" w:ascii="宋体" w:hAnsi="宋体" w:eastAsia="宋体" w:cs="宋体"/>
          <w:kern w:val="0"/>
          <w:sz w:val="24"/>
          <w:lang w:val="en-US" w:eastAsia="zh-CN"/>
        </w:rPr>
      </w:pPr>
      <w:r>
        <w:rPr>
          <w:rFonts w:hint="eastAsia" w:ascii="宋体" w:hAnsi="宋体" w:eastAsia="宋体" w:cs="宋体"/>
          <w:kern w:val="0"/>
          <w:sz w:val="24"/>
        </w:rPr>
        <w:t>项目名称</w:t>
      </w:r>
      <w:r>
        <w:rPr>
          <w:rFonts w:hint="eastAsia" w:ascii="宋体" w:hAnsi="宋体" w:cs="宋体"/>
          <w:kern w:val="0"/>
          <w:sz w:val="24"/>
          <w:lang w:eastAsia="zh-CN"/>
        </w:rPr>
        <w:t>、</w:t>
      </w:r>
      <w:r>
        <w:rPr>
          <w:rFonts w:hint="eastAsia" w:ascii="宋体" w:hAnsi="宋体" w:cs="宋体"/>
          <w:kern w:val="0"/>
          <w:sz w:val="24"/>
          <w:lang w:val="en-US" w:eastAsia="zh-CN"/>
        </w:rPr>
        <w:t>包号</w:t>
      </w:r>
      <w:r>
        <w:rPr>
          <w:rFonts w:hint="eastAsia" w:ascii="宋体" w:hAnsi="宋体" w:eastAsia="宋体" w:cs="宋体"/>
          <w:kern w:val="0"/>
          <w:sz w:val="24"/>
        </w:rPr>
        <w:t>：</w:t>
      </w:r>
      <w:r>
        <w:rPr>
          <w:rFonts w:hint="eastAsia" w:ascii="宋体" w:hAnsi="宋体" w:cs="宋体"/>
          <w:kern w:val="0"/>
          <w:sz w:val="24"/>
          <w:lang w:val="en-US" w:eastAsia="zh-CN"/>
        </w:rPr>
        <w:t xml:space="preserve">                                                      </w:t>
      </w:r>
    </w:p>
    <w:p w14:paraId="0FF9D583">
      <w:pPr>
        <w:widowControl/>
        <w:snapToGrid w:val="0"/>
        <w:spacing w:line="360" w:lineRule="auto"/>
        <w:rPr>
          <w:rFonts w:hint="eastAsia" w:ascii="宋体" w:hAnsi="宋体" w:eastAsia="宋体" w:cs="宋体"/>
          <w:kern w:val="0"/>
          <w:sz w:val="24"/>
        </w:rPr>
      </w:pPr>
      <w:r>
        <w:rPr>
          <w:rFonts w:hint="eastAsia" w:ascii="宋体" w:hAnsi="宋体" w:eastAsia="宋体" w:cs="宋体"/>
          <w:kern w:val="0"/>
          <w:sz w:val="24"/>
        </w:rPr>
        <w:t>项目编号：</w:t>
      </w:r>
    </w:p>
    <w:tbl>
      <w:tblPr>
        <w:tblStyle w:val="22"/>
        <w:tblW w:w="859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59"/>
        <w:gridCol w:w="2863"/>
        <w:gridCol w:w="2863"/>
        <w:gridCol w:w="1204"/>
        <w:gridCol w:w="810"/>
      </w:tblGrid>
      <w:tr w14:paraId="1BF0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14" w:hRule="atLeast"/>
        </w:trPr>
        <w:tc>
          <w:tcPr>
            <w:tcW w:w="859" w:type="dxa"/>
            <w:tcBorders>
              <w:top w:val="single" w:color="000000" w:sz="6" w:space="0"/>
              <w:left w:val="single" w:color="000000" w:sz="6" w:space="0"/>
              <w:bottom w:val="single" w:color="000000" w:sz="6" w:space="0"/>
              <w:right w:val="single" w:color="auto" w:sz="4" w:space="0"/>
            </w:tcBorders>
            <w:vAlign w:val="center"/>
          </w:tcPr>
          <w:p w14:paraId="460F972E">
            <w:pPr>
              <w:widowControl/>
              <w:snapToGrid w:val="0"/>
              <w:jc w:val="center"/>
              <w:rPr>
                <w:rFonts w:hint="eastAsia" w:ascii="宋体" w:hAnsi="宋体" w:eastAsia="宋体" w:cs="宋体"/>
                <w:kern w:val="0"/>
                <w:sz w:val="24"/>
              </w:rPr>
            </w:pPr>
            <w:r>
              <w:rPr>
                <w:rFonts w:hint="eastAsia" w:ascii="宋体" w:hAnsi="宋体" w:eastAsia="宋体" w:cs="宋体"/>
                <w:kern w:val="0"/>
                <w:sz w:val="24"/>
              </w:rPr>
              <w:t>序号</w:t>
            </w:r>
          </w:p>
        </w:tc>
        <w:tc>
          <w:tcPr>
            <w:tcW w:w="2863" w:type="dxa"/>
            <w:tcBorders>
              <w:top w:val="single" w:color="000000" w:sz="6" w:space="0"/>
              <w:left w:val="single" w:color="000000" w:sz="6" w:space="0"/>
              <w:bottom w:val="single" w:color="000000" w:sz="6" w:space="0"/>
              <w:right w:val="single" w:color="000000" w:sz="6" w:space="0"/>
            </w:tcBorders>
            <w:vAlign w:val="center"/>
          </w:tcPr>
          <w:p w14:paraId="15B2FB79">
            <w:pPr>
              <w:widowControl/>
              <w:snapToGrid w:val="0"/>
              <w:jc w:val="center"/>
              <w:rPr>
                <w:rFonts w:hint="eastAsia" w:ascii="宋体" w:hAnsi="宋体" w:eastAsia="宋体" w:cs="宋体"/>
                <w:kern w:val="0"/>
                <w:sz w:val="24"/>
              </w:rPr>
            </w:pPr>
            <w:r>
              <w:rPr>
                <w:rFonts w:hint="eastAsia" w:ascii="宋体" w:hAnsi="宋体" w:eastAsia="宋体" w:cs="宋体"/>
                <w:kern w:val="0"/>
                <w:sz w:val="24"/>
              </w:rPr>
              <w:t>磋商文件</w:t>
            </w:r>
            <w:r>
              <w:rPr>
                <w:rFonts w:hint="eastAsia" w:ascii="宋体" w:hAnsi="宋体" w:eastAsia="宋体" w:cs="宋体"/>
                <w:kern w:val="0"/>
                <w:sz w:val="24"/>
                <w:lang w:val="en-US" w:eastAsia="zh-CN"/>
              </w:rPr>
              <w:t>服务</w:t>
            </w:r>
            <w:r>
              <w:rPr>
                <w:rFonts w:hint="eastAsia" w:ascii="宋体" w:hAnsi="宋体" w:eastAsia="宋体" w:cs="宋体"/>
                <w:kern w:val="0"/>
                <w:sz w:val="24"/>
              </w:rPr>
              <w:t>技术</w:t>
            </w:r>
          </w:p>
          <w:p w14:paraId="5E6EF59D">
            <w:pPr>
              <w:widowControl/>
              <w:snapToGrid w:val="0"/>
              <w:jc w:val="center"/>
              <w:rPr>
                <w:rFonts w:hint="eastAsia" w:ascii="宋体" w:hAnsi="宋体" w:eastAsia="宋体" w:cs="宋体"/>
                <w:kern w:val="0"/>
                <w:sz w:val="24"/>
              </w:rPr>
            </w:pPr>
            <w:r>
              <w:rPr>
                <w:rFonts w:hint="eastAsia" w:ascii="宋体" w:hAnsi="宋体" w:eastAsia="宋体" w:cs="宋体"/>
                <w:kern w:val="0"/>
                <w:sz w:val="24"/>
              </w:rPr>
              <w:t>规范、要求</w:t>
            </w:r>
          </w:p>
        </w:tc>
        <w:tc>
          <w:tcPr>
            <w:tcW w:w="2863" w:type="dxa"/>
            <w:tcBorders>
              <w:top w:val="single" w:color="000000" w:sz="6" w:space="0"/>
              <w:left w:val="single" w:color="000000" w:sz="6" w:space="0"/>
              <w:bottom w:val="single" w:color="000000" w:sz="6" w:space="0"/>
              <w:right w:val="single" w:color="000000" w:sz="6" w:space="0"/>
            </w:tcBorders>
            <w:vAlign w:val="center"/>
          </w:tcPr>
          <w:p w14:paraId="54600DDA">
            <w:pPr>
              <w:widowControl/>
              <w:snapToGrid w:val="0"/>
              <w:jc w:val="center"/>
              <w:rPr>
                <w:rFonts w:hint="eastAsia" w:ascii="宋体" w:hAnsi="宋体" w:eastAsia="宋体" w:cs="宋体"/>
                <w:kern w:val="0"/>
                <w:sz w:val="24"/>
              </w:rPr>
            </w:pPr>
            <w:r>
              <w:rPr>
                <w:rFonts w:hint="eastAsia" w:ascii="宋体" w:hAnsi="宋体" w:eastAsia="宋体" w:cs="宋体"/>
                <w:kern w:val="0"/>
                <w:sz w:val="24"/>
              </w:rPr>
              <w:t>响应文件</w:t>
            </w:r>
          </w:p>
          <w:p w14:paraId="4AC8897C">
            <w:pPr>
              <w:widowControl/>
              <w:snapToGrid w:val="0"/>
              <w:jc w:val="center"/>
              <w:rPr>
                <w:rFonts w:hint="eastAsia" w:ascii="宋体" w:hAnsi="宋体" w:eastAsia="宋体" w:cs="宋体"/>
                <w:kern w:val="0"/>
                <w:sz w:val="24"/>
              </w:rPr>
            </w:pPr>
            <w:r>
              <w:rPr>
                <w:rFonts w:hint="eastAsia" w:ascii="宋体" w:hAnsi="宋体" w:eastAsia="宋体" w:cs="宋体"/>
                <w:kern w:val="0"/>
                <w:sz w:val="24"/>
              </w:rPr>
              <w:t>对应</w:t>
            </w:r>
            <w:r>
              <w:rPr>
                <w:rFonts w:hint="eastAsia" w:ascii="宋体" w:hAnsi="宋体" w:eastAsia="宋体" w:cs="宋体"/>
                <w:kern w:val="0"/>
                <w:sz w:val="24"/>
                <w:lang w:val="en-US" w:eastAsia="zh-CN"/>
              </w:rPr>
              <w:t>服务</w:t>
            </w:r>
            <w:r>
              <w:rPr>
                <w:rFonts w:hint="eastAsia" w:ascii="宋体" w:hAnsi="宋体" w:eastAsia="宋体" w:cs="宋体"/>
                <w:kern w:val="0"/>
                <w:sz w:val="24"/>
              </w:rPr>
              <w:t>规范</w:t>
            </w:r>
          </w:p>
        </w:tc>
        <w:tc>
          <w:tcPr>
            <w:tcW w:w="1204" w:type="dxa"/>
            <w:tcBorders>
              <w:top w:val="single" w:color="000000" w:sz="6" w:space="0"/>
              <w:left w:val="single" w:color="000000" w:sz="6" w:space="0"/>
              <w:bottom w:val="single" w:color="000000" w:sz="6" w:space="0"/>
              <w:right w:val="single" w:color="000000" w:sz="6" w:space="0"/>
            </w:tcBorders>
            <w:vAlign w:val="center"/>
          </w:tcPr>
          <w:p w14:paraId="46420AE6">
            <w:pPr>
              <w:widowControl/>
              <w:snapToGrid w:val="0"/>
              <w:jc w:val="center"/>
              <w:rPr>
                <w:rFonts w:hint="eastAsia" w:ascii="宋体" w:hAnsi="宋体" w:eastAsia="宋体" w:cs="宋体"/>
                <w:kern w:val="0"/>
                <w:sz w:val="24"/>
              </w:rPr>
            </w:pPr>
            <w:r>
              <w:rPr>
                <w:rFonts w:hint="eastAsia" w:ascii="宋体" w:hAnsi="宋体" w:eastAsia="宋体" w:cs="宋体"/>
                <w:kern w:val="0"/>
                <w:sz w:val="24"/>
              </w:rPr>
              <w:t>偏离</w:t>
            </w:r>
          </w:p>
          <w:p w14:paraId="145AD7D5">
            <w:pPr>
              <w:widowControl/>
              <w:snapToGrid w:val="0"/>
              <w:jc w:val="center"/>
              <w:rPr>
                <w:rFonts w:hint="eastAsia" w:ascii="宋体" w:hAnsi="宋体" w:eastAsia="宋体" w:cs="宋体"/>
                <w:kern w:val="0"/>
                <w:sz w:val="24"/>
              </w:rPr>
            </w:pPr>
            <w:r>
              <w:rPr>
                <w:rFonts w:hint="eastAsia" w:ascii="宋体" w:hAnsi="宋体" w:eastAsia="宋体" w:cs="宋体"/>
                <w:kern w:val="0"/>
                <w:sz w:val="24"/>
              </w:rPr>
              <w:t>情况</w:t>
            </w:r>
          </w:p>
        </w:tc>
        <w:tc>
          <w:tcPr>
            <w:tcW w:w="810" w:type="dxa"/>
            <w:tcBorders>
              <w:top w:val="single" w:color="000000" w:sz="6" w:space="0"/>
              <w:left w:val="single" w:color="000000" w:sz="6" w:space="0"/>
              <w:bottom w:val="single" w:color="000000" w:sz="6" w:space="0"/>
              <w:right w:val="single" w:color="000000" w:sz="6" w:space="0"/>
            </w:tcBorders>
            <w:vAlign w:val="center"/>
          </w:tcPr>
          <w:p w14:paraId="66D86508">
            <w:pPr>
              <w:widowControl/>
              <w:snapToGrid w:val="0"/>
              <w:jc w:val="center"/>
              <w:rPr>
                <w:rFonts w:hint="eastAsia" w:ascii="宋体" w:hAnsi="宋体" w:eastAsia="宋体" w:cs="宋体"/>
                <w:kern w:val="0"/>
                <w:sz w:val="24"/>
              </w:rPr>
            </w:pPr>
            <w:r>
              <w:rPr>
                <w:rFonts w:hint="eastAsia" w:ascii="宋体" w:hAnsi="宋体" w:eastAsia="宋体" w:cs="宋体"/>
                <w:kern w:val="0"/>
                <w:sz w:val="24"/>
              </w:rPr>
              <w:t>备注</w:t>
            </w:r>
          </w:p>
        </w:tc>
      </w:tr>
      <w:tr w14:paraId="022C9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98" w:hRule="atLeast"/>
        </w:trPr>
        <w:tc>
          <w:tcPr>
            <w:tcW w:w="859" w:type="dxa"/>
            <w:tcBorders>
              <w:top w:val="single" w:color="000000" w:sz="6" w:space="0"/>
              <w:left w:val="single" w:color="000000" w:sz="6" w:space="0"/>
              <w:bottom w:val="single" w:color="000000" w:sz="6" w:space="0"/>
              <w:right w:val="single" w:color="auto" w:sz="4" w:space="0"/>
            </w:tcBorders>
            <w:vAlign w:val="center"/>
          </w:tcPr>
          <w:p w14:paraId="459F33E9">
            <w:pPr>
              <w:widowControl/>
              <w:snapToGrid w:val="0"/>
              <w:jc w:val="center"/>
              <w:rPr>
                <w:rFonts w:hint="eastAsia" w:ascii="宋体" w:hAnsi="宋体" w:eastAsia="宋体" w:cs="宋体"/>
                <w:kern w:val="0"/>
                <w:sz w:val="24"/>
              </w:rPr>
            </w:pPr>
            <w:r>
              <w:rPr>
                <w:rFonts w:hint="eastAsia" w:ascii="宋体" w:hAnsi="宋体" w:eastAsia="宋体" w:cs="宋体"/>
                <w:kern w:val="0"/>
                <w:sz w:val="24"/>
              </w:rPr>
              <w:t>1</w:t>
            </w:r>
          </w:p>
        </w:tc>
        <w:tc>
          <w:tcPr>
            <w:tcW w:w="2863" w:type="dxa"/>
            <w:tcBorders>
              <w:top w:val="single" w:color="000000" w:sz="6" w:space="0"/>
              <w:left w:val="single" w:color="000000" w:sz="6" w:space="0"/>
              <w:bottom w:val="single" w:color="000000" w:sz="6" w:space="0"/>
              <w:right w:val="single" w:color="000000" w:sz="6" w:space="0"/>
            </w:tcBorders>
            <w:vAlign w:val="center"/>
          </w:tcPr>
          <w:p w14:paraId="072EA842">
            <w:pPr>
              <w:widowControl/>
              <w:snapToGrid w:val="0"/>
              <w:jc w:val="left"/>
              <w:rPr>
                <w:rFonts w:hint="eastAsia" w:ascii="宋体" w:hAnsi="宋体" w:eastAsia="宋体" w:cs="宋体"/>
                <w:kern w:val="0"/>
                <w:sz w:val="24"/>
              </w:rPr>
            </w:pPr>
          </w:p>
        </w:tc>
        <w:tc>
          <w:tcPr>
            <w:tcW w:w="2863" w:type="dxa"/>
            <w:tcBorders>
              <w:top w:val="single" w:color="000000" w:sz="6" w:space="0"/>
              <w:left w:val="single" w:color="000000" w:sz="6" w:space="0"/>
              <w:bottom w:val="single" w:color="000000" w:sz="6" w:space="0"/>
              <w:right w:val="single" w:color="000000" w:sz="6" w:space="0"/>
            </w:tcBorders>
            <w:vAlign w:val="center"/>
          </w:tcPr>
          <w:p w14:paraId="7E0A0E13">
            <w:pPr>
              <w:widowControl/>
              <w:snapToGrid w:val="0"/>
              <w:spacing w:line="360" w:lineRule="auto"/>
              <w:jc w:val="center"/>
              <w:rPr>
                <w:rFonts w:hint="eastAsia" w:ascii="宋体" w:hAnsi="宋体" w:eastAsia="宋体" w:cs="宋体"/>
                <w:kern w:val="0"/>
                <w:sz w:val="24"/>
              </w:rPr>
            </w:pPr>
          </w:p>
        </w:tc>
        <w:tc>
          <w:tcPr>
            <w:tcW w:w="1204" w:type="dxa"/>
            <w:tcBorders>
              <w:top w:val="single" w:color="000000" w:sz="6" w:space="0"/>
              <w:left w:val="single" w:color="000000" w:sz="6" w:space="0"/>
              <w:bottom w:val="single" w:color="000000" w:sz="6" w:space="0"/>
              <w:right w:val="single" w:color="000000" w:sz="6" w:space="0"/>
            </w:tcBorders>
            <w:vAlign w:val="center"/>
          </w:tcPr>
          <w:p w14:paraId="3FB921D9">
            <w:pPr>
              <w:widowControl/>
              <w:snapToGrid w:val="0"/>
              <w:spacing w:line="360" w:lineRule="auto"/>
              <w:jc w:val="center"/>
              <w:rPr>
                <w:rFonts w:hint="eastAsia" w:ascii="宋体" w:hAnsi="宋体" w:eastAsia="宋体" w:cs="宋体"/>
                <w:kern w:val="0"/>
                <w:sz w:val="24"/>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61F88003">
            <w:pPr>
              <w:widowControl/>
              <w:snapToGrid w:val="0"/>
              <w:spacing w:line="360" w:lineRule="auto"/>
              <w:jc w:val="center"/>
              <w:rPr>
                <w:rFonts w:hint="eastAsia" w:ascii="宋体" w:hAnsi="宋体" w:eastAsia="宋体" w:cs="宋体"/>
                <w:kern w:val="0"/>
                <w:sz w:val="24"/>
              </w:rPr>
            </w:pPr>
          </w:p>
        </w:tc>
      </w:tr>
      <w:tr w14:paraId="383F1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98" w:hRule="atLeast"/>
        </w:trPr>
        <w:tc>
          <w:tcPr>
            <w:tcW w:w="859" w:type="dxa"/>
            <w:tcBorders>
              <w:top w:val="single" w:color="000000" w:sz="6" w:space="0"/>
              <w:left w:val="single" w:color="000000" w:sz="6" w:space="0"/>
              <w:bottom w:val="single" w:color="000000" w:sz="6" w:space="0"/>
              <w:right w:val="single" w:color="auto" w:sz="4" w:space="0"/>
            </w:tcBorders>
            <w:vAlign w:val="center"/>
          </w:tcPr>
          <w:p w14:paraId="6762B0B4">
            <w:pPr>
              <w:widowControl/>
              <w:snapToGrid w:val="0"/>
              <w:jc w:val="center"/>
              <w:rPr>
                <w:rFonts w:hint="eastAsia" w:ascii="宋体" w:hAnsi="宋体" w:eastAsia="宋体" w:cs="宋体"/>
                <w:kern w:val="0"/>
                <w:sz w:val="24"/>
              </w:rPr>
            </w:pPr>
            <w:r>
              <w:rPr>
                <w:rFonts w:hint="eastAsia" w:ascii="宋体" w:hAnsi="宋体" w:eastAsia="宋体" w:cs="宋体"/>
                <w:kern w:val="0"/>
                <w:sz w:val="24"/>
              </w:rPr>
              <w:t>2</w:t>
            </w:r>
          </w:p>
        </w:tc>
        <w:tc>
          <w:tcPr>
            <w:tcW w:w="2863" w:type="dxa"/>
            <w:tcBorders>
              <w:top w:val="single" w:color="000000" w:sz="6" w:space="0"/>
              <w:left w:val="single" w:color="000000" w:sz="6" w:space="0"/>
              <w:bottom w:val="single" w:color="000000" w:sz="6" w:space="0"/>
              <w:right w:val="single" w:color="000000" w:sz="6" w:space="0"/>
            </w:tcBorders>
            <w:vAlign w:val="center"/>
          </w:tcPr>
          <w:p w14:paraId="635EE754">
            <w:pPr>
              <w:widowControl/>
              <w:snapToGrid w:val="0"/>
              <w:jc w:val="left"/>
              <w:rPr>
                <w:rFonts w:hint="eastAsia" w:ascii="宋体" w:hAnsi="宋体" w:eastAsia="宋体" w:cs="宋体"/>
                <w:kern w:val="0"/>
                <w:sz w:val="24"/>
              </w:rPr>
            </w:pPr>
          </w:p>
        </w:tc>
        <w:tc>
          <w:tcPr>
            <w:tcW w:w="2863" w:type="dxa"/>
            <w:tcBorders>
              <w:top w:val="single" w:color="000000" w:sz="6" w:space="0"/>
              <w:left w:val="single" w:color="000000" w:sz="6" w:space="0"/>
              <w:bottom w:val="single" w:color="000000" w:sz="6" w:space="0"/>
              <w:right w:val="single" w:color="000000" w:sz="6" w:space="0"/>
            </w:tcBorders>
            <w:vAlign w:val="center"/>
          </w:tcPr>
          <w:p w14:paraId="010519AC">
            <w:pPr>
              <w:widowControl/>
              <w:snapToGrid w:val="0"/>
              <w:spacing w:line="360" w:lineRule="auto"/>
              <w:jc w:val="center"/>
              <w:rPr>
                <w:rFonts w:hint="eastAsia" w:ascii="宋体" w:hAnsi="宋体" w:eastAsia="宋体" w:cs="宋体"/>
                <w:kern w:val="0"/>
                <w:sz w:val="24"/>
              </w:rPr>
            </w:pPr>
          </w:p>
        </w:tc>
        <w:tc>
          <w:tcPr>
            <w:tcW w:w="1204" w:type="dxa"/>
            <w:tcBorders>
              <w:top w:val="single" w:color="000000" w:sz="6" w:space="0"/>
              <w:left w:val="single" w:color="000000" w:sz="6" w:space="0"/>
              <w:bottom w:val="single" w:color="000000" w:sz="6" w:space="0"/>
              <w:right w:val="single" w:color="000000" w:sz="6" w:space="0"/>
            </w:tcBorders>
            <w:vAlign w:val="center"/>
          </w:tcPr>
          <w:p w14:paraId="333927FF">
            <w:pPr>
              <w:widowControl/>
              <w:snapToGrid w:val="0"/>
              <w:spacing w:line="360" w:lineRule="auto"/>
              <w:jc w:val="center"/>
              <w:rPr>
                <w:rFonts w:hint="eastAsia" w:ascii="宋体" w:hAnsi="宋体" w:eastAsia="宋体" w:cs="宋体"/>
                <w:kern w:val="0"/>
                <w:sz w:val="24"/>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7ADE2CBA">
            <w:pPr>
              <w:widowControl/>
              <w:snapToGrid w:val="0"/>
              <w:spacing w:line="360" w:lineRule="auto"/>
              <w:jc w:val="center"/>
              <w:rPr>
                <w:rFonts w:hint="eastAsia" w:ascii="宋体" w:hAnsi="宋体" w:eastAsia="宋体" w:cs="宋体"/>
                <w:kern w:val="0"/>
                <w:sz w:val="24"/>
              </w:rPr>
            </w:pPr>
          </w:p>
        </w:tc>
      </w:tr>
      <w:tr w14:paraId="6FD7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98" w:hRule="atLeast"/>
        </w:trPr>
        <w:tc>
          <w:tcPr>
            <w:tcW w:w="859" w:type="dxa"/>
            <w:tcBorders>
              <w:top w:val="single" w:color="000000" w:sz="6" w:space="0"/>
              <w:left w:val="single" w:color="000000" w:sz="6" w:space="0"/>
              <w:bottom w:val="single" w:color="000000" w:sz="6" w:space="0"/>
              <w:right w:val="single" w:color="auto" w:sz="4" w:space="0"/>
            </w:tcBorders>
            <w:vAlign w:val="center"/>
          </w:tcPr>
          <w:p w14:paraId="0894A696">
            <w:pPr>
              <w:widowControl/>
              <w:snapToGrid w:val="0"/>
              <w:jc w:val="center"/>
              <w:rPr>
                <w:rFonts w:hint="eastAsia" w:ascii="宋体" w:hAnsi="宋体" w:eastAsia="宋体" w:cs="宋体"/>
                <w:kern w:val="0"/>
                <w:sz w:val="24"/>
              </w:rPr>
            </w:pPr>
            <w:r>
              <w:rPr>
                <w:rFonts w:hint="eastAsia" w:ascii="宋体" w:hAnsi="宋体" w:eastAsia="宋体" w:cs="宋体"/>
                <w:kern w:val="0"/>
                <w:sz w:val="24"/>
              </w:rPr>
              <w:t>3</w:t>
            </w:r>
          </w:p>
        </w:tc>
        <w:tc>
          <w:tcPr>
            <w:tcW w:w="2863" w:type="dxa"/>
            <w:tcBorders>
              <w:top w:val="single" w:color="000000" w:sz="6" w:space="0"/>
              <w:left w:val="single" w:color="000000" w:sz="6" w:space="0"/>
              <w:bottom w:val="single" w:color="000000" w:sz="6" w:space="0"/>
              <w:right w:val="single" w:color="000000" w:sz="6" w:space="0"/>
            </w:tcBorders>
            <w:vAlign w:val="center"/>
          </w:tcPr>
          <w:p w14:paraId="5913A386">
            <w:pPr>
              <w:widowControl/>
              <w:snapToGrid w:val="0"/>
              <w:jc w:val="left"/>
              <w:rPr>
                <w:rFonts w:hint="eastAsia" w:ascii="宋体" w:hAnsi="宋体" w:eastAsia="宋体" w:cs="宋体"/>
                <w:kern w:val="0"/>
                <w:sz w:val="24"/>
              </w:rPr>
            </w:pPr>
          </w:p>
        </w:tc>
        <w:tc>
          <w:tcPr>
            <w:tcW w:w="2863" w:type="dxa"/>
            <w:tcBorders>
              <w:top w:val="single" w:color="000000" w:sz="6" w:space="0"/>
              <w:left w:val="single" w:color="000000" w:sz="6" w:space="0"/>
              <w:bottom w:val="single" w:color="000000" w:sz="6" w:space="0"/>
              <w:right w:val="single" w:color="000000" w:sz="6" w:space="0"/>
            </w:tcBorders>
            <w:vAlign w:val="center"/>
          </w:tcPr>
          <w:p w14:paraId="19FBD989">
            <w:pPr>
              <w:widowControl/>
              <w:snapToGrid w:val="0"/>
              <w:spacing w:line="360" w:lineRule="auto"/>
              <w:jc w:val="center"/>
              <w:rPr>
                <w:rFonts w:hint="eastAsia" w:ascii="宋体" w:hAnsi="宋体" w:eastAsia="宋体" w:cs="宋体"/>
                <w:kern w:val="0"/>
                <w:sz w:val="24"/>
              </w:rPr>
            </w:pPr>
          </w:p>
        </w:tc>
        <w:tc>
          <w:tcPr>
            <w:tcW w:w="1204" w:type="dxa"/>
            <w:tcBorders>
              <w:top w:val="single" w:color="000000" w:sz="6" w:space="0"/>
              <w:left w:val="single" w:color="000000" w:sz="6" w:space="0"/>
              <w:bottom w:val="single" w:color="000000" w:sz="6" w:space="0"/>
              <w:right w:val="single" w:color="000000" w:sz="6" w:space="0"/>
            </w:tcBorders>
            <w:vAlign w:val="center"/>
          </w:tcPr>
          <w:p w14:paraId="605860A5">
            <w:pPr>
              <w:widowControl/>
              <w:snapToGrid w:val="0"/>
              <w:spacing w:line="360" w:lineRule="auto"/>
              <w:jc w:val="center"/>
              <w:rPr>
                <w:rFonts w:hint="eastAsia" w:ascii="宋体" w:hAnsi="宋体" w:eastAsia="宋体" w:cs="宋体"/>
                <w:kern w:val="0"/>
                <w:sz w:val="24"/>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0390B9CF">
            <w:pPr>
              <w:widowControl/>
              <w:snapToGrid w:val="0"/>
              <w:spacing w:line="360" w:lineRule="auto"/>
              <w:jc w:val="center"/>
              <w:rPr>
                <w:rFonts w:hint="eastAsia" w:ascii="宋体" w:hAnsi="宋体" w:eastAsia="宋体" w:cs="宋体"/>
                <w:kern w:val="0"/>
                <w:sz w:val="24"/>
              </w:rPr>
            </w:pPr>
          </w:p>
        </w:tc>
      </w:tr>
      <w:tr w14:paraId="6F0F6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17" w:hRule="atLeast"/>
        </w:trPr>
        <w:tc>
          <w:tcPr>
            <w:tcW w:w="859" w:type="dxa"/>
            <w:tcBorders>
              <w:top w:val="single" w:color="000000" w:sz="6" w:space="0"/>
              <w:left w:val="single" w:color="000000" w:sz="6" w:space="0"/>
              <w:bottom w:val="single" w:color="000000" w:sz="6" w:space="0"/>
              <w:right w:val="single" w:color="auto" w:sz="4" w:space="0"/>
            </w:tcBorders>
            <w:vAlign w:val="center"/>
          </w:tcPr>
          <w:p w14:paraId="62AF4E19">
            <w:pPr>
              <w:widowControl/>
              <w:snapToGrid w:val="0"/>
              <w:jc w:val="center"/>
              <w:rPr>
                <w:rFonts w:hint="eastAsia" w:ascii="宋体" w:hAnsi="宋体" w:eastAsia="宋体" w:cs="宋体"/>
                <w:kern w:val="0"/>
                <w:sz w:val="24"/>
              </w:rPr>
            </w:pPr>
            <w:r>
              <w:rPr>
                <w:rFonts w:hint="eastAsia" w:ascii="宋体" w:hAnsi="宋体" w:eastAsia="宋体" w:cs="宋体"/>
                <w:kern w:val="0"/>
                <w:sz w:val="24"/>
              </w:rPr>
              <w:t>4</w:t>
            </w:r>
          </w:p>
        </w:tc>
        <w:tc>
          <w:tcPr>
            <w:tcW w:w="2863" w:type="dxa"/>
            <w:tcBorders>
              <w:top w:val="single" w:color="000000" w:sz="6" w:space="0"/>
              <w:left w:val="single" w:color="000000" w:sz="6" w:space="0"/>
              <w:bottom w:val="single" w:color="000000" w:sz="6" w:space="0"/>
              <w:right w:val="single" w:color="000000" w:sz="6" w:space="0"/>
            </w:tcBorders>
            <w:vAlign w:val="center"/>
          </w:tcPr>
          <w:p w14:paraId="1EE30AFA">
            <w:pPr>
              <w:widowControl/>
              <w:snapToGrid w:val="0"/>
              <w:jc w:val="left"/>
              <w:rPr>
                <w:rFonts w:hint="eastAsia" w:ascii="宋体" w:hAnsi="宋体" w:eastAsia="宋体" w:cs="宋体"/>
                <w:kern w:val="0"/>
                <w:sz w:val="24"/>
              </w:rPr>
            </w:pPr>
          </w:p>
        </w:tc>
        <w:tc>
          <w:tcPr>
            <w:tcW w:w="2863" w:type="dxa"/>
            <w:tcBorders>
              <w:top w:val="single" w:color="000000" w:sz="6" w:space="0"/>
              <w:left w:val="single" w:color="000000" w:sz="6" w:space="0"/>
              <w:bottom w:val="single" w:color="000000" w:sz="6" w:space="0"/>
              <w:right w:val="single" w:color="000000" w:sz="6" w:space="0"/>
            </w:tcBorders>
            <w:vAlign w:val="center"/>
          </w:tcPr>
          <w:p w14:paraId="0A22F225">
            <w:pPr>
              <w:widowControl/>
              <w:snapToGrid w:val="0"/>
              <w:spacing w:line="360" w:lineRule="auto"/>
              <w:jc w:val="center"/>
              <w:rPr>
                <w:rFonts w:hint="eastAsia" w:ascii="宋体" w:hAnsi="宋体" w:eastAsia="宋体" w:cs="宋体"/>
                <w:kern w:val="0"/>
                <w:sz w:val="24"/>
              </w:rPr>
            </w:pPr>
          </w:p>
        </w:tc>
        <w:tc>
          <w:tcPr>
            <w:tcW w:w="1204" w:type="dxa"/>
            <w:tcBorders>
              <w:top w:val="single" w:color="000000" w:sz="6" w:space="0"/>
              <w:left w:val="single" w:color="000000" w:sz="6" w:space="0"/>
              <w:bottom w:val="single" w:color="000000" w:sz="6" w:space="0"/>
              <w:right w:val="single" w:color="000000" w:sz="6" w:space="0"/>
            </w:tcBorders>
            <w:vAlign w:val="center"/>
          </w:tcPr>
          <w:p w14:paraId="4F2E67BF">
            <w:pPr>
              <w:widowControl/>
              <w:snapToGrid w:val="0"/>
              <w:spacing w:line="360" w:lineRule="auto"/>
              <w:jc w:val="center"/>
              <w:rPr>
                <w:rFonts w:hint="eastAsia" w:ascii="宋体" w:hAnsi="宋体" w:eastAsia="宋体" w:cs="宋体"/>
                <w:kern w:val="0"/>
                <w:sz w:val="24"/>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0735E106">
            <w:pPr>
              <w:widowControl/>
              <w:snapToGrid w:val="0"/>
              <w:spacing w:line="360" w:lineRule="auto"/>
              <w:jc w:val="center"/>
              <w:rPr>
                <w:rFonts w:hint="eastAsia" w:ascii="宋体" w:hAnsi="宋体" w:eastAsia="宋体" w:cs="宋体"/>
                <w:kern w:val="0"/>
                <w:sz w:val="24"/>
              </w:rPr>
            </w:pPr>
          </w:p>
        </w:tc>
      </w:tr>
      <w:tr w14:paraId="17AF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50" w:hRule="atLeast"/>
        </w:trPr>
        <w:tc>
          <w:tcPr>
            <w:tcW w:w="859" w:type="dxa"/>
            <w:tcBorders>
              <w:top w:val="single" w:color="000000" w:sz="6" w:space="0"/>
              <w:left w:val="single" w:color="000000" w:sz="6" w:space="0"/>
              <w:bottom w:val="single" w:color="000000" w:sz="6" w:space="0"/>
              <w:right w:val="single" w:color="auto" w:sz="4" w:space="0"/>
            </w:tcBorders>
            <w:vAlign w:val="center"/>
          </w:tcPr>
          <w:p w14:paraId="43C12293">
            <w:pPr>
              <w:widowControl/>
              <w:snapToGrid w:val="0"/>
              <w:jc w:val="center"/>
              <w:rPr>
                <w:rFonts w:hint="eastAsia" w:ascii="宋体" w:hAnsi="宋体" w:eastAsia="宋体" w:cs="宋体"/>
                <w:kern w:val="0"/>
                <w:sz w:val="24"/>
              </w:rPr>
            </w:pPr>
            <w:r>
              <w:rPr>
                <w:rFonts w:hint="eastAsia" w:ascii="宋体" w:hAnsi="宋体" w:eastAsia="宋体" w:cs="宋体"/>
                <w:kern w:val="0"/>
                <w:sz w:val="24"/>
              </w:rPr>
              <w:t>…</w:t>
            </w:r>
          </w:p>
        </w:tc>
        <w:tc>
          <w:tcPr>
            <w:tcW w:w="2863" w:type="dxa"/>
            <w:tcBorders>
              <w:top w:val="single" w:color="000000" w:sz="6" w:space="0"/>
              <w:left w:val="single" w:color="000000" w:sz="6" w:space="0"/>
              <w:bottom w:val="single" w:color="000000" w:sz="6" w:space="0"/>
              <w:right w:val="single" w:color="000000" w:sz="6" w:space="0"/>
            </w:tcBorders>
            <w:vAlign w:val="center"/>
          </w:tcPr>
          <w:p w14:paraId="34CC8A5B">
            <w:pPr>
              <w:widowControl/>
              <w:snapToGrid w:val="0"/>
              <w:jc w:val="left"/>
              <w:rPr>
                <w:rFonts w:hint="eastAsia" w:ascii="宋体" w:hAnsi="宋体" w:eastAsia="宋体" w:cs="宋体"/>
                <w:kern w:val="0"/>
                <w:sz w:val="24"/>
              </w:rPr>
            </w:pPr>
          </w:p>
        </w:tc>
        <w:tc>
          <w:tcPr>
            <w:tcW w:w="2863" w:type="dxa"/>
            <w:tcBorders>
              <w:top w:val="single" w:color="000000" w:sz="6" w:space="0"/>
              <w:left w:val="single" w:color="000000" w:sz="6" w:space="0"/>
              <w:bottom w:val="single" w:color="000000" w:sz="6" w:space="0"/>
              <w:right w:val="single" w:color="000000" w:sz="6" w:space="0"/>
            </w:tcBorders>
            <w:vAlign w:val="center"/>
          </w:tcPr>
          <w:p w14:paraId="4E32D84C">
            <w:pPr>
              <w:widowControl/>
              <w:snapToGrid w:val="0"/>
              <w:spacing w:line="360" w:lineRule="auto"/>
              <w:jc w:val="center"/>
              <w:rPr>
                <w:rFonts w:hint="eastAsia" w:ascii="宋体" w:hAnsi="宋体" w:eastAsia="宋体" w:cs="宋体"/>
                <w:kern w:val="0"/>
                <w:sz w:val="24"/>
              </w:rPr>
            </w:pPr>
          </w:p>
        </w:tc>
        <w:tc>
          <w:tcPr>
            <w:tcW w:w="1204" w:type="dxa"/>
            <w:tcBorders>
              <w:top w:val="single" w:color="000000" w:sz="6" w:space="0"/>
              <w:left w:val="single" w:color="000000" w:sz="6" w:space="0"/>
              <w:bottom w:val="single" w:color="000000" w:sz="6" w:space="0"/>
              <w:right w:val="single" w:color="000000" w:sz="6" w:space="0"/>
            </w:tcBorders>
            <w:vAlign w:val="center"/>
          </w:tcPr>
          <w:p w14:paraId="17A7254E">
            <w:pPr>
              <w:widowControl/>
              <w:snapToGrid w:val="0"/>
              <w:spacing w:line="360" w:lineRule="auto"/>
              <w:jc w:val="center"/>
              <w:rPr>
                <w:rFonts w:hint="eastAsia" w:ascii="宋体" w:hAnsi="宋体" w:eastAsia="宋体" w:cs="宋体"/>
                <w:kern w:val="0"/>
                <w:sz w:val="24"/>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790DE137">
            <w:pPr>
              <w:widowControl/>
              <w:snapToGrid w:val="0"/>
              <w:spacing w:line="360" w:lineRule="auto"/>
              <w:jc w:val="center"/>
              <w:rPr>
                <w:rFonts w:hint="eastAsia" w:ascii="宋体" w:hAnsi="宋体" w:eastAsia="宋体" w:cs="宋体"/>
                <w:kern w:val="0"/>
                <w:sz w:val="24"/>
              </w:rPr>
            </w:pPr>
          </w:p>
        </w:tc>
      </w:tr>
    </w:tbl>
    <w:p w14:paraId="24D7A223">
      <w:pPr>
        <w:tabs>
          <w:tab w:val="left" w:pos="567"/>
        </w:tabs>
        <w:snapToGrid w:val="0"/>
        <w:spacing w:line="360" w:lineRule="auto"/>
        <w:jc w:val="left"/>
        <w:rPr>
          <w:rFonts w:hint="eastAsia" w:ascii="宋体" w:hAnsi="宋体" w:eastAsia="宋体" w:cs="宋体"/>
          <w:b/>
          <w:kern w:val="0"/>
          <w:sz w:val="24"/>
        </w:rPr>
      </w:pPr>
    </w:p>
    <w:p w14:paraId="48EAF259">
      <w:pPr>
        <w:pStyle w:val="18"/>
        <w:rPr>
          <w:rFonts w:hint="eastAsia" w:ascii="宋体" w:hAnsi="宋体" w:eastAsia="宋体" w:cs="宋体"/>
          <w:b/>
          <w:sz w:val="24"/>
          <w:szCs w:val="24"/>
        </w:rPr>
      </w:pPr>
    </w:p>
    <w:p w14:paraId="594D2F67">
      <w:pPr>
        <w:pStyle w:val="18"/>
        <w:rPr>
          <w:rFonts w:hint="eastAsia" w:ascii="宋体" w:hAnsi="宋体" w:eastAsia="宋体" w:cs="宋体"/>
          <w:b/>
          <w:sz w:val="24"/>
          <w:szCs w:val="24"/>
        </w:rPr>
      </w:pPr>
    </w:p>
    <w:p w14:paraId="7D5D13CF">
      <w:pPr>
        <w:tabs>
          <w:tab w:val="left" w:pos="4000"/>
        </w:tabs>
        <w:snapToGrid w:val="0"/>
        <w:spacing w:line="480" w:lineRule="auto"/>
        <w:ind w:firstLine="1680" w:firstLineChars="700"/>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6B16E132">
      <w:pPr>
        <w:tabs>
          <w:tab w:val="left" w:pos="4000"/>
        </w:tabs>
        <w:snapToGrid w:val="0"/>
        <w:spacing w:line="480" w:lineRule="auto"/>
        <w:ind w:firstLine="1680" w:firstLineChars="700"/>
        <w:jc w:val="left"/>
        <w:rPr>
          <w:rFonts w:hint="eastAsia" w:ascii="宋体" w:hAnsi="宋体" w:eastAsia="宋体" w:cs="宋体"/>
          <w:kern w:val="0"/>
          <w:sz w:val="24"/>
        </w:rPr>
      </w:pPr>
      <w:r>
        <w:rPr>
          <w:rFonts w:hint="eastAsia" w:ascii="宋体" w:hAnsi="宋体" w:eastAsia="宋体" w:cs="宋体"/>
          <w:kern w:val="0"/>
          <w:sz w:val="24"/>
        </w:rPr>
        <w:t>法定代表人（负责人）或供应商授权代表：</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1FD57D68">
      <w:pPr>
        <w:snapToGrid w:val="0"/>
        <w:spacing w:line="480" w:lineRule="auto"/>
        <w:ind w:firstLine="1680" w:firstLineChars="700"/>
        <w:rPr>
          <w:rFonts w:hint="eastAsia" w:ascii="宋体" w:hAnsi="宋体" w:eastAsia="宋体" w:cs="宋体"/>
          <w:sz w:val="24"/>
        </w:rPr>
      </w:pPr>
      <w:r>
        <w:rPr>
          <w:rFonts w:hint="eastAsia" w:ascii="宋体" w:hAnsi="宋体" w:eastAsia="宋体" w:cs="宋体"/>
          <w:sz w:val="24"/>
        </w:rPr>
        <w:t>日     期：</w:t>
      </w:r>
    </w:p>
    <w:p w14:paraId="625DA9E1">
      <w:pPr>
        <w:pStyle w:val="18"/>
        <w:rPr>
          <w:rFonts w:hint="eastAsia" w:ascii="宋体" w:hAnsi="宋体" w:eastAsia="宋体" w:cs="宋体"/>
          <w:b/>
          <w:sz w:val="24"/>
        </w:rPr>
      </w:pPr>
    </w:p>
    <w:p w14:paraId="03AD299D">
      <w:pPr>
        <w:pStyle w:val="18"/>
        <w:rPr>
          <w:rFonts w:hint="eastAsia" w:ascii="宋体" w:hAnsi="宋体" w:eastAsia="宋体" w:cs="宋体"/>
          <w:b/>
          <w:sz w:val="24"/>
        </w:rPr>
      </w:pPr>
    </w:p>
    <w:p w14:paraId="3C14E9A7">
      <w:pPr>
        <w:pStyle w:val="18"/>
        <w:rPr>
          <w:rFonts w:hint="eastAsia" w:ascii="宋体" w:hAnsi="宋体" w:eastAsia="宋体" w:cs="宋体"/>
          <w:b/>
          <w:sz w:val="24"/>
        </w:rPr>
      </w:pPr>
    </w:p>
    <w:p w14:paraId="02AA4B41">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7.政策性要求</w:t>
      </w:r>
    </w:p>
    <w:p w14:paraId="1956558B">
      <w:pPr>
        <w:tabs>
          <w:tab w:val="left" w:pos="1680"/>
        </w:tabs>
        <w:snapToGrid w:val="0"/>
        <w:spacing w:line="360" w:lineRule="auto"/>
        <w:rPr>
          <w:rFonts w:hint="eastAsia" w:ascii="宋体" w:hAnsi="宋体" w:eastAsia="宋体" w:cs="宋体"/>
          <w:sz w:val="24"/>
        </w:rPr>
      </w:pPr>
      <w:r>
        <w:rPr>
          <w:rFonts w:hint="eastAsia" w:ascii="宋体" w:hAnsi="宋体" w:eastAsia="宋体" w:cs="宋体"/>
          <w:b/>
          <w:kern w:val="0"/>
          <w:sz w:val="24"/>
        </w:rPr>
        <w:t>（一）</w:t>
      </w:r>
      <w:r>
        <w:rPr>
          <w:rFonts w:hint="eastAsia" w:ascii="宋体" w:hAnsi="宋体" w:eastAsia="宋体" w:cs="宋体"/>
          <w:sz w:val="24"/>
        </w:rPr>
        <w:t>环保节能产品证明材料</w:t>
      </w:r>
      <w:r>
        <w:rPr>
          <w:rFonts w:hint="eastAsia" w:ascii="宋体" w:hAnsi="宋体" w:eastAsia="宋体" w:cs="宋体"/>
          <w:b/>
          <w:kern w:val="0"/>
          <w:sz w:val="24"/>
        </w:rPr>
        <w:t>（如不涉及，此函可不提供）</w:t>
      </w:r>
    </w:p>
    <w:p w14:paraId="3B5F2006">
      <w:pPr>
        <w:tabs>
          <w:tab w:val="left" w:pos="1680"/>
        </w:tabs>
        <w:snapToGrid w:val="0"/>
        <w:spacing w:line="360" w:lineRule="auto"/>
        <w:rPr>
          <w:rFonts w:hint="eastAsia" w:ascii="宋体" w:hAnsi="宋体" w:eastAsia="宋体" w:cs="宋体"/>
          <w:bCs/>
          <w:sz w:val="24"/>
        </w:rPr>
      </w:pPr>
      <w:r>
        <w:rPr>
          <w:rFonts w:hint="eastAsia" w:ascii="宋体" w:hAnsi="宋体" w:eastAsia="宋体" w:cs="宋体"/>
          <w:bCs/>
          <w:sz w:val="24"/>
        </w:rPr>
        <w:t>（1）强制节能产品明细表格式（以包为单位分别填写，如本项目所投产品中不涉及强制节能产品，此表可不提供）</w:t>
      </w:r>
    </w:p>
    <w:p w14:paraId="5E9A1C1A">
      <w:pPr>
        <w:tabs>
          <w:tab w:val="left" w:pos="1680"/>
        </w:tabs>
        <w:snapToGrid w:val="0"/>
        <w:spacing w:line="360" w:lineRule="exact"/>
        <w:jc w:val="center"/>
        <w:rPr>
          <w:rFonts w:hint="eastAsia" w:ascii="宋体" w:hAnsi="宋体" w:eastAsia="宋体" w:cs="宋体"/>
          <w:b/>
          <w:sz w:val="24"/>
        </w:rPr>
      </w:pPr>
      <w:r>
        <w:rPr>
          <w:rFonts w:hint="eastAsia" w:ascii="宋体" w:hAnsi="宋体" w:eastAsia="宋体" w:cs="宋体"/>
          <w:b/>
          <w:sz w:val="24"/>
        </w:rPr>
        <w:t>强制节能产品明细表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FE5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540A0C7E">
            <w:pPr>
              <w:spacing w:line="240" w:lineRule="exact"/>
              <w:jc w:val="center"/>
              <w:rPr>
                <w:rFonts w:hint="eastAsia" w:ascii="宋体" w:hAnsi="宋体" w:eastAsia="宋体" w:cs="宋体"/>
                <w:b/>
                <w:sz w:val="24"/>
              </w:rPr>
            </w:pPr>
            <w:r>
              <w:rPr>
                <w:rFonts w:hint="eastAsia" w:ascii="宋体" w:hAnsi="宋体" w:eastAsia="宋体" w:cs="宋体"/>
                <w:b/>
                <w:sz w:val="24"/>
              </w:rPr>
              <w:t>序号</w:t>
            </w:r>
          </w:p>
        </w:tc>
        <w:tc>
          <w:tcPr>
            <w:tcW w:w="955" w:type="dxa"/>
            <w:vAlign w:val="center"/>
          </w:tcPr>
          <w:p w14:paraId="56DA54E2">
            <w:pPr>
              <w:spacing w:line="240" w:lineRule="exact"/>
              <w:jc w:val="center"/>
              <w:rPr>
                <w:rFonts w:hint="eastAsia" w:ascii="宋体" w:hAnsi="宋体" w:eastAsia="宋体" w:cs="宋体"/>
                <w:b/>
                <w:sz w:val="24"/>
              </w:rPr>
            </w:pPr>
            <w:r>
              <w:rPr>
                <w:rFonts w:hint="eastAsia" w:ascii="宋体" w:hAnsi="宋体" w:eastAsia="宋体" w:cs="宋体"/>
                <w:b/>
                <w:sz w:val="24"/>
              </w:rPr>
              <w:t>产品名称</w:t>
            </w:r>
          </w:p>
        </w:tc>
        <w:tc>
          <w:tcPr>
            <w:tcW w:w="955" w:type="dxa"/>
            <w:vAlign w:val="center"/>
          </w:tcPr>
          <w:p w14:paraId="200DB561">
            <w:pPr>
              <w:spacing w:line="240" w:lineRule="exact"/>
              <w:jc w:val="center"/>
              <w:rPr>
                <w:rFonts w:hint="eastAsia" w:ascii="宋体" w:hAnsi="宋体" w:eastAsia="宋体" w:cs="宋体"/>
                <w:b/>
                <w:sz w:val="24"/>
              </w:rPr>
            </w:pPr>
            <w:r>
              <w:rPr>
                <w:rFonts w:hint="eastAsia" w:ascii="宋体" w:hAnsi="宋体" w:eastAsia="宋体" w:cs="宋体"/>
                <w:b/>
                <w:sz w:val="24"/>
              </w:rPr>
              <w:t>制造商</w:t>
            </w:r>
          </w:p>
        </w:tc>
        <w:tc>
          <w:tcPr>
            <w:tcW w:w="955" w:type="dxa"/>
            <w:vAlign w:val="center"/>
          </w:tcPr>
          <w:p w14:paraId="7DE1EF93">
            <w:pPr>
              <w:spacing w:line="240" w:lineRule="exact"/>
              <w:jc w:val="center"/>
              <w:rPr>
                <w:rFonts w:hint="eastAsia" w:ascii="宋体" w:hAnsi="宋体" w:eastAsia="宋体" w:cs="宋体"/>
                <w:b/>
                <w:sz w:val="24"/>
              </w:rPr>
            </w:pPr>
            <w:r>
              <w:rPr>
                <w:rFonts w:hint="eastAsia" w:ascii="宋体" w:hAnsi="宋体" w:eastAsia="宋体" w:cs="宋体"/>
                <w:b/>
                <w:sz w:val="24"/>
              </w:rPr>
              <w:t>产品型号</w:t>
            </w:r>
          </w:p>
        </w:tc>
        <w:tc>
          <w:tcPr>
            <w:tcW w:w="1637" w:type="dxa"/>
            <w:vAlign w:val="center"/>
          </w:tcPr>
          <w:p w14:paraId="4C27ABC3">
            <w:pPr>
              <w:spacing w:line="240" w:lineRule="exact"/>
              <w:jc w:val="center"/>
              <w:rPr>
                <w:rFonts w:hint="eastAsia" w:ascii="宋体" w:hAnsi="宋体" w:eastAsia="宋体" w:cs="宋体"/>
                <w:b/>
                <w:sz w:val="24"/>
              </w:rPr>
            </w:pPr>
            <w:r>
              <w:rPr>
                <w:rFonts w:hint="eastAsia" w:ascii="宋体" w:hAnsi="宋体" w:eastAsia="宋体" w:cs="宋体"/>
                <w:b/>
                <w:sz w:val="24"/>
              </w:rPr>
              <w:t>节能产品认证证书号</w:t>
            </w:r>
          </w:p>
        </w:tc>
        <w:tc>
          <w:tcPr>
            <w:tcW w:w="1860" w:type="dxa"/>
            <w:vAlign w:val="center"/>
          </w:tcPr>
          <w:p w14:paraId="5492BA54">
            <w:pPr>
              <w:spacing w:line="240" w:lineRule="exact"/>
              <w:jc w:val="center"/>
              <w:rPr>
                <w:rFonts w:hint="eastAsia" w:ascii="宋体" w:hAnsi="宋体" w:eastAsia="宋体" w:cs="宋体"/>
                <w:b/>
                <w:sz w:val="24"/>
              </w:rPr>
            </w:pPr>
            <w:r>
              <w:rPr>
                <w:rFonts w:hint="eastAsia" w:ascii="宋体" w:hAnsi="宋体" w:eastAsia="宋体" w:cs="宋体"/>
                <w:b/>
                <w:sz w:val="24"/>
              </w:rPr>
              <w:t>认证证书有效截止日期</w:t>
            </w:r>
          </w:p>
        </w:tc>
        <w:tc>
          <w:tcPr>
            <w:tcW w:w="1850" w:type="dxa"/>
            <w:vAlign w:val="center"/>
          </w:tcPr>
          <w:p w14:paraId="5FB0BEA5">
            <w:pPr>
              <w:spacing w:line="240" w:lineRule="exact"/>
              <w:jc w:val="center"/>
              <w:rPr>
                <w:rFonts w:hint="eastAsia" w:ascii="宋体" w:hAnsi="宋体" w:eastAsia="宋体" w:cs="宋体"/>
                <w:b/>
                <w:sz w:val="24"/>
              </w:rPr>
            </w:pPr>
            <w:r>
              <w:rPr>
                <w:rFonts w:hint="eastAsia" w:ascii="宋体" w:hAnsi="宋体" w:eastAsia="宋体" w:cs="宋体"/>
                <w:b/>
                <w:sz w:val="24"/>
              </w:rPr>
              <w:t>认证机构名录</w:t>
            </w:r>
          </w:p>
        </w:tc>
      </w:tr>
      <w:tr w14:paraId="46A0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C3C95AA">
            <w:pPr>
              <w:spacing w:line="360" w:lineRule="exact"/>
              <w:rPr>
                <w:rFonts w:hint="eastAsia" w:ascii="宋体" w:hAnsi="宋体" w:eastAsia="宋体" w:cs="宋体"/>
                <w:b/>
                <w:sz w:val="24"/>
              </w:rPr>
            </w:pPr>
          </w:p>
        </w:tc>
        <w:tc>
          <w:tcPr>
            <w:tcW w:w="955" w:type="dxa"/>
          </w:tcPr>
          <w:p w14:paraId="2512BF59">
            <w:pPr>
              <w:spacing w:line="360" w:lineRule="exact"/>
              <w:rPr>
                <w:rFonts w:hint="eastAsia" w:ascii="宋体" w:hAnsi="宋体" w:eastAsia="宋体" w:cs="宋体"/>
                <w:b/>
                <w:sz w:val="24"/>
              </w:rPr>
            </w:pPr>
          </w:p>
        </w:tc>
        <w:tc>
          <w:tcPr>
            <w:tcW w:w="955" w:type="dxa"/>
          </w:tcPr>
          <w:p w14:paraId="6183FA4D">
            <w:pPr>
              <w:spacing w:line="360" w:lineRule="exact"/>
              <w:rPr>
                <w:rFonts w:hint="eastAsia" w:ascii="宋体" w:hAnsi="宋体" w:eastAsia="宋体" w:cs="宋体"/>
                <w:b/>
                <w:sz w:val="24"/>
              </w:rPr>
            </w:pPr>
          </w:p>
        </w:tc>
        <w:tc>
          <w:tcPr>
            <w:tcW w:w="955" w:type="dxa"/>
          </w:tcPr>
          <w:p w14:paraId="5B5E1BF8">
            <w:pPr>
              <w:spacing w:line="360" w:lineRule="exact"/>
              <w:rPr>
                <w:rFonts w:hint="eastAsia" w:ascii="宋体" w:hAnsi="宋体" w:eastAsia="宋体" w:cs="宋体"/>
                <w:b/>
                <w:sz w:val="24"/>
              </w:rPr>
            </w:pPr>
          </w:p>
        </w:tc>
        <w:tc>
          <w:tcPr>
            <w:tcW w:w="1637" w:type="dxa"/>
          </w:tcPr>
          <w:p w14:paraId="6263182B">
            <w:pPr>
              <w:spacing w:line="360" w:lineRule="exact"/>
              <w:rPr>
                <w:rFonts w:hint="eastAsia" w:ascii="宋体" w:hAnsi="宋体" w:eastAsia="宋体" w:cs="宋体"/>
                <w:b/>
                <w:sz w:val="24"/>
              </w:rPr>
            </w:pPr>
          </w:p>
        </w:tc>
        <w:tc>
          <w:tcPr>
            <w:tcW w:w="1860" w:type="dxa"/>
          </w:tcPr>
          <w:p w14:paraId="3F4EC407">
            <w:pPr>
              <w:spacing w:line="360" w:lineRule="exact"/>
              <w:rPr>
                <w:rFonts w:hint="eastAsia" w:ascii="宋体" w:hAnsi="宋体" w:eastAsia="宋体" w:cs="宋体"/>
                <w:b/>
                <w:sz w:val="24"/>
              </w:rPr>
            </w:pPr>
          </w:p>
        </w:tc>
        <w:tc>
          <w:tcPr>
            <w:tcW w:w="1850" w:type="dxa"/>
          </w:tcPr>
          <w:p w14:paraId="2CCE1101">
            <w:pPr>
              <w:spacing w:line="360" w:lineRule="exact"/>
              <w:rPr>
                <w:rFonts w:hint="eastAsia" w:ascii="宋体" w:hAnsi="宋体" w:eastAsia="宋体" w:cs="宋体"/>
                <w:b/>
                <w:sz w:val="24"/>
              </w:rPr>
            </w:pPr>
          </w:p>
        </w:tc>
      </w:tr>
      <w:tr w14:paraId="5D9F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EA30194">
            <w:pPr>
              <w:spacing w:line="360" w:lineRule="exact"/>
              <w:rPr>
                <w:rFonts w:hint="eastAsia" w:ascii="宋体" w:hAnsi="宋体" w:eastAsia="宋体" w:cs="宋体"/>
                <w:b/>
                <w:sz w:val="24"/>
              </w:rPr>
            </w:pPr>
          </w:p>
        </w:tc>
        <w:tc>
          <w:tcPr>
            <w:tcW w:w="955" w:type="dxa"/>
          </w:tcPr>
          <w:p w14:paraId="271B105A">
            <w:pPr>
              <w:spacing w:line="360" w:lineRule="exact"/>
              <w:rPr>
                <w:rFonts w:hint="eastAsia" w:ascii="宋体" w:hAnsi="宋体" w:eastAsia="宋体" w:cs="宋体"/>
                <w:b/>
                <w:sz w:val="24"/>
              </w:rPr>
            </w:pPr>
          </w:p>
        </w:tc>
        <w:tc>
          <w:tcPr>
            <w:tcW w:w="955" w:type="dxa"/>
          </w:tcPr>
          <w:p w14:paraId="68205441">
            <w:pPr>
              <w:spacing w:line="360" w:lineRule="exact"/>
              <w:rPr>
                <w:rFonts w:hint="eastAsia" w:ascii="宋体" w:hAnsi="宋体" w:eastAsia="宋体" w:cs="宋体"/>
                <w:b/>
                <w:sz w:val="24"/>
              </w:rPr>
            </w:pPr>
          </w:p>
        </w:tc>
        <w:tc>
          <w:tcPr>
            <w:tcW w:w="955" w:type="dxa"/>
          </w:tcPr>
          <w:p w14:paraId="5B13CA41">
            <w:pPr>
              <w:spacing w:line="360" w:lineRule="exact"/>
              <w:rPr>
                <w:rFonts w:hint="eastAsia" w:ascii="宋体" w:hAnsi="宋体" w:eastAsia="宋体" w:cs="宋体"/>
                <w:b/>
                <w:sz w:val="24"/>
              </w:rPr>
            </w:pPr>
          </w:p>
        </w:tc>
        <w:tc>
          <w:tcPr>
            <w:tcW w:w="1637" w:type="dxa"/>
          </w:tcPr>
          <w:p w14:paraId="3C11CA82">
            <w:pPr>
              <w:spacing w:line="360" w:lineRule="exact"/>
              <w:rPr>
                <w:rFonts w:hint="eastAsia" w:ascii="宋体" w:hAnsi="宋体" w:eastAsia="宋体" w:cs="宋体"/>
                <w:b/>
                <w:sz w:val="24"/>
              </w:rPr>
            </w:pPr>
          </w:p>
        </w:tc>
        <w:tc>
          <w:tcPr>
            <w:tcW w:w="1860" w:type="dxa"/>
          </w:tcPr>
          <w:p w14:paraId="1215A297">
            <w:pPr>
              <w:spacing w:line="360" w:lineRule="exact"/>
              <w:rPr>
                <w:rFonts w:hint="eastAsia" w:ascii="宋体" w:hAnsi="宋体" w:eastAsia="宋体" w:cs="宋体"/>
                <w:b/>
                <w:sz w:val="24"/>
              </w:rPr>
            </w:pPr>
          </w:p>
        </w:tc>
        <w:tc>
          <w:tcPr>
            <w:tcW w:w="1850" w:type="dxa"/>
          </w:tcPr>
          <w:p w14:paraId="69D7F11E">
            <w:pPr>
              <w:spacing w:line="360" w:lineRule="exact"/>
              <w:rPr>
                <w:rFonts w:hint="eastAsia" w:ascii="宋体" w:hAnsi="宋体" w:eastAsia="宋体" w:cs="宋体"/>
                <w:b/>
                <w:sz w:val="24"/>
              </w:rPr>
            </w:pPr>
          </w:p>
        </w:tc>
      </w:tr>
      <w:tr w14:paraId="48A6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65FAD76A">
            <w:pPr>
              <w:spacing w:line="360" w:lineRule="exact"/>
              <w:rPr>
                <w:rFonts w:hint="eastAsia" w:ascii="宋体" w:hAnsi="宋体" w:eastAsia="宋体" w:cs="宋体"/>
                <w:b/>
                <w:sz w:val="24"/>
              </w:rPr>
            </w:pPr>
          </w:p>
        </w:tc>
        <w:tc>
          <w:tcPr>
            <w:tcW w:w="955" w:type="dxa"/>
          </w:tcPr>
          <w:p w14:paraId="4A82C97B">
            <w:pPr>
              <w:spacing w:line="360" w:lineRule="exact"/>
              <w:rPr>
                <w:rFonts w:hint="eastAsia" w:ascii="宋体" w:hAnsi="宋体" w:eastAsia="宋体" w:cs="宋体"/>
                <w:b/>
                <w:sz w:val="24"/>
              </w:rPr>
            </w:pPr>
          </w:p>
        </w:tc>
        <w:tc>
          <w:tcPr>
            <w:tcW w:w="955" w:type="dxa"/>
          </w:tcPr>
          <w:p w14:paraId="3C28C669">
            <w:pPr>
              <w:spacing w:line="360" w:lineRule="exact"/>
              <w:rPr>
                <w:rFonts w:hint="eastAsia" w:ascii="宋体" w:hAnsi="宋体" w:eastAsia="宋体" w:cs="宋体"/>
                <w:b/>
                <w:sz w:val="24"/>
              </w:rPr>
            </w:pPr>
          </w:p>
        </w:tc>
        <w:tc>
          <w:tcPr>
            <w:tcW w:w="955" w:type="dxa"/>
          </w:tcPr>
          <w:p w14:paraId="0B739B79">
            <w:pPr>
              <w:spacing w:line="360" w:lineRule="exact"/>
              <w:rPr>
                <w:rFonts w:hint="eastAsia" w:ascii="宋体" w:hAnsi="宋体" w:eastAsia="宋体" w:cs="宋体"/>
                <w:b/>
                <w:sz w:val="24"/>
              </w:rPr>
            </w:pPr>
          </w:p>
        </w:tc>
        <w:tc>
          <w:tcPr>
            <w:tcW w:w="1637" w:type="dxa"/>
          </w:tcPr>
          <w:p w14:paraId="1990EAC8">
            <w:pPr>
              <w:spacing w:line="360" w:lineRule="exact"/>
              <w:rPr>
                <w:rFonts w:hint="eastAsia" w:ascii="宋体" w:hAnsi="宋体" w:eastAsia="宋体" w:cs="宋体"/>
                <w:b/>
                <w:sz w:val="24"/>
              </w:rPr>
            </w:pPr>
          </w:p>
        </w:tc>
        <w:tc>
          <w:tcPr>
            <w:tcW w:w="1860" w:type="dxa"/>
          </w:tcPr>
          <w:p w14:paraId="2A52995D">
            <w:pPr>
              <w:spacing w:line="360" w:lineRule="exact"/>
              <w:rPr>
                <w:rFonts w:hint="eastAsia" w:ascii="宋体" w:hAnsi="宋体" w:eastAsia="宋体" w:cs="宋体"/>
                <w:b/>
                <w:sz w:val="24"/>
              </w:rPr>
            </w:pPr>
          </w:p>
        </w:tc>
        <w:tc>
          <w:tcPr>
            <w:tcW w:w="1850" w:type="dxa"/>
          </w:tcPr>
          <w:p w14:paraId="4772EC98">
            <w:pPr>
              <w:spacing w:line="360" w:lineRule="exact"/>
              <w:rPr>
                <w:rFonts w:hint="eastAsia" w:ascii="宋体" w:hAnsi="宋体" w:eastAsia="宋体" w:cs="宋体"/>
                <w:b/>
                <w:sz w:val="24"/>
              </w:rPr>
            </w:pPr>
          </w:p>
        </w:tc>
      </w:tr>
    </w:tbl>
    <w:p w14:paraId="3BF64E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1BA112B1">
      <w:pPr>
        <w:tabs>
          <w:tab w:val="left" w:pos="1680"/>
        </w:tabs>
        <w:snapToGrid w:val="0"/>
        <w:spacing w:line="360" w:lineRule="auto"/>
        <w:rPr>
          <w:rFonts w:hint="eastAsia" w:ascii="宋体" w:hAnsi="宋体" w:eastAsia="宋体" w:cs="宋体"/>
          <w:bCs/>
          <w:sz w:val="24"/>
        </w:rPr>
      </w:pPr>
    </w:p>
    <w:p w14:paraId="4271AFBD">
      <w:pPr>
        <w:tabs>
          <w:tab w:val="left" w:pos="1680"/>
        </w:tabs>
        <w:snapToGrid w:val="0"/>
        <w:spacing w:line="360" w:lineRule="auto"/>
        <w:rPr>
          <w:rFonts w:hint="eastAsia" w:ascii="宋体" w:hAnsi="宋体" w:eastAsia="宋体" w:cs="宋体"/>
          <w:bCs/>
          <w:sz w:val="24"/>
        </w:rPr>
      </w:pPr>
    </w:p>
    <w:p w14:paraId="27BCE739">
      <w:pPr>
        <w:tabs>
          <w:tab w:val="left" w:pos="1680"/>
        </w:tabs>
        <w:snapToGrid w:val="0"/>
        <w:spacing w:line="360" w:lineRule="exact"/>
        <w:rPr>
          <w:rFonts w:hint="eastAsia" w:ascii="宋体" w:hAnsi="宋体" w:eastAsia="宋体" w:cs="宋体"/>
          <w:bCs/>
          <w:sz w:val="24"/>
        </w:rPr>
      </w:pPr>
    </w:p>
    <w:p w14:paraId="27316484">
      <w:pPr>
        <w:tabs>
          <w:tab w:val="left" w:pos="1680"/>
        </w:tabs>
        <w:snapToGrid w:val="0"/>
        <w:spacing w:line="360" w:lineRule="auto"/>
        <w:rPr>
          <w:rFonts w:hint="eastAsia" w:ascii="宋体" w:hAnsi="宋体" w:eastAsia="宋体" w:cs="宋体"/>
          <w:bCs/>
          <w:sz w:val="24"/>
        </w:rPr>
      </w:pPr>
    </w:p>
    <w:p w14:paraId="4094EFD7">
      <w:pPr>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6FE09CB3">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1．采购货物中如含有强制节能产品的，须如实填写强制节能产品明细表；</w:t>
      </w:r>
    </w:p>
    <w:p w14:paraId="1F317E86">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 提供所投产品获得国家确定的认证机构出具的、处于有效期之内的产品认证证书。</w:t>
      </w:r>
    </w:p>
    <w:p w14:paraId="68F4556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3．所投报信息安全产品属于《信息安全产品强制性认证目录》中的产品，有效认证证书扫描件或影印件附后。</w:t>
      </w:r>
    </w:p>
    <w:p w14:paraId="52F1BD33">
      <w:pPr>
        <w:tabs>
          <w:tab w:val="left" w:pos="1680"/>
        </w:tabs>
        <w:snapToGrid w:val="0"/>
        <w:spacing w:line="360" w:lineRule="auto"/>
        <w:rPr>
          <w:rFonts w:hint="eastAsia" w:ascii="宋体" w:hAnsi="宋体" w:eastAsia="宋体" w:cs="宋体"/>
          <w:bCs/>
          <w:szCs w:val="21"/>
        </w:rPr>
      </w:pPr>
    </w:p>
    <w:p w14:paraId="1B6D4320">
      <w:pPr>
        <w:tabs>
          <w:tab w:val="left" w:pos="1680"/>
        </w:tabs>
        <w:snapToGrid w:val="0"/>
        <w:spacing w:line="360" w:lineRule="exact"/>
        <w:rPr>
          <w:rFonts w:hint="eastAsia" w:ascii="宋体" w:hAnsi="宋体" w:eastAsia="宋体" w:cs="宋体"/>
          <w:bCs/>
          <w:sz w:val="24"/>
        </w:rPr>
      </w:pPr>
    </w:p>
    <w:p w14:paraId="749887B9">
      <w:pPr>
        <w:tabs>
          <w:tab w:val="left" w:pos="1680"/>
        </w:tabs>
        <w:snapToGrid w:val="0"/>
        <w:spacing w:line="360" w:lineRule="exact"/>
        <w:rPr>
          <w:rFonts w:hint="eastAsia" w:ascii="宋体" w:hAnsi="宋体" w:eastAsia="宋体" w:cs="宋体"/>
          <w:bCs/>
          <w:sz w:val="24"/>
        </w:rPr>
      </w:pPr>
    </w:p>
    <w:p w14:paraId="516AADEE">
      <w:pPr>
        <w:pStyle w:val="9"/>
        <w:rPr>
          <w:rFonts w:hint="eastAsia" w:ascii="宋体" w:hAnsi="宋体" w:eastAsia="宋体" w:cs="宋体"/>
          <w:bCs/>
          <w:sz w:val="24"/>
        </w:rPr>
      </w:pPr>
    </w:p>
    <w:p w14:paraId="7EAE1AEC">
      <w:pPr>
        <w:rPr>
          <w:rFonts w:hint="eastAsia" w:ascii="宋体" w:hAnsi="宋体" w:eastAsia="宋体" w:cs="宋体"/>
          <w:bCs/>
          <w:sz w:val="24"/>
        </w:rPr>
      </w:pPr>
    </w:p>
    <w:p w14:paraId="1EBFECDB">
      <w:pPr>
        <w:rPr>
          <w:rFonts w:hint="eastAsia" w:ascii="宋体" w:hAnsi="宋体" w:eastAsia="宋体" w:cs="宋体"/>
          <w:b/>
          <w:sz w:val="24"/>
        </w:rPr>
      </w:pPr>
      <w:r>
        <w:rPr>
          <w:rFonts w:hint="eastAsia" w:ascii="宋体" w:hAnsi="宋体" w:eastAsia="宋体" w:cs="宋体"/>
          <w:b/>
          <w:sz w:val="24"/>
        </w:rPr>
        <w:br w:type="page"/>
      </w:r>
    </w:p>
    <w:p w14:paraId="0C18F513">
      <w:pPr>
        <w:spacing w:line="480" w:lineRule="exact"/>
        <w:rPr>
          <w:rFonts w:hint="eastAsia" w:ascii="宋体" w:hAnsi="宋体" w:eastAsia="宋体" w:cs="宋体"/>
          <w:b/>
          <w:sz w:val="24"/>
        </w:rPr>
      </w:pPr>
      <w:r>
        <w:rPr>
          <w:rFonts w:hint="eastAsia" w:ascii="宋体" w:hAnsi="宋体" w:eastAsia="宋体" w:cs="宋体"/>
          <w:b/>
          <w:sz w:val="24"/>
        </w:rPr>
        <w:t>（二）正版软件承诺格式</w:t>
      </w:r>
      <w:r>
        <w:rPr>
          <w:rFonts w:hint="eastAsia" w:ascii="宋体" w:hAnsi="宋体" w:eastAsia="宋体" w:cs="宋体"/>
          <w:b/>
          <w:kern w:val="0"/>
          <w:sz w:val="24"/>
        </w:rPr>
        <w:t>（如不涉及，此函可不提供）</w:t>
      </w:r>
    </w:p>
    <w:p w14:paraId="62758983">
      <w:pPr>
        <w:spacing w:line="480" w:lineRule="exact"/>
        <w:jc w:val="center"/>
        <w:rPr>
          <w:rFonts w:hint="eastAsia" w:ascii="宋体" w:hAnsi="宋体" w:eastAsia="宋体" w:cs="宋体"/>
          <w:b/>
          <w:sz w:val="24"/>
        </w:rPr>
      </w:pPr>
      <w:r>
        <w:rPr>
          <w:rFonts w:hint="eastAsia" w:ascii="宋体" w:hAnsi="宋体" w:eastAsia="宋体" w:cs="宋体"/>
          <w:b/>
          <w:sz w:val="24"/>
        </w:rPr>
        <w:t>正版软件承诺</w:t>
      </w:r>
    </w:p>
    <w:p w14:paraId="6C5429C0">
      <w:pPr>
        <w:widowControl/>
        <w:snapToGrid w:val="0"/>
        <w:spacing w:line="360" w:lineRule="auto"/>
        <w:jc w:val="left"/>
        <w:rPr>
          <w:rFonts w:hint="eastAsia" w:ascii="宋体" w:hAnsi="宋体" w:eastAsia="宋体" w:cs="宋体"/>
          <w:kern w:val="0"/>
          <w:sz w:val="24"/>
          <w:u w:val="single"/>
        </w:rPr>
      </w:pPr>
    </w:p>
    <w:p w14:paraId="33B3F7B4">
      <w:pPr>
        <w:spacing w:line="360" w:lineRule="auto"/>
        <w:rPr>
          <w:rFonts w:hint="eastAsia"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kern w:val="0"/>
          <w:sz w:val="24"/>
          <w:u w:val="single"/>
        </w:rPr>
        <w:t>采购代理机构名称</w:t>
      </w:r>
      <w:r>
        <w:rPr>
          <w:rFonts w:hint="eastAsia" w:ascii="宋体" w:hAnsi="宋体" w:eastAsia="宋体" w:cs="宋体"/>
          <w:sz w:val="24"/>
          <w:u w:val="single"/>
        </w:rPr>
        <w:t xml:space="preserve">  ：</w:t>
      </w:r>
    </w:p>
    <w:p w14:paraId="7885859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本供应商现参与</w:t>
      </w:r>
      <w:r>
        <w:rPr>
          <w:rFonts w:hint="eastAsia" w:ascii="宋体" w:hAnsi="宋体" w:eastAsia="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lang w:val="en-US" w:eastAsia="zh-CN"/>
        </w:rPr>
        <w:t>项目名称</w:t>
      </w:r>
      <w:r>
        <w:rPr>
          <w:rFonts w:hint="eastAsia" w:ascii="宋体" w:hAnsi="宋体" w:cs="宋体"/>
          <w:sz w:val="24"/>
          <w:u w:val="single"/>
          <w:lang w:eastAsia="zh-CN"/>
        </w:rPr>
        <w:t>）（</w:t>
      </w:r>
      <w:r>
        <w:rPr>
          <w:rFonts w:hint="eastAsia" w:ascii="宋体" w:hAnsi="宋体" w:cs="宋体"/>
          <w:sz w:val="24"/>
          <w:u w:val="single"/>
          <w:lang w:val="en-US" w:eastAsia="zh-CN"/>
        </w:rPr>
        <w:t>包号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）的采购活动，本公司承诺投报的计算机产品预装正版操作系统，投报的硬件产品内的预装软件为正版软件。</w:t>
      </w:r>
    </w:p>
    <w:p w14:paraId="754059D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如上述声明不真实，愿意按照政府采购有关法律法规的规定接受处罚。</w:t>
      </w:r>
    </w:p>
    <w:p w14:paraId="2FDD381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特此声明</w:t>
      </w:r>
    </w:p>
    <w:p w14:paraId="712F1B26">
      <w:pPr>
        <w:snapToGrid w:val="0"/>
        <w:spacing w:line="520" w:lineRule="exact"/>
        <w:rPr>
          <w:rFonts w:hint="eastAsia" w:ascii="宋体" w:hAnsi="宋体" w:eastAsia="宋体" w:cs="宋体"/>
          <w:sz w:val="24"/>
        </w:rPr>
      </w:pPr>
    </w:p>
    <w:p w14:paraId="358FD8BF">
      <w:pPr>
        <w:snapToGrid w:val="0"/>
        <w:spacing w:line="480" w:lineRule="exact"/>
        <w:rPr>
          <w:rFonts w:hint="eastAsia" w:ascii="宋体" w:hAnsi="宋体" w:eastAsia="宋体" w:cs="宋体"/>
          <w:sz w:val="24"/>
        </w:rPr>
      </w:pPr>
    </w:p>
    <w:p w14:paraId="2217899C">
      <w:pPr>
        <w:snapToGrid w:val="0"/>
        <w:spacing w:line="480" w:lineRule="exact"/>
        <w:rPr>
          <w:rFonts w:hint="eastAsia" w:ascii="宋体" w:hAnsi="宋体" w:eastAsia="宋体" w:cs="宋体"/>
          <w:sz w:val="24"/>
        </w:rPr>
      </w:pPr>
    </w:p>
    <w:p w14:paraId="6CC1B7D4">
      <w:pPr>
        <w:snapToGrid w:val="0"/>
        <w:spacing w:line="480" w:lineRule="exact"/>
        <w:rPr>
          <w:rFonts w:hint="eastAsia" w:ascii="宋体" w:hAnsi="宋体" w:eastAsia="宋体" w:cs="宋体"/>
          <w:sz w:val="24"/>
        </w:rPr>
      </w:pPr>
    </w:p>
    <w:p w14:paraId="4121FCF0">
      <w:pPr>
        <w:snapToGrid w:val="0"/>
        <w:spacing w:line="480" w:lineRule="exact"/>
        <w:ind w:firstLine="4440" w:firstLineChars="1850"/>
        <w:rPr>
          <w:rFonts w:hint="eastAsia" w:ascii="宋体" w:hAnsi="宋体" w:eastAsia="宋体" w:cs="宋体"/>
          <w:sz w:val="24"/>
        </w:rPr>
      </w:pPr>
      <w:r>
        <w:rPr>
          <w:rFonts w:hint="eastAsia" w:ascii="宋体" w:hAnsi="宋体" w:eastAsia="宋体" w:cs="宋体"/>
          <w:sz w:val="24"/>
        </w:rPr>
        <w:t>供应商名称：       （盖章）</w:t>
      </w:r>
    </w:p>
    <w:p w14:paraId="11D05002">
      <w:pPr>
        <w:spacing w:line="480" w:lineRule="exact"/>
        <w:ind w:firstLine="4560" w:firstLineChars="1900"/>
        <w:rPr>
          <w:rFonts w:hint="eastAsia" w:ascii="宋体" w:hAnsi="宋体" w:eastAsia="宋体" w:cs="宋体"/>
          <w:b/>
          <w:sz w:val="24"/>
        </w:rPr>
      </w:pPr>
      <w:r>
        <w:rPr>
          <w:rFonts w:hint="eastAsia" w:ascii="宋体" w:hAnsi="宋体" w:eastAsia="宋体" w:cs="宋体"/>
          <w:sz w:val="24"/>
        </w:rPr>
        <w:t>日     期：</w:t>
      </w:r>
    </w:p>
    <w:p w14:paraId="4674CB43">
      <w:pPr>
        <w:widowControl/>
        <w:snapToGrid w:val="0"/>
        <w:spacing w:line="360" w:lineRule="auto"/>
        <w:jc w:val="left"/>
        <w:rPr>
          <w:rFonts w:hint="eastAsia" w:ascii="宋体" w:hAnsi="宋体" w:eastAsia="宋体" w:cs="宋体"/>
          <w:sz w:val="24"/>
        </w:rPr>
      </w:pPr>
    </w:p>
    <w:p w14:paraId="6FCE4DB8">
      <w:pPr>
        <w:widowControl/>
        <w:snapToGrid w:val="0"/>
        <w:spacing w:line="360" w:lineRule="auto"/>
        <w:jc w:val="left"/>
        <w:rPr>
          <w:rFonts w:hint="eastAsia" w:ascii="宋体" w:hAnsi="宋体" w:eastAsia="宋体" w:cs="宋体"/>
          <w:b/>
          <w:sz w:val="24"/>
        </w:rPr>
      </w:pPr>
    </w:p>
    <w:p w14:paraId="5DA1FB1B">
      <w:pPr>
        <w:widowControl/>
        <w:snapToGrid w:val="0"/>
        <w:spacing w:line="360" w:lineRule="auto"/>
        <w:jc w:val="left"/>
        <w:rPr>
          <w:rFonts w:hint="eastAsia" w:ascii="宋体" w:hAnsi="宋体" w:eastAsia="宋体" w:cs="宋体"/>
          <w:b/>
          <w:sz w:val="24"/>
        </w:rPr>
      </w:pPr>
    </w:p>
    <w:p w14:paraId="7FB7EFFE">
      <w:pPr>
        <w:widowControl/>
        <w:snapToGrid w:val="0"/>
        <w:spacing w:line="360" w:lineRule="auto"/>
        <w:jc w:val="left"/>
        <w:rPr>
          <w:rFonts w:hint="eastAsia" w:ascii="宋体" w:hAnsi="宋体" w:eastAsia="宋体" w:cs="宋体"/>
          <w:b/>
          <w:sz w:val="24"/>
        </w:rPr>
      </w:pPr>
    </w:p>
    <w:p w14:paraId="244F7551">
      <w:pPr>
        <w:widowControl/>
        <w:snapToGrid w:val="0"/>
        <w:spacing w:line="360" w:lineRule="auto"/>
        <w:jc w:val="left"/>
        <w:rPr>
          <w:rFonts w:hint="eastAsia" w:ascii="宋体" w:hAnsi="宋体" w:eastAsia="宋体" w:cs="宋体"/>
          <w:b/>
          <w:sz w:val="24"/>
        </w:rPr>
      </w:pPr>
    </w:p>
    <w:p w14:paraId="06A95BF0">
      <w:pPr>
        <w:widowControl/>
        <w:snapToGrid w:val="0"/>
        <w:spacing w:line="360" w:lineRule="auto"/>
        <w:jc w:val="left"/>
        <w:rPr>
          <w:rFonts w:hint="eastAsia" w:ascii="宋体" w:hAnsi="宋体" w:eastAsia="宋体" w:cs="宋体"/>
          <w:b/>
          <w:sz w:val="24"/>
        </w:rPr>
      </w:pPr>
    </w:p>
    <w:p w14:paraId="552E863D">
      <w:pPr>
        <w:widowControl/>
        <w:snapToGrid w:val="0"/>
        <w:spacing w:line="360" w:lineRule="auto"/>
        <w:jc w:val="left"/>
        <w:rPr>
          <w:rFonts w:hint="eastAsia" w:ascii="宋体" w:hAnsi="宋体" w:eastAsia="宋体" w:cs="宋体"/>
          <w:b/>
          <w:sz w:val="24"/>
        </w:rPr>
      </w:pPr>
    </w:p>
    <w:p w14:paraId="657D26A5">
      <w:pPr>
        <w:widowControl/>
        <w:snapToGrid w:val="0"/>
        <w:spacing w:line="360" w:lineRule="auto"/>
        <w:jc w:val="left"/>
        <w:rPr>
          <w:rFonts w:hint="eastAsia" w:ascii="宋体" w:hAnsi="宋体" w:eastAsia="宋体" w:cs="宋体"/>
          <w:b/>
          <w:sz w:val="24"/>
        </w:rPr>
      </w:pPr>
    </w:p>
    <w:p w14:paraId="711E28CB">
      <w:pPr>
        <w:widowControl/>
        <w:snapToGrid w:val="0"/>
        <w:spacing w:line="360" w:lineRule="auto"/>
        <w:jc w:val="left"/>
        <w:rPr>
          <w:rFonts w:hint="eastAsia" w:ascii="宋体" w:hAnsi="宋体" w:eastAsia="宋体" w:cs="宋体"/>
          <w:b/>
          <w:sz w:val="24"/>
        </w:rPr>
      </w:pPr>
    </w:p>
    <w:p w14:paraId="2F2550D8">
      <w:pPr>
        <w:widowControl/>
        <w:snapToGrid w:val="0"/>
        <w:spacing w:line="360" w:lineRule="auto"/>
        <w:jc w:val="left"/>
        <w:rPr>
          <w:rFonts w:hint="eastAsia" w:ascii="宋体" w:hAnsi="宋体" w:eastAsia="宋体" w:cs="宋体"/>
          <w:b/>
          <w:sz w:val="24"/>
        </w:rPr>
      </w:pPr>
    </w:p>
    <w:p w14:paraId="0B256D80">
      <w:pPr>
        <w:widowControl/>
        <w:snapToGrid w:val="0"/>
        <w:spacing w:line="360" w:lineRule="auto"/>
        <w:jc w:val="left"/>
        <w:rPr>
          <w:rFonts w:hint="eastAsia" w:ascii="宋体" w:hAnsi="宋体" w:eastAsia="宋体" w:cs="宋体"/>
          <w:b/>
          <w:sz w:val="24"/>
        </w:rPr>
      </w:pPr>
    </w:p>
    <w:p w14:paraId="42DC1D7B">
      <w:pPr>
        <w:widowControl/>
        <w:spacing w:line="330" w:lineRule="atLeast"/>
        <w:jc w:val="left"/>
        <w:rPr>
          <w:rFonts w:hint="eastAsia" w:ascii="宋体" w:hAnsi="宋体" w:eastAsia="宋体" w:cs="宋体"/>
          <w:kern w:val="0"/>
          <w:szCs w:val="21"/>
        </w:rPr>
      </w:pPr>
    </w:p>
    <w:p w14:paraId="403D7E32">
      <w:pPr>
        <w:widowControl/>
        <w:snapToGrid w:val="0"/>
        <w:spacing w:line="360" w:lineRule="auto"/>
        <w:jc w:val="left"/>
        <w:rPr>
          <w:rFonts w:hint="eastAsia" w:ascii="宋体" w:hAnsi="宋体" w:eastAsia="宋体" w:cs="宋体"/>
          <w:b/>
          <w:sz w:val="24"/>
        </w:rPr>
      </w:pPr>
    </w:p>
    <w:p w14:paraId="59E8488F">
      <w:pPr>
        <w:pStyle w:val="9"/>
        <w:rPr>
          <w:rFonts w:hint="eastAsia" w:ascii="宋体" w:hAnsi="宋体" w:eastAsia="宋体" w:cs="宋体"/>
          <w:b/>
          <w:sz w:val="24"/>
        </w:rPr>
      </w:pPr>
    </w:p>
    <w:p w14:paraId="26445273">
      <w:pPr>
        <w:rPr>
          <w:rFonts w:hint="eastAsia" w:ascii="宋体" w:hAnsi="宋体" w:eastAsia="宋体" w:cs="宋体"/>
          <w:b/>
          <w:sz w:val="24"/>
        </w:rPr>
      </w:pPr>
      <w:r>
        <w:rPr>
          <w:rFonts w:hint="eastAsia" w:ascii="宋体" w:hAnsi="宋体" w:eastAsia="宋体" w:cs="宋体"/>
          <w:b/>
          <w:sz w:val="24"/>
        </w:rPr>
        <w:br w:type="page"/>
      </w:r>
    </w:p>
    <w:p w14:paraId="49A1CA89">
      <w:pPr>
        <w:spacing w:line="360" w:lineRule="auto"/>
        <w:rPr>
          <w:rFonts w:hint="eastAsia" w:ascii="宋体" w:hAnsi="宋体" w:eastAsia="宋体" w:cs="宋体"/>
          <w:b/>
          <w:spacing w:val="6"/>
          <w:sz w:val="24"/>
        </w:rPr>
      </w:pPr>
      <w:r>
        <w:rPr>
          <w:rFonts w:hint="eastAsia" w:ascii="宋体" w:hAnsi="宋体" w:eastAsia="宋体" w:cs="宋体"/>
          <w:b/>
          <w:sz w:val="24"/>
        </w:rPr>
        <w:t>（三）</w:t>
      </w:r>
      <w:bookmarkStart w:id="75" w:name="OLE_LINK13"/>
      <w:bookmarkStart w:id="76" w:name="OLE_LINK14"/>
      <w:r>
        <w:rPr>
          <w:rFonts w:hint="eastAsia" w:ascii="宋体" w:hAnsi="宋体" w:eastAsia="宋体" w:cs="宋体"/>
          <w:b/>
          <w:spacing w:val="6"/>
          <w:sz w:val="24"/>
        </w:rPr>
        <w:t>残疾人福利性单位声明函</w:t>
      </w:r>
      <w:r>
        <w:rPr>
          <w:rFonts w:hint="eastAsia" w:ascii="宋体" w:hAnsi="宋体" w:eastAsia="宋体" w:cs="宋体"/>
          <w:b/>
          <w:sz w:val="24"/>
        </w:rPr>
        <w:t>格式</w:t>
      </w:r>
      <w:r>
        <w:rPr>
          <w:rFonts w:hint="eastAsia" w:ascii="宋体" w:hAnsi="宋体" w:eastAsia="宋体" w:cs="宋体"/>
          <w:b/>
          <w:kern w:val="0"/>
          <w:sz w:val="24"/>
        </w:rPr>
        <w:t>（如不涉及，此函可不提供）</w:t>
      </w:r>
    </w:p>
    <w:bookmarkEnd w:id="75"/>
    <w:bookmarkEnd w:id="76"/>
    <w:p w14:paraId="684C8CA6">
      <w:pPr>
        <w:spacing w:line="360" w:lineRule="auto"/>
        <w:ind w:firstLine="506" w:firstLineChars="200"/>
        <w:rPr>
          <w:rFonts w:hint="eastAsia" w:ascii="宋体" w:hAnsi="宋体" w:eastAsia="宋体" w:cs="宋体"/>
          <w:b/>
          <w:spacing w:val="6"/>
          <w:sz w:val="24"/>
        </w:rPr>
      </w:pPr>
    </w:p>
    <w:p w14:paraId="6AC89874">
      <w:pPr>
        <w:spacing w:line="360" w:lineRule="auto"/>
        <w:ind w:firstLine="506" w:firstLineChars="200"/>
        <w:jc w:val="center"/>
        <w:rPr>
          <w:rFonts w:hint="eastAsia" w:ascii="宋体" w:hAnsi="宋体" w:eastAsia="宋体" w:cs="宋体"/>
          <w:b/>
          <w:sz w:val="24"/>
        </w:rPr>
      </w:pPr>
      <w:r>
        <w:rPr>
          <w:rFonts w:hint="eastAsia" w:ascii="宋体" w:hAnsi="宋体" w:eastAsia="宋体" w:cs="宋体"/>
          <w:b/>
          <w:spacing w:val="6"/>
          <w:sz w:val="24"/>
        </w:rPr>
        <w:t>残疾人福利性单位声明函</w:t>
      </w:r>
    </w:p>
    <w:p w14:paraId="2C5E2322">
      <w:pPr>
        <w:tabs>
          <w:tab w:val="left" w:pos="1680"/>
        </w:tabs>
        <w:snapToGrid w:val="0"/>
        <w:spacing w:line="360" w:lineRule="auto"/>
        <w:ind w:firstLine="482" w:firstLineChars="200"/>
        <w:rPr>
          <w:rFonts w:hint="eastAsia" w:ascii="宋体" w:hAnsi="宋体" w:eastAsia="宋体" w:cs="宋体"/>
          <w:b/>
          <w:sz w:val="24"/>
        </w:rPr>
      </w:pPr>
    </w:p>
    <w:p w14:paraId="2F9AC9F5">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w:t>
      </w:r>
      <w:r>
        <w:rPr>
          <w:rFonts w:hint="eastAsia" w:ascii="宋体" w:hAnsi="宋体" w:cs="宋体"/>
          <w:sz w:val="24"/>
          <w:u w:val="single"/>
          <w:lang w:eastAsia="zh-CN"/>
        </w:rPr>
        <w:t>（</w:t>
      </w:r>
      <w:r>
        <w:rPr>
          <w:rFonts w:hint="eastAsia" w:ascii="宋体" w:hAnsi="宋体" w:cs="宋体"/>
          <w:sz w:val="24"/>
          <w:u w:val="single"/>
          <w:lang w:val="en-US" w:eastAsia="zh-CN"/>
        </w:rPr>
        <w:t>项目名称</w:t>
      </w:r>
      <w:r>
        <w:rPr>
          <w:rFonts w:hint="eastAsia" w:ascii="宋体" w:hAnsi="宋体" w:cs="宋体"/>
          <w:sz w:val="24"/>
          <w:u w:val="single"/>
          <w:lang w:eastAsia="zh-CN"/>
        </w:rPr>
        <w:t>）（</w:t>
      </w:r>
      <w:r>
        <w:rPr>
          <w:rFonts w:hint="eastAsia" w:ascii="宋体" w:hAnsi="宋体" w:cs="宋体"/>
          <w:sz w:val="24"/>
          <w:u w:val="single"/>
          <w:lang w:val="en-US" w:eastAsia="zh-CN"/>
        </w:rPr>
        <w:t>包号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（项目编号：____________）采购活动提供本单位制造的货物（由本单位承担工程/提供服务），或者提供其他残疾人福利性单位制造的货物（不包括使用非残疾人福利性单位注册商标的货物）。</w:t>
      </w:r>
    </w:p>
    <w:p w14:paraId="7866070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73199A3C">
      <w:pPr>
        <w:spacing w:line="360" w:lineRule="auto"/>
        <w:ind w:firstLine="504" w:firstLineChars="200"/>
        <w:rPr>
          <w:rFonts w:hint="eastAsia" w:ascii="宋体" w:hAnsi="宋体" w:eastAsia="宋体" w:cs="宋体"/>
          <w:spacing w:val="6"/>
          <w:sz w:val="24"/>
        </w:rPr>
      </w:pPr>
    </w:p>
    <w:p w14:paraId="16521A7E">
      <w:pPr>
        <w:spacing w:line="360" w:lineRule="auto"/>
        <w:ind w:firstLine="504" w:firstLineChars="200"/>
        <w:rPr>
          <w:rFonts w:hint="eastAsia" w:ascii="宋体" w:hAnsi="宋体" w:eastAsia="宋体" w:cs="宋体"/>
          <w:spacing w:val="6"/>
          <w:sz w:val="24"/>
        </w:rPr>
      </w:pPr>
    </w:p>
    <w:p w14:paraId="45155773">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7F69F610">
      <w:pPr>
        <w:spacing w:line="360" w:lineRule="auto"/>
        <w:ind w:firstLine="4560" w:firstLineChars="1900"/>
        <w:rPr>
          <w:rFonts w:hint="eastAsia" w:ascii="宋体" w:hAnsi="宋体" w:eastAsia="宋体" w:cs="宋体"/>
          <w:b/>
          <w:sz w:val="24"/>
        </w:rPr>
      </w:pPr>
      <w:r>
        <w:rPr>
          <w:rFonts w:hint="eastAsia" w:ascii="宋体" w:hAnsi="宋体" w:eastAsia="宋体" w:cs="宋体"/>
          <w:sz w:val="24"/>
        </w:rPr>
        <w:t>日     期：</w:t>
      </w:r>
    </w:p>
    <w:p w14:paraId="43C0F05D">
      <w:pPr>
        <w:spacing w:line="360" w:lineRule="auto"/>
        <w:ind w:firstLine="482" w:firstLineChars="200"/>
        <w:rPr>
          <w:rFonts w:hint="eastAsia" w:ascii="宋体" w:hAnsi="宋体" w:eastAsia="宋体" w:cs="宋体"/>
          <w:b/>
          <w:sz w:val="24"/>
        </w:rPr>
      </w:pPr>
    </w:p>
    <w:p w14:paraId="61CE7AFE">
      <w:pPr>
        <w:spacing w:line="360" w:lineRule="auto"/>
        <w:ind w:firstLine="482" w:firstLineChars="200"/>
        <w:rPr>
          <w:rFonts w:hint="eastAsia" w:ascii="宋体" w:hAnsi="宋体" w:eastAsia="宋体" w:cs="宋体"/>
          <w:b/>
          <w:kern w:val="0"/>
          <w:sz w:val="24"/>
        </w:rPr>
      </w:pPr>
      <w:r>
        <w:rPr>
          <w:rFonts w:hint="eastAsia" w:ascii="宋体" w:hAnsi="宋体" w:eastAsia="宋体" w:cs="宋体"/>
          <w:b/>
          <w:sz w:val="24"/>
        </w:rPr>
        <w:t>注：中标供应商为残疾人福利性单位的，代理机构随中标结果同时公告其《残疾人福利性单位声明函》</w:t>
      </w:r>
    </w:p>
    <w:p w14:paraId="64883832">
      <w:pPr>
        <w:spacing w:line="360" w:lineRule="auto"/>
        <w:ind w:firstLine="422" w:firstLineChars="200"/>
        <w:rPr>
          <w:rFonts w:hint="eastAsia" w:ascii="宋体" w:hAnsi="宋体" w:eastAsia="宋体" w:cs="宋体"/>
          <w:b/>
          <w:kern w:val="0"/>
          <w:szCs w:val="21"/>
        </w:rPr>
      </w:pPr>
    </w:p>
    <w:p w14:paraId="03A0777B">
      <w:pPr>
        <w:spacing w:line="360" w:lineRule="auto"/>
        <w:ind w:firstLine="422" w:firstLineChars="200"/>
        <w:rPr>
          <w:rFonts w:hint="eastAsia" w:ascii="宋体" w:hAnsi="宋体" w:eastAsia="宋体" w:cs="宋体"/>
          <w:b/>
          <w:kern w:val="0"/>
          <w:szCs w:val="21"/>
        </w:rPr>
      </w:pPr>
    </w:p>
    <w:p w14:paraId="136F2C11">
      <w:pPr>
        <w:spacing w:line="360" w:lineRule="auto"/>
        <w:ind w:firstLine="422" w:firstLineChars="200"/>
        <w:rPr>
          <w:rFonts w:hint="eastAsia" w:ascii="宋体" w:hAnsi="宋体" w:eastAsia="宋体" w:cs="宋体"/>
          <w:b/>
          <w:kern w:val="0"/>
          <w:szCs w:val="21"/>
        </w:rPr>
      </w:pPr>
    </w:p>
    <w:p w14:paraId="35191110">
      <w:pPr>
        <w:spacing w:line="360" w:lineRule="auto"/>
        <w:ind w:firstLine="422" w:firstLineChars="200"/>
        <w:rPr>
          <w:rFonts w:hint="eastAsia" w:ascii="宋体" w:hAnsi="宋体" w:eastAsia="宋体" w:cs="宋体"/>
          <w:b/>
          <w:kern w:val="0"/>
          <w:szCs w:val="21"/>
        </w:rPr>
      </w:pPr>
    </w:p>
    <w:p w14:paraId="7AE81620">
      <w:pPr>
        <w:spacing w:line="360" w:lineRule="auto"/>
        <w:ind w:firstLine="422" w:firstLineChars="200"/>
        <w:rPr>
          <w:rFonts w:hint="eastAsia" w:ascii="宋体" w:hAnsi="宋体" w:eastAsia="宋体" w:cs="宋体"/>
          <w:b/>
          <w:kern w:val="0"/>
          <w:szCs w:val="21"/>
        </w:rPr>
      </w:pPr>
    </w:p>
    <w:p w14:paraId="7B182164">
      <w:pPr>
        <w:spacing w:line="360" w:lineRule="auto"/>
        <w:ind w:firstLine="422" w:firstLineChars="200"/>
        <w:rPr>
          <w:rFonts w:hint="eastAsia" w:ascii="宋体" w:hAnsi="宋体" w:eastAsia="宋体" w:cs="宋体"/>
          <w:b/>
          <w:kern w:val="0"/>
          <w:szCs w:val="21"/>
        </w:rPr>
      </w:pPr>
    </w:p>
    <w:p w14:paraId="69D1B262">
      <w:pPr>
        <w:spacing w:line="360" w:lineRule="auto"/>
        <w:ind w:firstLine="422" w:firstLineChars="200"/>
        <w:rPr>
          <w:rFonts w:hint="eastAsia" w:ascii="宋体" w:hAnsi="宋体" w:eastAsia="宋体" w:cs="宋体"/>
          <w:b/>
          <w:kern w:val="0"/>
          <w:szCs w:val="21"/>
        </w:rPr>
      </w:pPr>
    </w:p>
    <w:p w14:paraId="1C11D1D2">
      <w:pPr>
        <w:rPr>
          <w:rFonts w:hint="eastAsia" w:ascii="宋体" w:hAnsi="宋体" w:eastAsia="宋体" w:cs="宋体"/>
          <w:b/>
          <w:kern w:val="0"/>
          <w:sz w:val="24"/>
          <w:szCs w:val="21"/>
        </w:rPr>
      </w:pPr>
    </w:p>
    <w:p w14:paraId="53E85427">
      <w:pPr>
        <w:spacing w:line="588" w:lineRule="exact"/>
        <w:jc w:val="center"/>
        <w:rPr>
          <w:rFonts w:hint="eastAsia" w:ascii="宋体" w:hAnsi="宋体" w:eastAsia="宋体" w:cs="宋体"/>
          <w:b/>
          <w:spacing w:val="6"/>
          <w:sz w:val="24"/>
        </w:rPr>
      </w:pPr>
    </w:p>
    <w:p w14:paraId="194D333F">
      <w:pPr>
        <w:spacing w:line="588" w:lineRule="exact"/>
        <w:jc w:val="center"/>
        <w:rPr>
          <w:rFonts w:hint="eastAsia" w:ascii="宋体" w:hAnsi="宋体" w:eastAsia="宋体" w:cs="宋体"/>
          <w:b/>
          <w:spacing w:val="6"/>
          <w:sz w:val="24"/>
        </w:rPr>
      </w:pPr>
    </w:p>
    <w:p w14:paraId="3A5BDC99">
      <w:pPr>
        <w:spacing w:line="588" w:lineRule="exact"/>
        <w:jc w:val="center"/>
        <w:rPr>
          <w:rFonts w:hint="eastAsia" w:ascii="宋体" w:hAnsi="宋体" w:eastAsia="宋体" w:cs="宋体"/>
          <w:b/>
          <w:spacing w:val="6"/>
          <w:sz w:val="24"/>
        </w:rPr>
      </w:pPr>
    </w:p>
    <w:p w14:paraId="077178AD">
      <w:pPr>
        <w:spacing w:line="588" w:lineRule="exact"/>
        <w:jc w:val="left"/>
        <w:rPr>
          <w:rFonts w:hint="eastAsia" w:ascii="宋体" w:hAnsi="宋体" w:eastAsia="宋体" w:cs="宋体"/>
          <w:b/>
          <w:spacing w:val="6"/>
          <w:sz w:val="24"/>
        </w:rPr>
      </w:pPr>
      <w:r>
        <w:rPr>
          <w:rFonts w:hint="eastAsia" w:ascii="宋体" w:hAnsi="宋体" w:eastAsia="宋体" w:cs="宋体"/>
          <w:b/>
          <w:spacing w:val="6"/>
          <w:sz w:val="24"/>
        </w:rPr>
        <w:t>（四）属于监狱企业的证明文件</w:t>
      </w:r>
      <w:r>
        <w:rPr>
          <w:rFonts w:hint="eastAsia" w:ascii="宋体" w:hAnsi="宋体" w:eastAsia="宋体" w:cs="宋体"/>
          <w:b/>
          <w:kern w:val="0"/>
          <w:sz w:val="24"/>
        </w:rPr>
        <w:t>（如不涉及，此函可不提供）</w:t>
      </w:r>
    </w:p>
    <w:p w14:paraId="299A9E50">
      <w:pPr>
        <w:tabs>
          <w:tab w:val="left" w:pos="1680"/>
        </w:tabs>
        <w:snapToGrid w:val="0"/>
        <w:spacing w:line="540" w:lineRule="exact"/>
        <w:ind w:firstLine="480" w:firstLineChars="200"/>
        <w:rPr>
          <w:rFonts w:hint="eastAsia" w:ascii="宋体" w:hAnsi="宋体" w:eastAsia="宋体" w:cs="宋体"/>
          <w:sz w:val="24"/>
        </w:rPr>
      </w:pPr>
    </w:p>
    <w:p w14:paraId="1B7F06ED">
      <w:pPr>
        <w:snapToGrid w:val="0"/>
        <w:spacing w:line="540" w:lineRule="exact"/>
        <w:ind w:firstLine="480" w:firstLineChars="200"/>
        <w:rPr>
          <w:rFonts w:hint="eastAsia" w:ascii="宋体" w:hAnsi="宋体" w:eastAsia="宋体" w:cs="宋体"/>
          <w:bCs/>
          <w:color w:val="000000"/>
          <w:sz w:val="24"/>
        </w:rPr>
      </w:pPr>
      <w:r>
        <w:rPr>
          <w:rFonts w:hint="eastAsia" w:ascii="宋体" w:hAnsi="宋体" w:eastAsia="宋体" w:cs="宋体"/>
          <w:sz w:val="24"/>
        </w:rPr>
        <w:t>监狱企业须提供由省级以上监狱管理局、戒毒管理局（含新疆生产建设兵团）出具的“属于监狱企业的证明文件”</w:t>
      </w:r>
      <w:r>
        <w:rPr>
          <w:rFonts w:hint="eastAsia" w:ascii="宋体" w:hAnsi="宋体" w:eastAsia="宋体" w:cs="宋体"/>
          <w:bCs/>
          <w:color w:val="000000"/>
          <w:sz w:val="24"/>
        </w:rPr>
        <w:t>。</w:t>
      </w:r>
    </w:p>
    <w:p w14:paraId="1CE99482">
      <w:pPr>
        <w:rPr>
          <w:rFonts w:hint="eastAsia" w:ascii="宋体" w:hAnsi="宋体" w:eastAsia="宋体" w:cs="宋体"/>
          <w:b/>
          <w:kern w:val="0"/>
          <w:sz w:val="24"/>
          <w:szCs w:val="21"/>
        </w:rPr>
      </w:pPr>
    </w:p>
    <w:p w14:paraId="136074EF">
      <w:pPr>
        <w:rPr>
          <w:rFonts w:hint="eastAsia" w:ascii="宋体" w:hAnsi="宋体" w:eastAsia="宋体" w:cs="宋体"/>
          <w:b/>
          <w:kern w:val="0"/>
          <w:sz w:val="24"/>
          <w:szCs w:val="21"/>
        </w:rPr>
      </w:pPr>
    </w:p>
    <w:p w14:paraId="30A21D9E">
      <w:pPr>
        <w:rPr>
          <w:rFonts w:hint="eastAsia" w:ascii="宋体" w:hAnsi="宋体" w:eastAsia="宋体" w:cs="宋体"/>
          <w:b/>
          <w:kern w:val="0"/>
          <w:sz w:val="24"/>
          <w:szCs w:val="21"/>
        </w:rPr>
      </w:pPr>
    </w:p>
    <w:p w14:paraId="613783CB">
      <w:pPr>
        <w:rPr>
          <w:rFonts w:hint="eastAsia" w:ascii="宋体" w:hAnsi="宋体" w:eastAsia="宋体" w:cs="宋体"/>
          <w:b/>
          <w:kern w:val="0"/>
          <w:sz w:val="24"/>
          <w:szCs w:val="21"/>
        </w:rPr>
      </w:pPr>
    </w:p>
    <w:p w14:paraId="2A3CA99A">
      <w:pPr>
        <w:rPr>
          <w:rFonts w:hint="eastAsia" w:ascii="宋体" w:hAnsi="宋体" w:eastAsia="宋体" w:cs="宋体"/>
          <w:b/>
          <w:kern w:val="0"/>
          <w:sz w:val="24"/>
          <w:szCs w:val="21"/>
        </w:rPr>
      </w:pPr>
    </w:p>
    <w:p w14:paraId="3E313B4E">
      <w:pPr>
        <w:rPr>
          <w:rFonts w:hint="eastAsia" w:ascii="宋体" w:hAnsi="宋体" w:eastAsia="宋体" w:cs="宋体"/>
          <w:b/>
          <w:kern w:val="0"/>
          <w:sz w:val="24"/>
          <w:szCs w:val="21"/>
        </w:rPr>
      </w:pPr>
    </w:p>
    <w:p w14:paraId="7CF39668">
      <w:pPr>
        <w:rPr>
          <w:rFonts w:hint="eastAsia" w:ascii="宋体" w:hAnsi="宋体" w:eastAsia="宋体" w:cs="宋体"/>
          <w:b/>
          <w:kern w:val="0"/>
          <w:sz w:val="24"/>
          <w:szCs w:val="21"/>
        </w:rPr>
      </w:pPr>
    </w:p>
    <w:p w14:paraId="2D5018BC">
      <w:pPr>
        <w:rPr>
          <w:rFonts w:hint="eastAsia" w:ascii="宋体" w:hAnsi="宋体" w:eastAsia="宋体" w:cs="宋体"/>
          <w:b/>
          <w:kern w:val="0"/>
          <w:sz w:val="24"/>
          <w:szCs w:val="21"/>
        </w:rPr>
      </w:pPr>
    </w:p>
    <w:p w14:paraId="723EEE3C">
      <w:pPr>
        <w:rPr>
          <w:rFonts w:hint="eastAsia" w:ascii="宋体" w:hAnsi="宋体" w:eastAsia="宋体" w:cs="宋体"/>
          <w:b/>
          <w:kern w:val="0"/>
          <w:sz w:val="24"/>
          <w:szCs w:val="21"/>
        </w:rPr>
      </w:pPr>
    </w:p>
    <w:p w14:paraId="28F429D6">
      <w:pPr>
        <w:rPr>
          <w:rFonts w:hint="eastAsia" w:ascii="宋体" w:hAnsi="宋体" w:eastAsia="宋体" w:cs="宋体"/>
          <w:b/>
          <w:kern w:val="0"/>
          <w:sz w:val="24"/>
          <w:szCs w:val="21"/>
        </w:rPr>
      </w:pPr>
    </w:p>
    <w:p w14:paraId="17C73F27">
      <w:pPr>
        <w:rPr>
          <w:rFonts w:hint="eastAsia" w:ascii="宋体" w:hAnsi="宋体" w:eastAsia="宋体" w:cs="宋体"/>
          <w:b/>
          <w:kern w:val="0"/>
          <w:sz w:val="24"/>
          <w:szCs w:val="21"/>
        </w:rPr>
      </w:pPr>
    </w:p>
    <w:p w14:paraId="672DB993">
      <w:pPr>
        <w:rPr>
          <w:rFonts w:hint="eastAsia" w:ascii="宋体" w:hAnsi="宋体" w:eastAsia="宋体" w:cs="宋体"/>
          <w:b/>
          <w:kern w:val="0"/>
          <w:sz w:val="24"/>
          <w:szCs w:val="21"/>
        </w:rPr>
      </w:pPr>
    </w:p>
    <w:p w14:paraId="429BEADA">
      <w:pPr>
        <w:rPr>
          <w:rFonts w:hint="eastAsia" w:ascii="宋体" w:hAnsi="宋体" w:eastAsia="宋体" w:cs="宋体"/>
          <w:b/>
          <w:kern w:val="0"/>
          <w:sz w:val="24"/>
          <w:szCs w:val="21"/>
        </w:rPr>
      </w:pPr>
    </w:p>
    <w:p w14:paraId="4BFE24CB">
      <w:pPr>
        <w:rPr>
          <w:rFonts w:hint="eastAsia" w:ascii="宋体" w:hAnsi="宋体" w:eastAsia="宋体" w:cs="宋体"/>
          <w:b/>
          <w:kern w:val="0"/>
          <w:sz w:val="24"/>
          <w:szCs w:val="21"/>
        </w:rPr>
      </w:pPr>
    </w:p>
    <w:p w14:paraId="22F2172B">
      <w:pPr>
        <w:rPr>
          <w:rFonts w:hint="eastAsia" w:ascii="宋体" w:hAnsi="宋体" w:eastAsia="宋体" w:cs="宋体"/>
          <w:b/>
          <w:kern w:val="0"/>
          <w:sz w:val="24"/>
          <w:szCs w:val="21"/>
        </w:rPr>
      </w:pPr>
    </w:p>
    <w:p w14:paraId="67BA696F">
      <w:pPr>
        <w:rPr>
          <w:rFonts w:hint="eastAsia" w:ascii="宋体" w:hAnsi="宋体" w:eastAsia="宋体" w:cs="宋体"/>
          <w:b/>
          <w:kern w:val="0"/>
          <w:sz w:val="24"/>
          <w:szCs w:val="21"/>
        </w:rPr>
      </w:pPr>
    </w:p>
    <w:p w14:paraId="0D039127">
      <w:pPr>
        <w:rPr>
          <w:rFonts w:hint="eastAsia" w:ascii="宋体" w:hAnsi="宋体" w:eastAsia="宋体" w:cs="宋体"/>
          <w:b/>
          <w:kern w:val="0"/>
          <w:sz w:val="24"/>
          <w:szCs w:val="21"/>
        </w:rPr>
      </w:pPr>
    </w:p>
    <w:p w14:paraId="26C88920">
      <w:pPr>
        <w:rPr>
          <w:rFonts w:hint="eastAsia" w:ascii="宋体" w:hAnsi="宋体" w:eastAsia="宋体" w:cs="宋体"/>
          <w:b/>
          <w:kern w:val="0"/>
          <w:sz w:val="24"/>
          <w:szCs w:val="21"/>
        </w:rPr>
      </w:pPr>
    </w:p>
    <w:p w14:paraId="7A50D090">
      <w:pPr>
        <w:rPr>
          <w:rFonts w:hint="eastAsia" w:ascii="宋体" w:hAnsi="宋体" w:eastAsia="宋体" w:cs="宋体"/>
          <w:b/>
          <w:kern w:val="0"/>
          <w:sz w:val="24"/>
          <w:szCs w:val="21"/>
        </w:rPr>
      </w:pPr>
    </w:p>
    <w:p w14:paraId="71012A7A">
      <w:pPr>
        <w:rPr>
          <w:rFonts w:hint="eastAsia" w:ascii="宋体" w:hAnsi="宋体" w:eastAsia="宋体" w:cs="宋体"/>
          <w:b/>
          <w:kern w:val="0"/>
          <w:sz w:val="24"/>
          <w:szCs w:val="21"/>
        </w:rPr>
      </w:pPr>
    </w:p>
    <w:p w14:paraId="7D08B818">
      <w:pPr>
        <w:rPr>
          <w:rFonts w:hint="eastAsia" w:ascii="宋体" w:hAnsi="宋体" w:eastAsia="宋体" w:cs="宋体"/>
          <w:b/>
          <w:kern w:val="0"/>
          <w:sz w:val="24"/>
          <w:szCs w:val="21"/>
        </w:rPr>
      </w:pPr>
    </w:p>
    <w:p w14:paraId="35BDB79E">
      <w:pPr>
        <w:rPr>
          <w:rFonts w:hint="eastAsia" w:ascii="宋体" w:hAnsi="宋体" w:eastAsia="宋体" w:cs="宋体"/>
          <w:b/>
          <w:kern w:val="0"/>
          <w:sz w:val="24"/>
          <w:szCs w:val="21"/>
        </w:rPr>
      </w:pPr>
    </w:p>
    <w:p w14:paraId="6986CD53">
      <w:pPr>
        <w:rPr>
          <w:rFonts w:hint="eastAsia" w:ascii="宋体" w:hAnsi="宋体" w:eastAsia="宋体" w:cs="宋体"/>
          <w:b/>
          <w:kern w:val="0"/>
          <w:sz w:val="24"/>
          <w:szCs w:val="21"/>
        </w:rPr>
      </w:pPr>
    </w:p>
    <w:p w14:paraId="501F3348">
      <w:pPr>
        <w:rPr>
          <w:rFonts w:hint="eastAsia" w:ascii="宋体" w:hAnsi="宋体" w:eastAsia="宋体" w:cs="宋体"/>
          <w:b/>
          <w:kern w:val="0"/>
          <w:sz w:val="24"/>
          <w:szCs w:val="21"/>
        </w:rPr>
      </w:pPr>
    </w:p>
    <w:p w14:paraId="452D0CBB">
      <w:pPr>
        <w:rPr>
          <w:rFonts w:hint="eastAsia" w:ascii="宋体" w:hAnsi="宋体" w:eastAsia="宋体" w:cs="宋体"/>
          <w:b/>
          <w:kern w:val="0"/>
          <w:sz w:val="24"/>
          <w:szCs w:val="21"/>
        </w:rPr>
      </w:pPr>
    </w:p>
    <w:p w14:paraId="6278878F">
      <w:pPr>
        <w:rPr>
          <w:rFonts w:hint="eastAsia" w:ascii="宋体" w:hAnsi="宋体" w:eastAsia="宋体" w:cs="宋体"/>
          <w:b/>
          <w:kern w:val="0"/>
          <w:sz w:val="24"/>
          <w:szCs w:val="21"/>
        </w:rPr>
      </w:pPr>
    </w:p>
    <w:p w14:paraId="54546D54">
      <w:pPr>
        <w:rPr>
          <w:rFonts w:hint="eastAsia" w:ascii="宋体" w:hAnsi="宋体" w:eastAsia="宋体" w:cs="宋体"/>
          <w:b/>
          <w:kern w:val="0"/>
          <w:sz w:val="24"/>
          <w:szCs w:val="21"/>
        </w:rPr>
      </w:pPr>
    </w:p>
    <w:p w14:paraId="1365C708">
      <w:pPr>
        <w:rPr>
          <w:rFonts w:hint="eastAsia" w:ascii="宋体" w:hAnsi="宋体" w:eastAsia="宋体" w:cs="宋体"/>
          <w:b/>
          <w:kern w:val="0"/>
          <w:sz w:val="24"/>
          <w:szCs w:val="21"/>
        </w:rPr>
      </w:pPr>
    </w:p>
    <w:p w14:paraId="2EF741F7">
      <w:pPr>
        <w:rPr>
          <w:rFonts w:hint="eastAsia" w:ascii="宋体" w:hAnsi="宋体" w:eastAsia="宋体" w:cs="宋体"/>
          <w:b/>
          <w:kern w:val="0"/>
          <w:sz w:val="24"/>
          <w:szCs w:val="21"/>
        </w:rPr>
      </w:pPr>
    </w:p>
    <w:p w14:paraId="78AB2B05">
      <w:pPr>
        <w:rPr>
          <w:rFonts w:hint="eastAsia" w:ascii="宋体" w:hAnsi="宋体" w:eastAsia="宋体" w:cs="宋体"/>
          <w:b/>
          <w:kern w:val="0"/>
          <w:sz w:val="24"/>
          <w:szCs w:val="21"/>
        </w:rPr>
      </w:pPr>
    </w:p>
    <w:p w14:paraId="0927ADE2">
      <w:pPr>
        <w:rPr>
          <w:rFonts w:hint="eastAsia" w:ascii="宋体" w:hAnsi="宋体" w:eastAsia="宋体" w:cs="宋体"/>
          <w:b/>
          <w:kern w:val="0"/>
          <w:sz w:val="24"/>
          <w:szCs w:val="21"/>
        </w:rPr>
      </w:pPr>
    </w:p>
    <w:p w14:paraId="7347FA9E">
      <w:pPr>
        <w:rPr>
          <w:rFonts w:hint="eastAsia" w:ascii="宋体" w:hAnsi="宋体" w:eastAsia="宋体" w:cs="宋体"/>
          <w:b/>
          <w:kern w:val="0"/>
          <w:sz w:val="24"/>
          <w:szCs w:val="21"/>
        </w:rPr>
      </w:pPr>
    </w:p>
    <w:p w14:paraId="2DEA6B00">
      <w:pPr>
        <w:rPr>
          <w:rFonts w:hint="eastAsia" w:ascii="宋体" w:hAnsi="宋体" w:eastAsia="宋体" w:cs="宋体"/>
          <w:b/>
          <w:kern w:val="0"/>
          <w:sz w:val="24"/>
          <w:szCs w:val="21"/>
        </w:rPr>
      </w:pPr>
    </w:p>
    <w:p w14:paraId="5F25913D">
      <w:pPr>
        <w:rPr>
          <w:rFonts w:hint="eastAsia" w:ascii="宋体" w:hAnsi="宋体" w:eastAsia="宋体" w:cs="宋体"/>
          <w:b/>
          <w:kern w:val="0"/>
          <w:sz w:val="24"/>
          <w:szCs w:val="21"/>
        </w:rPr>
      </w:pPr>
    </w:p>
    <w:p w14:paraId="022D9845">
      <w:pPr>
        <w:rPr>
          <w:rFonts w:hint="eastAsia" w:ascii="宋体" w:hAnsi="宋体" w:eastAsia="宋体" w:cs="宋体"/>
          <w:b/>
          <w:kern w:val="0"/>
          <w:sz w:val="24"/>
          <w:szCs w:val="21"/>
        </w:rPr>
      </w:pPr>
    </w:p>
    <w:p w14:paraId="1743EB16">
      <w:pPr>
        <w:rPr>
          <w:rFonts w:hint="eastAsia" w:ascii="宋体" w:hAnsi="宋体" w:eastAsia="宋体" w:cs="宋体"/>
          <w:b/>
          <w:kern w:val="0"/>
          <w:sz w:val="24"/>
          <w:szCs w:val="21"/>
        </w:rPr>
      </w:pPr>
    </w:p>
    <w:p w14:paraId="2A0880DE">
      <w:pPr>
        <w:rPr>
          <w:rFonts w:hint="eastAsia" w:ascii="宋体" w:hAnsi="宋体" w:eastAsia="宋体" w:cs="宋体"/>
        </w:rPr>
      </w:pPr>
    </w:p>
    <w:p w14:paraId="608BC21C">
      <w:pPr>
        <w:pStyle w:val="9"/>
        <w:rPr>
          <w:rFonts w:hint="eastAsia" w:ascii="宋体" w:hAnsi="宋体" w:eastAsia="宋体" w:cs="宋体"/>
        </w:rPr>
      </w:pPr>
    </w:p>
    <w:p w14:paraId="741B57B8">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8.响应文件递交截止日近三年内类似项目合同案例列表及相关证明资料</w:t>
      </w:r>
    </w:p>
    <w:p w14:paraId="53514888">
      <w:pPr>
        <w:tabs>
          <w:tab w:val="left" w:pos="567"/>
        </w:tabs>
        <w:snapToGrid w:val="0"/>
        <w:spacing w:line="360" w:lineRule="auto"/>
        <w:jc w:val="left"/>
        <w:rPr>
          <w:rFonts w:hint="eastAsia" w:ascii="宋体" w:hAnsi="宋体" w:eastAsia="宋体" w:cs="宋体"/>
          <w:b/>
          <w:kern w:val="0"/>
          <w:sz w:val="24"/>
        </w:rPr>
      </w:pPr>
    </w:p>
    <w:p w14:paraId="5364C22F">
      <w:pPr>
        <w:pStyle w:val="13"/>
        <w:rPr>
          <w:rFonts w:hint="eastAsia" w:ascii="宋体" w:hAnsi="宋体" w:eastAsia="宋体" w:cs="宋体"/>
          <w:sz w:val="24"/>
          <w:szCs w:val="24"/>
        </w:rPr>
      </w:pPr>
    </w:p>
    <w:p w14:paraId="7DE307E2">
      <w:pPr>
        <w:spacing w:line="480" w:lineRule="exact"/>
        <w:jc w:val="center"/>
        <w:rPr>
          <w:rFonts w:hint="eastAsia" w:ascii="宋体" w:hAnsi="宋体" w:eastAsia="宋体" w:cs="宋体"/>
          <w:b/>
          <w:sz w:val="24"/>
        </w:rPr>
      </w:pPr>
      <w:r>
        <w:rPr>
          <w:rFonts w:hint="eastAsia" w:ascii="宋体" w:hAnsi="宋体" w:eastAsia="宋体" w:cs="宋体"/>
          <w:b/>
          <w:kern w:val="0"/>
          <w:sz w:val="24"/>
        </w:rPr>
        <w:t xml:space="preserve">     近三年内类似项目合同案例列表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47E4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03E2364">
            <w:pPr>
              <w:spacing w:line="480" w:lineRule="exact"/>
              <w:jc w:val="center"/>
              <w:rPr>
                <w:rFonts w:hint="eastAsia" w:ascii="宋体" w:hAnsi="宋体" w:eastAsia="宋体" w:cs="宋体"/>
                <w:sz w:val="24"/>
              </w:rPr>
            </w:pPr>
            <w:r>
              <w:rPr>
                <w:rFonts w:hint="eastAsia" w:ascii="宋体" w:hAnsi="宋体" w:eastAsia="宋体" w:cs="宋体"/>
                <w:sz w:val="24"/>
              </w:rPr>
              <w:t>使用单位</w:t>
            </w:r>
          </w:p>
        </w:tc>
        <w:tc>
          <w:tcPr>
            <w:tcW w:w="1560" w:type="dxa"/>
          </w:tcPr>
          <w:p w14:paraId="2CB63B26">
            <w:pPr>
              <w:spacing w:line="480" w:lineRule="exact"/>
              <w:jc w:val="center"/>
              <w:rPr>
                <w:rFonts w:hint="eastAsia" w:ascii="宋体" w:hAnsi="宋体" w:eastAsia="宋体" w:cs="宋体"/>
                <w:sz w:val="24"/>
              </w:rPr>
            </w:pPr>
            <w:r>
              <w:rPr>
                <w:rFonts w:hint="eastAsia" w:ascii="宋体" w:hAnsi="宋体" w:eastAsia="宋体" w:cs="宋体"/>
                <w:sz w:val="24"/>
              </w:rPr>
              <w:t>项目名称</w:t>
            </w:r>
          </w:p>
        </w:tc>
        <w:tc>
          <w:tcPr>
            <w:tcW w:w="2076" w:type="dxa"/>
          </w:tcPr>
          <w:p w14:paraId="1C8CA64F">
            <w:pPr>
              <w:spacing w:line="480" w:lineRule="exact"/>
              <w:jc w:val="center"/>
              <w:rPr>
                <w:rFonts w:hint="eastAsia" w:ascii="宋体" w:hAnsi="宋体" w:eastAsia="宋体" w:cs="宋体"/>
                <w:sz w:val="24"/>
              </w:rPr>
            </w:pPr>
            <w:r>
              <w:rPr>
                <w:rFonts w:hint="eastAsia" w:ascii="宋体" w:hAnsi="宋体" w:eastAsia="宋体" w:cs="宋体"/>
                <w:sz w:val="24"/>
              </w:rPr>
              <w:t>合同金额</w:t>
            </w:r>
          </w:p>
        </w:tc>
        <w:tc>
          <w:tcPr>
            <w:tcW w:w="1431" w:type="dxa"/>
          </w:tcPr>
          <w:p w14:paraId="5F99D882">
            <w:pPr>
              <w:spacing w:line="480" w:lineRule="exact"/>
              <w:jc w:val="center"/>
              <w:rPr>
                <w:rFonts w:hint="eastAsia" w:ascii="宋体" w:hAnsi="宋体" w:eastAsia="宋体" w:cs="宋体"/>
                <w:sz w:val="24"/>
              </w:rPr>
            </w:pPr>
            <w:r>
              <w:rPr>
                <w:rFonts w:hint="eastAsia" w:ascii="宋体" w:hAnsi="宋体" w:eastAsia="宋体" w:cs="宋体"/>
                <w:sz w:val="24"/>
              </w:rPr>
              <w:t>联系人</w:t>
            </w:r>
          </w:p>
        </w:tc>
        <w:tc>
          <w:tcPr>
            <w:tcW w:w="1610" w:type="dxa"/>
          </w:tcPr>
          <w:p w14:paraId="4E8D6631">
            <w:pPr>
              <w:spacing w:line="480" w:lineRule="exact"/>
              <w:jc w:val="center"/>
              <w:rPr>
                <w:rFonts w:hint="eastAsia" w:ascii="宋体" w:hAnsi="宋体" w:eastAsia="宋体" w:cs="宋体"/>
                <w:sz w:val="24"/>
              </w:rPr>
            </w:pPr>
            <w:r>
              <w:rPr>
                <w:rFonts w:hint="eastAsia" w:ascii="宋体" w:hAnsi="宋体" w:eastAsia="宋体" w:cs="宋体"/>
                <w:sz w:val="24"/>
              </w:rPr>
              <w:t>电话</w:t>
            </w:r>
          </w:p>
        </w:tc>
        <w:tc>
          <w:tcPr>
            <w:tcW w:w="839" w:type="dxa"/>
          </w:tcPr>
          <w:p w14:paraId="7143C4C0">
            <w:pPr>
              <w:spacing w:line="480" w:lineRule="exact"/>
              <w:jc w:val="center"/>
              <w:rPr>
                <w:rFonts w:hint="eastAsia" w:ascii="宋体" w:hAnsi="宋体" w:eastAsia="宋体" w:cs="宋体"/>
                <w:sz w:val="24"/>
              </w:rPr>
            </w:pPr>
            <w:r>
              <w:rPr>
                <w:rFonts w:hint="eastAsia" w:ascii="宋体" w:hAnsi="宋体" w:eastAsia="宋体" w:cs="宋体"/>
                <w:sz w:val="24"/>
              </w:rPr>
              <w:t>备注</w:t>
            </w:r>
          </w:p>
        </w:tc>
      </w:tr>
      <w:tr w14:paraId="71EF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E0D1936">
            <w:pPr>
              <w:spacing w:line="480" w:lineRule="exact"/>
              <w:rPr>
                <w:rFonts w:hint="eastAsia" w:ascii="宋体" w:hAnsi="宋体" w:eastAsia="宋体" w:cs="宋体"/>
                <w:sz w:val="24"/>
              </w:rPr>
            </w:pPr>
          </w:p>
        </w:tc>
        <w:tc>
          <w:tcPr>
            <w:tcW w:w="1560" w:type="dxa"/>
          </w:tcPr>
          <w:p w14:paraId="2A3AACB9">
            <w:pPr>
              <w:spacing w:line="480" w:lineRule="exact"/>
              <w:rPr>
                <w:rFonts w:hint="eastAsia" w:ascii="宋体" w:hAnsi="宋体" w:eastAsia="宋体" w:cs="宋体"/>
                <w:sz w:val="24"/>
              </w:rPr>
            </w:pPr>
          </w:p>
        </w:tc>
        <w:tc>
          <w:tcPr>
            <w:tcW w:w="2076" w:type="dxa"/>
          </w:tcPr>
          <w:p w14:paraId="3B496A55">
            <w:pPr>
              <w:spacing w:line="480" w:lineRule="exact"/>
              <w:rPr>
                <w:rFonts w:hint="eastAsia" w:ascii="宋体" w:hAnsi="宋体" w:eastAsia="宋体" w:cs="宋体"/>
                <w:sz w:val="24"/>
              </w:rPr>
            </w:pPr>
          </w:p>
        </w:tc>
        <w:tc>
          <w:tcPr>
            <w:tcW w:w="1431" w:type="dxa"/>
          </w:tcPr>
          <w:p w14:paraId="5D8B82D9">
            <w:pPr>
              <w:spacing w:line="480" w:lineRule="exact"/>
              <w:rPr>
                <w:rFonts w:hint="eastAsia" w:ascii="宋体" w:hAnsi="宋体" w:eastAsia="宋体" w:cs="宋体"/>
                <w:sz w:val="24"/>
              </w:rPr>
            </w:pPr>
          </w:p>
        </w:tc>
        <w:tc>
          <w:tcPr>
            <w:tcW w:w="1610" w:type="dxa"/>
          </w:tcPr>
          <w:p w14:paraId="43CE5438">
            <w:pPr>
              <w:spacing w:line="480" w:lineRule="exact"/>
              <w:rPr>
                <w:rFonts w:hint="eastAsia" w:ascii="宋体" w:hAnsi="宋体" w:eastAsia="宋体" w:cs="宋体"/>
                <w:sz w:val="24"/>
              </w:rPr>
            </w:pPr>
          </w:p>
        </w:tc>
        <w:tc>
          <w:tcPr>
            <w:tcW w:w="839" w:type="dxa"/>
          </w:tcPr>
          <w:p w14:paraId="16ACCC80">
            <w:pPr>
              <w:spacing w:line="480" w:lineRule="exact"/>
              <w:rPr>
                <w:rFonts w:hint="eastAsia" w:ascii="宋体" w:hAnsi="宋体" w:eastAsia="宋体" w:cs="宋体"/>
                <w:sz w:val="24"/>
              </w:rPr>
            </w:pPr>
          </w:p>
        </w:tc>
      </w:tr>
      <w:tr w14:paraId="25B5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324A6F77">
            <w:pPr>
              <w:spacing w:line="480" w:lineRule="exact"/>
              <w:rPr>
                <w:rFonts w:hint="eastAsia" w:ascii="宋体" w:hAnsi="宋体" w:eastAsia="宋体" w:cs="宋体"/>
                <w:sz w:val="24"/>
              </w:rPr>
            </w:pPr>
          </w:p>
        </w:tc>
        <w:tc>
          <w:tcPr>
            <w:tcW w:w="1560" w:type="dxa"/>
          </w:tcPr>
          <w:p w14:paraId="7A989BA4">
            <w:pPr>
              <w:spacing w:line="480" w:lineRule="exact"/>
              <w:rPr>
                <w:rFonts w:hint="eastAsia" w:ascii="宋体" w:hAnsi="宋体" w:eastAsia="宋体" w:cs="宋体"/>
                <w:sz w:val="24"/>
              </w:rPr>
            </w:pPr>
          </w:p>
        </w:tc>
        <w:tc>
          <w:tcPr>
            <w:tcW w:w="2076" w:type="dxa"/>
          </w:tcPr>
          <w:p w14:paraId="0F18D766">
            <w:pPr>
              <w:spacing w:line="480" w:lineRule="exact"/>
              <w:rPr>
                <w:rFonts w:hint="eastAsia" w:ascii="宋体" w:hAnsi="宋体" w:eastAsia="宋体" w:cs="宋体"/>
                <w:sz w:val="24"/>
              </w:rPr>
            </w:pPr>
          </w:p>
        </w:tc>
        <w:tc>
          <w:tcPr>
            <w:tcW w:w="1431" w:type="dxa"/>
          </w:tcPr>
          <w:p w14:paraId="0A029CDE">
            <w:pPr>
              <w:spacing w:line="480" w:lineRule="exact"/>
              <w:rPr>
                <w:rFonts w:hint="eastAsia" w:ascii="宋体" w:hAnsi="宋体" w:eastAsia="宋体" w:cs="宋体"/>
                <w:sz w:val="24"/>
              </w:rPr>
            </w:pPr>
          </w:p>
        </w:tc>
        <w:tc>
          <w:tcPr>
            <w:tcW w:w="1610" w:type="dxa"/>
          </w:tcPr>
          <w:p w14:paraId="6A16EA51">
            <w:pPr>
              <w:spacing w:line="480" w:lineRule="exact"/>
              <w:rPr>
                <w:rFonts w:hint="eastAsia" w:ascii="宋体" w:hAnsi="宋体" w:eastAsia="宋体" w:cs="宋体"/>
                <w:sz w:val="24"/>
              </w:rPr>
            </w:pPr>
          </w:p>
        </w:tc>
        <w:tc>
          <w:tcPr>
            <w:tcW w:w="839" w:type="dxa"/>
          </w:tcPr>
          <w:p w14:paraId="65B744B3">
            <w:pPr>
              <w:spacing w:line="480" w:lineRule="exact"/>
              <w:rPr>
                <w:rFonts w:hint="eastAsia" w:ascii="宋体" w:hAnsi="宋体" w:eastAsia="宋体" w:cs="宋体"/>
                <w:sz w:val="24"/>
              </w:rPr>
            </w:pPr>
          </w:p>
        </w:tc>
      </w:tr>
      <w:tr w14:paraId="0701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669AD70F">
            <w:pPr>
              <w:spacing w:line="480" w:lineRule="exact"/>
              <w:rPr>
                <w:rFonts w:hint="eastAsia" w:ascii="宋体" w:hAnsi="宋体" w:eastAsia="宋体" w:cs="宋体"/>
                <w:sz w:val="24"/>
              </w:rPr>
            </w:pPr>
          </w:p>
        </w:tc>
        <w:tc>
          <w:tcPr>
            <w:tcW w:w="1560" w:type="dxa"/>
          </w:tcPr>
          <w:p w14:paraId="56FE2AF0">
            <w:pPr>
              <w:spacing w:line="480" w:lineRule="exact"/>
              <w:rPr>
                <w:rFonts w:hint="eastAsia" w:ascii="宋体" w:hAnsi="宋体" w:eastAsia="宋体" w:cs="宋体"/>
                <w:sz w:val="24"/>
              </w:rPr>
            </w:pPr>
          </w:p>
        </w:tc>
        <w:tc>
          <w:tcPr>
            <w:tcW w:w="2076" w:type="dxa"/>
          </w:tcPr>
          <w:p w14:paraId="0688CE8F">
            <w:pPr>
              <w:spacing w:line="480" w:lineRule="exact"/>
              <w:rPr>
                <w:rFonts w:hint="eastAsia" w:ascii="宋体" w:hAnsi="宋体" w:eastAsia="宋体" w:cs="宋体"/>
                <w:sz w:val="24"/>
              </w:rPr>
            </w:pPr>
          </w:p>
        </w:tc>
        <w:tc>
          <w:tcPr>
            <w:tcW w:w="1431" w:type="dxa"/>
          </w:tcPr>
          <w:p w14:paraId="343D37A1">
            <w:pPr>
              <w:spacing w:line="480" w:lineRule="exact"/>
              <w:rPr>
                <w:rFonts w:hint="eastAsia" w:ascii="宋体" w:hAnsi="宋体" w:eastAsia="宋体" w:cs="宋体"/>
                <w:sz w:val="24"/>
              </w:rPr>
            </w:pPr>
          </w:p>
        </w:tc>
        <w:tc>
          <w:tcPr>
            <w:tcW w:w="1610" w:type="dxa"/>
          </w:tcPr>
          <w:p w14:paraId="662D2E5E">
            <w:pPr>
              <w:spacing w:line="480" w:lineRule="exact"/>
              <w:rPr>
                <w:rFonts w:hint="eastAsia" w:ascii="宋体" w:hAnsi="宋体" w:eastAsia="宋体" w:cs="宋体"/>
                <w:sz w:val="24"/>
              </w:rPr>
            </w:pPr>
          </w:p>
        </w:tc>
        <w:tc>
          <w:tcPr>
            <w:tcW w:w="839" w:type="dxa"/>
          </w:tcPr>
          <w:p w14:paraId="0297BF2F">
            <w:pPr>
              <w:spacing w:line="480" w:lineRule="exact"/>
              <w:rPr>
                <w:rFonts w:hint="eastAsia" w:ascii="宋体" w:hAnsi="宋体" w:eastAsia="宋体" w:cs="宋体"/>
                <w:sz w:val="24"/>
              </w:rPr>
            </w:pPr>
          </w:p>
        </w:tc>
      </w:tr>
      <w:tr w14:paraId="7CEA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7CC55754">
            <w:pPr>
              <w:spacing w:line="480" w:lineRule="exact"/>
              <w:rPr>
                <w:rFonts w:hint="eastAsia" w:ascii="宋体" w:hAnsi="宋体" w:eastAsia="宋体" w:cs="宋体"/>
                <w:sz w:val="24"/>
              </w:rPr>
            </w:pPr>
          </w:p>
        </w:tc>
        <w:tc>
          <w:tcPr>
            <w:tcW w:w="1560" w:type="dxa"/>
          </w:tcPr>
          <w:p w14:paraId="1757673E">
            <w:pPr>
              <w:spacing w:line="480" w:lineRule="exact"/>
              <w:rPr>
                <w:rFonts w:hint="eastAsia" w:ascii="宋体" w:hAnsi="宋体" w:eastAsia="宋体" w:cs="宋体"/>
                <w:sz w:val="24"/>
              </w:rPr>
            </w:pPr>
          </w:p>
        </w:tc>
        <w:tc>
          <w:tcPr>
            <w:tcW w:w="2076" w:type="dxa"/>
          </w:tcPr>
          <w:p w14:paraId="0C5BE6CE">
            <w:pPr>
              <w:spacing w:line="480" w:lineRule="exact"/>
              <w:rPr>
                <w:rFonts w:hint="eastAsia" w:ascii="宋体" w:hAnsi="宋体" w:eastAsia="宋体" w:cs="宋体"/>
                <w:sz w:val="24"/>
              </w:rPr>
            </w:pPr>
          </w:p>
        </w:tc>
        <w:tc>
          <w:tcPr>
            <w:tcW w:w="1431" w:type="dxa"/>
          </w:tcPr>
          <w:p w14:paraId="530BD62C">
            <w:pPr>
              <w:spacing w:line="480" w:lineRule="exact"/>
              <w:rPr>
                <w:rFonts w:hint="eastAsia" w:ascii="宋体" w:hAnsi="宋体" w:eastAsia="宋体" w:cs="宋体"/>
                <w:sz w:val="24"/>
              </w:rPr>
            </w:pPr>
          </w:p>
        </w:tc>
        <w:tc>
          <w:tcPr>
            <w:tcW w:w="1610" w:type="dxa"/>
          </w:tcPr>
          <w:p w14:paraId="6BFEFDF5">
            <w:pPr>
              <w:spacing w:line="480" w:lineRule="exact"/>
              <w:rPr>
                <w:rFonts w:hint="eastAsia" w:ascii="宋体" w:hAnsi="宋体" w:eastAsia="宋体" w:cs="宋体"/>
                <w:sz w:val="24"/>
              </w:rPr>
            </w:pPr>
          </w:p>
        </w:tc>
        <w:tc>
          <w:tcPr>
            <w:tcW w:w="839" w:type="dxa"/>
          </w:tcPr>
          <w:p w14:paraId="585625CE">
            <w:pPr>
              <w:spacing w:line="480" w:lineRule="exact"/>
              <w:rPr>
                <w:rFonts w:hint="eastAsia" w:ascii="宋体" w:hAnsi="宋体" w:eastAsia="宋体" w:cs="宋体"/>
                <w:sz w:val="24"/>
              </w:rPr>
            </w:pPr>
          </w:p>
        </w:tc>
      </w:tr>
      <w:tr w14:paraId="4EB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2A06E16E">
            <w:pPr>
              <w:spacing w:line="480" w:lineRule="exact"/>
              <w:rPr>
                <w:rFonts w:hint="eastAsia" w:ascii="宋体" w:hAnsi="宋体" w:eastAsia="宋体" w:cs="宋体"/>
                <w:sz w:val="24"/>
              </w:rPr>
            </w:pPr>
          </w:p>
        </w:tc>
        <w:tc>
          <w:tcPr>
            <w:tcW w:w="1560" w:type="dxa"/>
          </w:tcPr>
          <w:p w14:paraId="017ABE29">
            <w:pPr>
              <w:spacing w:line="480" w:lineRule="exact"/>
              <w:rPr>
                <w:rFonts w:hint="eastAsia" w:ascii="宋体" w:hAnsi="宋体" w:eastAsia="宋体" w:cs="宋体"/>
                <w:sz w:val="24"/>
              </w:rPr>
            </w:pPr>
          </w:p>
        </w:tc>
        <w:tc>
          <w:tcPr>
            <w:tcW w:w="2076" w:type="dxa"/>
          </w:tcPr>
          <w:p w14:paraId="779DE9F0">
            <w:pPr>
              <w:spacing w:line="480" w:lineRule="exact"/>
              <w:rPr>
                <w:rFonts w:hint="eastAsia" w:ascii="宋体" w:hAnsi="宋体" w:eastAsia="宋体" w:cs="宋体"/>
                <w:sz w:val="24"/>
              </w:rPr>
            </w:pPr>
          </w:p>
        </w:tc>
        <w:tc>
          <w:tcPr>
            <w:tcW w:w="1431" w:type="dxa"/>
          </w:tcPr>
          <w:p w14:paraId="5411B531">
            <w:pPr>
              <w:spacing w:line="480" w:lineRule="exact"/>
              <w:rPr>
                <w:rFonts w:hint="eastAsia" w:ascii="宋体" w:hAnsi="宋体" w:eastAsia="宋体" w:cs="宋体"/>
                <w:sz w:val="24"/>
              </w:rPr>
            </w:pPr>
          </w:p>
        </w:tc>
        <w:tc>
          <w:tcPr>
            <w:tcW w:w="1610" w:type="dxa"/>
          </w:tcPr>
          <w:p w14:paraId="4F74FFC8">
            <w:pPr>
              <w:spacing w:line="480" w:lineRule="exact"/>
              <w:rPr>
                <w:rFonts w:hint="eastAsia" w:ascii="宋体" w:hAnsi="宋体" w:eastAsia="宋体" w:cs="宋体"/>
                <w:sz w:val="24"/>
              </w:rPr>
            </w:pPr>
          </w:p>
        </w:tc>
        <w:tc>
          <w:tcPr>
            <w:tcW w:w="839" w:type="dxa"/>
          </w:tcPr>
          <w:p w14:paraId="27D7478E">
            <w:pPr>
              <w:spacing w:line="480" w:lineRule="exact"/>
              <w:rPr>
                <w:rFonts w:hint="eastAsia" w:ascii="宋体" w:hAnsi="宋体" w:eastAsia="宋体" w:cs="宋体"/>
                <w:sz w:val="24"/>
              </w:rPr>
            </w:pPr>
          </w:p>
        </w:tc>
      </w:tr>
      <w:tr w14:paraId="254E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37A1DAE4">
            <w:pPr>
              <w:spacing w:line="480" w:lineRule="exact"/>
              <w:rPr>
                <w:rFonts w:hint="eastAsia" w:ascii="宋体" w:hAnsi="宋体" w:eastAsia="宋体" w:cs="宋体"/>
                <w:sz w:val="24"/>
              </w:rPr>
            </w:pPr>
          </w:p>
        </w:tc>
        <w:tc>
          <w:tcPr>
            <w:tcW w:w="1560" w:type="dxa"/>
          </w:tcPr>
          <w:p w14:paraId="400AD4B8">
            <w:pPr>
              <w:spacing w:line="480" w:lineRule="exact"/>
              <w:rPr>
                <w:rFonts w:hint="eastAsia" w:ascii="宋体" w:hAnsi="宋体" w:eastAsia="宋体" w:cs="宋体"/>
                <w:sz w:val="24"/>
              </w:rPr>
            </w:pPr>
          </w:p>
        </w:tc>
        <w:tc>
          <w:tcPr>
            <w:tcW w:w="2076" w:type="dxa"/>
          </w:tcPr>
          <w:p w14:paraId="4059A11F">
            <w:pPr>
              <w:spacing w:line="480" w:lineRule="exact"/>
              <w:rPr>
                <w:rFonts w:hint="eastAsia" w:ascii="宋体" w:hAnsi="宋体" w:eastAsia="宋体" w:cs="宋体"/>
                <w:sz w:val="24"/>
              </w:rPr>
            </w:pPr>
          </w:p>
        </w:tc>
        <w:tc>
          <w:tcPr>
            <w:tcW w:w="1431" w:type="dxa"/>
          </w:tcPr>
          <w:p w14:paraId="366366B2">
            <w:pPr>
              <w:spacing w:line="480" w:lineRule="exact"/>
              <w:rPr>
                <w:rFonts w:hint="eastAsia" w:ascii="宋体" w:hAnsi="宋体" w:eastAsia="宋体" w:cs="宋体"/>
                <w:sz w:val="24"/>
              </w:rPr>
            </w:pPr>
          </w:p>
        </w:tc>
        <w:tc>
          <w:tcPr>
            <w:tcW w:w="1610" w:type="dxa"/>
          </w:tcPr>
          <w:p w14:paraId="3B86EEA8">
            <w:pPr>
              <w:spacing w:line="480" w:lineRule="exact"/>
              <w:rPr>
                <w:rFonts w:hint="eastAsia" w:ascii="宋体" w:hAnsi="宋体" w:eastAsia="宋体" w:cs="宋体"/>
                <w:sz w:val="24"/>
              </w:rPr>
            </w:pPr>
          </w:p>
        </w:tc>
        <w:tc>
          <w:tcPr>
            <w:tcW w:w="839" w:type="dxa"/>
          </w:tcPr>
          <w:p w14:paraId="58A672BC">
            <w:pPr>
              <w:spacing w:line="480" w:lineRule="exact"/>
              <w:rPr>
                <w:rFonts w:hint="eastAsia" w:ascii="宋体" w:hAnsi="宋体" w:eastAsia="宋体" w:cs="宋体"/>
                <w:sz w:val="24"/>
              </w:rPr>
            </w:pPr>
          </w:p>
        </w:tc>
      </w:tr>
    </w:tbl>
    <w:p w14:paraId="61E18BB9">
      <w:pPr>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备注： </w:t>
      </w:r>
    </w:p>
    <w:p w14:paraId="49B9698C">
      <w:pPr>
        <w:snapToGrid w:val="0"/>
        <w:spacing w:line="360" w:lineRule="auto"/>
        <w:ind w:firstLine="542" w:firstLineChars="226"/>
        <w:jc w:val="left"/>
        <w:rPr>
          <w:rFonts w:hint="eastAsia" w:ascii="宋体" w:hAnsi="宋体" w:eastAsia="宋体" w:cs="宋体"/>
          <w:sz w:val="24"/>
        </w:rPr>
      </w:pPr>
      <w:r>
        <w:rPr>
          <w:rFonts w:hint="eastAsia" w:ascii="宋体" w:hAnsi="宋体" w:eastAsia="宋体" w:cs="宋体"/>
          <w:sz w:val="24"/>
        </w:rPr>
        <w:t>供应商应将案例的证明材料按顺序附后。</w:t>
      </w:r>
      <w:r>
        <w:rPr>
          <w:rFonts w:hint="eastAsia" w:ascii="宋体" w:hAnsi="宋体" w:eastAsia="宋体" w:cs="宋体"/>
          <w:kern w:val="0"/>
          <w:sz w:val="24"/>
        </w:rPr>
        <w:t>要求合同扫描件或影印件必须提供最终用户签订的合同首页、合同金额所在页、签字盖章页、签订时间页为准。（扫描件或影印件加盖供应商公章）</w:t>
      </w:r>
    </w:p>
    <w:p w14:paraId="2419AD0C">
      <w:pPr>
        <w:snapToGrid w:val="0"/>
        <w:spacing w:line="480" w:lineRule="exact"/>
        <w:ind w:firstLine="542" w:firstLineChars="226"/>
        <w:jc w:val="center"/>
        <w:rPr>
          <w:rFonts w:hint="eastAsia" w:ascii="宋体" w:hAnsi="宋体" w:eastAsia="宋体" w:cs="宋体"/>
          <w:sz w:val="24"/>
        </w:rPr>
      </w:pPr>
    </w:p>
    <w:p w14:paraId="1D7EFBD7">
      <w:pPr>
        <w:widowControl/>
        <w:spacing w:line="330" w:lineRule="atLeast"/>
        <w:jc w:val="left"/>
        <w:rPr>
          <w:rFonts w:hint="eastAsia" w:ascii="宋体" w:hAnsi="宋体" w:eastAsia="宋体" w:cs="宋体"/>
          <w:kern w:val="0"/>
          <w:sz w:val="24"/>
        </w:rPr>
      </w:pPr>
    </w:p>
    <w:p w14:paraId="573D9E02">
      <w:pPr>
        <w:widowControl/>
        <w:spacing w:line="330" w:lineRule="atLeast"/>
        <w:jc w:val="left"/>
        <w:rPr>
          <w:rFonts w:hint="eastAsia" w:ascii="宋体" w:hAnsi="宋体" w:eastAsia="宋体" w:cs="宋体"/>
          <w:kern w:val="0"/>
          <w:sz w:val="24"/>
        </w:rPr>
      </w:pPr>
    </w:p>
    <w:p w14:paraId="0F05246D">
      <w:pPr>
        <w:widowControl/>
        <w:spacing w:line="330" w:lineRule="atLeast"/>
        <w:jc w:val="left"/>
        <w:rPr>
          <w:rFonts w:hint="eastAsia" w:ascii="宋体" w:hAnsi="宋体" w:eastAsia="宋体" w:cs="宋体"/>
          <w:kern w:val="0"/>
          <w:szCs w:val="21"/>
        </w:rPr>
      </w:pPr>
    </w:p>
    <w:p w14:paraId="222BD008">
      <w:pPr>
        <w:widowControl/>
        <w:spacing w:line="330" w:lineRule="atLeast"/>
        <w:jc w:val="left"/>
        <w:rPr>
          <w:rFonts w:hint="eastAsia" w:ascii="宋体" w:hAnsi="宋体" w:eastAsia="宋体" w:cs="宋体"/>
          <w:kern w:val="0"/>
          <w:szCs w:val="21"/>
        </w:rPr>
      </w:pPr>
    </w:p>
    <w:p w14:paraId="2400D1B1">
      <w:pPr>
        <w:widowControl/>
        <w:spacing w:line="360" w:lineRule="auto"/>
        <w:jc w:val="left"/>
        <w:rPr>
          <w:rFonts w:hint="eastAsia" w:ascii="宋体" w:hAnsi="宋体" w:eastAsia="宋体" w:cs="宋体"/>
          <w:kern w:val="0"/>
          <w:sz w:val="24"/>
          <w:szCs w:val="21"/>
        </w:rPr>
      </w:pPr>
    </w:p>
    <w:p w14:paraId="7D9B725F">
      <w:pPr>
        <w:widowControl/>
        <w:spacing w:line="360" w:lineRule="auto"/>
        <w:jc w:val="left"/>
        <w:rPr>
          <w:rFonts w:hint="eastAsia" w:ascii="宋体" w:hAnsi="宋体" w:eastAsia="宋体" w:cs="宋体"/>
          <w:kern w:val="0"/>
          <w:sz w:val="24"/>
          <w:szCs w:val="21"/>
        </w:rPr>
      </w:pPr>
    </w:p>
    <w:p w14:paraId="54E4E755">
      <w:pPr>
        <w:widowControl/>
        <w:spacing w:line="360" w:lineRule="auto"/>
        <w:jc w:val="left"/>
        <w:rPr>
          <w:rFonts w:hint="eastAsia" w:ascii="宋体" w:hAnsi="宋体" w:eastAsia="宋体" w:cs="宋体"/>
          <w:kern w:val="0"/>
          <w:sz w:val="24"/>
          <w:szCs w:val="21"/>
        </w:rPr>
      </w:pPr>
    </w:p>
    <w:p w14:paraId="123C577E">
      <w:pPr>
        <w:widowControl/>
        <w:spacing w:line="360" w:lineRule="auto"/>
        <w:jc w:val="left"/>
        <w:rPr>
          <w:rFonts w:hint="eastAsia" w:ascii="宋体" w:hAnsi="宋体" w:eastAsia="宋体" w:cs="宋体"/>
          <w:kern w:val="0"/>
          <w:sz w:val="24"/>
          <w:szCs w:val="21"/>
        </w:rPr>
      </w:pPr>
    </w:p>
    <w:p w14:paraId="539D7D9F">
      <w:pPr>
        <w:widowControl/>
        <w:spacing w:line="360" w:lineRule="auto"/>
        <w:jc w:val="left"/>
        <w:rPr>
          <w:rFonts w:hint="eastAsia" w:ascii="宋体" w:hAnsi="宋体" w:eastAsia="宋体" w:cs="宋体"/>
          <w:kern w:val="0"/>
          <w:sz w:val="24"/>
          <w:szCs w:val="21"/>
        </w:rPr>
      </w:pPr>
    </w:p>
    <w:p w14:paraId="11C02AF4">
      <w:pPr>
        <w:widowControl/>
        <w:spacing w:line="360" w:lineRule="auto"/>
        <w:jc w:val="left"/>
        <w:rPr>
          <w:rFonts w:hint="eastAsia" w:ascii="宋体" w:hAnsi="宋体" w:eastAsia="宋体" w:cs="宋体"/>
          <w:kern w:val="0"/>
          <w:sz w:val="24"/>
          <w:szCs w:val="21"/>
        </w:rPr>
      </w:pPr>
    </w:p>
    <w:p w14:paraId="14C6D11D">
      <w:pPr>
        <w:widowControl/>
        <w:spacing w:line="360" w:lineRule="auto"/>
        <w:jc w:val="left"/>
        <w:rPr>
          <w:rFonts w:hint="eastAsia" w:ascii="宋体" w:hAnsi="宋体" w:eastAsia="宋体" w:cs="宋体"/>
          <w:kern w:val="0"/>
          <w:sz w:val="24"/>
          <w:szCs w:val="21"/>
        </w:rPr>
      </w:pPr>
    </w:p>
    <w:p w14:paraId="1D11645C">
      <w:pPr>
        <w:widowControl/>
        <w:spacing w:line="360" w:lineRule="auto"/>
        <w:jc w:val="left"/>
        <w:rPr>
          <w:rFonts w:hint="eastAsia" w:ascii="宋体" w:hAnsi="宋体" w:eastAsia="宋体" w:cs="宋体"/>
          <w:kern w:val="0"/>
          <w:sz w:val="24"/>
          <w:szCs w:val="21"/>
        </w:rPr>
      </w:pPr>
    </w:p>
    <w:p w14:paraId="3B4447D8">
      <w:pPr>
        <w:widowControl/>
        <w:spacing w:line="360" w:lineRule="auto"/>
        <w:jc w:val="left"/>
        <w:rPr>
          <w:rFonts w:hint="eastAsia" w:ascii="宋体" w:hAnsi="宋体" w:eastAsia="宋体" w:cs="宋体"/>
          <w:kern w:val="0"/>
          <w:sz w:val="24"/>
          <w:szCs w:val="21"/>
        </w:rPr>
      </w:pPr>
    </w:p>
    <w:p w14:paraId="4CD8E4D2">
      <w:pPr>
        <w:pStyle w:val="7"/>
        <w:ind w:firstLine="0" w:firstLineChars="0"/>
        <w:rPr>
          <w:rFonts w:hint="eastAsia" w:ascii="宋体" w:hAnsi="宋体" w:eastAsia="宋体" w:cs="宋体"/>
        </w:rPr>
      </w:pPr>
    </w:p>
    <w:p w14:paraId="2C7A5ED6">
      <w:pPr>
        <w:pStyle w:val="18"/>
        <w:rPr>
          <w:rFonts w:hint="eastAsia" w:ascii="宋体" w:hAnsi="宋体" w:eastAsia="宋体" w:cs="宋体"/>
          <w:b/>
          <w:sz w:val="24"/>
          <w:szCs w:val="24"/>
        </w:rPr>
      </w:pPr>
      <w:r>
        <w:rPr>
          <w:rFonts w:hint="eastAsia" w:ascii="宋体" w:hAnsi="宋体" w:eastAsia="宋体" w:cs="宋体"/>
          <w:b/>
          <w:sz w:val="24"/>
          <w:szCs w:val="24"/>
        </w:rPr>
        <w:t>9.技术方案（格式自拟）</w:t>
      </w:r>
    </w:p>
    <w:p w14:paraId="7C042E07">
      <w:pPr>
        <w:pStyle w:val="18"/>
        <w:rPr>
          <w:rFonts w:hint="eastAsia" w:ascii="宋体" w:hAnsi="宋体" w:eastAsia="宋体" w:cs="宋体"/>
          <w:b/>
          <w:sz w:val="24"/>
          <w:szCs w:val="24"/>
        </w:rPr>
      </w:pPr>
    </w:p>
    <w:p w14:paraId="41EE30F9">
      <w:pPr>
        <w:pStyle w:val="18"/>
        <w:rPr>
          <w:rFonts w:hint="eastAsia" w:ascii="宋体" w:hAnsi="宋体" w:eastAsia="宋体" w:cs="宋体"/>
          <w:b/>
          <w:sz w:val="24"/>
          <w:szCs w:val="24"/>
        </w:rPr>
      </w:pPr>
    </w:p>
    <w:p w14:paraId="298AE7E8">
      <w:pPr>
        <w:rPr>
          <w:rFonts w:hint="eastAsia" w:ascii="宋体" w:hAnsi="宋体" w:eastAsia="宋体" w:cs="宋体"/>
          <w:b/>
          <w:sz w:val="24"/>
        </w:rPr>
      </w:pPr>
    </w:p>
    <w:p w14:paraId="2E3DD800">
      <w:pPr>
        <w:pStyle w:val="26"/>
        <w:rPr>
          <w:rFonts w:hint="eastAsia" w:ascii="宋体" w:hAnsi="宋体" w:eastAsia="宋体" w:cs="宋体"/>
          <w:b/>
          <w:color w:val="auto"/>
          <w:szCs w:val="24"/>
        </w:rPr>
      </w:pPr>
    </w:p>
    <w:p w14:paraId="7F5CDD38">
      <w:pPr>
        <w:pStyle w:val="26"/>
        <w:rPr>
          <w:rFonts w:hint="eastAsia" w:ascii="宋体" w:hAnsi="宋体" w:eastAsia="宋体" w:cs="宋体"/>
          <w:b/>
          <w:color w:val="auto"/>
          <w:szCs w:val="24"/>
        </w:rPr>
      </w:pPr>
    </w:p>
    <w:p w14:paraId="69419CB9">
      <w:pPr>
        <w:pStyle w:val="26"/>
        <w:rPr>
          <w:rFonts w:hint="eastAsia" w:ascii="宋体" w:hAnsi="宋体" w:eastAsia="宋体" w:cs="宋体"/>
          <w:b/>
          <w:color w:val="auto"/>
          <w:szCs w:val="24"/>
        </w:rPr>
      </w:pPr>
    </w:p>
    <w:p w14:paraId="2303EE62">
      <w:pPr>
        <w:pStyle w:val="26"/>
        <w:rPr>
          <w:rFonts w:hint="eastAsia" w:ascii="宋体" w:hAnsi="宋体" w:eastAsia="宋体" w:cs="宋体"/>
          <w:b/>
          <w:color w:val="auto"/>
          <w:szCs w:val="24"/>
        </w:rPr>
      </w:pPr>
    </w:p>
    <w:p w14:paraId="3A9101DD">
      <w:pPr>
        <w:pStyle w:val="26"/>
        <w:rPr>
          <w:rFonts w:hint="eastAsia" w:ascii="宋体" w:hAnsi="宋体" w:eastAsia="宋体" w:cs="宋体"/>
          <w:b/>
          <w:color w:val="auto"/>
          <w:szCs w:val="24"/>
        </w:rPr>
      </w:pPr>
    </w:p>
    <w:p w14:paraId="7CD84C9A">
      <w:pPr>
        <w:pStyle w:val="26"/>
        <w:rPr>
          <w:rFonts w:hint="eastAsia" w:ascii="宋体" w:hAnsi="宋体" w:eastAsia="宋体" w:cs="宋体"/>
          <w:b/>
          <w:color w:val="auto"/>
          <w:szCs w:val="24"/>
        </w:rPr>
      </w:pPr>
    </w:p>
    <w:p w14:paraId="435A223B">
      <w:pPr>
        <w:pStyle w:val="26"/>
        <w:rPr>
          <w:rFonts w:hint="eastAsia" w:ascii="宋体" w:hAnsi="宋体" w:eastAsia="宋体" w:cs="宋体"/>
          <w:b/>
          <w:color w:val="auto"/>
          <w:szCs w:val="24"/>
        </w:rPr>
      </w:pPr>
    </w:p>
    <w:p w14:paraId="1D933D34">
      <w:pPr>
        <w:pStyle w:val="26"/>
        <w:rPr>
          <w:rFonts w:hint="eastAsia" w:ascii="宋体" w:hAnsi="宋体" w:eastAsia="宋体" w:cs="宋体"/>
          <w:b/>
          <w:color w:val="auto"/>
          <w:szCs w:val="24"/>
        </w:rPr>
      </w:pPr>
    </w:p>
    <w:p w14:paraId="383480F6">
      <w:pPr>
        <w:pStyle w:val="26"/>
        <w:rPr>
          <w:rFonts w:hint="eastAsia" w:ascii="宋体" w:hAnsi="宋体" w:eastAsia="宋体" w:cs="宋体"/>
          <w:b/>
          <w:color w:val="auto"/>
          <w:szCs w:val="24"/>
        </w:rPr>
      </w:pPr>
    </w:p>
    <w:p w14:paraId="234A71BE">
      <w:pPr>
        <w:pStyle w:val="26"/>
        <w:rPr>
          <w:rFonts w:hint="eastAsia" w:ascii="宋体" w:hAnsi="宋体" w:eastAsia="宋体" w:cs="宋体"/>
          <w:b/>
          <w:color w:val="auto"/>
          <w:szCs w:val="24"/>
        </w:rPr>
      </w:pPr>
    </w:p>
    <w:p w14:paraId="026414FE">
      <w:pPr>
        <w:pStyle w:val="26"/>
        <w:rPr>
          <w:rFonts w:hint="eastAsia" w:ascii="宋体" w:hAnsi="宋体" w:eastAsia="宋体" w:cs="宋体"/>
          <w:b/>
          <w:color w:val="auto"/>
          <w:szCs w:val="24"/>
        </w:rPr>
      </w:pPr>
    </w:p>
    <w:p w14:paraId="214409C6">
      <w:pPr>
        <w:pStyle w:val="26"/>
        <w:rPr>
          <w:rFonts w:hint="eastAsia" w:ascii="宋体" w:hAnsi="宋体" w:eastAsia="宋体" w:cs="宋体"/>
          <w:b/>
          <w:color w:val="auto"/>
          <w:szCs w:val="24"/>
        </w:rPr>
      </w:pPr>
    </w:p>
    <w:p w14:paraId="7EF03045">
      <w:pPr>
        <w:pStyle w:val="26"/>
        <w:rPr>
          <w:rFonts w:hint="eastAsia" w:ascii="宋体" w:hAnsi="宋体" w:eastAsia="宋体" w:cs="宋体"/>
          <w:b/>
          <w:color w:val="auto"/>
          <w:szCs w:val="24"/>
        </w:rPr>
      </w:pPr>
    </w:p>
    <w:p w14:paraId="138289E0">
      <w:pPr>
        <w:pStyle w:val="26"/>
        <w:rPr>
          <w:rFonts w:hint="eastAsia" w:ascii="宋体" w:hAnsi="宋体" w:eastAsia="宋体" w:cs="宋体"/>
          <w:b/>
          <w:color w:val="auto"/>
          <w:szCs w:val="24"/>
        </w:rPr>
      </w:pPr>
    </w:p>
    <w:p w14:paraId="7D566230">
      <w:pPr>
        <w:pStyle w:val="26"/>
        <w:rPr>
          <w:rFonts w:hint="eastAsia" w:ascii="宋体" w:hAnsi="宋体" w:eastAsia="宋体" w:cs="宋体"/>
          <w:b/>
          <w:color w:val="auto"/>
          <w:szCs w:val="24"/>
        </w:rPr>
      </w:pPr>
    </w:p>
    <w:p w14:paraId="4A55DCCD">
      <w:pPr>
        <w:pStyle w:val="26"/>
        <w:rPr>
          <w:rFonts w:hint="eastAsia" w:ascii="宋体" w:hAnsi="宋体" w:eastAsia="宋体" w:cs="宋体"/>
          <w:b/>
          <w:color w:val="auto"/>
          <w:szCs w:val="24"/>
        </w:rPr>
      </w:pPr>
    </w:p>
    <w:p w14:paraId="51DA2C6F">
      <w:pPr>
        <w:pStyle w:val="26"/>
        <w:rPr>
          <w:rFonts w:hint="eastAsia" w:ascii="宋体" w:hAnsi="宋体" w:eastAsia="宋体" w:cs="宋体"/>
          <w:b/>
          <w:color w:val="auto"/>
          <w:szCs w:val="24"/>
        </w:rPr>
      </w:pPr>
    </w:p>
    <w:p w14:paraId="03BCE083">
      <w:pPr>
        <w:pStyle w:val="26"/>
        <w:rPr>
          <w:rFonts w:hint="eastAsia" w:ascii="宋体" w:hAnsi="宋体" w:eastAsia="宋体" w:cs="宋体"/>
          <w:b/>
          <w:color w:val="auto"/>
          <w:szCs w:val="24"/>
        </w:rPr>
      </w:pPr>
    </w:p>
    <w:p w14:paraId="693BA334">
      <w:pPr>
        <w:pStyle w:val="26"/>
        <w:rPr>
          <w:rFonts w:hint="eastAsia" w:ascii="宋体" w:hAnsi="宋体" w:eastAsia="宋体" w:cs="宋体"/>
          <w:b/>
          <w:color w:val="auto"/>
          <w:szCs w:val="24"/>
        </w:rPr>
      </w:pPr>
    </w:p>
    <w:p w14:paraId="38AC67AC">
      <w:pPr>
        <w:pStyle w:val="26"/>
        <w:rPr>
          <w:rFonts w:hint="eastAsia" w:ascii="宋体" w:hAnsi="宋体" w:eastAsia="宋体" w:cs="宋体"/>
          <w:b/>
          <w:color w:val="auto"/>
          <w:szCs w:val="24"/>
        </w:rPr>
      </w:pPr>
    </w:p>
    <w:p w14:paraId="46E39502">
      <w:pPr>
        <w:pStyle w:val="26"/>
        <w:rPr>
          <w:rFonts w:hint="eastAsia" w:ascii="宋体" w:hAnsi="宋体" w:eastAsia="宋体" w:cs="宋体"/>
          <w:b/>
          <w:color w:val="auto"/>
          <w:szCs w:val="24"/>
        </w:rPr>
      </w:pPr>
    </w:p>
    <w:p w14:paraId="7C0E48A0">
      <w:pPr>
        <w:pStyle w:val="26"/>
        <w:rPr>
          <w:rFonts w:hint="eastAsia" w:ascii="宋体" w:hAnsi="宋体" w:eastAsia="宋体" w:cs="宋体"/>
          <w:b/>
          <w:color w:val="auto"/>
          <w:szCs w:val="24"/>
        </w:rPr>
      </w:pPr>
    </w:p>
    <w:p w14:paraId="6A78E609">
      <w:pPr>
        <w:pStyle w:val="26"/>
        <w:rPr>
          <w:rFonts w:hint="eastAsia" w:ascii="宋体" w:hAnsi="宋体" w:eastAsia="宋体" w:cs="宋体"/>
          <w:b/>
          <w:color w:val="auto"/>
          <w:szCs w:val="24"/>
        </w:rPr>
      </w:pPr>
    </w:p>
    <w:p w14:paraId="0839F55F">
      <w:pPr>
        <w:pStyle w:val="26"/>
        <w:rPr>
          <w:rFonts w:hint="eastAsia" w:ascii="宋体" w:hAnsi="宋体" w:eastAsia="宋体" w:cs="宋体"/>
          <w:b/>
          <w:color w:val="auto"/>
          <w:szCs w:val="24"/>
        </w:rPr>
      </w:pPr>
    </w:p>
    <w:p w14:paraId="26E9056D">
      <w:pPr>
        <w:pStyle w:val="26"/>
        <w:rPr>
          <w:rFonts w:hint="eastAsia" w:ascii="宋体" w:hAnsi="宋体" w:eastAsia="宋体" w:cs="宋体"/>
          <w:b/>
          <w:color w:val="auto"/>
          <w:szCs w:val="24"/>
        </w:rPr>
      </w:pPr>
    </w:p>
    <w:p w14:paraId="22B02D97">
      <w:pPr>
        <w:pStyle w:val="26"/>
        <w:rPr>
          <w:rFonts w:hint="eastAsia" w:ascii="宋体" w:hAnsi="宋体" w:eastAsia="宋体" w:cs="宋体"/>
          <w:b/>
          <w:color w:val="auto"/>
          <w:szCs w:val="24"/>
        </w:rPr>
      </w:pPr>
    </w:p>
    <w:p w14:paraId="126CDE8F">
      <w:pPr>
        <w:pStyle w:val="26"/>
        <w:rPr>
          <w:rFonts w:hint="eastAsia" w:ascii="宋体" w:hAnsi="宋体" w:eastAsia="宋体" w:cs="宋体"/>
          <w:b/>
          <w:color w:val="auto"/>
          <w:szCs w:val="24"/>
        </w:rPr>
      </w:pPr>
    </w:p>
    <w:p w14:paraId="4FC1367F">
      <w:pPr>
        <w:pStyle w:val="26"/>
        <w:rPr>
          <w:rFonts w:hint="eastAsia" w:ascii="宋体" w:hAnsi="宋体" w:eastAsia="宋体" w:cs="宋体"/>
          <w:b/>
          <w:color w:val="auto"/>
          <w:szCs w:val="24"/>
        </w:rPr>
      </w:pPr>
    </w:p>
    <w:p w14:paraId="658C3955">
      <w:pPr>
        <w:pStyle w:val="26"/>
        <w:rPr>
          <w:rFonts w:hint="eastAsia" w:ascii="宋体" w:hAnsi="宋体" w:eastAsia="宋体" w:cs="宋体"/>
          <w:b/>
          <w:color w:val="auto"/>
          <w:szCs w:val="24"/>
        </w:rPr>
      </w:pPr>
    </w:p>
    <w:p w14:paraId="3F1742CE">
      <w:pPr>
        <w:pStyle w:val="26"/>
        <w:rPr>
          <w:rFonts w:hint="eastAsia" w:ascii="宋体" w:hAnsi="宋体" w:eastAsia="宋体" w:cs="宋体"/>
          <w:b/>
          <w:color w:val="auto"/>
          <w:szCs w:val="24"/>
        </w:rPr>
      </w:pPr>
    </w:p>
    <w:p w14:paraId="0CA52ACB">
      <w:pPr>
        <w:pStyle w:val="26"/>
        <w:rPr>
          <w:rFonts w:hint="eastAsia" w:ascii="宋体" w:hAnsi="宋体" w:eastAsia="宋体" w:cs="宋体"/>
          <w:b/>
          <w:color w:val="auto"/>
          <w:szCs w:val="24"/>
        </w:rPr>
      </w:pPr>
    </w:p>
    <w:p w14:paraId="50433257">
      <w:pPr>
        <w:pStyle w:val="26"/>
        <w:rPr>
          <w:rFonts w:hint="eastAsia" w:ascii="宋体" w:hAnsi="宋体" w:eastAsia="宋体" w:cs="宋体"/>
          <w:b/>
          <w:color w:val="auto"/>
          <w:szCs w:val="24"/>
        </w:rPr>
      </w:pPr>
    </w:p>
    <w:p w14:paraId="46D7CF35">
      <w:pPr>
        <w:pStyle w:val="26"/>
        <w:rPr>
          <w:rFonts w:hint="eastAsia" w:ascii="宋体" w:hAnsi="宋体" w:eastAsia="宋体" w:cs="宋体"/>
          <w:b/>
          <w:color w:val="auto"/>
          <w:szCs w:val="24"/>
        </w:rPr>
      </w:pPr>
    </w:p>
    <w:p w14:paraId="13E27B29">
      <w:pPr>
        <w:pStyle w:val="26"/>
        <w:rPr>
          <w:rFonts w:hint="eastAsia" w:ascii="宋体" w:hAnsi="宋体" w:eastAsia="宋体" w:cs="宋体"/>
          <w:b/>
          <w:color w:val="auto"/>
          <w:szCs w:val="24"/>
        </w:rPr>
      </w:pPr>
    </w:p>
    <w:p w14:paraId="117205CF">
      <w:pPr>
        <w:pStyle w:val="26"/>
        <w:rPr>
          <w:rFonts w:hint="eastAsia" w:ascii="宋体" w:hAnsi="宋体" w:eastAsia="宋体" w:cs="宋体"/>
          <w:b/>
          <w:color w:val="auto"/>
          <w:szCs w:val="24"/>
        </w:rPr>
      </w:pPr>
    </w:p>
    <w:p w14:paraId="0FF149DD">
      <w:pPr>
        <w:pStyle w:val="26"/>
        <w:rPr>
          <w:rFonts w:hint="eastAsia" w:ascii="宋体" w:hAnsi="宋体" w:eastAsia="宋体" w:cs="宋体"/>
          <w:b/>
          <w:color w:val="auto"/>
          <w:szCs w:val="24"/>
        </w:rPr>
      </w:pPr>
    </w:p>
    <w:p w14:paraId="5413D71C">
      <w:pPr>
        <w:pStyle w:val="26"/>
        <w:rPr>
          <w:rFonts w:hint="eastAsia" w:ascii="宋体" w:hAnsi="宋体" w:eastAsia="宋体" w:cs="宋体"/>
          <w:b/>
          <w:color w:val="auto"/>
          <w:szCs w:val="24"/>
        </w:rPr>
      </w:pPr>
    </w:p>
    <w:p w14:paraId="0D402896">
      <w:pPr>
        <w:pStyle w:val="26"/>
        <w:rPr>
          <w:rFonts w:hint="eastAsia" w:ascii="宋体" w:hAnsi="宋体" w:eastAsia="宋体" w:cs="宋体"/>
          <w:b/>
          <w:color w:val="auto"/>
          <w:szCs w:val="24"/>
        </w:rPr>
      </w:pPr>
    </w:p>
    <w:p w14:paraId="6718E817">
      <w:pPr>
        <w:pStyle w:val="26"/>
        <w:rPr>
          <w:rFonts w:hint="eastAsia" w:ascii="宋体" w:hAnsi="宋体" w:eastAsia="宋体" w:cs="宋体"/>
          <w:b/>
          <w:color w:val="auto"/>
          <w:szCs w:val="24"/>
        </w:rPr>
      </w:pPr>
    </w:p>
    <w:p w14:paraId="4A804C97">
      <w:pPr>
        <w:pStyle w:val="26"/>
        <w:rPr>
          <w:rFonts w:hint="eastAsia" w:ascii="宋体" w:hAnsi="宋体" w:eastAsia="宋体" w:cs="宋体"/>
          <w:b/>
          <w:color w:val="auto"/>
          <w:szCs w:val="24"/>
        </w:rPr>
      </w:pPr>
    </w:p>
    <w:p w14:paraId="4ABD27B3">
      <w:pPr>
        <w:pStyle w:val="26"/>
        <w:rPr>
          <w:rFonts w:hint="eastAsia" w:ascii="宋体" w:hAnsi="宋体" w:eastAsia="宋体" w:cs="宋体"/>
          <w:b/>
          <w:color w:val="auto"/>
          <w:szCs w:val="24"/>
        </w:rPr>
      </w:pPr>
    </w:p>
    <w:p w14:paraId="6D33174C">
      <w:pPr>
        <w:pStyle w:val="18"/>
        <w:spacing w:line="360" w:lineRule="auto"/>
        <w:rPr>
          <w:rFonts w:hint="eastAsia" w:ascii="宋体" w:hAnsi="宋体" w:eastAsia="宋体" w:cs="宋体"/>
          <w:b/>
          <w:sz w:val="24"/>
          <w:szCs w:val="24"/>
        </w:rPr>
      </w:pPr>
      <w:r>
        <w:rPr>
          <w:rFonts w:hint="eastAsia" w:ascii="宋体" w:hAnsi="宋体" w:eastAsia="宋体" w:cs="宋体"/>
          <w:b/>
          <w:sz w:val="24"/>
          <w:szCs w:val="24"/>
        </w:rPr>
        <w:t>10.供应商认为需要提供的其他商务、技术材料（格式自拟）</w:t>
      </w:r>
    </w:p>
    <w:p w14:paraId="6E31BB59">
      <w:pPr>
        <w:pStyle w:val="18"/>
        <w:spacing w:line="360" w:lineRule="auto"/>
        <w:rPr>
          <w:rFonts w:hint="eastAsia" w:ascii="宋体" w:hAnsi="宋体" w:eastAsia="宋体" w:cs="宋体"/>
          <w:bCs/>
          <w:sz w:val="24"/>
          <w:szCs w:val="24"/>
        </w:rPr>
      </w:pPr>
      <w:r>
        <w:rPr>
          <w:rFonts w:hint="eastAsia" w:ascii="宋体" w:hAnsi="宋体" w:eastAsia="宋体" w:cs="宋体"/>
          <w:bCs/>
          <w:sz w:val="24"/>
          <w:szCs w:val="24"/>
        </w:rPr>
        <w:t>拟投入本项目的项目管理人员及项目人员配备一览表（详见附件）</w:t>
      </w:r>
    </w:p>
    <w:p w14:paraId="1E5FEF43">
      <w:pPr>
        <w:pStyle w:val="18"/>
        <w:spacing w:line="360" w:lineRule="auto"/>
        <w:rPr>
          <w:rFonts w:hint="eastAsia" w:ascii="宋体" w:hAnsi="宋体" w:eastAsia="宋体" w:cs="宋体"/>
          <w:b/>
          <w:sz w:val="24"/>
          <w:szCs w:val="24"/>
        </w:rPr>
      </w:pPr>
      <w:r>
        <w:rPr>
          <w:rFonts w:hint="eastAsia" w:ascii="宋体" w:hAnsi="宋体" w:eastAsia="宋体" w:cs="宋体"/>
          <w:b/>
          <w:sz w:val="24"/>
          <w:szCs w:val="24"/>
        </w:rPr>
        <w:t>附件：</w:t>
      </w:r>
    </w:p>
    <w:tbl>
      <w:tblPr>
        <w:tblStyle w:val="42"/>
        <w:tblpPr w:leftFromText="180" w:rightFromText="180" w:vertAnchor="text" w:horzAnchor="page" w:tblpX="1154" w:tblpY="901"/>
        <w:tblOverlap w:val="never"/>
        <w:tblW w:w="99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8"/>
        <w:gridCol w:w="1680"/>
        <w:gridCol w:w="1670"/>
        <w:gridCol w:w="1670"/>
        <w:gridCol w:w="1673"/>
        <w:gridCol w:w="1212"/>
      </w:tblGrid>
      <w:tr w14:paraId="764C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28" w:type="dxa"/>
          </w:tcPr>
          <w:p w14:paraId="6CE0F111">
            <w:pPr>
              <w:pStyle w:val="41"/>
              <w:ind w:right="582"/>
              <w:jc w:val="right"/>
              <w:rPr>
                <w:rFonts w:hint="eastAsia" w:ascii="宋体" w:hAnsi="宋体" w:eastAsia="宋体" w:cs="宋体"/>
                <w:sz w:val="24"/>
                <w:lang w:eastAsia="en-US"/>
              </w:rPr>
            </w:pPr>
            <w:r>
              <w:rPr>
                <w:rFonts w:hint="eastAsia" w:ascii="宋体" w:hAnsi="宋体" w:eastAsia="宋体" w:cs="宋体"/>
                <w:sz w:val="24"/>
                <w:lang w:eastAsia="en-US"/>
              </w:rPr>
              <w:t>姓名</w:t>
            </w:r>
          </w:p>
        </w:tc>
        <w:tc>
          <w:tcPr>
            <w:tcW w:w="1680" w:type="dxa"/>
          </w:tcPr>
          <w:p w14:paraId="34B91C04">
            <w:pPr>
              <w:pStyle w:val="41"/>
              <w:rPr>
                <w:rFonts w:hint="eastAsia" w:ascii="宋体" w:hAnsi="宋体" w:eastAsia="宋体" w:cs="宋体"/>
                <w:sz w:val="24"/>
                <w:lang w:eastAsia="en-US"/>
              </w:rPr>
            </w:pPr>
          </w:p>
        </w:tc>
        <w:tc>
          <w:tcPr>
            <w:tcW w:w="1670" w:type="dxa"/>
          </w:tcPr>
          <w:p w14:paraId="45318772">
            <w:pPr>
              <w:pStyle w:val="41"/>
              <w:ind w:right="584"/>
              <w:jc w:val="right"/>
              <w:rPr>
                <w:rFonts w:hint="eastAsia" w:ascii="宋体" w:hAnsi="宋体" w:eastAsia="宋体" w:cs="宋体"/>
                <w:sz w:val="24"/>
                <w:lang w:eastAsia="en-US"/>
              </w:rPr>
            </w:pPr>
            <w:r>
              <w:rPr>
                <w:rFonts w:hint="eastAsia" w:ascii="宋体" w:hAnsi="宋体" w:eastAsia="宋体" w:cs="宋体"/>
                <w:sz w:val="24"/>
                <w:lang w:eastAsia="en-US"/>
              </w:rPr>
              <w:t>性别</w:t>
            </w:r>
          </w:p>
        </w:tc>
        <w:tc>
          <w:tcPr>
            <w:tcW w:w="1670" w:type="dxa"/>
          </w:tcPr>
          <w:p w14:paraId="69154E6F">
            <w:pPr>
              <w:pStyle w:val="41"/>
              <w:rPr>
                <w:rFonts w:hint="eastAsia" w:ascii="宋体" w:hAnsi="宋体" w:eastAsia="宋体" w:cs="宋体"/>
                <w:sz w:val="24"/>
                <w:lang w:eastAsia="en-US"/>
              </w:rPr>
            </w:pPr>
          </w:p>
        </w:tc>
        <w:tc>
          <w:tcPr>
            <w:tcW w:w="1673" w:type="dxa"/>
          </w:tcPr>
          <w:p w14:paraId="6DB9C48A">
            <w:pPr>
              <w:pStyle w:val="41"/>
              <w:ind w:left="597"/>
              <w:rPr>
                <w:rFonts w:hint="eastAsia" w:ascii="宋体" w:hAnsi="宋体" w:eastAsia="宋体" w:cs="宋体"/>
                <w:sz w:val="24"/>
                <w:lang w:eastAsia="en-US"/>
              </w:rPr>
            </w:pPr>
            <w:r>
              <w:rPr>
                <w:rFonts w:hint="eastAsia" w:ascii="宋体" w:hAnsi="宋体" w:eastAsia="宋体" w:cs="宋体"/>
                <w:sz w:val="24"/>
                <w:lang w:eastAsia="en-US"/>
              </w:rPr>
              <w:t>年龄</w:t>
            </w:r>
          </w:p>
        </w:tc>
        <w:tc>
          <w:tcPr>
            <w:tcW w:w="1212" w:type="dxa"/>
          </w:tcPr>
          <w:p w14:paraId="62D735C0">
            <w:pPr>
              <w:pStyle w:val="41"/>
              <w:rPr>
                <w:rFonts w:hint="eastAsia" w:ascii="宋体" w:hAnsi="宋体" w:eastAsia="宋体" w:cs="宋体"/>
                <w:sz w:val="24"/>
                <w:lang w:eastAsia="en-US"/>
              </w:rPr>
            </w:pPr>
          </w:p>
        </w:tc>
      </w:tr>
      <w:tr w14:paraId="5687B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28" w:type="dxa"/>
          </w:tcPr>
          <w:p w14:paraId="012C5DB6">
            <w:pPr>
              <w:pStyle w:val="41"/>
              <w:spacing w:line="307" w:lineRule="exact"/>
              <w:ind w:right="582"/>
              <w:jc w:val="right"/>
              <w:rPr>
                <w:rFonts w:hint="eastAsia" w:ascii="宋体" w:hAnsi="宋体" w:eastAsia="宋体" w:cs="宋体"/>
                <w:sz w:val="24"/>
                <w:lang w:eastAsia="en-US"/>
              </w:rPr>
            </w:pPr>
            <w:r>
              <w:rPr>
                <w:rFonts w:hint="eastAsia" w:ascii="宋体" w:hAnsi="宋体" w:eastAsia="宋体" w:cs="宋体"/>
                <w:sz w:val="24"/>
                <w:lang w:eastAsia="en-US"/>
              </w:rPr>
              <w:t>职务</w:t>
            </w:r>
          </w:p>
        </w:tc>
        <w:tc>
          <w:tcPr>
            <w:tcW w:w="1680" w:type="dxa"/>
          </w:tcPr>
          <w:p w14:paraId="453F738C">
            <w:pPr>
              <w:pStyle w:val="41"/>
              <w:rPr>
                <w:rFonts w:hint="eastAsia" w:ascii="宋体" w:hAnsi="宋体" w:eastAsia="宋体" w:cs="宋体"/>
                <w:sz w:val="24"/>
                <w:lang w:eastAsia="en-US"/>
              </w:rPr>
            </w:pPr>
          </w:p>
        </w:tc>
        <w:tc>
          <w:tcPr>
            <w:tcW w:w="1670" w:type="dxa"/>
          </w:tcPr>
          <w:p w14:paraId="62546DC9">
            <w:pPr>
              <w:pStyle w:val="41"/>
              <w:spacing w:line="307" w:lineRule="exact"/>
              <w:ind w:right="584"/>
              <w:jc w:val="right"/>
              <w:rPr>
                <w:rFonts w:hint="eastAsia" w:ascii="宋体" w:hAnsi="宋体" w:eastAsia="宋体" w:cs="宋体"/>
                <w:sz w:val="24"/>
                <w:lang w:eastAsia="en-US"/>
              </w:rPr>
            </w:pPr>
            <w:r>
              <w:rPr>
                <w:rFonts w:hint="eastAsia" w:ascii="宋体" w:hAnsi="宋体" w:eastAsia="宋体" w:cs="宋体"/>
                <w:sz w:val="24"/>
                <w:lang w:eastAsia="en-US"/>
              </w:rPr>
              <w:t>职称</w:t>
            </w:r>
          </w:p>
        </w:tc>
        <w:tc>
          <w:tcPr>
            <w:tcW w:w="1670" w:type="dxa"/>
          </w:tcPr>
          <w:p w14:paraId="1149DD90">
            <w:pPr>
              <w:pStyle w:val="41"/>
              <w:rPr>
                <w:rFonts w:hint="eastAsia" w:ascii="宋体" w:hAnsi="宋体" w:eastAsia="宋体" w:cs="宋体"/>
                <w:sz w:val="24"/>
                <w:lang w:eastAsia="en-US"/>
              </w:rPr>
            </w:pPr>
          </w:p>
        </w:tc>
        <w:tc>
          <w:tcPr>
            <w:tcW w:w="1673" w:type="dxa"/>
          </w:tcPr>
          <w:p w14:paraId="3A52F248">
            <w:pPr>
              <w:pStyle w:val="41"/>
              <w:spacing w:line="307" w:lineRule="exact"/>
              <w:ind w:left="597"/>
              <w:rPr>
                <w:rFonts w:hint="eastAsia" w:ascii="宋体" w:hAnsi="宋体" w:eastAsia="宋体" w:cs="宋体"/>
                <w:sz w:val="24"/>
                <w:lang w:eastAsia="en-US"/>
              </w:rPr>
            </w:pPr>
            <w:r>
              <w:rPr>
                <w:rFonts w:hint="eastAsia" w:ascii="宋体" w:hAnsi="宋体" w:eastAsia="宋体" w:cs="宋体"/>
                <w:sz w:val="24"/>
                <w:lang w:eastAsia="en-US"/>
              </w:rPr>
              <w:t>学历</w:t>
            </w:r>
          </w:p>
        </w:tc>
        <w:tc>
          <w:tcPr>
            <w:tcW w:w="1212" w:type="dxa"/>
          </w:tcPr>
          <w:p w14:paraId="2C33DF02">
            <w:pPr>
              <w:pStyle w:val="41"/>
              <w:rPr>
                <w:rFonts w:hint="eastAsia" w:ascii="宋体" w:hAnsi="宋体" w:eastAsia="宋体" w:cs="宋体"/>
                <w:sz w:val="24"/>
                <w:lang w:eastAsia="en-US"/>
              </w:rPr>
            </w:pPr>
          </w:p>
        </w:tc>
      </w:tr>
      <w:tr w14:paraId="0D932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708" w:type="dxa"/>
            <w:gridSpan w:val="2"/>
          </w:tcPr>
          <w:p w14:paraId="743247F5">
            <w:pPr>
              <w:pStyle w:val="41"/>
              <w:spacing w:line="307" w:lineRule="exact"/>
              <w:ind w:left="952"/>
              <w:rPr>
                <w:rFonts w:hint="eastAsia" w:ascii="宋体" w:hAnsi="宋体" w:eastAsia="宋体" w:cs="宋体"/>
                <w:sz w:val="24"/>
                <w:lang w:eastAsia="en-US"/>
              </w:rPr>
            </w:pPr>
            <w:r>
              <w:rPr>
                <w:rFonts w:hint="eastAsia" w:ascii="宋体" w:hAnsi="宋体" w:eastAsia="宋体" w:cs="宋体"/>
                <w:sz w:val="24"/>
                <w:lang w:eastAsia="en-US"/>
              </w:rPr>
              <w:t>参加工作时间</w:t>
            </w:r>
          </w:p>
        </w:tc>
        <w:tc>
          <w:tcPr>
            <w:tcW w:w="1670" w:type="dxa"/>
          </w:tcPr>
          <w:p w14:paraId="64D43551">
            <w:pPr>
              <w:pStyle w:val="41"/>
              <w:rPr>
                <w:rFonts w:hint="eastAsia" w:ascii="宋体" w:hAnsi="宋体" w:eastAsia="宋体" w:cs="宋体"/>
                <w:sz w:val="24"/>
                <w:lang w:eastAsia="en-US"/>
              </w:rPr>
            </w:pPr>
          </w:p>
        </w:tc>
        <w:tc>
          <w:tcPr>
            <w:tcW w:w="3343" w:type="dxa"/>
            <w:gridSpan w:val="2"/>
          </w:tcPr>
          <w:p w14:paraId="495A795E">
            <w:pPr>
              <w:pStyle w:val="41"/>
              <w:spacing w:line="307" w:lineRule="exact"/>
              <w:ind w:left="592"/>
              <w:rPr>
                <w:rFonts w:hint="eastAsia" w:ascii="宋体" w:hAnsi="宋体" w:eastAsia="宋体" w:cs="宋体"/>
                <w:sz w:val="24"/>
                <w:lang w:eastAsia="en-US"/>
              </w:rPr>
            </w:pPr>
            <w:r>
              <w:rPr>
                <w:rFonts w:hint="eastAsia" w:ascii="宋体" w:hAnsi="宋体" w:eastAsia="宋体" w:cs="宋体"/>
                <w:sz w:val="24"/>
                <w:lang w:eastAsia="en-US"/>
              </w:rPr>
              <w:t>担任项目负责人年限</w:t>
            </w:r>
          </w:p>
        </w:tc>
        <w:tc>
          <w:tcPr>
            <w:tcW w:w="1212" w:type="dxa"/>
          </w:tcPr>
          <w:p w14:paraId="33735700">
            <w:pPr>
              <w:pStyle w:val="41"/>
              <w:rPr>
                <w:rFonts w:hint="eastAsia" w:ascii="宋体" w:hAnsi="宋体" w:eastAsia="宋体" w:cs="宋体"/>
                <w:sz w:val="24"/>
                <w:lang w:eastAsia="en-US"/>
              </w:rPr>
            </w:pPr>
          </w:p>
        </w:tc>
      </w:tr>
      <w:tr w14:paraId="0D79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933" w:type="dxa"/>
            <w:gridSpan w:val="6"/>
          </w:tcPr>
          <w:p w14:paraId="4582299C">
            <w:pPr>
              <w:pStyle w:val="41"/>
              <w:spacing w:line="307" w:lineRule="exact"/>
              <w:ind w:left="4286" w:right="4277"/>
              <w:jc w:val="center"/>
              <w:rPr>
                <w:rFonts w:hint="eastAsia" w:ascii="宋体" w:hAnsi="宋体" w:eastAsia="宋体" w:cs="宋体"/>
                <w:sz w:val="24"/>
                <w:lang w:eastAsia="en-US"/>
              </w:rPr>
            </w:pPr>
            <w:r>
              <w:rPr>
                <w:rFonts w:hint="eastAsia" w:ascii="宋体" w:hAnsi="宋体" w:eastAsia="宋体" w:cs="宋体"/>
                <w:sz w:val="24"/>
                <w:lang w:eastAsia="en-US"/>
              </w:rPr>
              <w:t>主要经历</w:t>
            </w:r>
          </w:p>
        </w:tc>
      </w:tr>
      <w:tr w14:paraId="71A5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028" w:type="dxa"/>
          </w:tcPr>
          <w:p w14:paraId="659CD50F">
            <w:pPr>
              <w:pStyle w:val="41"/>
              <w:spacing w:before="127"/>
              <w:ind w:right="582"/>
              <w:jc w:val="right"/>
              <w:rPr>
                <w:rFonts w:hint="eastAsia" w:ascii="宋体" w:hAnsi="宋体" w:eastAsia="宋体" w:cs="宋体"/>
                <w:sz w:val="24"/>
                <w:lang w:eastAsia="en-US"/>
              </w:rPr>
            </w:pPr>
            <w:r>
              <w:rPr>
                <w:rFonts w:hint="eastAsia" w:ascii="宋体" w:hAnsi="宋体" w:eastAsia="宋体" w:cs="宋体"/>
                <w:sz w:val="24"/>
                <w:lang w:eastAsia="en-US"/>
              </w:rPr>
              <w:t>时间</w:t>
            </w:r>
          </w:p>
        </w:tc>
        <w:tc>
          <w:tcPr>
            <w:tcW w:w="6693" w:type="dxa"/>
            <w:gridSpan w:val="4"/>
          </w:tcPr>
          <w:p w14:paraId="6B5B7D5A">
            <w:pPr>
              <w:pStyle w:val="41"/>
              <w:spacing w:before="127"/>
              <w:ind w:left="1066"/>
              <w:rPr>
                <w:rFonts w:hint="eastAsia" w:ascii="宋体" w:hAnsi="宋体" w:eastAsia="宋体" w:cs="宋体"/>
                <w:sz w:val="24"/>
                <w:lang w:eastAsia="zh-CN"/>
              </w:rPr>
            </w:pPr>
            <w:r>
              <w:rPr>
                <w:rFonts w:hint="eastAsia" w:ascii="宋体" w:hAnsi="宋体" w:eastAsia="宋体" w:cs="宋体"/>
                <w:sz w:val="24"/>
                <w:lang w:eastAsia="zh-CN"/>
              </w:rPr>
              <w:t>参加过的项目名称、规模及取得相关的荣誉</w:t>
            </w:r>
          </w:p>
        </w:tc>
        <w:tc>
          <w:tcPr>
            <w:tcW w:w="1212" w:type="dxa"/>
          </w:tcPr>
          <w:p w14:paraId="633272FB">
            <w:pPr>
              <w:pStyle w:val="41"/>
              <w:spacing w:before="47"/>
              <w:ind w:left="110"/>
              <w:rPr>
                <w:rFonts w:hint="eastAsia" w:ascii="宋体" w:hAnsi="宋体" w:eastAsia="宋体" w:cs="宋体"/>
                <w:sz w:val="24"/>
                <w:lang w:eastAsia="en-US"/>
              </w:rPr>
            </w:pPr>
            <w:r>
              <w:rPr>
                <w:rFonts w:hint="eastAsia" w:ascii="宋体" w:hAnsi="宋体" w:eastAsia="宋体" w:cs="宋体"/>
                <w:spacing w:val="12"/>
                <w:sz w:val="24"/>
                <w:lang w:eastAsia="en-US"/>
              </w:rPr>
              <w:t>该项目中</w:t>
            </w:r>
          </w:p>
          <w:p w14:paraId="67B094E8">
            <w:pPr>
              <w:pStyle w:val="41"/>
              <w:spacing w:before="53" w:line="292" w:lineRule="exact"/>
              <w:ind w:left="110"/>
              <w:rPr>
                <w:rFonts w:hint="eastAsia" w:ascii="宋体" w:hAnsi="宋体" w:eastAsia="宋体" w:cs="宋体"/>
                <w:sz w:val="24"/>
                <w:lang w:eastAsia="en-US"/>
              </w:rPr>
            </w:pPr>
            <w:r>
              <w:rPr>
                <w:rFonts w:hint="eastAsia" w:ascii="宋体" w:hAnsi="宋体" w:eastAsia="宋体" w:cs="宋体"/>
                <w:sz w:val="24"/>
                <w:lang w:eastAsia="en-US"/>
              </w:rPr>
              <w:t>任职情况</w:t>
            </w:r>
          </w:p>
        </w:tc>
      </w:tr>
      <w:tr w14:paraId="1FB7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28" w:type="dxa"/>
          </w:tcPr>
          <w:p w14:paraId="5CF5B216">
            <w:pPr>
              <w:pStyle w:val="41"/>
              <w:rPr>
                <w:rFonts w:hint="eastAsia" w:ascii="宋体" w:hAnsi="宋体" w:eastAsia="宋体" w:cs="宋体"/>
                <w:sz w:val="24"/>
                <w:lang w:eastAsia="en-US"/>
              </w:rPr>
            </w:pPr>
          </w:p>
        </w:tc>
        <w:tc>
          <w:tcPr>
            <w:tcW w:w="6693" w:type="dxa"/>
            <w:gridSpan w:val="4"/>
          </w:tcPr>
          <w:p w14:paraId="57C2BBB8">
            <w:pPr>
              <w:pStyle w:val="41"/>
              <w:rPr>
                <w:rFonts w:hint="eastAsia" w:ascii="宋体" w:hAnsi="宋体" w:eastAsia="宋体" w:cs="宋体"/>
                <w:sz w:val="24"/>
                <w:lang w:eastAsia="en-US"/>
              </w:rPr>
            </w:pPr>
          </w:p>
        </w:tc>
        <w:tc>
          <w:tcPr>
            <w:tcW w:w="1212" w:type="dxa"/>
          </w:tcPr>
          <w:p w14:paraId="0B02ED4F">
            <w:pPr>
              <w:pStyle w:val="41"/>
              <w:rPr>
                <w:rFonts w:hint="eastAsia" w:ascii="宋体" w:hAnsi="宋体" w:eastAsia="宋体" w:cs="宋体"/>
                <w:sz w:val="24"/>
                <w:lang w:eastAsia="en-US"/>
              </w:rPr>
            </w:pPr>
          </w:p>
        </w:tc>
      </w:tr>
      <w:tr w14:paraId="74A5F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28" w:type="dxa"/>
          </w:tcPr>
          <w:p w14:paraId="6231383C">
            <w:pPr>
              <w:pStyle w:val="41"/>
              <w:rPr>
                <w:rFonts w:hint="eastAsia" w:ascii="宋体" w:hAnsi="宋体" w:eastAsia="宋体" w:cs="宋体"/>
                <w:sz w:val="24"/>
                <w:lang w:eastAsia="en-US"/>
              </w:rPr>
            </w:pPr>
          </w:p>
        </w:tc>
        <w:tc>
          <w:tcPr>
            <w:tcW w:w="6693" w:type="dxa"/>
            <w:gridSpan w:val="4"/>
          </w:tcPr>
          <w:p w14:paraId="65AED222">
            <w:pPr>
              <w:pStyle w:val="41"/>
              <w:rPr>
                <w:rFonts w:hint="eastAsia" w:ascii="宋体" w:hAnsi="宋体" w:eastAsia="宋体" w:cs="宋体"/>
                <w:sz w:val="24"/>
                <w:lang w:eastAsia="en-US"/>
              </w:rPr>
            </w:pPr>
          </w:p>
        </w:tc>
        <w:tc>
          <w:tcPr>
            <w:tcW w:w="1212" w:type="dxa"/>
          </w:tcPr>
          <w:p w14:paraId="03C871D1">
            <w:pPr>
              <w:pStyle w:val="41"/>
              <w:rPr>
                <w:rFonts w:hint="eastAsia" w:ascii="宋体" w:hAnsi="宋体" w:eastAsia="宋体" w:cs="宋体"/>
                <w:sz w:val="24"/>
                <w:lang w:eastAsia="en-US"/>
              </w:rPr>
            </w:pPr>
          </w:p>
        </w:tc>
      </w:tr>
      <w:tr w14:paraId="71B26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933" w:type="dxa"/>
            <w:gridSpan w:val="6"/>
          </w:tcPr>
          <w:p w14:paraId="2C0ADD24">
            <w:pPr>
              <w:pStyle w:val="41"/>
              <w:spacing w:before="110"/>
              <w:ind w:left="108"/>
              <w:rPr>
                <w:rFonts w:hint="eastAsia" w:ascii="宋体" w:hAnsi="宋体" w:eastAsia="宋体" w:cs="宋体"/>
                <w:sz w:val="24"/>
                <w:lang w:eastAsia="zh-CN"/>
              </w:rPr>
            </w:pPr>
            <w:r>
              <w:rPr>
                <w:rFonts w:hint="eastAsia" w:ascii="宋体" w:hAnsi="宋体" w:eastAsia="宋体" w:cs="宋体"/>
                <w:sz w:val="24"/>
                <w:lang w:eastAsia="zh-CN"/>
              </w:rPr>
              <w:t>注：附项目负责人相关</w:t>
            </w:r>
            <w:r>
              <w:rPr>
                <w:rFonts w:hint="eastAsia" w:ascii="宋体" w:hAnsi="宋体" w:eastAsia="宋体" w:cs="宋体"/>
                <w:sz w:val="24"/>
                <w:lang w:val="en-US" w:eastAsia="zh-CN"/>
              </w:rPr>
              <w:t>证件</w:t>
            </w:r>
            <w:r>
              <w:rPr>
                <w:rFonts w:hint="eastAsia" w:ascii="宋体" w:hAnsi="宋体" w:eastAsia="宋体" w:cs="宋体"/>
                <w:sz w:val="24"/>
                <w:lang w:eastAsia="zh-CN"/>
              </w:rPr>
              <w:t>复印件</w:t>
            </w:r>
            <w:r>
              <w:rPr>
                <w:rFonts w:hint="eastAsia" w:ascii="宋体" w:hAnsi="宋体" w:eastAsia="宋体" w:cs="宋体"/>
                <w:sz w:val="24"/>
                <w:lang w:val="en-US" w:eastAsia="zh-CN"/>
              </w:rPr>
              <w:t>并加盖公章</w:t>
            </w:r>
            <w:r>
              <w:rPr>
                <w:rFonts w:hint="eastAsia" w:ascii="宋体" w:hAnsi="宋体" w:eastAsia="宋体" w:cs="宋体"/>
                <w:sz w:val="24"/>
                <w:lang w:eastAsia="zh-CN"/>
              </w:rPr>
              <w:t>。</w:t>
            </w:r>
          </w:p>
        </w:tc>
      </w:tr>
    </w:tbl>
    <w:p w14:paraId="5802C04D">
      <w:pPr>
        <w:spacing w:line="360" w:lineRule="auto"/>
        <w:jc w:val="center"/>
        <w:rPr>
          <w:rFonts w:hint="eastAsia" w:ascii="宋体" w:hAnsi="宋体" w:eastAsia="宋体" w:cs="宋体"/>
          <w:b/>
          <w:kern w:val="0"/>
          <w:sz w:val="24"/>
        </w:rPr>
      </w:pPr>
      <w:r>
        <w:rPr>
          <w:rFonts w:hint="eastAsia" w:ascii="宋体" w:hAnsi="宋体" w:eastAsia="宋体" w:cs="宋体"/>
          <w:b/>
          <w:kern w:val="0"/>
          <w:sz w:val="24"/>
        </w:rPr>
        <w:t>项目负责人简历表</w:t>
      </w:r>
    </w:p>
    <w:p w14:paraId="0E9A5438">
      <w:pPr>
        <w:spacing w:line="360" w:lineRule="auto"/>
        <w:rPr>
          <w:rFonts w:hint="eastAsia" w:ascii="宋体" w:hAnsi="宋体" w:eastAsia="宋体" w:cs="宋体"/>
          <w:bCs/>
          <w:kern w:val="0"/>
          <w:sz w:val="24"/>
        </w:rPr>
      </w:pPr>
    </w:p>
    <w:p w14:paraId="7260D24E">
      <w:pPr>
        <w:spacing w:line="360" w:lineRule="auto"/>
        <w:rPr>
          <w:rFonts w:hint="eastAsia" w:ascii="宋体" w:hAnsi="宋体" w:eastAsia="宋体" w:cs="宋体"/>
          <w:bCs/>
          <w:kern w:val="0"/>
          <w:sz w:val="24"/>
        </w:rPr>
      </w:pPr>
      <w:r>
        <w:rPr>
          <w:rFonts w:hint="eastAsia" w:ascii="宋体" w:hAnsi="宋体" w:eastAsia="宋体" w:cs="宋体"/>
          <w:kern w:val="0"/>
          <w:sz w:val="24"/>
        </w:rPr>
        <w:t>法定代表人（负责人）或供应商授权代表（签字或盖章）：</w:t>
      </w:r>
      <w:r>
        <w:rPr>
          <w:rFonts w:hint="eastAsia" w:ascii="宋体" w:hAnsi="宋体" w:eastAsia="宋体" w:cs="宋体"/>
          <w:bCs/>
          <w:kern w:val="0"/>
          <w:sz w:val="24"/>
        </w:rPr>
        <w:tab/>
      </w:r>
      <w:r>
        <w:rPr>
          <w:rFonts w:hint="eastAsia" w:ascii="宋体" w:hAnsi="宋体" w:eastAsia="宋体" w:cs="宋体"/>
          <w:bCs/>
          <w:kern w:val="0"/>
          <w:sz w:val="24"/>
        </w:rPr>
        <w:t xml:space="preserve">                            </w:t>
      </w:r>
    </w:p>
    <w:p w14:paraId="4EF9F3D2">
      <w:pPr>
        <w:spacing w:line="360" w:lineRule="auto"/>
        <w:rPr>
          <w:rFonts w:hint="eastAsia" w:ascii="宋体" w:hAnsi="宋体" w:eastAsia="宋体" w:cs="宋体"/>
          <w:bCs/>
          <w:kern w:val="0"/>
          <w:sz w:val="24"/>
        </w:rPr>
      </w:pPr>
      <w:r>
        <w:rPr>
          <w:rFonts w:hint="eastAsia" w:ascii="宋体" w:hAnsi="宋体" w:eastAsia="宋体" w:cs="宋体"/>
          <w:bCs/>
          <w:kern w:val="0"/>
          <w:sz w:val="24"/>
        </w:rPr>
        <w:t>供应商名称（盖章）：                             日期：</w:t>
      </w:r>
      <w:r>
        <w:rPr>
          <w:rFonts w:hint="eastAsia" w:ascii="宋体" w:hAnsi="宋体" w:eastAsia="宋体" w:cs="宋体"/>
          <w:bCs/>
          <w:kern w:val="0"/>
          <w:sz w:val="24"/>
        </w:rPr>
        <w:tab/>
      </w:r>
      <w:r>
        <w:rPr>
          <w:rFonts w:hint="eastAsia" w:ascii="宋体" w:hAnsi="宋体" w:eastAsia="宋体" w:cs="宋体"/>
          <w:bCs/>
          <w:kern w:val="0"/>
          <w:sz w:val="24"/>
        </w:rPr>
        <w:t>年</w:t>
      </w:r>
      <w:r>
        <w:rPr>
          <w:rFonts w:hint="eastAsia" w:ascii="宋体" w:hAnsi="宋体" w:eastAsia="宋体" w:cs="宋体"/>
          <w:bCs/>
          <w:kern w:val="0"/>
          <w:sz w:val="24"/>
        </w:rPr>
        <w:tab/>
      </w:r>
      <w:r>
        <w:rPr>
          <w:rFonts w:hint="eastAsia" w:ascii="宋体" w:hAnsi="宋体" w:eastAsia="宋体" w:cs="宋体"/>
          <w:bCs/>
          <w:kern w:val="0"/>
          <w:sz w:val="24"/>
        </w:rPr>
        <w:t>月</w:t>
      </w:r>
      <w:r>
        <w:rPr>
          <w:rFonts w:hint="eastAsia" w:ascii="宋体" w:hAnsi="宋体" w:eastAsia="宋体" w:cs="宋体"/>
          <w:bCs/>
          <w:kern w:val="0"/>
          <w:sz w:val="24"/>
        </w:rPr>
        <w:tab/>
      </w:r>
      <w:r>
        <w:rPr>
          <w:rFonts w:hint="eastAsia" w:ascii="宋体" w:hAnsi="宋体" w:eastAsia="宋体" w:cs="宋体"/>
          <w:bCs/>
          <w:kern w:val="0"/>
          <w:sz w:val="24"/>
        </w:rPr>
        <w:t xml:space="preserve"> 日</w:t>
      </w:r>
    </w:p>
    <w:p w14:paraId="00D480E7">
      <w:pPr>
        <w:spacing w:line="360" w:lineRule="auto"/>
        <w:jc w:val="center"/>
        <w:rPr>
          <w:rFonts w:hint="eastAsia" w:ascii="宋体" w:hAnsi="宋体" w:eastAsia="宋体" w:cs="宋体"/>
          <w:b/>
          <w:kern w:val="0"/>
          <w:sz w:val="24"/>
        </w:rPr>
      </w:pPr>
    </w:p>
    <w:p w14:paraId="60298040">
      <w:pPr>
        <w:spacing w:line="360" w:lineRule="auto"/>
        <w:jc w:val="center"/>
        <w:rPr>
          <w:rFonts w:hint="eastAsia" w:ascii="宋体" w:hAnsi="宋体" w:eastAsia="宋体" w:cs="宋体"/>
          <w:b/>
          <w:kern w:val="0"/>
          <w:sz w:val="24"/>
        </w:rPr>
      </w:pPr>
    </w:p>
    <w:p w14:paraId="63780E3E">
      <w:pPr>
        <w:spacing w:line="360" w:lineRule="auto"/>
        <w:jc w:val="center"/>
        <w:rPr>
          <w:rFonts w:hint="eastAsia" w:ascii="宋体" w:hAnsi="宋体" w:eastAsia="宋体" w:cs="宋体"/>
          <w:b/>
          <w:kern w:val="0"/>
          <w:sz w:val="24"/>
        </w:rPr>
      </w:pPr>
    </w:p>
    <w:p w14:paraId="4DCB541F">
      <w:pPr>
        <w:spacing w:line="360" w:lineRule="auto"/>
        <w:jc w:val="center"/>
        <w:rPr>
          <w:rFonts w:hint="eastAsia" w:ascii="宋体" w:hAnsi="宋体" w:eastAsia="宋体" w:cs="宋体"/>
          <w:b/>
          <w:kern w:val="0"/>
          <w:sz w:val="24"/>
        </w:rPr>
      </w:pPr>
    </w:p>
    <w:p w14:paraId="27FD649E">
      <w:pPr>
        <w:spacing w:line="360" w:lineRule="auto"/>
        <w:jc w:val="center"/>
        <w:rPr>
          <w:rFonts w:hint="eastAsia" w:ascii="宋体" w:hAnsi="宋体" w:eastAsia="宋体" w:cs="宋体"/>
          <w:b/>
          <w:kern w:val="0"/>
          <w:sz w:val="24"/>
        </w:rPr>
      </w:pPr>
    </w:p>
    <w:p w14:paraId="752A2798">
      <w:pPr>
        <w:spacing w:line="360" w:lineRule="auto"/>
        <w:jc w:val="center"/>
        <w:rPr>
          <w:rFonts w:hint="eastAsia" w:ascii="宋体" w:hAnsi="宋体" w:eastAsia="宋体" w:cs="宋体"/>
          <w:b/>
          <w:kern w:val="0"/>
          <w:sz w:val="24"/>
        </w:rPr>
      </w:pPr>
    </w:p>
    <w:p w14:paraId="2B60EA36">
      <w:pPr>
        <w:spacing w:line="360" w:lineRule="auto"/>
        <w:jc w:val="center"/>
        <w:rPr>
          <w:rFonts w:hint="eastAsia" w:ascii="宋体" w:hAnsi="宋体" w:eastAsia="宋体" w:cs="宋体"/>
          <w:b/>
          <w:kern w:val="0"/>
          <w:sz w:val="24"/>
        </w:rPr>
      </w:pPr>
    </w:p>
    <w:p w14:paraId="45881A56">
      <w:pPr>
        <w:spacing w:line="360" w:lineRule="auto"/>
        <w:jc w:val="center"/>
        <w:rPr>
          <w:rFonts w:hint="eastAsia" w:ascii="宋体" w:hAnsi="宋体" w:eastAsia="宋体" w:cs="宋体"/>
          <w:b/>
          <w:kern w:val="0"/>
          <w:sz w:val="24"/>
        </w:rPr>
      </w:pPr>
    </w:p>
    <w:p w14:paraId="7F7EE416">
      <w:pPr>
        <w:spacing w:line="360" w:lineRule="auto"/>
        <w:jc w:val="center"/>
        <w:rPr>
          <w:rFonts w:hint="eastAsia" w:ascii="宋体" w:hAnsi="宋体" w:eastAsia="宋体" w:cs="宋体"/>
          <w:b/>
          <w:kern w:val="0"/>
          <w:sz w:val="24"/>
        </w:rPr>
      </w:pPr>
    </w:p>
    <w:p w14:paraId="7C5D0E8A">
      <w:pPr>
        <w:spacing w:line="360" w:lineRule="auto"/>
        <w:jc w:val="center"/>
        <w:rPr>
          <w:rFonts w:hint="eastAsia" w:ascii="宋体" w:hAnsi="宋体" w:eastAsia="宋体" w:cs="宋体"/>
          <w:b/>
          <w:kern w:val="0"/>
          <w:sz w:val="24"/>
        </w:rPr>
      </w:pPr>
    </w:p>
    <w:p w14:paraId="1E2B66D5">
      <w:pPr>
        <w:spacing w:line="360" w:lineRule="auto"/>
        <w:jc w:val="center"/>
        <w:rPr>
          <w:rFonts w:hint="eastAsia" w:ascii="宋体" w:hAnsi="宋体" w:eastAsia="宋体" w:cs="宋体"/>
          <w:b/>
          <w:kern w:val="0"/>
          <w:sz w:val="24"/>
        </w:rPr>
      </w:pPr>
    </w:p>
    <w:p w14:paraId="49788CF5">
      <w:pPr>
        <w:spacing w:line="360" w:lineRule="auto"/>
        <w:jc w:val="center"/>
        <w:rPr>
          <w:rFonts w:hint="eastAsia" w:ascii="宋体" w:hAnsi="宋体" w:eastAsia="宋体" w:cs="宋体"/>
          <w:b/>
          <w:kern w:val="0"/>
          <w:sz w:val="24"/>
        </w:rPr>
      </w:pPr>
    </w:p>
    <w:p w14:paraId="592F84FB">
      <w:pPr>
        <w:spacing w:line="360" w:lineRule="auto"/>
        <w:jc w:val="center"/>
        <w:rPr>
          <w:rFonts w:hint="eastAsia" w:ascii="宋体" w:hAnsi="宋体" w:eastAsia="宋体" w:cs="宋体"/>
          <w:b/>
          <w:kern w:val="0"/>
          <w:sz w:val="24"/>
        </w:rPr>
      </w:pPr>
      <w:r>
        <w:rPr>
          <w:rFonts w:hint="eastAsia" w:ascii="宋体" w:hAnsi="宋体" w:eastAsia="宋体" w:cs="宋体"/>
          <w:b/>
          <w:kern w:val="0"/>
          <w:sz w:val="24"/>
        </w:rPr>
        <w:t>项目人员配备一览表</w:t>
      </w:r>
    </w:p>
    <w:tbl>
      <w:tblPr>
        <w:tblStyle w:val="42"/>
        <w:tblpPr w:leftFromText="180" w:rightFromText="180" w:vertAnchor="text" w:horzAnchor="page" w:tblpX="1284" w:tblpY="405"/>
        <w:tblOverlap w:val="never"/>
        <w:tblW w:w="56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0"/>
        <w:gridCol w:w="600"/>
        <w:gridCol w:w="631"/>
        <w:gridCol w:w="588"/>
        <w:gridCol w:w="945"/>
        <w:gridCol w:w="865"/>
        <w:gridCol w:w="2414"/>
        <w:gridCol w:w="1341"/>
        <w:gridCol w:w="980"/>
      </w:tblGrid>
      <w:tr w14:paraId="5AE8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519" w:type="pct"/>
            <w:vAlign w:val="center"/>
          </w:tcPr>
          <w:p w14:paraId="53442240">
            <w:pPr>
              <w:pStyle w:val="41"/>
              <w:spacing w:before="155" w:line="242" w:lineRule="auto"/>
              <w:ind w:left="146" w:right="137"/>
              <w:jc w:val="center"/>
              <w:rPr>
                <w:rFonts w:hint="eastAsia" w:ascii="宋体" w:hAnsi="宋体" w:eastAsia="宋体" w:cs="宋体"/>
                <w:sz w:val="24"/>
                <w:lang w:eastAsia="en-US"/>
              </w:rPr>
            </w:pPr>
            <w:r>
              <w:rPr>
                <w:rFonts w:hint="eastAsia" w:ascii="宋体" w:hAnsi="宋体" w:eastAsia="宋体" w:cs="宋体"/>
                <w:sz w:val="24"/>
                <w:lang w:eastAsia="en-US"/>
              </w:rPr>
              <w:t>序号</w:t>
            </w:r>
          </w:p>
        </w:tc>
        <w:tc>
          <w:tcPr>
            <w:tcW w:w="321" w:type="pct"/>
            <w:vAlign w:val="center"/>
          </w:tcPr>
          <w:p w14:paraId="6BD7981D">
            <w:pPr>
              <w:pStyle w:val="41"/>
              <w:spacing w:before="155" w:line="242" w:lineRule="auto"/>
              <w:ind w:right="195"/>
              <w:jc w:val="center"/>
              <w:rPr>
                <w:rFonts w:hint="eastAsia" w:ascii="宋体" w:hAnsi="宋体" w:eastAsia="宋体" w:cs="宋体"/>
                <w:sz w:val="24"/>
                <w:lang w:eastAsia="en-US"/>
              </w:rPr>
            </w:pPr>
            <w:r>
              <w:rPr>
                <w:rFonts w:hint="eastAsia" w:ascii="宋体" w:hAnsi="宋体" w:eastAsia="宋体" w:cs="宋体"/>
                <w:sz w:val="24"/>
                <w:lang w:eastAsia="en-US"/>
              </w:rPr>
              <w:t>姓名</w:t>
            </w:r>
          </w:p>
        </w:tc>
        <w:tc>
          <w:tcPr>
            <w:tcW w:w="338" w:type="pct"/>
            <w:vAlign w:val="center"/>
          </w:tcPr>
          <w:p w14:paraId="37859135">
            <w:pPr>
              <w:pStyle w:val="41"/>
              <w:spacing w:before="155" w:line="242" w:lineRule="auto"/>
              <w:ind w:right="213"/>
              <w:jc w:val="center"/>
              <w:rPr>
                <w:rFonts w:hint="eastAsia" w:ascii="宋体" w:hAnsi="宋体" w:eastAsia="宋体" w:cs="宋体"/>
                <w:sz w:val="24"/>
                <w:lang w:eastAsia="en-US"/>
              </w:rPr>
            </w:pPr>
            <w:r>
              <w:rPr>
                <w:rFonts w:hint="eastAsia" w:ascii="宋体" w:hAnsi="宋体" w:eastAsia="宋体" w:cs="宋体"/>
                <w:sz w:val="24"/>
                <w:lang w:eastAsia="en-US"/>
              </w:rPr>
              <w:t>性别</w:t>
            </w:r>
          </w:p>
        </w:tc>
        <w:tc>
          <w:tcPr>
            <w:tcW w:w="315" w:type="pct"/>
            <w:vAlign w:val="center"/>
          </w:tcPr>
          <w:p w14:paraId="11F6FA57">
            <w:pPr>
              <w:pStyle w:val="41"/>
              <w:spacing w:before="155" w:line="242" w:lineRule="auto"/>
              <w:ind w:right="220"/>
              <w:jc w:val="center"/>
              <w:rPr>
                <w:rFonts w:hint="eastAsia" w:ascii="宋体" w:hAnsi="宋体" w:eastAsia="宋体" w:cs="宋体"/>
                <w:sz w:val="24"/>
                <w:lang w:eastAsia="en-US"/>
              </w:rPr>
            </w:pPr>
            <w:r>
              <w:rPr>
                <w:rFonts w:hint="eastAsia" w:ascii="宋体" w:hAnsi="宋体" w:eastAsia="宋体" w:cs="宋体"/>
                <w:sz w:val="24"/>
                <w:lang w:eastAsia="en-US"/>
              </w:rPr>
              <w:t>学历</w:t>
            </w:r>
          </w:p>
        </w:tc>
        <w:tc>
          <w:tcPr>
            <w:tcW w:w="506" w:type="pct"/>
            <w:vAlign w:val="center"/>
          </w:tcPr>
          <w:p w14:paraId="70FB3261">
            <w:pPr>
              <w:pStyle w:val="41"/>
              <w:spacing w:before="155" w:line="242" w:lineRule="auto"/>
              <w:ind w:right="220"/>
              <w:jc w:val="center"/>
              <w:rPr>
                <w:rFonts w:hint="eastAsia" w:ascii="宋体" w:hAnsi="宋体" w:eastAsia="宋体" w:cs="宋体"/>
                <w:sz w:val="24"/>
                <w:lang w:val="en-US" w:eastAsia="zh-CN"/>
              </w:rPr>
            </w:pPr>
            <w:r>
              <w:rPr>
                <w:rFonts w:hint="eastAsia" w:ascii="宋体" w:hAnsi="宋体" w:eastAsia="宋体" w:cs="宋体"/>
                <w:sz w:val="24"/>
                <w:lang w:val="en-US" w:eastAsia="zh-CN"/>
              </w:rPr>
              <w:t>年龄</w:t>
            </w:r>
          </w:p>
        </w:tc>
        <w:tc>
          <w:tcPr>
            <w:tcW w:w="463" w:type="pct"/>
            <w:vAlign w:val="center"/>
          </w:tcPr>
          <w:p w14:paraId="0C1F00F4">
            <w:pPr>
              <w:pStyle w:val="41"/>
              <w:spacing w:before="155" w:line="242" w:lineRule="auto"/>
              <w:ind w:right="201"/>
              <w:jc w:val="center"/>
              <w:rPr>
                <w:rFonts w:hint="eastAsia" w:ascii="宋体" w:hAnsi="宋体" w:eastAsia="宋体" w:cs="宋体"/>
                <w:sz w:val="24"/>
                <w:lang w:eastAsia="en-US"/>
              </w:rPr>
            </w:pPr>
            <w:r>
              <w:rPr>
                <w:rFonts w:hint="eastAsia" w:ascii="宋体" w:hAnsi="宋体" w:eastAsia="宋体" w:cs="宋体"/>
                <w:sz w:val="24"/>
                <w:lang w:eastAsia="en-US"/>
              </w:rPr>
              <w:t>职称</w:t>
            </w:r>
          </w:p>
        </w:tc>
        <w:tc>
          <w:tcPr>
            <w:tcW w:w="1292" w:type="pct"/>
            <w:vAlign w:val="center"/>
          </w:tcPr>
          <w:p w14:paraId="141BD7A9">
            <w:pPr>
              <w:pStyle w:val="41"/>
              <w:spacing w:before="155" w:line="242" w:lineRule="auto"/>
              <w:ind w:left="218" w:right="220"/>
              <w:jc w:val="center"/>
              <w:rPr>
                <w:rFonts w:hint="eastAsia" w:ascii="宋体" w:hAnsi="宋体" w:eastAsia="宋体" w:cs="宋体"/>
                <w:sz w:val="24"/>
                <w:lang w:val="en-US" w:eastAsia="zh-CN"/>
              </w:rPr>
            </w:pPr>
            <w:r>
              <w:rPr>
                <w:rFonts w:hint="eastAsia" w:ascii="宋体" w:hAnsi="宋体" w:eastAsia="宋体" w:cs="宋体"/>
                <w:sz w:val="24"/>
                <w:lang w:eastAsia="zh-CN"/>
              </w:rPr>
              <w:t>担任本项目的</w:t>
            </w:r>
            <w:r>
              <w:rPr>
                <w:rFonts w:hint="eastAsia" w:ascii="宋体" w:hAnsi="宋体" w:eastAsia="宋体" w:cs="宋体"/>
                <w:sz w:val="24"/>
                <w:lang w:val="en-US" w:eastAsia="zh-CN"/>
              </w:rPr>
              <w:t>岗位</w:t>
            </w:r>
          </w:p>
        </w:tc>
        <w:tc>
          <w:tcPr>
            <w:tcW w:w="718" w:type="pct"/>
            <w:vAlign w:val="center"/>
          </w:tcPr>
          <w:p w14:paraId="2B550A28">
            <w:pPr>
              <w:pStyle w:val="41"/>
              <w:spacing w:before="1"/>
              <w:ind w:left="206"/>
              <w:jc w:val="center"/>
              <w:rPr>
                <w:rFonts w:hint="eastAsia" w:ascii="宋体" w:hAnsi="宋体" w:eastAsia="宋体" w:cs="宋体"/>
                <w:sz w:val="24"/>
                <w:lang w:val="en-US" w:eastAsia="zh-CN"/>
              </w:rPr>
            </w:pPr>
            <w:r>
              <w:rPr>
                <w:rFonts w:hint="eastAsia" w:ascii="宋体" w:hAnsi="宋体" w:eastAsia="宋体" w:cs="宋体"/>
                <w:sz w:val="24"/>
                <w:lang w:val="en-US" w:eastAsia="zh-CN"/>
              </w:rPr>
              <w:t>相关证件</w:t>
            </w:r>
          </w:p>
        </w:tc>
        <w:tc>
          <w:tcPr>
            <w:tcW w:w="524" w:type="pct"/>
            <w:vAlign w:val="center"/>
          </w:tcPr>
          <w:p w14:paraId="649EE1D6">
            <w:pPr>
              <w:pStyle w:val="41"/>
              <w:spacing w:before="1"/>
              <w:ind w:left="197"/>
              <w:jc w:val="center"/>
              <w:rPr>
                <w:rFonts w:hint="eastAsia" w:ascii="宋体" w:hAnsi="宋体" w:eastAsia="宋体" w:cs="宋体"/>
                <w:sz w:val="24"/>
                <w:lang w:eastAsia="en-US"/>
              </w:rPr>
            </w:pPr>
            <w:r>
              <w:rPr>
                <w:rFonts w:hint="eastAsia" w:ascii="宋体" w:hAnsi="宋体" w:eastAsia="宋体" w:cs="宋体"/>
                <w:sz w:val="24"/>
                <w:lang w:eastAsia="en-US"/>
              </w:rPr>
              <w:t>备注</w:t>
            </w:r>
          </w:p>
        </w:tc>
      </w:tr>
      <w:tr w14:paraId="0A06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19" w:type="pct"/>
            <w:vAlign w:val="center"/>
          </w:tcPr>
          <w:p w14:paraId="3C36B99D">
            <w:pPr>
              <w:pStyle w:val="41"/>
              <w:spacing w:line="307" w:lineRule="exact"/>
              <w:ind w:left="7"/>
              <w:jc w:val="center"/>
              <w:rPr>
                <w:rFonts w:hint="eastAsia" w:ascii="宋体" w:hAnsi="宋体" w:eastAsia="宋体" w:cs="宋体"/>
                <w:sz w:val="24"/>
                <w:lang w:eastAsia="en-US"/>
              </w:rPr>
            </w:pPr>
            <w:r>
              <w:rPr>
                <w:rFonts w:hint="eastAsia" w:ascii="宋体" w:hAnsi="宋体" w:eastAsia="宋体" w:cs="宋体"/>
                <w:sz w:val="24"/>
                <w:lang w:eastAsia="en-US"/>
              </w:rPr>
              <w:t>1</w:t>
            </w:r>
          </w:p>
        </w:tc>
        <w:tc>
          <w:tcPr>
            <w:tcW w:w="321" w:type="pct"/>
            <w:vAlign w:val="center"/>
          </w:tcPr>
          <w:p w14:paraId="231A0058">
            <w:pPr>
              <w:pStyle w:val="41"/>
              <w:jc w:val="center"/>
              <w:rPr>
                <w:rFonts w:hint="eastAsia" w:ascii="宋体" w:hAnsi="宋体" w:eastAsia="宋体" w:cs="宋体"/>
                <w:sz w:val="24"/>
                <w:lang w:eastAsia="en-US"/>
              </w:rPr>
            </w:pPr>
          </w:p>
        </w:tc>
        <w:tc>
          <w:tcPr>
            <w:tcW w:w="338" w:type="pct"/>
            <w:vAlign w:val="center"/>
          </w:tcPr>
          <w:p w14:paraId="5FC0655B">
            <w:pPr>
              <w:pStyle w:val="41"/>
              <w:jc w:val="center"/>
              <w:rPr>
                <w:rFonts w:hint="eastAsia" w:ascii="宋体" w:hAnsi="宋体" w:eastAsia="宋体" w:cs="宋体"/>
                <w:sz w:val="24"/>
                <w:lang w:eastAsia="en-US"/>
              </w:rPr>
            </w:pPr>
          </w:p>
        </w:tc>
        <w:tc>
          <w:tcPr>
            <w:tcW w:w="315" w:type="pct"/>
            <w:vAlign w:val="center"/>
          </w:tcPr>
          <w:p w14:paraId="4BC94B0C">
            <w:pPr>
              <w:pStyle w:val="41"/>
              <w:jc w:val="center"/>
              <w:rPr>
                <w:rFonts w:hint="eastAsia" w:ascii="宋体" w:hAnsi="宋体" w:eastAsia="宋体" w:cs="宋体"/>
                <w:sz w:val="24"/>
                <w:lang w:eastAsia="en-US"/>
              </w:rPr>
            </w:pPr>
          </w:p>
        </w:tc>
        <w:tc>
          <w:tcPr>
            <w:tcW w:w="506" w:type="pct"/>
            <w:vAlign w:val="center"/>
          </w:tcPr>
          <w:p w14:paraId="7937C2A0">
            <w:pPr>
              <w:pStyle w:val="41"/>
              <w:jc w:val="center"/>
              <w:rPr>
                <w:rFonts w:hint="eastAsia" w:ascii="宋体" w:hAnsi="宋体" w:eastAsia="宋体" w:cs="宋体"/>
                <w:sz w:val="24"/>
                <w:lang w:eastAsia="en-US"/>
              </w:rPr>
            </w:pPr>
          </w:p>
        </w:tc>
        <w:tc>
          <w:tcPr>
            <w:tcW w:w="463" w:type="pct"/>
            <w:vAlign w:val="center"/>
          </w:tcPr>
          <w:p w14:paraId="474CA7BA">
            <w:pPr>
              <w:pStyle w:val="41"/>
              <w:jc w:val="center"/>
              <w:rPr>
                <w:rFonts w:hint="eastAsia" w:ascii="宋体" w:hAnsi="宋体" w:eastAsia="宋体" w:cs="宋体"/>
                <w:sz w:val="24"/>
                <w:lang w:eastAsia="en-US"/>
              </w:rPr>
            </w:pPr>
          </w:p>
        </w:tc>
        <w:tc>
          <w:tcPr>
            <w:tcW w:w="1292" w:type="pct"/>
            <w:vAlign w:val="center"/>
          </w:tcPr>
          <w:p w14:paraId="3FE69F69">
            <w:pPr>
              <w:pStyle w:val="41"/>
              <w:jc w:val="center"/>
              <w:rPr>
                <w:rFonts w:hint="eastAsia" w:ascii="宋体" w:hAnsi="宋体" w:eastAsia="宋体" w:cs="宋体"/>
                <w:sz w:val="24"/>
                <w:lang w:eastAsia="en-US"/>
              </w:rPr>
            </w:pPr>
          </w:p>
        </w:tc>
        <w:tc>
          <w:tcPr>
            <w:tcW w:w="718" w:type="pct"/>
            <w:vAlign w:val="center"/>
          </w:tcPr>
          <w:p w14:paraId="34F40496">
            <w:pPr>
              <w:pStyle w:val="41"/>
              <w:jc w:val="center"/>
              <w:rPr>
                <w:rFonts w:hint="eastAsia" w:ascii="宋体" w:hAnsi="宋体" w:eastAsia="宋体" w:cs="宋体"/>
                <w:sz w:val="24"/>
                <w:lang w:eastAsia="en-US"/>
              </w:rPr>
            </w:pPr>
          </w:p>
        </w:tc>
        <w:tc>
          <w:tcPr>
            <w:tcW w:w="524" w:type="pct"/>
            <w:vAlign w:val="center"/>
          </w:tcPr>
          <w:p w14:paraId="1D99412C">
            <w:pPr>
              <w:pStyle w:val="41"/>
              <w:jc w:val="center"/>
              <w:rPr>
                <w:rFonts w:hint="eastAsia" w:ascii="宋体" w:hAnsi="宋体" w:eastAsia="宋体" w:cs="宋体"/>
                <w:sz w:val="24"/>
                <w:lang w:eastAsia="en-US"/>
              </w:rPr>
            </w:pPr>
          </w:p>
        </w:tc>
      </w:tr>
      <w:tr w14:paraId="2E9A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519" w:type="pct"/>
            <w:vAlign w:val="center"/>
          </w:tcPr>
          <w:p w14:paraId="587A64BC">
            <w:pPr>
              <w:pStyle w:val="41"/>
              <w:spacing w:before="2"/>
              <w:ind w:left="7"/>
              <w:jc w:val="center"/>
              <w:rPr>
                <w:rFonts w:hint="eastAsia" w:ascii="宋体" w:hAnsi="宋体" w:eastAsia="宋体" w:cs="宋体"/>
                <w:sz w:val="24"/>
                <w:lang w:eastAsia="en-US"/>
              </w:rPr>
            </w:pPr>
            <w:r>
              <w:rPr>
                <w:rFonts w:hint="eastAsia" w:ascii="宋体" w:hAnsi="宋体" w:eastAsia="宋体" w:cs="宋体"/>
                <w:sz w:val="24"/>
                <w:lang w:eastAsia="en-US"/>
              </w:rPr>
              <w:t>2</w:t>
            </w:r>
          </w:p>
        </w:tc>
        <w:tc>
          <w:tcPr>
            <w:tcW w:w="321" w:type="pct"/>
            <w:vAlign w:val="center"/>
          </w:tcPr>
          <w:p w14:paraId="73762D6B">
            <w:pPr>
              <w:pStyle w:val="41"/>
              <w:jc w:val="center"/>
              <w:rPr>
                <w:rFonts w:hint="eastAsia" w:ascii="宋体" w:hAnsi="宋体" w:eastAsia="宋体" w:cs="宋体"/>
                <w:sz w:val="24"/>
                <w:lang w:eastAsia="en-US"/>
              </w:rPr>
            </w:pPr>
          </w:p>
        </w:tc>
        <w:tc>
          <w:tcPr>
            <w:tcW w:w="338" w:type="pct"/>
            <w:vAlign w:val="center"/>
          </w:tcPr>
          <w:p w14:paraId="2DE175F2">
            <w:pPr>
              <w:pStyle w:val="41"/>
              <w:jc w:val="center"/>
              <w:rPr>
                <w:rFonts w:hint="eastAsia" w:ascii="宋体" w:hAnsi="宋体" w:eastAsia="宋体" w:cs="宋体"/>
                <w:sz w:val="24"/>
                <w:lang w:eastAsia="en-US"/>
              </w:rPr>
            </w:pPr>
          </w:p>
        </w:tc>
        <w:tc>
          <w:tcPr>
            <w:tcW w:w="315" w:type="pct"/>
            <w:vAlign w:val="center"/>
          </w:tcPr>
          <w:p w14:paraId="537F95CF">
            <w:pPr>
              <w:pStyle w:val="41"/>
              <w:jc w:val="center"/>
              <w:rPr>
                <w:rFonts w:hint="eastAsia" w:ascii="宋体" w:hAnsi="宋体" w:eastAsia="宋体" w:cs="宋体"/>
                <w:sz w:val="24"/>
                <w:lang w:eastAsia="en-US"/>
              </w:rPr>
            </w:pPr>
          </w:p>
        </w:tc>
        <w:tc>
          <w:tcPr>
            <w:tcW w:w="506" w:type="pct"/>
            <w:vAlign w:val="center"/>
          </w:tcPr>
          <w:p w14:paraId="0B235F1D">
            <w:pPr>
              <w:pStyle w:val="41"/>
              <w:jc w:val="center"/>
              <w:rPr>
                <w:rFonts w:hint="eastAsia" w:ascii="宋体" w:hAnsi="宋体" w:eastAsia="宋体" w:cs="宋体"/>
                <w:sz w:val="24"/>
                <w:lang w:eastAsia="en-US"/>
              </w:rPr>
            </w:pPr>
          </w:p>
        </w:tc>
        <w:tc>
          <w:tcPr>
            <w:tcW w:w="463" w:type="pct"/>
            <w:vAlign w:val="center"/>
          </w:tcPr>
          <w:p w14:paraId="736AFD17">
            <w:pPr>
              <w:pStyle w:val="41"/>
              <w:jc w:val="center"/>
              <w:rPr>
                <w:rFonts w:hint="eastAsia" w:ascii="宋体" w:hAnsi="宋体" w:eastAsia="宋体" w:cs="宋体"/>
                <w:sz w:val="24"/>
                <w:lang w:eastAsia="en-US"/>
              </w:rPr>
            </w:pPr>
          </w:p>
        </w:tc>
        <w:tc>
          <w:tcPr>
            <w:tcW w:w="1292" w:type="pct"/>
            <w:vAlign w:val="center"/>
          </w:tcPr>
          <w:p w14:paraId="4752AEEA">
            <w:pPr>
              <w:pStyle w:val="41"/>
              <w:jc w:val="center"/>
              <w:rPr>
                <w:rFonts w:hint="eastAsia" w:ascii="宋体" w:hAnsi="宋体" w:eastAsia="宋体" w:cs="宋体"/>
                <w:sz w:val="24"/>
                <w:lang w:eastAsia="en-US"/>
              </w:rPr>
            </w:pPr>
          </w:p>
        </w:tc>
        <w:tc>
          <w:tcPr>
            <w:tcW w:w="718" w:type="pct"/>
            <w:vAlign w:val="center"/>
          </w:tcPr>
          <w:p w14:paraId="1A2829E2">
            <w:pPr>
              <w:pStyle w:val="41"/>
              <w:jc w:val="center"/>
              <w:rPr>
                <w:rFonts w:hint="eastAsia" w:ascii="宋体" w:hAnsi="宋体" w:eastAsia="宋体" w:cs="宋体"/>
                <w:sz w:val="24"/>
                <w:lang w:eastAsia="en-US"/>
              </w:rPr>
            </w:pPr>
          </w:p>
        </w:tc>
        <w:tc>
          <w:tcPr>
            <w:tcW w:w="524" w:type="pct"/>
            <w:vAlign w:val="center"/>
          </w:tcPr>
          <w:p w14:paraId="2DB54D80">
            <w:pPr>
              <w:pStyle w:val="41"/>
              <w:jc w:val="center"/>
              <w:rPr>
                <w:rFonts w:hint="eastAsia" w:ascii="宋体" w:hAnsi="宋体" w:eastAsia="宋体" w:cs="宋体"/>
                <w:sz w:val="24"/>
                <w:lang w:eastAsia="en-US"/>
              </w:rPr>
            </w:pPr>
          </w:p>
        </w:tc>
      </w:tr>
      <w:tr w14:paraId="47F1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519" w:type="pct"/>
            <w:vAlign w:val="center"/>
          </w:tcPr>
          <w:p w14:paraId="4FF11C62">
            <w:pPr>
              <w:pStyle w:val="41"/>
              <w:ind w:left="7"/>
              <w:jc w:val="center"/>
              <w:rPr>
                <w:rFonts w:hint="eastAsia" w:ascii="宋体" w:hAnsi="宋体" w:eastAsia="宋体" w:cs="宋体"/>
                <w:sz w:val="24"/>
                <w:lang w:eastAsia="en-US"/>
              </w:rPr>
            </w:pPr>
            <w:r>
              <w:rPr>
                <w:rFonts w:hint="eastAsia" w:ascii="宋体" w:hAnsi="宋体" w:eastAsia="宋体" w:cs="宋体"/>
                <w:w w:val="200"/>
                <w:sz w:val="24"/>
                <w:lang w:eastAsia="en-US"/>
              </w:rPr>
              <w:t>„</w:t>
            </w:r>
          </w:p>
        </w:tc>
        <w:tc>
          <w:tcPr>
            <w:tcW w:w="321" w:type="pct"/>
            <w:vAlign w:val="center"/>
          </w:tcPr>
          <w:p w14:paraId="741E61A6">
            <w:pPr>
              <w:pStyle w:val="41"/>
              <w:jc w:val="center"/>
              <w:rPr>
                <w:rFonts w:hint="eastAsia" w:ascii="宋体" w:hAnsi="宋体" w:eastAsia="宋体" w:cs="宋体"/>
                <w:sz w:val="24"/>
                <w:lang w:eastAsia="en-US"/>
              </w:rPr>
            </w:pPr>
          </w:p>
        </w:tc>
        <w:tc>
          <w:tcPr>
            <w:tcW w:w="338" w:type="pct"/>
            <w:vAlign w:val="center"/>
          </w:tcPr>
          <w:p w14:paraId="77F7FCE6">
            <w:pPr>
              <w:pStyle w:val="41"/>
              <w:jc w:val="center"/>
              <w:rPr>
                <w:rFonts w:hint="eastAsia" w:ascii="宋体" w:hAnsi="宋体" w:eastAsia="宋体" w:cs="宋体"/>
                <w:sz w:val="24"/>
                <w:lang w:eastAsia="en-US"/>
              </w:rPr>
            </w:pPr>
          </w:p>
        </w:tc>
        <w:tc>
          <w:tcPr>
            <w:tcW w:w="315" w:type="pct"/>
            <w:vAlign w:val="center"/>
          </w:tcPr>
          <w:p w14:paraId="538C9B0B">
            <w:pPr>
              <w:pStyle w:val="41"/>
              <w:jc w:val="center"/>
              <w:rPr>
                <w:rFonts w:hint="eastAsia" w:ascii="宋体" w:hAnsi="宋体" w:eastAsia="宋体" w:cs="宋体"/>
                <w:sz w:val="24"/>
                <w:lang w:eastAsia="en-US"/>
              </w:rPr>
            </w:pPr>
          </w:p>
        </w:tc>
        <w:tc>
          <w:tcPr>
            <w:tcW w:w="506" w:type="pct"/>
            <w:vAlign w:val="center"/>
          </w:tcPr>
          <w:p w14:paraId="59557508">
            <w:pPr>
              <w:pStyle w:val="41"/>
              <w:jc w:val="center"/>
              <w:rPr>
                <w:rFonts w:hint="eastAsia" w:ascii="宋体" w:hAnsi="宋体" w:eastAsia="宋体" w:cs="宋体"/>
                <w:sz w:val="24"/>
                <w:lang w:eastAsia="en-US"/>
              </w:rPr>
            </w:pPr>
          </w:p>
        </w:tc>
        <w:tc>
          <w:tcPr>
            <w:tcW w:w="463" w:type="pct"/>
            <w:vAlign w:val="center"/>
          </w:tcPr>
          <w:p w14:paraId="05A88088">
            <w:pPr>
              <w:pStyle w:val="41"/>
              <w:jc w:val="center"/>
              <w:rPr>
                <w:rFonts w:hint="eastAsia" w:ascii="宋体" w:hAnsi="宋体" w:eastAsia="宋体" w:cs="宋体"/>
                <w:sz w:val="24"/>
                <w:lang w:eastAsia="en-US"/>
              </w:rPr>
            </w:pPr>
          </w:p>
        </w:tc>
        <w:tc>
          <w:tcPr>
            <w:tcW w:w="1292" w:type="pct"/>
            <w:vAlign w:val="center"/>
          </w:tcPr>
          <w:p w14:paraId="006DE341">
            <w:pPr>
              <w:pStyle w:val="41"/>
              <w:jc w:val="center"/>
              <w:rPr>
                <w:rFonts w:hint="eastAsia" w:ascii="宋体" w:hAnsi="宋体" w:eastAsia="宋体" w:cs="宋体"/>
                <w:sz w:val="24"/>
                <w:lang w:eastAsia="en-US"/>
              </w:rPr>
            </w:pPr>
          </w:p>
        </w:tc>
        <w:tc>
          <w:tcPr>
            <w:tcW w:w="718" w:type="pct"/>
            <w:vAlign w:val="center"/>
          </w:tcPr>
          <w:p w14:paraId="1BEA28D8">
            <w:pPr>
              <w:pStyle w:val="41"/>
              <w:jc w:val="center"/>
              <w:rPr>
                <w:rFonts w:hint="eastAsia" w:ascii="宋体" w:hAnsi="宋体" w:eastAsia="宋体" w:cs="宋体"/>
                <w:sz w:val="24"/>
                <w:lang w:eastAsia="en-US"/>
              </w:rPr>
            </w:pPr>
          </w:p>
        </w:tc>
        <w:tc>
          <w:tcPr>
            <w:tcW w:w="524" w:type="pct"/>
            <w:vAlign w:val="center"/>
          </w:tcPr>
          <w:p w14:paraId="2A0590AB">
            <w:pPr>
              <w:pStyle w:val="41"/>
              <w:jc w:val="center"/>
              <w:rPr>
                <w:rFonts w:hint="eastAsia" w:ascii="宋体" w:hAnsi="宋体" w:eastAsia="宋体" w:cs="宋体"/>
                <w:sz w:val="24"/>
                <w:lang w:eastAsia="en-US"/>
              </w:rPr>
            </w:pPr>
          </w:p>
        </w:tc>
      </w:tr>
    </w:tbl>
    <w:p w14:paraId="3634FDFE">
      <w:pPr>
        <w:spacing w:line="360" w:lineRule="auto"/>
        <w:jc w:val="center"/>
        <w:rPr>
          <w:rFonts w:hint="eastAsia" w:ascii="宋体" w:hAnsi="宋体" w:eastAsia="宋体" w:cs="宋体"/>
          <w:b/>
          <w:kern w:val="0"/>
          <w:sz w:val="24"/>
        </w:rPr>
      </w:pPr>
    </w:p>
    <w:p w14:paraId="3A6FF223">
      <w:pPr>
        <w:spacing w:line="360" w:lineRule="auto"/>
        <w:rPr>
          <w:rFonts w:hint="eastAsia" w:ascii="宋体" w:hAnsi="宋体" w:eastAsia="宋体" w:cs="宋体"/>
          <w:kern w:val="0"/>
          <w:sz w:val="24"/>
        </w:rPr>
      </w:pPr>
      <w:r>
        <w:rPr>
          <w:rFonts w:hint="eastAsia" w:ascii="宋体" w:hAnsi="宋体" w:eastAsia="宋体" w:cs="宋体"/>
          <w:kern w:val="0"/>
          <w:sz w:val="24"/>
        </w:rPr>
        <w:t>注：</w:t>
      </w:r>
      <w:r>
        <w:rPr>
          <w:rFonts w:hint="eastAsia" w:ascii="宋体" w:hAnsi="宋体" w:eastAsia="宋体" w:cs="宋体"/>
          <w:kern w:val="0"/>
          <w:sz w:val="24"/>
          <w:lang w:val="en-US" w:eastAsia="zh-CN"/>
        </w:rPr>
        <w:t>供应商根据表格编制情况自行加行，</w:t>
      </w:r>
      <w:r>
        <w:rPr>
          <w:rFonts w:hint="eastAsia" w:ascii="宋体" w:hAnsi="宋体" w:eastAsia="宋体" w:cs="宋体"/>
          <w:kern w:val="0"/>
          <w:sz w:val="24"/>
        </w:rPr>
        <w:t>后附相关证件复印件并加盖公章。</w:t>
      </w:r>
    </w:p>
    <w:p w14:paraId="286F0DC0">
      <w:pPr>
        <w:spacing w:line="360" w:lineRule="auto"/>
        <w:ind w:left="4800" w:hanging="4800" w:hangingChars="2000"/>
        <w:rPr>
          <w:rFonts w:hint="eastAsia" w:ascii="宋体" w:hAnsi="宋体" w:eastAsia="宋体" w:cs="宋体"/>
          <w:bCs/>
          <w:kern w:val="0"/>
          <w:sz w:val="24"/>
        </w:rPr>
      </w:pPr>
      <w:r>
        <w:rPr>
          <w:rFonts w:hint="eastAsia" w:ascii="宋体" w:hAnsi="宋体" w:eastAsia="宋体" w:cs="宋体"/>
          <w:kern w:val="0"/>
          <w:sz w:val="24"/>
        </w:rPr>
        <w:t>法定代表人（负责人）或供应商授权代表（签字或盖章）：</w:t>
      </w:r>
      <w:r>
        <w:rPr>
          <w:rFonts w:hint="eastAsia" w:ascii="宋体" w:hAnsi="宋体" w:eastAsia="宋体" w:cs="宋体"/>
          <w:bCs/>
          <w:kern w:val="0"/>
          <w:sz w:val="24"/>
        </w:rPr>
        <w:tab/>
      </w:r>
      <w:r>
        <w:rPr>
          <w:rFonts w:hint="eastAsia" w:ascii="宋体" w:hAnsi="宋体" w:eastAsia="宋体" w:cs="宋体"/>
          <w:bCs/>
          <w:kern w:val="0"/>
          <w:sz w:val="24"/>
        </w:rPr>
        <w:t xml:space="preserve">                            </w:t>
      </w:r>
    </w:p>
    <w:p w14:paraId="00305D4D">
      <w:pPr>
        <w:spacing w:line="360" w:lineRule="auto"/>
        <w:rPr>
          <w:rFonts w:hint="eastAsia" w:ascii="宋体" w:hAnsi="宋体" w:eastAsia="宋体" w:cs="宋体"/>
          <w:bCs/>
          <w:kern w:val="0"/>
          <w:sz w:val="24"/>
        </w:rPr>
      </w:pPr>
    </w:p>
    <w:p w14:paraId="48925F6F">
      <w:pPr>
        <w:spacing w:line="360" w:lineRule="auto"/>
        <w:ind w:left="4800" w:hanging="4800" w:hangingChars="2000"/>
        <w:rPr>
          <w:rFonts w:hint="eastAsia" w:ascii="宋体" w:hAnsi="宋体" w:eastAsia="宋体" w:cs="宋体"/>
          <w:bCs/>
          <w:kern w:val="0"/>
          <w:sz w:val="24"/>
        </w:rPr>
      </w:pPr>
      <w:r>
        <w:rPr>
          <w:rFonts w:hint="eastAsia" w:ascii="宋体" w:hAnsi="宋体" w:eastAsia="宋体" w:cs="宋体"/>
          <w:bCs/>
          <w:kern w:val="0"/>
          <w:sz w:val="24"/>
        </w:rPr>
        <w:t>供应商名称（盖章）：                             日期：</w:t>
      </w:r>
      <w:r>
        <w:rPr>
          <w:rFonts w:hint="eastAsia" w:ascii="宋体" w:hAnsi="宋体" w:eastAsia="宋体" w:cs="宋体"/>
          <w:bCs/>
          <w:kern w:val="0"/>
          <w:sz w:val="24"/>
        </w:rPr>
        <w:tab/>
      </w:r>
      <w:r>
        <w:rPr>
          <w:rFonts w:hint="eastAsia" w:ascii="宋体" w:hAnsi="宋体" w:eastAsia="宋体" w:cs="宋体"/>
          <w:bCs/>
          <w:kern w:val="0"/>
          <w:sz w:val="24"/>
        </w:rPr>
        <w:t>年</w:t>
      </w:r>
      <w:r>
        <w:rPr>
          <w:rFonts w:hint="eastAsia" w:ascii="宋体" w:hAnsi="宋体" w:eastAsia="宋体" w:cs="宋体"/>
          <w:bCs/>
          <w:kern w:val="0"/>
          <w:sz w:val="24"/>
        </w:rPr>
        <w:tab/>
      </w:r>
      <w:r>
        <w:rPr>
          <w:rFonts w:hint="eastAsia" w:ascii="宋体" w:hAnsi="宋体" w:eastAsia="宋体" w:cs="宋体"/>
          <w:bCs/>
          <w:kern w:val="0"/>
          <w:sz w:val="24"/>
        </w:rPr>
        <w:t>月</w:t>
      </w:r>
      <w:r>
        <w:rPr>
          <w:rFonts w:hint="eastAsia" w:ascii="宋体" w:hAnsi="宋体" w:eastAsia="宋体" w:cs="宋体"/>
          <w:bCs/>
          <w:kern w:val="0"/>
          <w:sz w:val="24"/>
        </w:rPr>
        <w:tab/>
      </w:r>
      <w:r>
        <w:rPr>
          <w:rFonts w:hint="eastAsia" w:ascii="宋体" w:hAnsi="宋体" w:eastAsia="宋体" w:cs="宋体"/>
          <w:bCs/>
          <w:kern w:val="0"/>
          <w:sz w:val="24"/>
        </w:rPr>
        <w:t xml:space="preserve"> 日</w:t>
      </w:r>
    </w:p>
    <w:p w14:paraId="138F0A76">
      <w:pPr>
        <w:spacing w:line="360" w:lineRule="auto"/>
        <w:rPr>
          <w:rFonts w:hint="eastAsia" w:ascii="宋体" w:hAnsi="宋体" w:eastAsia="宋体" w:cs="宋体"/>
          <w:bCs/>
          <w:kern w:val="0"/>
          <w:sz w:val="24"/>
        </w:rPr>
      </w:pPr>
    </w:p>
    <w:p w14:paraId="60762ACF">
      <w:pPr>
        <w:tabs>
          <w:tab w:val="left" w:pos="6703"/>
        </w:tabs>
        <w:jc w:val="left"/>
        <w:rPr>
          <w:rFonts w:hint="eastAsia" w:ascii="宋体" w:hAnsi="宋体" w:eastAsia="宋体" w:cs="宋体"/>
        </w:rPr>
      </w:pPr>
    </w:p>
    <w:p w14:paraId="38757DB1">
      <w:pPr>
        <w:tabs>
          <w:tab w:val="left" w:pos="6703"/>
        </w:tabs>
        <w:jc w:val="left"/>
        <w:rPr>
          <w:rFonts w:hint="eastAsia" w:ascii="宋体" w:hAnsi="宋体" w:eastAsia="宋体" w:cs="宋体"/>
          <w:lang w:val="en-US" w:eastAsia="zh-CN"/>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EDB7">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C5510">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86C5510">
                    <w:pPr>
                      <w:pStyle w:val="14"/>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仿宋" w:hAnsi="仿宋" w:eastAsia="仿宋" w:cs="仿宋"/>
        <w:kern w:val="0"/>
        <w:sz w:val="22"/>
        <w:szCs w:val="22"/>
      </w:rPr>
      <w:t>山西众标项目管理有限公司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981F">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61D47">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A861D47">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7E1E">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AFB57">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F4AFB57">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6C9B">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D611D">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F2D611D">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0319">
    <w:pPr>
      <w:jc w:val="right"/>
      <w:rPr>
        <w:rFonts w:ascii="仿宋" w:hAnsi="仿宋" w:eastAsia="仿宋" w:cs="宋体"/>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EF4E2">
    <w:pPr>
      <w:rPr>
        <w:sz w:val="18"/>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68ABE"/>
    <w:multiLevelType w:val="singleLevel"/>
    <w:tmpl w:val="B3E68ABE"/>
    <w:lvl w:ilvl="0" w:tentative="0">
      <w:start w:val="5"/>
      <w:numFmt w:val="chineseCounting"/>
      <w:suff w:val="space"/>
      <w:lvlText w:val="第%1部分"/>
      <w:lvlJc w:val="left"/>
      <w:rPr>
        <w:rFonts w:hint="eastAsia"/>
      </w:rPr>
    </w:lvl>
  </w:abstractNum>
  <w:abstractNum w:abstractNumId="1">
    <w:nsid w:val="C799B206"/>
    <w:multiLevelType w:val="singleLevel"/>
    <w:tmpl w:val="C799B206"/>
    <w:lvl w:ilvl="0" w:tentative="0">
      <w:start w:val="3"/>
      <w:numFmt w:val="decimal"/>
      <w:lvlText w:val="%1."/>
      <w:lvlJc w:val="left"/>
      <w:pPr>
        <w:tabs>
          <w:tab w:val="left" w:pos="312"/>
        </w:tabs>
      </w:pPr>
    </w:lvl>
  </w:abstractNum>
  <w:abstractNum w:abstractNumId="2">
    <w:nsid w:val="27E07213"/>
    <w:multiLevelType w:val="multilevel"/>
    <w:tmpl w:val="27E0721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2057386"/>
    <w:multiLevelType w:val="singleLevel"/>
    <w:tmpl w:val="62057386"/>
    <w:lvl w:ilvl="0" w:tentative="0">
      <w:start w:val="4"/>
      <w:numFmt w:val="decimal"/>
      <w:suff w:val="nothing"/>
      <w:lvlText w:val="%1、"/>
      <w:lvlJc w:val="left"/>
    </w:lvl>
  </w:abstractNum>
  <w:abstractNum w:abstractNumId="5">
    <w:nsid w:val="7A747BA8"/>
    <w:multiLevelType w:val="singleLevel"/>
    <w:tmpl w:val="7A747BA8"/>
    <w:lvl w:ilvl="0" w:tentative="0">
      <w:start w:val="6"/>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ZDMzNGM2YzIyNDViYTFhMWY2ZTE5NjBhYjY1ZGQifQ=="/>
  </w:docVars>
  <w:rsids>
    <w:rsidRoot w:val="00870163"/>
    <w:rsid w:val="00123A6E"/>
    <w:rsid w:val="004D22A0"/>
    <w:rsid w:val="00551F1B"/>
    <w:rsid w:val="005E003D"/>
    <w:rsid w:val="00657C6C"/>
    <w:rsid w:val="00827E41"/>
    <w:rsid w:val="008379B6"/>
    <w:rsid w:val="00870163"/>
    <w:rsid w:val="008A63E5"/>
    <w:rsid w:val="008B3FE7"/>
    <w:rsid w:val="00A37049"/>
    <w:rsid w:val="00A4748F"/>
    <w:rsid w:val="00BE4E81"/>
    <w:rsid w:val="00C9707E"/>
    <w:rsid w:val="00DB051E"/>
    <w:rsid w:val="00E2281A"/>
    <w:rsid w:val="00FE6937"/>
    <w:rsid w:val="02011A94"/>
    <w:rsid w:val="026851CD"/>
    <w:rsid w:val="026B2333"/>
    <w:rsid w:val="02FE712E"/>
    <w:rsid w:val="03243BD0"/>
    <w:rsid w:val="038F4E3D"/>
    <w:rsid w:val="03917F34"/>
    <w:rsid w:val="03977E2B"/>
    <w:rsid w:val="03A2514E"/>
    <w:rsid w:val="03A54C14"/>
    <w:rsid w:val="042A5AF7"/>
    <w:rsid w:val="04690C83"/>
    <w:rsid w:val="048E51A9"/>
    <w:rsid w:val="04D96283"/>
    <w:rsid w:val="05243A46"/>
    <w:rsid w:val="053E2C54"/>
    <w:rsid w:val="057A461B"/>
    <w:rsid w:val="05A03ACC"/>
    <w:rsid w:val="05AD35EA"/>
    <w:rsid w:val="05FF2170"/>
    <w:rsid w:val="060317A8"/>
    <w:rsid w:val="065D35AE"/>
    <w:rsid w:val="06B75848"/>
    <w:rsid w:val="06BB2083"/>
    <w:rsid w:val="078369DF"/>
    <w:rsid w:val="07B80DEA"/>
    <w:rsid w:val="07C3370E"/>
    <w:rsid w:val="07CD206E"/>
    <w:rsid w:val="082169AE"/>
    <w:rsid w:val="08457098"/>
    <w:rsid w:val="0899283B"/>
    <w:rsid w:val="08CD4642"/>
    <w:rsid w:val="08D755A6"/>
    <w:rsid w:val="08E35ADD"/>
    <w:rsid w:val="08EE4992"/>
    <w:rsid w:val="09277A08"/>
    <w:rsid w:val="093305F6"/>
    <w:rsid w:val="095C18FB"/>
    <w:rsid w:val="09751868"/>
    <w:rsid w:val="09E8184C"/>
    <w:rsid w:val="0A0F696E"/>
    <w:rsid w:val="0A150ACE"/>
    <w:rsid w:val="0A2F386B"/>
    <w:rsid w:val="0A6C5181"/>
    <w:rsid w:val="0A821DCB"/>
    <w:rsid w:val="0AA948DE"/>
    <w:rsid w:val="0ACA2B48"/>
    <w:rsid w:val="0AD025A1"/>
    <w:rsid w:val="0B6F1E51"/>
    <w:rsid w:val="0B786D74"/>
    <w:rsid w:val="0C692CAD"/>
    <w:rsid w:val="0C693261"/>
    <w:rsid w:val="0C8F4EB8"/>
    <w:rsid w:val="0C9E5680"/>
    <w:rsid w:val="0CD36378"/>
    <w:rsid w:val="0CE82650"/>
    <w:rsid w:val="0CEE4F60"/>
    <w:rsid w:val="0D3D459B"/>
    <w:rsid w:val="0D42705A"/>
    <w:rsid w:val="0D887163"/>
    <w:rsid w:val="0DC671F8"/>
    <w:rsid w:val="0DE120EF"/>
    <w:rsid w:val="0DF40D2B"/>
    <w:rsid w:val="0E0D3FFB"/>
    <w:rsid w:val="0E1E7189"/>
    <w:rsid w:val="0E2747AD"/>
    <w:rsid w:val="0E330271"/>
    <w:rsid w:val="0E697442"/>
    <w:rsid w:val="0E8C2C83"/>
    <w:rsid w:val="0EB9334C"/>
    <w:rsid w:val="0F3320FE"/>
    <w:rsid w:val="0F34504B"/>
    <w:rsid w:val="0F427ADA"/>
    <w:rsid w:val="0F52015A"/>
    <w:rsid w:val="0F59437F"/>
    <w:rsid w:val="0F707EAE"/>
    <w:rsid w:val="0FA43FFC"/>
    <w:rsid w:val="0FE30A42"/>
    <w:rsid w:val="100802B1"/>
    <w:rsid w:val="1017657C"/>
    <w:rsid w:val="10433815"/>
    <w:rsid w:val="1090632E"/>
    <w:rsid w:val="10A145F0"/>
    <w:rsid w:val="10E96908"/>
    <w:rsid w:val="10F0246D"/>
    <w:rsid w:val="114774CD"/>
    <w:rsid w:val="117F09DC"/>
    <w:rsid w:val="11C40985"/>
    <w:rsid w:val="12096398"/>
    <w:rsid w:val="125D6DFA"/>
    <w:rsid w:val="12B44556"/>
    <w:rsid w:val="13141C8C"/>
    <w:rsid w:val="131A168B"/>
    <w:rsid w:val="134F24D1"/>
    <w:rsid w:val="13AE03D9"/>
    <w:rsid w:val="1403012C"/>
    <w:rsid w:val="1441006B"/>
    <w:rsid w:val="144A465D"/>
    <w:rsid w:val="14870532"/>
    <w:rsid w:val="149B7973"/>
    <w:rsid w:val="14AA3E63"/>
    <w:rsid w:val="15015A4D"/>
    <w:rsid w:val="15147D27"/>
    <w:rsid w:val="153B2D0D"/>
    <w:rsid w:val="154871D8"/>
    <w:rsid w:val="15672935"/>
    <w:rsid w:val="161B1156"/>
    <w:rsid w:val="16343767"/>
    <w:rsid w:val="163E56E4"/>
    <w:rsid w:val="16866209"/>
    <w:rsid w:val="16C30665"/>
    <w:rsid w:val="16D90A2F"/>
    <w:rsid w:val="171338FD"/>
    <w:rsid w:val="17396834"/>
    <w:rsid w:val="17485783"/>
    <w:rsid w:val="17535203"/>
    <w:rsid w:val="180917D6"/>
    <w:rsid w:val="18902892"/>
    <w:rsid w:val="18C24ABD"/>
    <w:rsid w:val="18CA7B32"/>
    <w:rsid w:val="190115AA"/>
    <w:rsid w:val="1902112B"/>
    <w:rsid w:val="192137DF"/>
    <w:rsid w:val="193C14F8"/>
    <w:rsid w:val="19957EFB"/>
    <w:rsid w:val="19A35324"/>
    <w:rsid w:val="1A0057E0"/>
    <w:rsid w:val="1A400CBF"/>
    <w:rsid w:val="1AAC4A62"/>
    <w:rsid w:val="1AB5530F"/>
    <w:rsid w:val="1B3721C8"/>
    <w:rsid w:val="1B3A3A66"/>
    <w:rsid w:val="1B434C3A"/>
    <w:rsid w:val="1B572297"/>
    <w:rsid w:val="1B6509DB"/>
    <w:rsid w:val="1B6666F2"/>
    <w:rsid w:val="1B79458F"/>
    <w:rsid w:val="1BB455C7"/>
    <w:rsid w:val="1BDE0896"/>
    <w:rsid w:val="1BDE43F2"/>
    <w:rsid w:val="1C2F1ECF"/>
    <w:rsid w:val="1D0A2A08"/>
    <w:rsid w:val="1D2436A8"/>
    <w:rsid w:val="1D6B0675"/>
    <w:rsid w:val="1D770F9F"/>
    <w:rsid w:val="1D7E40DE"/>
    <w:rsid w:val="1DAF3710"/>
    <w:rsid w:val="1DB33AF5"/>
    <w:rsid w:val="1DB573D4"/>
    <w:rsid w:val="1DCF0496"/>
    <w:rsid w:val="1DF148B0"/>
    <w:rsid w:val="1E2527AC"/>
    <w:rsid w:val="1E6B5866"/>
    <w:rsid w:val="1EE012DF"/>
    <w:rsid w:val="1F7350D7"/>
    <w:rsid w:val="1FB97650"/>
    <w:rsid w:val="1FBA3434"/>
    <w:rsid w:val="1FCE6E26"/>
    <w:rsid w:val="1FDE0E64"/>
    <w:rsid w:val="1FF71F26"/>
    <w:rsid w:val="200A1C59"/>
    <w:rsid w:val="207F3A6E"/>
    <w:rsid w:val="20C44DBB"/>
    <w:rsid w:val="21046D15"/>
    <w:rsid w:val="213C29AC"/>
    <w:rsid w:val="216B055B"/>
    <w:rsid w:val="218C753F"/>
    <w:rsid w:val="218E0668"/>
    <w:rsid w:val="22345DFA"/>
    <w:rsid w:val="229F0A7E"/>
    <w:rsid w:val="22C407E5"/>
    <w:rsid w:val="23137077"/>
    <w:rsid w:val="233A686A"/>
    <w:rsid w:val="238241FC"/>
    <w:rsid w:val="23AC3027"/>
    <w:rsid w:val="23AE73B5"/>
    <w:rsid w:val="23F5286D"/>
    <w:rsid w:val="240864B0"/>
    <w:rsid w:val="245D6E4F"/>
    <w:rsid w:val="24822706"/>
    <w:rsid w:val="24856B14"/>
    <w:rsid w:val="249D04B9"/>
    <w:rsid w:val="24AF6AD4"/>
    <w:rsid w:val="24EF141E"/>
    <w:rsid w:val="251175E6"/>
    <w:rsid w:val="25427B0C"/>
    <w:rsid w:val="25B41DCF"/>
    <w:rsid w:val="25C57859"/>
    <w:rsid w:val="2601030D"/>
    <w:rsid w:val="26243349"/>
    <w:rsid w:val="267918E7"/>
    <w:rsid w:val="26B006A5"/>
    <w:rsid w:val="270A7DB7"/>
    <w:rsid w:val="27387D67"/>
    <w:rsid w:val="27463561"/>
    <w:rsid w:val="27952750"/>
    <w:rsid w:val="27A04C51"/>
    <w:rsid w:val="27C1105A"/>
    <w:rsid w:val="27C70430"/>
    <w:rsid w:val="27EF137A"/>
    <w:rsid w:val="28D95DD3"/>
    <w:rsid w:val="28ED0B4B"/>
    <w:rsid w:val="28F8231C"/>
    <w:rsid w:val="2926314A"/>
    <w:rsid w:val="295239F3"/>
    <w:rsid w:val="298B4A0C"/>
    <w:rsid w:val="299B4E03"/>
    <w:rsid w:val="29A71C5D"/>
    <w:rsid w:val="29A97E6C"/>
    <w:rsid w:val="29B916BD"/>
    <w:rsid w:val="29C44B9E"/>
    <w:rsid w:val="29F02702"/>
    <w:rsid w:val="2A314286"/>
    <w:rsid w:val="2A622692"/>
    <w:rsid w:val="2A6D7073"/>
    <w:rsid w:val="2A726D79"/>
    <w:rsid w:val="2AA332B6"/>
    <w:rsid w:val="2AAA57ED"/>
    <w:rsid w:val="2AAE3EB0"/>
    <w:rsid w:val="2ACA7EA3"/>
    <w:rsid w:val="2ADE487B"/>
    <w:rsid w:val="2AFA2288"/>
    <w:rsid w:val="2B1C4F36"/>
    <w:rsid w:val="2B4F544C"/>
    <w:rsid w:val="2B4F70BA"/>
    <w:rsid w:val="2B9409C3"/>
    <w:rsid w:val="2BD63337"/>
    <w:rsid w:val="2BE96D81"/>
    <w:rsid w:val="2BF513BA"/>
    <w:rsid w:val="2C55007A"/>
    <w:rsid w:val="2CB2252D"/>
    <w:rsid w:val="2CD745AC"/>
    <w:rsid w:val="2CDE1075"/>
    <w:rsid w:val="2D0325B3"/>
    <w:rsid w:val="2D200D0E"/>
    <w:rsid w:val="2D2D4DD4"/>
    <w:rsid w:val="2D4E187D"/>
    <w:rsid w:val="2D5D6D53"/>
    <w:rsid w:val="2D7D608F"/>
    <w:rsid w:val="2D8017AD"/>
    <w:rsid w:val="2D805A9A"/>
    <w:rsid w:val="2D8C48F6"/>
    <w:rsid w:val="2D8D11DF"/>
    <w:rsid w:val="2D907DB2"/>
    <w:rsid w:val="2DBB42ED"/>
    <w:rsid w:val="2E0A2DC4"/>
    <w:rsid w:val="2E112405"/>
    <w:rsid w:val="2E202ED8"/>
    <w:rsid w:val="2E782484"/>
    <w:rsid w:val="2E8D0406"/>
    <w:rsid w:val="2ED27DE6"/>
    <w:rsid w:val="2EDB02A2"/>
    <w:rsid w:val="2F210F2E"/>
    <w:rsid w:val="2FA000DE"/>
    <w:rsid w:val="2FDB2CCA"/>
    <w:rsid w:val="2FE15732"/>
    <w:rsid w:val="301F34FF"/>
    <w:rsid w:val="317C04DD"/>
    <w:rsid w:val="31837ABD"/>
    <w:rsid w:val="31880B26"/>
    <w:rsid w:val="319C4CB8"/>
    <w:rsid w:val="31D420C7"/>
    <w:rsid w:val="31E62551"/>
    <w:rsid w:val="323932BD"/>
    <w:rsid w:val="325D3E6B"/>
    <w:rsid w:val="32847649"/>
    <w:rsid w:val="33362403"/>
    <w:rsid w:val="33B273BE"/>
    <w:rsid w:val="33C24BC6"/>
    <w:rsid w:val="34645984"/>
    <w:rsid w:val="346751F3"/>
    <w:rsid w:val="346E699D"/>
    <w:rsid w:val="349A75F8"/>
    <w:rsid w:val="34DD5737"/>
    <w:rsid w:val="34F860CC"/>
    <w:rsid w:val="35066A3B"/>
    <w:rsid w:val="352508B6"/>
    <w:rsid w:val="356814A4"/>
    <w:rsid w:val="359E01CA"/>
    <w:rsid w:val="35A82038"/>
    <w:rsid w:val="35AA575A"/>
    <w:rsid w:val="35E40AC8"/>
    <w:rsid w:val="36094587"/>
    <w:rsid w:val="36C72DB8"/>
    <w:rsid w:val="36FB1CB7"/>
    <w:rsid w:val="37105528"/>
    <w:rsid w:val="3717701E"/>
    <w:rsid w:val="37452997"/>
    <w:rsid w:val="37715723"/>
    <w:rsid w:val="37935387"/>
    <w:rsid w:val="37E312B6"/>
    <w:rsid w:val="385E4729"/>
    <w:rsid w:val="38606070"/>
    <w:rsid w:val="38631600"/>
    <w:rsid w:val="38AB3A4B"/>
    <w:rsid w:val="38C96DE7"/>
    <w:rsid w:val="390F1A9A"/>
    <w:rsid w:val="39280EAA"/>
    <w:rsid w:val="39447B32"/>
    <w:rsid w:val="39E77D45"/>
    <w:rsid w:val="3A2E2C1B"/>
    <w:rsid w:val="3A3776FD"/>
    <w:rsid w:val="3AFC2A67"/>
    <w:rsid w:val="3B404FFE"/>
    <w:rsid w:val="3B5735D2"/>
    <w:rsid w:val="3B7F4E52"/>
    <w:rsid w:val="3BD93D0F"/>
    <w:rsid w:val="3BDE7807"/>
    <w:rsid w:val="3BEB698B"/>
    <w:rsid w:val="3C430575"/>
    <w:rsid w:val="3C577B7C"/>
    <w:rsid w:val="3C5A141B"/>
    <w:rsid w:val="3C882667"/>
    <w:rsid w:val="3CDE3DFA"/>
    <w:rsid w:val="3CF92F4A"/>
    <w:rsid w:val="3D127F47"/>
    <w:rsid w:val="3D8F1598"/>
    <w:rsid w:val="3D9F17A1"/>
    <w:rsid w:val="3DA24BB0"/>
    <w:rsid w:val="3DBB1AD5"/>
    <w:rsid w:val="3DF05BE8"/>
    <w:rsid w:val="3E647289"/>
    <w:rsid w:val="3E742C68"/>
    <w:rsid w:val="3E7C209A"/>
    <w:rsid w:val="3E895FE7"/>
    <w:rsid w:val="3EB412B6"/>
    <w:rsid w:val="3F0C659E"/>
    <w:rsid w:val="3F3E5024"/>
    <w:rsid w:val="3F520ACF"/>
    <w:rsid w:val="3F6A6027"/>
    <w:rsid w:val="3FC26670"/>
    <w:rsid w:val="3FC512A1"/>
    <w:rsid w:val="3FC91E7F"/>
    <w:rsid w:val="401C4D35"/>
    <w:rsid w:val="404843AC"/>
    <w:rsid w:val="404E11D3"/>
    <w:rsid w:val="407451A1"/>
    <w:rsid w:val="407F6492"/>
    <w:rsid w:val="40C71473"/>
    <w:rsid w:val="40C8729B"/>
    <w:rsid w:val="4116131B"/>
    <w:rsid w:val="411F64BB"/>
    <w:rsid w:val="4194187D"/>
    <w:rsid w:val="42016EB8"/>
    <w:rsid w:val="420C5C9B"/>
    <w:rsid w:val="425A7B33"/>
    <w:rsid w:val="428E4F75"/>
    <w:rsid w:val="4298644F"/>
    <w:rsid w:val="42F02729"/>
    <w:rsid w:val="43003913"/>
    <w:rsid w:val="432616C7"/>
    <w:rsid w:val="43C31F9B"/>
    <w:rsid w:val="44140054"/>
    <w:rsid w:val="4442539B"/>
    <w:rsid w:val="44760DBC"/>
    <w:rsid w:val="448868E4"/>
    <w:rsid w:val="449556E6"/>
    <w:rsid w:val="45060392"/>
    <w:rsid w:val="452C0165"/>
    <w:rsid w:val="45660E30"/>
    <w:rsid w:val="45D55AA5"/>
    <w:rsid w:val="45E10324"/>
    <w:rsid w:val="46565349"/>
    <w:rsid w:val="468E4AE3"/>
    <w:rsid w:val="46EF0485"/>
    <w:rsid w:val="4770221E"/>
    <w:rsid w:val="47F334C4"/>
    <w:rsid w:val="480375B5"/>
    <w:rsid w:val="480F17EC"/>
    <w:rsid w:val="482079BC"/>
    <w:rsid w:val="485625B0"/>
    <w:rsid w:val="48764343"/>
    <w:rsid w:val="49155047"/>
    <w:rsid w:val="49A62143"/>
    <w:rsid w:val="49F16C59"/>
    <w:rsid w:val="4A9D1FA5"/>
    <w:rsid w:val="4AC90DC8"/>
    <w:rsid w:val="4AD827D0"/>
    <w:rsid w:val="4B187071"/>
    <w:rsid w:val="4B1C751D"/>
    <w:rsid w:val="4BA87B8E"/>
    <w:rsid w:val="4BFE0015"/>
    <w:rsid w:val="4C567E51"/>
    <w:rsid w:val="4CA216F8"/>
    <w:rsid w:val="4CB1264C"/>
    <w:rsid w:val="4CFA6A2E"/>
    <w:rsid w:val="4D625E3B"/>
    <w:rsid w:val="4D82301D"/>
    <w:rsid w:val="4DA42E3E"/>
    <w:rsid w:val="4DB04EEC"/>
    <w:rsid w:val="4E19518E"/>
    <w:rsid w:val="4E3E0B9C"/>
    <w:rsid w:val="4E573A0C"/>
    <w:rsid w:val="4E7C16C5"/>
    <w:rsid w:val="4EB34E24"/>
    <w:rsid w:val="4F271128"/>
    <w:rsid w:val="4F560168"/>
    <w:rsid w:val="4F6C516B"/>
    <w:rsid w:val="4F880C1E"/>
    <w:rsid w:val="4FD26539"/>
    <w:rsid w:val="4FDC1A8E"/>
    <w:rsid w:val="50161199"/>
    <w:rsid w:val="509D0BE8"/>
    <w:rsid w:val="50AA220F"/>
    <w:rsid w:val="50F929FD"/>
    <w:rsid w:val="51031A0F"/>
    <w:rsid w:val="51055DAE"/>
    <w:rsid w:val="51692F8B"/>
    <w:rsid w:val="516A1CA8"/>
    <w:rsid w:val="51747C0E"/>
    <w:rsid w:val="51775608"/>
    <w:rsid w:val="51AC0513"/>
    <w:rsid w:val="51BB0DAD"/>
    <w:rsid w:val="51C70EA9"/>
    <w:rsid w:val="51DD06CC"/>
    <w:rsid w:val="521C7FFB"/>
    <w:rsid w:val="52854BD1"/>
    <w:rsid w:val="52B355FD"/>
    <w:rsid w:val="52B52106"/>
    <w:rsid w:val="52BB569C"/>
    <w:rsid w:val="53115221"/>
    <w:rsid w:val="531254ED"/>
    <w:rsid w:val="538C05FC"/>
    <w:rsid w:val="53EE096F"/>
    <w:rsid w:val="54155BA9"/>
    <w:rsid w:val="54460374"/>
    <w:rsid w:val="55102B67"/>
    <w:rsid w:val="553C5E9D"/>
    <w:rsid w:val="55515659"/>
    <w:rsid w:val="5563538C"/>
    <w:rsid w:val="556E6C22"/>
    <w:rsid w:val="55855303"/>
    <w:rsid w:val="5599479C"/>
    <w:rsid w:val="55AE4859"/>
    <w:rsid w:val="55E262B1"/>
    <w:rsid w:val="5629585B"/>
    <w:rsid w:val="56530F5D"/>
    <w:rsid w:val="569F0163"/>
    <w:rsid w:val="571804ED"/>
    <w:rsid w:val="57422FDC"/>
    <w:rsid w:val="57435475"/>
    <w:rsid w:val="57491CAE"/>
    <w:rsid w:val="575604AD"/>
    <w:rsid w:val="575E5E0B"/>
    <w:rsid w:val="57D60097"/>
    <w:rsid w:val="58283866"/>
    <w:rsid w:val="58462246"/>
    <w:rsid w:val="58704048"/>
    <w:rsid w:val="58C73406"/>
    <w:rsid w:val="58E537BA"/>
    <w:rsid w:val="58F24704"/>
    <w:rsid w:val="59266B6D"/>
    <w:rsid w:val="594F1EAF"/>
    <w:rsid w:val="595D752B"/>
    <w:rsid w:val="59657925"/>
    <w:rsid w:val="59D9584C"/>
    <w:rsid w:val="5A504B2F"/>
    <w:rsid w:val="5A9A49D1"/>
    <w:rsid w:val="5AC53C4E"/>
    <w:rsid w:val="5AD07876"/>
    <w:rsid w:val="5B092532"/>
    <w:rsid w:val="5B123195"/>
    <w:rsid w:val="5B6A789F"/>
    <w:rsid w:val="5B993BDF"/>
    <w:rsid w:val="5C206527"/>
    <w:rsid w:val="5C7B745F"/>
    <w:rsid w:val="5C9409D2"/>
    <w:rsid w:val="5CD22236"/>
    <w:rsid w:val="5CF60894"/>
    <w:rsid w:val="5CF93C5C"/>
    <w:rsid w:val="5D610403"/>
    <w:rsid w:val="5D804D2D"/>
    <w:rsid w:val="5D883EDB"/>
    <w:rsid w:val="5DAD7468"/>
    <w:rsid w:val="5DB11897"/>
    <w:rsid w:val="5DB726E8"/>
    <w:rsid w:val="5E260208"/>
    <w:rsid w:val="5E2B0BE1"/>
    <w:rsid w:val="5EAE6314"/>
    <w:rsid w:val="5EE7106B"/>
    <w:rsid w:val="5EE81253"/>
    <w:rsid w:val="5F0E2896"/>
    <w:rsid w:val="5F3952BB"/>
    <w:rsid w:val="5F8D409B"/>
    <w:rsid w:val="5F9308CC"/>
    <w:rsid w:val="5FBE7D8F"/>
    <w:rsid w:val="5FBF5754"/>
    <w:rsid w:val="5FEA5589"/>
    <w:rsid w:val="5FEC7E74"/>
    <w:rsid w:val="601856F1"/>
    <w:rsid w:val="603718EF"/>
    <w:rsid w:val="60471DFB"/>
    <w:rsid w:val="60673012"/>
    <w:rsid w:val="60AF39B6"/>
    <w:rsid w:val="60D0204F"/>
    <w:rsid w:val="60E03D35"/>
    <w:rsid w:val="615C785F"/>
    <w:rsid w:val="61680697"/>
    <w:rsid w:val="61B92C8E"/>
    <w:rsid w:val="61BA6334"/>
    <w:rsid w:val="61CD250B"/>
    <w:rsid w:val="61D56615"/>
    <w:rsid w:val="61F90A7D"/>
    <w:rsid w:val="61FC2BF3"/>
    <w:rsid w:val="62537E46"/>
    <w:rsid w:val="625B7B17"/>
    <w:rsid w:val="62650996"/>
    <w:rsid w:val="628637C3"/>
    <w:rsid w:val="62B501E0"/>
    <w:rsid w:val="62E0626E"/>
    <w:rsid w:val="63120847"/>
    <w:rsid w:val="63754C08"/>
    <w:rsid w:val="639929F2"/>
    <w:rsid w:val="63A06D85"/>
    <w:rsid w:val="63D95197"/>
    <w:rsid w:val="641066DF"/>
    <w:rsid w:val="642503DD"/>
    <w:rsid w:val="64287EE0"/>
    <w:rsid w:val="64A70DF2"/>
    <w:rsid w:val="64BE25DF"/>
    <w:rsid w:val="64C23E7D"/>
    <w:rsid w:val="650C6EA7"/>
    <w:rsid w:val="65166C87"/>
    <w:rsid w:val="6525440C"/>
    <w:rsid w:val="65402FF4"/>
    <w:rsid w:val="654F3237"/>
    <w:rsid w:val="65C01D61"/>
    <w:rsid w:val="65EE2A50"/>
    <w:rsid w:val="65EF2F9B"/>
    <w:rsid w:val="66443BC1"/>
    <w:rsid w:val="668B222C"/>
    <w:rsid w:val="669A3AA7"/>
    <w:rsid w:val="66D150CE"/>
    <w:rsid w:val="671C64EA"/>
    <w:rsid w:val="677C03C9"/>
    <w:rsid w:val="679912CD"/>
    <w:rsid w:val="67BB4BB4"/>
    <w:rsid w:val="67EC5B5E"/>
    <w:rsid w:val="681C4CBA"/>
    <w:rsid w:val="683453CF"/>
    <w:rsid w:val="684B3D11"/>
    <w:rsid w:val="69733998"/>
    <w:rsid w:val="697B0A9F"/>
    <w:rsid w:val="69C2222A"/>
    <w:rsid w:val="6A425119"/>
    <w:rsid w:val="6A6C06B3"/>
    <w:rsid w:val="6AD20B92"/>
    <w:rsid w:val="6B29762A"/>
    <w:rsid w:val="6B3B1AB1"/>
    <w:rsid w:val="6B3E3B32"/>
    <w:rsid w:val="6BBA26E8"/>
    <w:rsid w:val="6BDD2010"/>
    <w:rsid w:val="6C0A083A"/>
    <w:rsid w:val="6C7D6251"/>
    <w:rsid w:val="6CD72490"/>
    <w:rsid w:val="6D4C7FD8"/>
    <w:rsid w:val="6D5B6C1D"/>
    <w:rsid w:val="6D6F1D9B"/>
    <w:rsid w:val="6DB92C55"/>
    <w:rsid w:val="6DD156E3"/>
    <w:rsid w:val="6DF03A26"/>
    <w:rsid w:val="6E262E39"/>
    <w:rsid w:val="6EAF6227"/>
    <w:rsid w:val="6EC8474C"/>
    <w:rsid w:val="6F394D3C"/>
    <w:rsid w:val="6F4A519B"/>
    <w:rsid w:val="6FBB39A3"/>
    <w:rsid w:val="6FDB2AFF"/>
    <w:rsid w:val="700E61C9"/>
    <w:rsid w:val="70C25205"/>
    <w:rsid w:val="71012199"/>
    <w:rsid w:val="713F6856"/>
    <w:rsid w:val="714B51FB"/>
    <w:rsid w:val="71632A68"/>
    <w:rsid w:val="716B764B"/>
    <w:rsid w:val="72022025"/>
    <w:rsid w:val="72563E57"/>
    <w:rsid w:val="726F4F19"/>
    <w:rsid w:val="72C2773E"/>
    <w:rsid w:val="7311676B"/>
    <w:rsid w:val="73E060CE"/>
    <w:rsid w:val="73E30415"/>
    <w:rsid w:val="74033B6B"/>
    <w:rsid w:val="74846687"/>
    <w:rsid w:val="748879F1"/>
    <w:rsid w:val="74DD260E"/>
    <w:rsid w:val="74E15E6C"/>
    <w:rsid w:val="74F10857"/>
    <w:rsid w:val="75B3511C"/>
    <w:rsid w:val="75B96BD7"/>
    <w:rsid w:val="75F73F1C"/>
    <w:rsid w:val="760E5962"/>
    <w:rsid w:val="761767B3"/>
    <w:rsid w:val="766A0BB9"/>
    <w:rsid w:val="76966ECF"/>
    <w:rsid w:val="76E45ED5"/>
    <w:rsid w:val="76EF362F"/>
    <w:rsid w:val="76F51E90"/>
    <w:rsid w:val="77400C32"/>
    <w:rsid w:val="774064CD"/>
    <w:rsid w:val="77550B81"/>
    <w:rsid w:val="777318D5"/>
    <w:rsid w:val="778E5E41"/>
    <w:rsid w:val="77C20A1B"/>
    <w:rsid w:val="77C27B23"/>
    <w:rsid w:val="783378E5"/>
    <w:rsid w:val="78421EA6"/>
    <w:rsid w:val="78430092"/>
    <w:rsid w:val="78482246"/>
    <w:rsid w:val="78591FAB"/>
    <w:rsid w:val="787F133D"/>
    <w:rsid w:val="78C468A4"/>
    <w:rsid w:val="78D566DD"/>
    <w:rsid w:val="78DC717C"/>
    <w:rsid w:val="791B534D"/>
    <w:rsid w:val="797A72D5"/>
    <w:rsid w:val="797D616D"/>
    <w:rsid w:val="798B73D9"/>
    <w:rsid w:val="79907DEF"/>
    <w:rsid w:val="799E3E60"/>
    <w:rsid w:val="79E65AC0"/>
    <w:rsid w:val="7A122D59"/>
    <w:rsid w:val="7A9C4F70"/>
    <w:rsid w:val="7AA5597C"/>
    <w:rsid w:val="7AD24297"/>
    <w:rsid w:val="7ADB314B"/>
    <w:rsid w:val="7AE900BE"/>
    <w:rsid w:val="7B5A5314"/>
    <w:rsid w:val="7B7A36AA"/>
    <w:rsid w:val="7BBB5582"/>
    <w:rsid w:val="7BC03722"/>
    <w:rsid w:val="7C2D097B"/>
    <w:rsid w:val="7CB91667"/>
    <w:rsid w:val="7CD10CAA"/>
    <w:rsid w:val="7D0B4E52"/>
    <w:rsid w:val="7D2F3C22"/>
    <w:rsid w:val="7D3E0E14"/>
    <w:rsid w:val="7D7F0706"/>
    <w:rsid w:val="7D965992"/>
    <w:rsid w:val="7DA4016C"/>
    <w:rsid w:val="7DAF46C8"/>
    <w:rsid w:val="7DB163E5"/>
    <w:rsid w:val="7E350DC4"/>
    <w:rsid w:val="7E5C0A47"/>
    <w:rsid w:val="7EB2214A"/>
    <w:rsid w:val="7EB919F5"/>
    <w:rsid w:val="7ECF1219"/>
    <w:rsid w:val="7EED6A5F"/>
    <w:rsid w:val="7EEF3669"/>
    <w:rsid w:val="7F0E4686"/>
    <w:rsid w:val="7F2D5F40"/>
    <w:rsid w:val="7F301BC1"/>
    <w:rsid w:val="7F386DD3"/>
    <w:rsid w:val="7F460DAF"/>
    <w:rsid w:val="7F6F47AA"/>
    <w:rsid w:val="7FB40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numPr>
        <w:ilvl w:val="0"/>
        <w:numId w:val="1"/>
      </w:numPr>
      <w:jc w:val="center"/>
      <w:outlineLvl w:val="0"/>
    </w:pPr>
    <w:rPr>
      <w:sz w:val="28"/>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qFormat/>
    <w:uiPriority w:val="0"/>
    <w:pPr>
      <w:keepNext/>
      <w:keepLines/>
      <w:spacing w:before="260" w:after="260" w:line="416" w:lineRule="auto"/>
      <w:outlineLvl w:val="2"/>
    </w:pPr>
    <w:rPr>
      <w:b/>
      <w:bCs/>
      <w:sz w:val="32"/>
      <w:szCs w:val="32"/>
    </w:rPr>
  </w:style>
  <w:style w:type="paragraph" w:styleId="5">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spacing w:line="365" w:lineRule="atLeast"/>
      <w:ind w:left="420" w:leftChars="200"/>
      <w:textAlignment w:val="bottom"/>
    </w:pPr>
    <w:rPr>
      <w:kern w:val="0"/>
    </w:rPr>
  </w:style>
  <w:style w:type="paragraph" w:styleId="7">
    <w:name w:val="Normal Indent"/>
    <w:basedOn w:val="1"/>
    <w:next w:val="1"/>
    <w:autoRedefine/>
    <w:qFormat/>
    <w:uiPriority w:val="99"/>
    <w:pPr>
      <w:ind w:firstLine="420" w:firstLineChars="200"/>
    </w:p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next w:val="1"/>
    <w:autoRedefine/>
    <w:qFormat/>
    <w:uiPriority w:val="99"/>
    <w:pPr>
      <w:jc w:val="left"/>
    </w:pPr>
    <w:rPr>
      <w:szCs w:val="22"/>
    </w:rPr>
  </w:style>
  <w:style w:type="paragraph" w:styleId="10">
    <w:name w:val="Body Text"/>
    <w:basedOn w:val="1"/>
    <w:autoRedefine/>
    <w:qFormat/>
    <w:uiPriority w:val="0"/>
    <w:pPr>
      <w:spacing w:after="120"/>
    </w:pPr>
  </w:style>
  <w:style w:type="paragraph" w:styleId="11">
    <w:name w:val="Body Text Indent"/>
    <w:basedOn w:val="1"/>
    <w:next w:val="12"/>
    <w:autoRedefine/>
    <w:semiHidden/>
    <w:unhideWhenUsed/>
    <w:qFormat/>
    <w:uiPriority w:val="99"/>
    <w:pPr>
      <w:spacing w:after="120"/>
      <w:ind w:left="420" w:leftChars="200"/>
    </w:pPr>
  </w:style>
  <w:style w:type="paragraph" w:styleId="12">
    <w:name w:val="envelope return"/>
    <w:basedOn w:val="1"/>
    <w:autoRedefine/>
    <w:qFormat/>
    <w:uiPriority w:val="0"/>
    <w:rPr>
      <w:rFonts w:ascii="Arial" w:hAnsi="Arial"/>
    </w:rPr>
  </w:style>
  <w:style w:type="paragraph" w:styleId="13">
    <w:name w:val="Plain Text"/>
    <w:basedOn w:val="1"/>
    <w:autoRedefine/>
    <w:qFormat/>
    <w:uiPriority w:val="0"/>
    <w:rPr>
      <w:rFonts w:ascii="宋体" w:hAnsi="Courier New"/>
      <w:szCs w:val="20"/>
    </w:rPr>
  </w:style>
  <w:style w:type="paragraph" w:styleId="14">
    <w:name w:val="footer"/>
    <w:basedOn w:val="1"/>
    <w:next w:val="1"/>
    <w:autoRedefine/>
    <w:qFormat/>
    <w:uiPriority w:val="99"/>
    <w:pPr>
      <w:tabs>
        <w:tab w:val="center" w:pos="4153"/>
        <w:tab w:val="right" w:pos="8306"/>
      </w:tabs>
      <w:snapToGrid w:val="0"/>
      <w:jc w:val="left"/>
    </w:pPr>
    <w:rPr>
      <w:sz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toc 2"/>
    <w:basedOn w:val="1"/>
    <w:next w:val="1"/>
    <w:autoRedefine/>
    <w:qFormat/>
    <w:uiPriority w:val="39"/>
    <w:pPr>
      <w:ind w:left="420" w:leftChars="200"/>
    </w:pPr>
  </w:style>
  <w:style w:type="paragraph" w:styleId="18">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next w:val="1"/>
    <w:autoRedefine/>
    <w:qFormat/>
    <w:uiPriority w:val="0"/>
    <w:pPr>
      <w:spacing w:before="60" w:after="60" w:line="420" w:lineRule="atLeast"/>
      <w:jc w:val="left"/>
    </w:pPr>
    <w:rPr>
      <w:kern w:val="0"/>
      <w:sz w:val="24"/>
    </w:rPr>
  </w:style>
  <w:style w:type="paragraph" w:styleId="20">
    <w:name w:val="Body Text First Indent"/>
    <w:basedOn w:val="10"/>
    <w:next w:val="21"/>
    <w:autoRedefine/>
    <w:qFormat/>
    <w:uiPriority w:val="0"/>
    <w:pPr>
      <w:ind w:firstLine="420" w:firstLineChars="100"/>
    </w:pPr>
  </w:style>
  <w:style w:type="paragraph" w:styleId="21">
    <w:name w:val="Body Text First Indent 2"/>
    <w:basedOn w:val="11"/>
    <w:next w:val="1"/>
    <w:autoRedefine/>
    <w:semiHidden/>
    <w:unhideWhenUsed/>
    <w:qFormat/>
    <w:uiPriority w:val="99"/>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样式1"/>
    <w:basedOn w:val="1"/>
    <w:autoRedefine/>
    <w:qFormat/>
    <w:uiPriority w:val="0"/>
    <w:pPr>
      <w:numPr>
        <w:ilvl w:val="0"/>
        <w:numId w:val="2"/>
      </w:numPr>
      <w:adjustRightInd w:val="0"/>
      <w:textAlignment w:val="baseline"/>
    </w:pPr>
    <w:rPr>
      <w:rFonts w:ascii="宋体" w:hAnsi="宋体"/>
      <w:kern w:val="0"/>
      <w:szCs w:val="21"/>
    </w:rPr>
  </w:style>
  <w:style w:type="paragraph" w:styleId="28">
    <w:name w:val="List Paragraph"/>
    <w:basedOn w:val="1"/>
    <w:autoRedefine/>
    <w:qFormat/>
    <w:uiPriority w:val="1"/>
    <w:pPr>
      <w:ind w:firstLine="420" w:firstLineChars="200"/>
    </w:pPr>
    <w:rPr>
      <w:szCs w:val="22"/>
    </w:rPr>
  </w:style>
  <w:style w:type="paragraph" w:customStyle="1" w:styleId="29">
    <w:name w:val="2级正文"/>
    <w:basedOn w:val="1"/>
    <w:autoRedefine/>
    <w:qFormat/>
    <w:uiPriority w:val="0"/>
    <w:pPr>
      <w:ind w:left="721" w:hanging="420"/>
      <w:jc w:val="left"/>
    </w:pPr>
    <w:rPr>
      <w:rFonts w:ascii="宋体" w:hAnsi="宋体" w:cs="宋体"/>
      <w:szCs w:val="21"/>
    </w:rPr>
  </w:style>
  <w:style w:type="paragraph" w:customStyle="1" w:styleId="30">
    <w:name w:val="pa-2"/>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1">
    <w:name w:val="无"/>
    <w:autoRedefine/>
    <w:qFormat/>
    <w:uiPriority w:val="0"/>
  </w:style>
  <w:style w:type="paragraph" w:customStyle="1" w:styleId="32">
    <w:name w:val="样式 标题 1 + 四号 居中 段前: 12 磅 段后: 12 磅 行距: 单倍行距"/>
    <w:basedOn w:val="2"/>
    <w:autoRedefine/>
    <w:qFormat/>
    <w:uiPriority w:val="0"/>
    <w:pPr>
      <w:spacing w:before="240" w:after="240"/>
    </w:pPr>
    <w:rPr>
      <w:rFonts w:ascii="Times New Roman" w:hAnsi="Times New Roman" w:cs="宋体"/>
    </w:rPr>
  </w:style>
  <w:style w:type="paragraph" w:customStyle="1" w:styleId="33">
    <w:name w:val="_Style 1"/>
    <w:basedOn w:val="1"/>
    <w:autoRedefine/>
    <w:qFormat/>
    <w:uiPriority w:val="0"/>
    <w:pPr>
      <w:ind w:firstLine="420" w:firstLineChars="200"/>
    </w:pPr>
  </w:style>
  <w:style w:type="paragraph" w:customStyle="1" w:styleId="34">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5">
    <w:name w:val="正文1"/>
    <w:basedOn w:val="1"/>
    <w:autoRedefine/>
    <w:qFormat/>
    <w:uiPriority w:val="0"/>
    <w:pPr>
      <w:adjustRightInd w:val="0"/>
      <w:spacing w:line="318" w:lineRule="atLeast"/>
      <w:ind w:left="369" w:firstLine="369"/>
      <w:textAlignment w:val="baseline"/>
    </w:pPr>
    <w:rPr>
      <w:rFonts w:ascii="宋体" w:hAnsi="Times New Roman"/>
      <w:szCs w:val="20"/>
    </w:rPr>
  </w:style>
  <w:style w:type="paragraph" w:customStyle="1" w:styleId="36">
    <w:name w:val="首行缩进"/>
    <w:basedOn w:val="1"/>
    <w:autoRedefine/>
    <w:qFormat/>
    <w:uiPriority w:val="0"/>
    <w:pPr>
      <w:ind w:firstLine="480" w:firstLineChars="200"/>
    </w:pPr>
    <w:rPr>
      <w:lang w:val="zh-CN"/>
    </w:rPr>
  </w:style>
  <w:style w:type="paragraph" w:customStyle="1" w:styleId="37">
    <w:name w:val="p0"/>
    <w:basedOn w:val="1"/>
    <w:autoRedefine/>
    <w:qFormat/>
    <w:uiPriority w:val="0"/>
    <w:pPr>
      <w:widowControl/>
    </w:pPr>
    <w:rPr>
      <w:kern w:val="0"/>
      <w:szCs w:val="21"/>
    </w:rPr>
  </w:style>
  <w:style w:type="paragraph" w:customStyle="1" w:styleId="38">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39">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table" w:customStyle="1" w:styleId="40">
    <w:name w:val="网格型1"/>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basedOn w:val="1"/>
    <w:qFormat/>
    <w:uiPriority w:val="1"/>
    <w:pPr>
      <w:autoSpaceDE w:val="0"/>
      <w:autoSpaceDN w:val="0"/>
      <w:jc w:val="left"/>
    </w:pPr>
    <w:rPr>
      <w:rFonts w:ascii="宋体" w:hAnsi="宋体" w:cs="宋体"/>
      <w:kern w:val="0"/>
      <w:sz w:val="22"/>
      <w:lang w:val="zh-CN" w:bidi="zh-CN"/>
    </w:rPr>
  </w:style>
  <w:style w:type="table" w:customStyle="1" w:styleId="4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44">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2212</Words>
  <Characters>2507</Characters>
  <Lines>312</Lines>
  <Paragraphs>88</Paragraphs>
  <TotalTime>0</TotalTime>
  <ScaleCrop>false</ScaleCrop>
  <LinksUpToDate>false</LinksUpToDate>
  <CharactersWithSpaces>2575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2024-03-10T06:55:00Z</dcterms:created>
  <dc:creator>86765</dc:creator>
  <cp:lastModifiedBy>海蓝&amp;</cp:lastModifiedBy>
  <dcterms:modified xsi:type="dcterms:W3CDTF">2026-06-02T10:39:59Z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E4CB3B207DC546BEBC3CCB3E456EF67C_13</vt:lpwstr>
  </property>
  <property fmtid="{D5CDD505-2E9C-101B-9397-08002B2CF9AE}" pid="4" name="KSOTemplateDocerSaveRecord">
    <vt:lpwstr>eyJoZGlkIjoiYmQ1NDFjZTkyZDFjOGM0ZmQ5MWUxZGEwYmQxOWRmN2IiLCJ1c2VySWQiOiIzMjI3NzI0MzEifQ==</vt:lpwstr>
  </property>
</Properties>
</file>