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2D71D">
      <w:pPr>
        <w:pStyle w:val="33"/>
        <w:spacing w:line="360" w:lineRule="auto"/>
        <w:jc w:val="both"/>
        <w:rPr>
          <w:rFonts w:hint="eastAsia" w:asciiTheme="minorEastAsia" w:hAnsiTheme="minorEastAsia" w:eastAsiaTheme="minorEastAsia" w:cstheme="minorEastAsia"/>
          <w:b/>
          <w:color w:val="auto"/>
          <w:sz w:val="28"/>
          <w:szCs w:val="28"/>
        </w:rPr>
      </w:pPr>
    </w:p>
    <w:p w14:paraId="74262306">
      <w:pPr>
        <w:keepNext w:val="0"/>
        <w:keepLines w:val="0"/>
        <w:pageBreakBefore w:val="0"/>
        <w:widowControl/>
        <w:kinsoku w:val="0"/>
        <w:wordWrap/>
        <w:overflowPunct/>
        <w:topLinePunct w:val="0"/>
        <w:autoSpaceDE w:val="0"/>
        <w:autoSpaceDN w:val="0"/>
        <w:bidi w:val="0"/>
        <w:adjustRightInd w:val="0"/>
        <w:snapToGrid w:val="0"/>
        <w:spacing w:before="105" w:line="223" w:lineRule="auto"/>
        <w:jc w:val="center"/>
        <w:textAlignment w:val="baseline"/>
        <w:rPr>
          <w:rFonts w:hint="eastAsia" w:asciiTheme="minorEastAsia" w:hAnsiTheme="minorEastAsia" w:eastAsiaTheme="minorEastAsia" w:cstheme="minorEastAsia"/>
          <w:b/>
          <w:bCs/>
          <w:color w:val="auto"/>
          <w:spacing w:val="-2"/>
          <w:sz w:val="64"/>
          <w:szCs w:val="64"/>
        </w:rPr>
      </w:pPr>
      <w:bookmarkStart w:id="0" w:name="_Toc8757"/>
      <w:bookmarkStart w:id="1" w:name="_Toc26663"/>
      <w:bookmarkStart w:id="2" w:name="_Toc24631"/>
      <w:bookmarkStart w:id="3" w:name="_Toc8184"/>
      <w:bookmarkStart w:id="4" w:name="_Toc7471"/>
      <w:r>
        <w:rPr>
          <w:rFonts w:hint="eastAsia" w:asciiTheme="minorEastAsia" w:hAnsiTheme="minorEastAsia" w:eastAsiaTheme="minorEastAsia" w:cstheme="minorEastAsia"/>
          <w:b/>
          <w:bCs/>
          <w:color w:val="auto"/>
          <w:spacing w:val="-2"/>
          <w:sz w:val="64"/>
          <w:szCs w:val="64"/>
        </w:rPr>
        <w:t>三塘湖至淖毛湖至骆驿铁路建设项目等三个重点项目26个</w:t>
      </w:r>
    </w:p>
    <w:p w14:paraId="6B4D272D">
      <w:pPr>
        <w:keepNext w:val="0"/>
        <w:keepLines w:val="0"/>
        <w:pageBreakBefore w:val="0"/>
        <w:widowControl/>
        <w:kinsoku w:val="0"/>
        <w:wordWrap/>
        <w:overflowPunct/>
        <w:topLinePunct w:val="0"/>
        <w:autoSpaceDE w:val="0"/>
        <w:autoSpaceDN w:val="0"/>
        <w:bidi w:val="0"/>
        <w:adjustRightInd w:val="0"/>
        <w:snapToGrid w:val="0"/>
        <w:spacing w:before="105" w:line="223" w:lineRule="auto"/>
        <w:jc w:val="center"/>
        <w:textAlignment w:val="baseline"/>
        <w:rPr>
          <w:rFonts w:hint="eastAsia" w:asciiTheme="minorEastAsia" w:hAnsiTheme="minorEastAsia" w:eastAsiaTheme="minorEastAsia" w:cstheme="minorEastAsia"/>
          <w:b/>
          <w:bCs/>
          <w:color w:val="auto"/>
          <w:spacing w:val="-2"/>
          <w:sz w:val="64"/>
          <w:szCs w:val="64"/>
          <w:lang w:eastAsia="zh-CN"/>
        </w:rPr>
      </w:pPr>
      <w:r>
        <w:rPr>
          <w:rFonts w:hint="eastAsia" w:asciiTheme="minorEastAsia" w:hAnsiTheme="minorEastAsia" w:eastAsiaTheme="minorEastAsia" w:cstheme="minorEastAsia"/>
          <w:b/>
          <w:bCs/>
          <w:color w:val="auto"/>
          <w:spacing w:val="-2"/>
          <w:sz w:val="64"/>
          <w:szCs w:val="64"/>
        </w:rPr>
        <w:t>配套砂石矿矿业权出让</w:t>
      </w:r>
    </w:p>
    <w:p w14:paraId="1682B18C">
      <w:pPr>
        <w:keepNext w:val="0"/>
        <w:keepLines w:val="0"/>
        <w:pageBreakBefore w:val="0"/>
        <w:widowControl/>
        <w:kinsoku w:val="0"/>
        <w:wordWrap/>
        <w:overflowPunct/>
        <w:topLinePunct w:val="0"/>
        <w:autoSpaceDE w:val="0"/>
        <w:autoSpaceDN w:val="0"/>
        <w:bidi w:val="0"/>
        <w:adjustRightInd w:val="0"/>
        <w:snapToGrid w:val="0"/>
        <w:spacing w:before="105" w:line="223" w:lineRule="auto"/>
        <w:jc w:val="center"/>
        <w:textAlignment w:val="baseline"/>
        <w:rPr>
          <w:rFonts w:hint="eastAsia" w:asciiTheme="minorEastAsia" w:hAnsiTheme="minorEastAsia" w:eastAsiaTheme="minorEastAsia" w:cstheme="minorEastAsia"/>
          <w:b/>
          <w:bCs/>
          <w:color w:val="auto"/>
          <w:spacing w:val="-2"/>
          <w:sz w:val="64"/>
          <w:szCs w:val="64"/>
        </w:rPr>
      </w:pPr>
      <w:r>
        <w:rPr>
          <w:rFonts w:hint="eastAsia" w:asciiTheme="minorEastAsia" w:hAnsiTheme="minorEastAsia" w:eastAsiaTheme="minorEastAsia" w:cstheme="minorEastAsia"/>
          <w:b/>
          <w:bCs/>
          <w:color w:val="auto"/>
          <w:spacing w:val="-2"/>
          <w:sz w:val="64"/>
          <w:szCs w:val="64"/>
        </w:rPr>
        <w:t>收益评估报告编制</w:t>
      </w:r>
    </w:p>
    <w:p w14:paraId="04101C33">
      <w:pPr>
        <w:keepNext w:val="0"/>
        <w:keepLines w:val="0"/>
        <w:pageBreakBefore w:val="0"/>
        <w:widowControl/>
        <w:kinsoku w:val="0"/>
        <w:wordWrap/>
        <w:overflowPunct/>
        <w:topLinePunct w:val="0"/>
        <w:autoSpaceDE w:val="0"/>
        <w:autoSpaceDN w:val="0"/>
        <w:bidi w:val="0"/>
        <w:adjustRightInd w:val="0"/>
        <w:snapToGrid w:val="0"/>
        <w:spacing w:before="105" w:line="223" w:lineRule="auto"/>
        <w:jc w:val="both"/>
        <w:textAlignment w:val="baseline"/>
        <w:rPr>
          <w:rFonts w:hint="eastAsia" w:asciiTheme="minorEastAsia" w:hAnsiTheme="minorEastAsia" w:eastAsiaTheme="minorEastAsia" w:cstheme="minorEastAsia"/>
          <w:b/>
          <w:bCs/>
          <w:color w:val="auto"/>
          <w:sz w:val="52"/>
          <w:szCs w:val="52"/>
        </w:rPr>
      </w:pPr>
    </w:p>
    <w:p w14:paraId="691C3A38">
      <w:pPr>
        <w:keepNext w:val="0"/>
        <w:keepLines w:val="0"/>
        <w:pageBreakBefore w:val="0"/>
        <w:widowControl/>
        <w:kinsoku w:val="0"/>
        <w:wordWrap/>
        <w:overflowPunct/>
        <w:topLinePunct w:val="0"/>
        <w:autoSpaceDE w:val="0"/>
        <w:autoSpaceDN w:val="0"/>
        <w:bidi w:val="0"/>
        <w:adjustRightInd w:val="0"/>
        <w:snapToGrid w:val="0"/>
        <w:spacing w:before="105" w:line="223" w:lineRule="auto"/>
        <w:jc w:val="center"/>
        <w:textAlignment w:val="baseline"/>
        <w:rPr>
          <w:rFonts w:hint="eastAsia" w:asciiTheme="minorEastAsia" w:hAnsiTheme="minorEastAsia" w:eastAsiaTheme="minorEastAsia" w:cstheme="minorEastAsia"/>
          <w:b/>
          <w:bCs/>
          <w:color w:val="auto"/>
          <w:spacing w:val="-2"/>
          <w:sz w:val="72"/>
          <w:szCs w:val="72"/>
          <w:lang w:val="en-US" w:eastAsia="zh-CN"/>
        </w:rPr>
      </w:pPr>
      <w:r>
        <w:rPr>
          <w:rFonts w:hint="eastAsia" w:asciiTheme="minorEastAsia" w:hAnsiTheme="minorEastAsia" w:eastAsiaTheme="minorEastAsia" w:cstheme="minorEastAsia"/>
          <w:b/>
          <w:bCs/>
          <w:color w:val="auto"/>
          <w:spacing w:val="-2"/>
          <w:sz w:val="72"/>
          <w:szCs w:val="72"/>
        </w:rPr>
        <w:t>竞争性磋商文件</w:t>
      </w:r>
    </w:p>
    <w:p w14:paraId="2CB99B29">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b/>
          <w:bCs/>
          <w:color w:val="auto"/>
          <w:spacing w:val="-2"/>
          <w:sz w:val="28"/>
          <w:szCs w:val="28"/>
        </w:rPr>
      </w:pPr>
    </w:p>
    <w:p w14:paraId="2B75F869">
      <w:pPr>
        <w:keepNext w:val="0"/>
        <w:keepLines w:val="0"/>
        <w:pageBreakBefore w:val="0"/>
        <w:widowControl/>
        <w:kinsoku w:val="0"/>
        <w:wordWrap/>
        <w:overflowPunct/>
        <w:topLinePunct w:val="0"/>
        <w:autoSpaceDE w:val="0"/>
        <w:autoSpaceDN w:val="0"/>
        <w:bidi w:val="0"/>
        <w:adjustRightInd w:val="0"/>
        <w:snapToGrid w:val="0"/>
        <w:spacing w:line="700" w:lineRule="exact"/>
        <w:ind w:left="1606" w:hanging="1606" w:hangingChars="500"/>
        <w:jc w:val="both"/>
        <w:textAlignment w:val="baseline"/>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项目名称：</w:t>
      </w:r>
      <w:r>
        <w:rPr>
          <w:rFonts w:hint="eastAsia" w:asciiTheme="minorEastAsia" w:hAnsiTheme="minorEastAsia" w:eastAsiaTheme="minorEastAsia" w:cstheme="minorEastAsia"/>
          <w:b/>
          <w:bCs/>
          <w:color w:val="auto"/>
          <w:sz w:val="32"/>
          <w:szCs w:val="32"/>
          <w:u w:val="single"/>
        </w:rPr>
        <w:t xml:space="preserve"> 三塘湖至淖毛湖至骆驿铁路建设项目等三个重点项目26个配套砂石矿矿业权出让收益评估报告编制 </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rPr>
        <w:t xml:space="preserve">    </w:t>
      </w:r>
    </w:p>
    <w:p w14:paraId="11A3C9F0">
      <w:pPr>
        <w:keepNext w:val="0"/>
        <w:keepLines w:val="0"/>
        <w:pageBreakBefore w:val="0"/>
        <w:widowControl/>
        <w:kinsoku w:val="0"/>
        <w:wordWrap/>
        <w:overflowPunct/>
        <w:topLinePunct w:val="0"/>
        <w:autoSpaceDE w:val="0"/>
        <w:autoSpaceDN w:val="0"/>
        <w:bidi w:val="0"/>
        <w:adjustRightInd w:val="0"/>
        <w:snapToGrid w:val="0"/>
        <w:spacing w:line="700" w:lineRule="exact"/>
        <w:jc w:val="both"/>
        <w:textAlignment w:val="baseline"/>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项目编号：</w:t>
      </w: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eastAsiaTheme="minorEastAsia" w:cstheme="minorEastAsia"/>
          <w:b/>
          <w:bCs/>
          <w:color w:val="auto"/>
          <w:sz w:val="32"/>
          <w:szCs w:val="32"/>
          <w:u w:val="single"/>
        </w:rPr>
        <w:t xml:space="preserve"> HMFYZFCGCS-2026-002   </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rPr>
        <w:t xml:space="preserve">       </w:t>
      </w:r>
    </w:p>
    <w:p w14:paraId="2360A39A">
      <w:pPr>
        <w:keepNext w:val="0"/>
        <w:keepLines w:val="0"/>
        <w:pageBreakBefore w:val="0"/>
        <w:widowControl/>
        <w:kinsoku w:val="0"/>
        <w:wordWrap/>
        <w:overflowPunct/>
        <w:topLinePunct w:val="0"/>
        <w:autoSpaceDE w:val="0"/>
        <w:autoSpaceDN w:val="0"/>
        <w:bidi w:val="0"/>
        <w:adjustRightInd w:val="0"/>
        <w:snapToGrid w:val="0"/>
        <w:spacing w:line="700" w:lineRule="exact"/>
        <w:jc w:val="both"/>
        <w:textAlignment w:val="baseline"/>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招标单位：</w:t>
      </w: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eastAsiaTheme="minorEastAsia" w:cstheme="minorEastAsia"/>
          <w:b/>
          <w:bCs/>
          <w:color w:val="auto"/>
          <w:sz w:val="32"/>
          <w:szCs w:val="32"/>
          <w:u w:val="single"/>
        </w:rPr>
        <w:t xml:space="preserve">   伊吾县自然资源局     </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rPr>
        <w:t>（盖章）</w:t>
      </w:r>
    </w:p>
    <w:p w14:paraId="392200C0">
      <w:pPr>
        <w:keepNext w:val="0"/>
        <w:keepLines w:val="0"/>
        <w:pageBreakBefore w:val="0"/>
        <w:widowControl/>
        <w:kinsoku w:val="0"/>
        <w:wordWrap/>
        <w:overflowPunct/>
        <w:topLinePunct w:val="0"/>
        <w:autoSpaceDE w:val="0"/>
        <w:autoSpaceDN w:val="0"/>
        <w:bidi w:val="0"/>
        <w:adjustRightInd w:val="0"/>
        <w:snapToGrid w:val="0"/>
        <w:spacing w:line="700" w:lineRule="exact"/>
        <w:jc w:val="both"/>
        <w:textAlignment w:val="baseline"/>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法定代表人（签字或盖章）：</w:t>
      </w: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eastAsiaTheme="minorEastAsia" w:cstheme="minorEastAsia"/>
          <w:b/>
          <w:bCs/>
          <w:color w:val="auto"/>
          <w:sz w:val="32"/>
          <w:szCs w:val="32"/>
          <w:u w:val="single"/>
        </w:rPr>
        <w:t xml:space="preserve">   </w:t>
      </w:r>
    </w:p>
    <w:p w14:paraId="01049FD1">
      <w:pPr>
        <w:keepNext w:val="0"/>
        <w:keepLines w:val="0"/>
        <w:pageBreakBefore w:val="0"/>
        <w:widowControl/>
        <w:kinsoku w:val="0"/>
        <w:wordWrap/>
        <w:overflowPunct/>
        <w:topLinePunct w:val="0"/>
        <w:autoSpaceDE w:val="0"/>
        <w:autoSpaceDN w:val="0"/>
        <w:bidi w:val="0"/>
        <w:adjustRightInd w:val="0"/>
        <w:snapToGrid w:val="0"/>
        <w:spacing w:line="700" w:lineRule="exact"/>
        <w:jc w:val="both"/>
        <w:textAlignment w:val="baseline"/>
        <w:rPr>
          <w:rFonts w:hint="eastAsia" w:asciiTheme="minorEastAsia" w:hAnsiTheme="minorEastAsia" w:eastAsiaTheme="minorEastAsia" w:cstheme="minorEastAsia"/>
          <w:b/>
          <w:bCs/>
          <w:color w:val="auto"/>
          <w:sz w:val="32"/>
          <w:szCs w:val="32"/>
        </w:rPr>
      </w:pPr>
    </w:p>
    <w:p w14:paraId="407B516E">
      <w:pPr>
        <w:keepNext w:val="0"/>
        <w:keepLines w:val="0"/>
        <w:pageBreakBefore w:val="0"/>
        <w:widowControl/>
        <w:kinsoku w:val="0"/>
        <w:wordWrap/>
        <w:overflowPunct/>
        <w:topLinePunct w:val="0"/>
        <w:autoSpaceDE w:val="0"/>
        <w:autoSpaceDN w:val="0"/>
        <w:bidi w:val="0"/>
        <w:adjustRightInd w:val="0"/>
        <w:snapToGrid w:val="0"/>
        <w:spacing w:line="700" w:lineRule="exact"/>
        <w:jc w:val="both"/>
        <w:textAlignment w:val="baseline"/>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z w:val="32"/>
          <w:szCs w:val="32"/>
        </w:rPr>
        <w:t>招标代理机构：</w:t>
      </w: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eastAsiaTheme="minorEastAsia" w:cstheme="minorEastAsia"/>
          <w:b/>
          <w:bCs/>
          <w:color w:val="auto"/>
          <w:sz w:val="32"/>
          <w:szCs w:val="32"/>
          <w:u w:val="single"/>
        </w:rPr>
        <w:t xml:space="preserve"> 哈密丰远造价咨询有限责任公司 </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rPr>
        <w:t>（盖章）</w:t>
      </w:r>
    </w:p>
    <w:p w14:paraId="4E1C788A">
      <w:pPr>
        <w:keepNext w:val="0"/>
        <w:keepLines w:val="0"/>
        <w:pageBreakBefore w:val="0"/>
        <w:widowControl/>
        <w:kinsoku w:val="0"/>
        <w:wordWrap/>
        <w:overflowPunct/>
        <w:topLinePunct w:val="0"/>
        <w:autoSpaceDE w:val="0"/>
        <w:autoSpaceDN w:val="0"/>
        <w:bidi w:val="0"/>
        <w:adjustRightInd w:val="0"/>
        <w:snapToGrid w:val="0"/>
        <w:spacing w:line="700" w:lineRule="exact"/>
        <w:jc w:val="both"/>
        <w:textAlignment w:val="baseline"/>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法定代表人（签字或盖章）</w:t>
      </w: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eastAsiaTheme="minorEastAsia" w:cstheme="minorEastAsia"/>
          <w:b/>
          <w:bCs/>
          <w:color w:val="auto"/>
          <w:sz w:val="32"/>
          <w:szCs w:val="32"/>
          <w:u w:val="single"/>
        </w:rPr>
        <w:t xml:space="preserve">   </w:t>
      </w:r>
    </w:p>
    <w:p w14:paraId="64140325">
      <w:pPr>
        <w:keepNext w:val="0"/>
        <w:keepLines w:val="0"/>
        <w:pageBreakBefore w:val="0"/>
        <w:widowControl/>
        <w:kinsoku w:val="0"/>
        <w:wordWrap/>
        <w:overflowPunct/>
        <w:topLinePunct w:val="0"/>
        <w:autoSpaceDE w:val="0"/>
        <w:autoSpaceDN w:val="0"/>
        <w:bidi w:val="0"/>
        <w:adjustRightInd w:val="0"/>
        <w:snapToGrid w:val="0"/>
        <w:spacing w:line="700" w:lineRule="exact"/>
        <w:jc w:val="both"/>
        <w:textAlignment w:val="baseline"/>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联系人：</w:t>
      </w: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u w:val="single"/>
          <w:lang w:val="en-US" w:eastAsia="zh-CN"/>
        </w:rPr>
        <w:t>陈玉霞</w:t>
      </w: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u w:val="none"/>
          <w:lang w:val="en-US" w:eastAsia="zh-CN"/>
        </w:rPr>
        <w:t xml:space="preserve">  </w:t>
      </w:r>
      <w:r>
        <w:rPr>
          <w:rFonts w:hint="eastAsia" w:asciiTheme="minorEastAsia" w:hAnsiTheme="minorEastAsia" w:eastAsiaTheme="minorEastAsia" w:cstheme="minorEastAsia"/>
          <w:b/>
          <w:bCs/>
          <w:color w:val="auto"/>
          <w:sz w:val="32"/>
          <w:szCs w:val="32"/>
        </w:rPr>
        <w:t>联系电话</w:t>
      </w: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u w:val="single"/>
          <w:lang w:val="zh-CN"/>
        </w:rPr>
        <w:t>18199764261</w:t>
      </w: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eastAsiaTheme="minorEastAsia" w:cstheme="minorEastAsia"/>
          <w:b/>
          <w:bCs/>
          <w:color w:val="auto"/>
          <w:sz w:val="32"/>
          <w:szCs w:val="32"/>
          <w:u w:val="single"/>
        </w:rPr>
        <w:t xml:space="preserve"> </w:t>
      </w:r>
    </w:p>
    <w:p w14:paraId="7AAE2455">
      <w:pPr>
        <w:pStyle w:val="47"/>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Theme="minorEastAsia" w:hAnsiTheme="minorEastAsia" w:eastAsiaTheme="minorEastAsia" w:cstheme="minorEastAsia"/>
          <w:b/>
          <w:bCs w:val="0"/>
          <w:color w:val="auto"/>
          <w:spacing w:val="0"/>
          <w:kern w:val="2"/>
          <w:sz w:val="28"/>
          <w:szCs w:val="28"/>
        </w:rPr>
      </w:pPr>
    </w:p>
    <w:p w14:paraId="7E7E90CB">
      <w:pPr>
        <w:pStyle w:val="47"/>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Theme="minorEastAsia" w:hAnsiTheme="minorEastAsia" w:eastAsiaTheme="minorEastAsia" w:cstheme="minorEastAsia"/>
          <w:b/>
          <w:bCs/>
          <w:snapToGrid w:val="0"/>
          <w:color w:val="auto"/>
          <w:spacing w:val="0"/>
          <w:kern w:val="0"/>
          <w:sz w:val="32"/>
          <w:szCs w:val="32"/>
          <w:u w:val="none"/>
          <w:lang w:val="en-US" w:eastAsia="en-US" w:bidi="ar-SA"/>
        </w:rPr>
        <w:sectPr>
          <w:headerReference r:id="rId5" w:type="first"/>
          <w:footerReference r:id="rId8" w:type="first"/>
          <w:headerReference r:id="rId3" w:type="default"/>
          <w:footerReference r:id="rId6" w:type="default"/>
          <w:headerReference r:id="rId4" w:type="even"/>
          <w:footerReference r:id="rId7" w:type="even"/>
          <w:pgSz w:w="11906" w:h="16838"/>
          <w:pgMar w:top="1440" w:right="1253" w:bottom="1440" w:left="1253" w:header="851" w:footer="992" w:gutter="0"/>
          <w:pgNumType w:fmt="decimal"/>
          <w:cols w:space="720" w:num="1"/>
          <w:docGrid w:linePitch="312" w:charSpace="0"/>
        </w:sectPr>
      </w:pPr>
      <w:r>
        <w:rPr>
          <w:rFonts w:hint="eastAsia" w:asciiTheme="minorEastAsia" w:hAnsiTheme="minorEastAsia" w:eastAsiaTheme="minorEastAsia" w:cstheme="minorEastAsia"/>
          <w:b/>
          <w:bCs/>
          <w:snapToGrid w:val="0"/>
          <w:color w:val="auto"/>
          <w:spacing w:val="0"/>
          <w:kern w:val="0"/>
          <w:sz w:val="32"/>
          <w:szCs w:val="32"/>
          <w:u w:val="none"/>
          <w:lang w:val="en-US" w:eastAsia="en-US" w:bidi="ar-SA"/>
        </w:rPr>
        <w:t>二〇二</w:t>
      </w:r>
      <w:r>
        <w:rPr>
          <w:rFonts w:hint="eastAsia" w:asciiTheme="minorEastAsia" w:hAnsiTheme="minorEastAsia" w:eastAsiaTheme="minorEastAsia" w:cstheme="minorEastAsia"/>
          <w:b/>
          <w:bCs/>
          <w:snapToGrid w:val="0"/>
          <w:color w:val="auto"/>
          <w:spacing w:val="0"/>
          <w:kern w:val="0"/>
          <w:sz w:val="32"/>
          <w:szCs w:val="32"/>
          <w:u w:val="none"/>
          <w:lang w:val="en-US" w:eastAsia="zh-CN" w:bidi="ar-SA"/>
        </w:rPr>
        <w:t>六</w:t>
      </w:r>
      <w:r>
        <w:rPr>
          <w:rFonts w:hint="eastAsia" w:asciiTheme="minorEastAsia" w:hAnsiTheme="minorEastAsia" w:eastAsiaTheme="minorEastAsia" w:cstheme="minorEastAsia"/>
          <w:b/>
          <w:bCs/>
          <w:snapToGrid w:val="0"/>
          <w:color w:val="auto"/>
          <w:spacing w:val="0"/>
          <w:kern w:val="0"/>
          <w:sz w:val="32"/>
          <w:szCs w:val="32"/>
          <w:u w:val="none"/>
          <w:lang w:val="en-US" w:eastAsia="en-US" w:bidi="ar-SA"/>
        </w:rPr>
        <w:t>年</w:t>
      </w:r>
      <w:r>
        <w:rPr>
          <w:rFonts w:hint="eastAsia" w:asciiTheme="minorEastAsia" w:hAnsiTheme="minorEastAsia" w:eastAsiaTheme="minorEastAsia" w:cstheme="minorEastAsia"/>
          <w:b/>
          <w:bCs/>
          <w:snapToGrid w:val="0"/>
          <w:color w:val="auto"/>
          <w:spacing w:val="0"/>
          <w:kern w:val="0"/>
          <w:sz w:val="32"/>
          <w:szCs w:val="32"/>
          <w:u w:val="none"/>
          <w:lang w:val="en-US" w:eastAsia="zh-CN" w:bidi="ar-SA"/>
        </w:rPr>
        <w:t>五</w:t>
      </w:r>
      <w:r>
        <w:rPr>
          <w:rFonts w:hint="eastAsia" w:asciiTheme="minorEastAsia" w:hAnsiTheme="minorEastAsia" w:eastAsiaTheme="minorEastAsia" w:cstheme="minorEastAsia"/>
          <w:b/>
          <w:bCs/>
          <w:snapToGrid w:val="0"/>
          <w:color w:val="auto"/>
          <w:spacing w:val="0"/>
          <w:kern w:val="0"/>
          <w:sz w:val="32"/>
          <w:szCs w:val="32"/>
          <w:u w:val="none"/>
          <w:lang w:val="en-US" w:eastAsia="en-US" w:bidi="ar-SA"/>
        </w:rPr>
        <w:t>月</w:t>
      </w:r>
    </w:p>
    <w:p w14:paraId="09254D98">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sz w:val="48"/>
          <w:szCs w:val="44"/>
        </w:rPr>
      </w:pPr>
      <w:r>
        <w:rPr>
          <w:rFonts w:hint="eastAsia" w:asciiTheme="minorEastAsia" w:hAnsiTheme="minorEastAsia" w:eastAsiaTheme="minorEastAsia" w:cstheme="minorEastAsia"/>
          <w:b/>
          <w:bCs/>
          <w:color w:val="auto"/>
          <w:sz w:val="48"/>
          <w:szCs w:val="44"/>
        </w:rPr>
        <w:t>目</w:t>
      </w:r>
      <w:r>
        <w:rPr>
          <w:rFonts w:hint="eastAsia" w:asciiTheme="minorEastAsia" w:hAnsiTheme="minorEastAsia" w:eastAsiaTheme="minorEastAsia" w:cstheme="minorEastAsia"/>
          <w:b/>
          <w:bCs/>
          <w:color w:val="auto"/>
          <w:sz w:val="48"/>
          <w:szCs w:val="44"/>
          <w:lang w:val="en-US" w:eastAsia="zh-CN"/>
        </w:rPr>
        <w:t xml:space="preserve">  </w:t>
      </w:r>
      <w:r>
        <w:rPr>
          <w:rFonts w:hint="eastAsia" w:asciiTheme="minorEastAsia" w:hAnsiTheme="minorEastAsia" w:eastAsiaTheme="minorEastAsia" w:cstheme="minorEastAsia"/>
          <w:b/>
          <w:bCs/>
          <w:color w:val="auto"/>
          <w:sz w:val="48"/>
          <w:szCs w:val="44"/>
        </w:rPr>
        <w:t>录</w:t>
      </w:r>
    </w:p>
    <w:p w14:paraId="3D359A3D">
      <w:pPr>
        <w:pStyle w:val="13"/>
        <w:tabs>
          <w:tab w:val="right" w:leader="dot" w:pos="9072"/>
        </w:tabs>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TOC \o "1-3" \h \u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HYPERLINK \l _Toc5076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第一章</w:t>
      </w:r>
      <w:r>
        <w:rPr>
          <w:rFonts w:hint="eastAsia" w:asciiTheme="minorEastAsia" w:hAnsiTheme="minorEastAsia" w:eastAsiaTheme="minorEastAsia" w:cstheme="minorEastAsia"/>
          <w:b/>
          <w:bCs/>
          <w:color w:val="auto"/>
          <w:sz w:val="28"/>
          <w:szCs w:val="28"/>
          <w:lang w:val="en-US" w:eastAsia="zh-CN"/>
        </w:rPr>
        <w:t xml:space="preserve"> 竞争性磋商公告</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PAGEREF _Toc5076 \h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2</w:t>
      </w:r>
      <w:r>
        <w:rPr>
          <w:rFonts w:hint="eastAsia" w:asciiTheme="minorEastAsia" w:hAnsiTheme="minorEastAsia" w:eastAsiaTheme="minorEastAsia" w:cstheme="minorEastAsia"/>
          <w:b/>
          <w:bCs/>
          <w:color w:val="auto"/>
          <w:sz w:val="28"/>
          <w:szCs w:val="28"/>
        </w:rPr>
        <w:fldChar w:fldCharType="end"/>
      </w:r>
      <w:r>
        <w:rPr>
          <w:rFonts w:hint="eastAsia" w:asciiTheme="minorEastAsia" w:hAnsiTheme="minorEastAsia" w:eastAsiaTheme="minorEastAsia" w:cstheme="minorEastAsia"/>
          <w:b/>
          <w:bCs/>
          <w:color w:val="auto"/>
          <w:sz w:val="28"/>
          <w:szCs w:val="28"/>
        </w:rPr>
        <w:fldChar w:fldCharType="end"/>
      </w:r>
    </w:p>
    <w:p w14:paraId="53CBCDA4">
      <w:pPr>
        <w:pStyle w:val="13"/>
        <w:tabs>
          <w:tab w:val="right" w:leader="dot" w:pos="9072"/>
        </w:tabs>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HYPERLINK \l _Toc15972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第二章 供应商须知</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PAGEREF _Toc15972 \h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4</w:t>
      </w:r>
      <w:r>
        <w:rPr>
          <w:rFonts w:hint="eastAsia" w:asciiTheme="minorEastAsia" w:hAnsiTheme="minorEastAsia" w:eastAsiaTheme="minorEastAsia" w:cstheme="minorEastAsia"/>
          <w:b/>
          <w:bCs/>
          <w:color w:val="auto"/>
          <w:sz w:val="28"/>
          <w:szCs w:val="28"/>
        </w:rPr>
        <w:fldChar w:fldCharType="end"/>
      </w:r>
      <w:r>
        <w:rPr>
          <w:rFonts w:hint="eastAsia" w:asciiTheme="minorEastAsia" w:hAnsiTheme="minorEastAsia" w:eastAsiaTheme="minorEastAsia" w:cstheme="minorEastAsia"/>
          <w:b/>
          <w:bCs/>
          <w:color w:val="auto"/>
          <w:sz w:val="28"/>
          <w:szCs w:val="28"/>
        </w:rPr>
        <w:fldChar w:fldCharType="end"/>
      </w:r>
    </w:p>
    <w:p w14:paraId="029A7E4B">
      <w:pPr>
        <w:pStyle w:val="19"/>
        <w:tabs>
          <w:tab w:val="right" w:leader="dot" w:pos="9072"/>
        </w:tabs>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_Toc2078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lang w:val="en-US" w:eastAsia="zh-CN"/>
        </w:rPr>
        <w:t>一、</w:t>
      </w:r>
      <w:r>
        <w:rPr>
          <w:rFonts w:hint="eastAsia" w:asciiTheme="minorEastAsia" w:hAnsiTheme="minorEastAsia" w:eastAsiaTheme="minorEastAsia" w:cstheme="minorEastAsia"/>
          <w:b w:val="0"/>
          <w:bCs w:val="0"/>
          <w:color w:val="auto"/>
          <w:sz w:val="28"/>
          <w:szCs w:val="28"/>
        </w:rPr>
        <w:t>总  则</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_Toc2078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12</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16CE8CD5">
      <w:pPr>
        <w:pStyle w:val="19"/>
        <w:tabs>
          <w:tab w:val="right" w:leader="dot" w:pos="9072"/>
        </w:tabs>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_Toc29028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二、</w:t>
      </w:r>
      <w:r>
        <w:rPr>
          <w:rFonts w:hint="eastAsia" w:asciiTheme="minorEastAsia" w:hAnsiTheme="minorEastAsia" w:eastAsiaTheme="minorEastAsia" w:cstheme="minorEastAsia"/>
          <w:b w:val="0"/>
          <w:bCs w:val="0"/>
          <w:color w:val="auto"/>
          <w:sz w:val="28"/>
          <w:szCs w:val="28"/>
          <w:lang w:eastAsia="zh-CN"/>
        </w:rPr>
        <w:t>竞争性磋商文件</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_Toc29028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14</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3A6C6323">
      <w:pPr>
        <w:pStyle w:val="19"/>
        <w:tabs>
          <w:tab w:val="right" w:leader="dot" w:pos="9072"/>
        </w:tabs>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_Toc14881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 xml:space="preserve">三、 </w:t>
      </w:r>
      <w:r>
        <w:rPr>
          <w:rFonts w:hint="eastAsia" w:asciiTheme="minorEastAsia" w:hAnsiTheme="minorEastAsia" w:eastAsiaTheme="minorEastAsia" w:cstheme="minorEastAsia"/>
          <w:b w:val="0"/>
          <w:bCs w:val="0"/>
          <w:color w:val="auto"/>
          <w:sz w:val="28"/>
          <w:szCs w:val="28"/>
          <w:lang w:val="en-US" w:eastAsia="zh-CN"/>
        </w:rPr>
        <w:t>响应</w:t>
      </w:r>
      <w:r>
        <w:rPr>
          <w:rFonts w:hint="eastAsia" w:asciiTheme="minorEastAsia" w:hAnsiTheme="minorEastAsia" w:eastAsiaTheme="minorEastAsia" w:cstheme="minorEastAsia"/>
          <w:b w:val="0"/>
          <w:bCs w:val="0"/>
          <w:color w:val="auto"/>
          <w:sz w:val="28"/>
          <w:szCs w:val="28"/>
        </w:rPr>
        <w:t>文件的编制</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_Toc14881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16</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597C3F49">
      <w:pPr>
        <w:pStyle w:val="19"/>
        <w:tabs>
          <w:tab w:val="right" w:leader="dot" w:pos="9072"/>
        </w:tabs>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_Toc2665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 xml:space="preserve">四、 </w:t>
      </w:r>
      <w:r>
        <w:rPr>
          <w:rFonts w:hint="eastAsia" w:asciiTheme="minorEastAsia" w:hAnsiTheme="minorEastAsia" w:eastAsiaTheme="minorEastAsia" w:cstheme="minorEastAsia"/>
          <w:b w:val="0"/>
          <w:bCs w:val="0"/>
          <w:color w:val="auto"/>
          <w:sz w:val="28"/>
          <w:szCs w:val="28"/>
          <w:lang w:eastAsia="zh-CN"/>
        </w:rPr>
        <w:t>响应文件</w:t>
      </w:r>
      <w:r>
        <w:rPr>
          <w:rFonts w:hint="eastAsia" w:asciiTheme="minorEastAsia" w:hAnsiTheme="minorEastAsia" w:eastAsiaTheme="minorEastAsia" w:cstheme="minorEastAsia"/>
          <w:b w:val="0"/>
          <w:bCs w:val="0"/>
          <w:color w:val="auto"/>
          <w:sz w:val="28"/>
          <w:szCs w:val="28"/>
        </w:rPr>
        <w:t>的</w:t>
      </w:r>
      <w:r>
        <w:rPr>
          <w:rFonts w:hint="eastAsia" w:asciiTheme="minorEastAsia" w:hAnsiTheme="minorEastAsia" w:eastAsiaTheme="minorEastAsia" w:cstheme="minorEastAsia"/>
          <w:b w:val="0"/>
          <w:bCs w:val="0"/>
          <w:color w:val="auto"/>
          <w:sz w:val="28"/>
          <w:szCs w:val="28"/>
          <w:lang w:val="en-US" w:eastAsia="zh-CN"/>
        </w:rPr>
        <w:t>提</w:t>
      </w:r>
      <w:r>
        <w:rPr>
          <w:rFonts w:hint="eastAsia" w:asciiTheme="minorEastAsia" w:hAnsiTheme="minorEastAsia" w:eastAsiaTheme="minorEastAsia" w:cstheme="minorEastAsia"/>
          <w:b w:val="0"/>
          <w:bCs w:val="0"/>
          <w:color w:val="auto"/>
          <w:sz w:val="28"/>
          <w:szCs w:val="28"/>
        </w:rPr>
        <w:t>交</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_Toc2665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18</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2BF3D752">
      <w:pPr>
        <w:pStyle w:val="19"/>
        <w:tabs>
          <w:tab w:val="right" w:leader="dot" w:pos="9072"/>
        </w:tabs>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_Toc12676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五、开   标</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_Toc12676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19</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0A4467B8">
      <w:pPr>
        <w:pStyle w:val="19"/>
        <w:tabs>
          <w:tab w:val="right" w:leader="dot" w:pos="9072"/>
        </w:tabs>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_Toc28173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六、 评标、定标</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_Toc28173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20</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2868123D">
      <w:pPr>
        <w:pStyle w:val="13"/>
        <w:tabs>
          <w:tab w:val="right" w:leader="dot" w:pos="9072"/>
        </w:tabs>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HYPERLINK \l _Toc30169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lang w:eastAsia="zh-CN"/>
        </w:rPr>
        <w:t>第三章</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lang w:eastAsia="zh-CN"/>
        </w:rPr>
        <w:t>采购内容及技术要求</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PAGEREF _Toc30169 \h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32</w:t>
      </w:r>
      <w:r>
        <w:rPr>
          <w:rFonts w:hint="eastAsia" w:asciiTheme="minorEastAsia" w:hAnsiTheme="minorEastAsia" w:eastAsiaTheme="minorEastAsia" w:cstheme="minorEastAsia"/>
          <w:b/>
          <w:bCs/>
          <w:color w:val="auto"/>
          <w:sz w:val="28"/>
          <w:szCs w:val="28"/>
        </w:rPr>
        <w:fldChar w:fldCharType="end"/>
      </w:r>
      <w:r>
        <w:rPr>
          <w:rFonts w:hint="eastAsia" w:asciiTheme="minorEastAsia" w:hAnsiTheme="minorEastAsia" w:eastAsiaTheme="minorEastAsia" w:cstheme="minorEastAsia"/>
          <w:b/>
          <w:bCs/>
          <w:color w:val="auto"/>
          <w:sz w:val="28"/>
          <w:szCs w:val="28"/>
        </w:rPr>
        <w:fldChar w:fldCharType="end"/>
      </w:r>
    </w:p>
    <w:p w14:paraId="569D2CBF">
      <w:pPr>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第四章 合同文件...............................................</w:t>
      </w:r>
      <w:r>
        <w:rPr>
          <w:rFonts w:hint="eastAsia" w:asciiTheme="minorEastAsia" w:hAnsiTheme="minorEastAsia" w:eastAsiaTheme="minorEastAsia" w:cstheme="minorEastAsia"/>
          <w:b/>
          <w:bCs/>
          <w:color w:val="auto"/>
          <w:sz w:val="28"/>
          <w:szCs w:val="28"/>
          <w:lang w:val="en-US" w:eastAsia="zh-CN"/>
        </w:rPr>
        <w:t>34</w:t>
      </w:r>
    </w:p>
    <w:p w14:paraId="3153C8D9">
      <w:pPr>
        <w:pStyle w:val="13"/>
        <w:tabs>
          <w:tab w:val="right" w:leader="dot" w:pos="9072"/>
        </w:tabs>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HYPERLINK \l _Toc28012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第</w:t>
      </w:r>
      <w:r>
        <w:rPr>
          <w:rFonts w:hint="eastAsia" w:asciiTheme="minorEastAsia" w:hAnsiTheme="minorEastAsia" w:eastAsiaTheme="minorEastAsia" w:cstheme="minorEastAsia"/>
          <w:b/>
          <w:bCs/>
          <w:color w:val="auto"/>
          <w:sz w:val="28"/>
          <w:szCs w:val="28"/>
          <w:lang w:val="en-US" w:eastAsia="zh-CN"/>
        </w:rPr>
        <w:t>五</w:t>
      </w:r>
      <w:r>
        <w:rPr>
          <w:rFonts w:hint="eastAsia" w:asciiTheme="minorEastAsia" w:hAnsiTheme="minorEastAsia" w:eastAsiaTheme="minorEastAsia" w:cstheme="minorEastAsia"/>
          <w:b/>
          <w:bCs/>
          <w:color w:val="auto"/>
          <w:sz w:val="28"/>
          <w:szCs w:val="28"/>
        </w:rPr>
        <w:t>章 主要</w:t>
      </w:r>
      <w:r>
        <w:rPr>
          <w:rFonts w:hint="eastAsia" w:asciiTheme="minorEastAsia" w:hAnsiTheme="minorEastAsia" w:eastAsiaTheme="minorEastAsia" w:cstheme="minorEastAsia"/>
          <w:b/>
          <w:bCs/>
          <w:color w:val="auto"/>
          <w:sz w:val="28"/>
          <w:szCs w:val="28"/>
          <w:lang w:eastAsia="zh-CN"/>
        </w:rPr>
        <w:t>响应文件</w:t>
      </w:r>
      <w:r>
        <w:rPr>
          <w:rFonts w:hint="eastAsia" w:asciiTheme="minorEastAsia" w:hAnsiTheme="minorEastAsia" w:eastAsiaTheme="minorEastAsia" w:cstheme="minorEastAsia"/>
          <w:b/>
          <w:bCs/>
          <w:color w:val="auto"/>
          <w:sz w:val="28"/>
          <w:szCs w:val="28"/>
        </w:rPr>
        <w:t>的格式及其内容</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lang w:val="en-US" w:eastAsia="zh-CN"/>
        </w:rPr>
        <w:t>3</w:t>
      </w:r>
      <w:r>
        <w:rPr>
          <w:rFonts w:hint="eastAsia" w:asciiTheme="minorEastAsia" w:hAnsiTheme="minorEastAsia" w:eastAsiaTheme="minorEastAsia" w:cstheme="minorEastAsia"/>
          <w:b/>
          <w:bCs/>
          <w:color w:val="auto"/>
          <w:sz w:val="28"/>
          <w:szCs w:val="28"/>
        </w:rPr>
        <w:fldChar w:fldCharType="end"/>
      </w:r>
      <w:r>
        <w:rPr>
          <w:rFonts w:hint="eastAsia" w:asciiTheme="minorEastAsia" w:hAnsiTheme="minorEastAsia" w:eastAsiaTheme="minorEastAsia" w:cstheme="minorEastAsia"/>
          <w:b/>
          <w:bCs/>
          <w:color w:val="auto"/>
          <w:sz w:val="28"/>
          <w:szCs w:val="28"/>
          <w:lang w:val="en-US" w:eastAsia="zh-CN"/>
        </w:rPr>
        <w:t>8</w:t>
      </w:r>
    </w:p>
    <w:p w14:paraId="774E6F1F">
      <w:pP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fldChar w:fldCharType="end"/>
      </w:r>
    </w:p>
    <w:p w14:paraId="2710A090">
      <w:pPr>
        <w:bidi w:val="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Cs/>
          <w:color w:val="auto"/>
          <w:szCs w:val="28"/>
        </w:rPr>
        <w:br w:type="page"/>
      </w:r>
      <w:bookmarkEnd w:id="0"/>
      <w:bookmarkEnd w:id="1"/>
      <w:bookmarkEnd w:id="2"/>
      <w:bookmarkEnd w:id="3"/>
      <w:bookmarkEnd w:id="4"/>
      <w:bookmarkStart w:id="5" w:name="_Toc3329"/>
      <w:bookmarkStart w:id="6" w:name="_Toc30457"/>
      <w:bookmarkStart w:id="7" w:name="_Toc22470"/>
      <w:bookmarkStart w:id="8" w:name="_Toc16329"/>
      <w:bookmarkStart w:id="9" w:name="_Toc10095"/>
    </w:p>
    <w:p w14:paraId="7F1247F9">
      <w:pPr>
        <w:bidi w:val="0"/>
        <w:jc w:val="center"/>
        <w:rPr>
          <w:rFonts w:hint="eastAsia" w:asciiTheme="minorEastAsia" w:hAnsiTheme="minorEastAsia" w:eastAsiaTheme="minorEastAsia" w:cstheme="minorEastAsia"/>
          <w:b/>
          <w:bCs/>
          <w:color w:val="auto"/>
          <w:sz w:val="32"/>
          <w:szCs w:val="21"/>
        </w:rPr>
        <w:sectPr>
          <w:footerReference r:id="rId9" w:type="default"/>
          <w:pgSz w:w="11906" w:h="16838"/>
          <w:pgMar w:top="1418" w:right="1417" w:bottom="1418" w:left="141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bookmarkEnd w:id="5"/>
    <w:bookmarkEnd w:id="6"/>
    <w:bookmarkEnd w:id="7"/>
    <w:bookmarkEnd w:id="8"/>
    <w:bookmarkEnd w:id="9"/>
    <w:p w14:paraId="7BEED0EB">
      <w:pPr>
        <w:pStyle w:val="2"/>
        <w:numPr>
          <w:ilvl w:val="0"/>
          <w:numId w:val="4"/>
        </w:numPr>
        <w:bidi w:val="0"/>
        <w:rPr>
          <w:rFonts w:hint="eastAsia" w:asciiTheme="minorEastAsia" w:hAnsiTheme="minorEastAsia" w:eastAsiaTheme="minorEastAsia" w:cstheme="minorEastAsia"/>
          <w:color w:val="auto"/>
          <w:sz w:val="36"/>
          <w:szCs w:val="22"/>
          <w:lang w:val="en-US" w:eastAsia="zh-CN"/>
        </w:rPr>
      </w:pPr>
      <w:bookmarkStart w:id="10" w:name="_Toc5076"/>
      <w:bookmarkStart w:id="11" w:name="_Toc24067"/>
      <w:r>
        <w:rPr>
          <w:rFonts w:hint="eastAsia" w:asciiTheme="minorEastAsia" w:hAnsiTheme="minorEastAsia" w:eastAsiaTheme="minorEastAsia" w:cstheme="minorEastAsia"/>
          <w:color w:val="auto"/>
          <w:sz w:val="36"/>
          <w:szCs w:val="22"/>
          <w:lang w:val="en-US" w:eastAsia="zh-CN"/>
        </w:rPr>
        <w:t>竞争性磋商公告</w:t>
      </w:r>
      <w:bookmarkEnd w:id="10"/>
      <w:bookmarkEnd w:id="11"/>
    </w:p>
    <w:p w14:paraId="72069325">
      <w:pPr>
        <w:pageBreakBefore w:val="0"/>
        <w:widowControl/>
        <w:kinsoku/>
        <w:wordWrap/>
        <w:topLinePunct w:val="0"/>
        <w:bidi w:val="0"/>
        <w:adjustRightInd w:val="0"/>
        <w:snapToGrid w:val="0"/>
        <w:spacing w:line="360" w:lineRule="auto"/>
        <w:ind w:firstLine="484" w:firstLineChars="200"/>
        <w:jc w:val="left"/>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rPr>
        <w:t>项目概况</w:t>
      </w:r>
      <w:r>
        <w:rPr>
          <w:rFonts w:hint="eastAsia" w:asciiTheme="minorEastAsia" w:hAnsiTheme="minorEastAsia" w:eastAsiaTheme="minorEastAsia" w:cstheme="minorEastAsia"/>
          <w:b/>
          <w:bCs/>
          <w:color w:val="auto"/>
          <w:kern w:val="0"/>
          <w:sz w:val="24"/>
          <w:szCs w:val="24"/>
          <w:highlight w:val="none"/>
          <w:lang w:eastAsia="zh-CN"/>
        </w:rPr>
        <w:t>：</w:t>
      </w:r>
    </w:p>
    <w:tbl>
      <w:tblPr>
        <w:tblStyle w:val="2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14:paraId="7DEE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14:paraId="044D88A5">
            <w:pPr>
              <w:pStyle w:val="21"/>
              <w:keepNext w:val="0"/>
              <w:keepLines w:val="0"/>
              <w:widowControl/>
              <w:suppressLineNumbers w:val="0"/>
              <w:spacing w:before="75" w:beforeAutospacing="0" w:after="75" w:afterAutospacing="0" w:line="360" w:lineRule="auto"/>
              <w:ind w:right="0" w:firstLine="484" w:firstLineChars="200"/>
              <w:rPr>
                <w:rFonts w:hint="eastAsia" w:asciiTheme="minorEastAsia" w:hAnsiTheme="minorEastAsia" w:eastAsiaTheme="minorEastAsia" w:cstheme="minorEastAsia"/>
                <w:i w:val="0"/>
                <w:iCs w:val="0"/>
                <w:caps w:val="0"/>
                <w:color w:val="auto"/>
                <w:spacing w:val="0"/>
                <w:sz w:val="24"/>
                <w:szCs w:val="24"/>
                <w:vertAlign w:val="baseline"/>
              </w:rPr>
            </w:pPr>
            <w:bookmarkStart w:id="12" w:name="_Toc21191"/>
            <w:bookmarkStart w:id="13" w:name="_Toc3183"/>
            <w:bookmarkStart w:id="14" w:name="_Toc28183"/>
            <w:bookmarkStart w:id="15" w:name="_Toc31575"/>
            <w:bookmarkStart w:id="16" w:name="_Toc17188"/>
            <w:r>
              <w:rPr>
                <w:rFonts w:hint="eastAsia" w:asciiTheme="minorEastAsia" w:hAnsiTheme="minorEastAsia" w:eastAsiaTheme="minorEastAsia" w:cstheme="minorEastAsia"/>
                <w:i w:val="0"/>
                <w:iCs w:val="0"/>
                <w:caps w:val="0"/>
                <w:color w:val="auto"/>
                <w:spacing w:val="0"/>
                <w:sz w:val="24"/>
                <w:szCs w:val="24"/>
                <w:lang w:eastAsia="zh-CN"/>
              </w:rPr>
              <w:t>三塘湖至淖毛湖至骆驿铁路建设项目等三个重点项目26个配套砂石矿矿业权出让收益评估报告编制</w:t>
            </w:r>
            <w:r>
              <w:rPr>
                <w:rFonts w:hint="eastAsia" w:asciiTheme="minorEastAsia" w:hAnsiTheme="minorEastAsia" w:eastAsiaTheme="minorEastAsia" w:cstheme="minorEastAsia"/>
                <w:i w:val="0"/>
                <w:iCs w:val="0"/>
                <w:caps w:val="0"/>
                <w:color w:val="auto"/>
                <w:spacing w:val="0"/>
                <w:sz w:val="24"/>
                <w:szCs w:val="24"/>
              </w:rPr>
              <w:t>的潜在供应商应在政采云平台https://www.zcygov.cn/获取采购文件，并于</w:t>
            </w:r>
            <w:r>
              <w:rPr>
                <w:rFonts w:hint="eastAsia" w:asciiTheme="minorEastAsia" w:hAnsiTheme="minorEastAsia" w:eastAsiaTheme="minorEastAsia" w:cstheme="minorEastAsia"/>
                <w:i w:val="0"/>
                <w:iCs w:val="0"/>
                <w:caps w:val="0"/>
                <w:color w:val="auto"/>
                <w:spacing w:val="0"/>
                <w:sz w:val="24"/>
                <w:szCs w:val="24"/>
                <w:lang w:val="en-US" w:eastAsia="zh-CN"/>
              </w:rPr>
              <w:t>2026年6月4日</w:t>
            </w:r>
            <w:r>
              <w:rPr>
                <w:rFonts w:hint="eastAsia" w:asciiTheme="minorEastAsia" w:hAnsiTheme="minorEastAsia" w:eastAsiaTheme="minorEastAsia" w:cstheme="minorEastAsia"/>
                <w:i w:val="0"/>
                <w:iCs w:val="0"/>
                <w:caps w:val="0"/>
                <w:color w:val="auto"/>
                <w:spacing w:val="0"/>
                <w:sz w:val="24"/>
                <w:szCs w:val="24"/>
              </w:rPr>
              <w:t xml:space="preserve"> </w:t>
            </w:r>
            <w:r>
              <w:rPr>
                <w:rFonts w:hint="eastAsia" w:asciiTheme="minorEastAsia" w:hAnsiTheme="minorEastAsia" w:eastAsiaTheme="minorEastAsia" w:cstheme="minorEastAsia"/>
                <w:i w:val="0"/>
                <w:iCs w:val="0"/>
                <w:caps w:val="0"/>
                <w:color w:val="auto"/>
                <w:spacing w:val="0"/>
                <w:sz w:val="24"/>
                <w:szCs w:val="24"/>
                <w:lang w:val="en-US" w:eastAsia="zh-CN"/>
              </w:rPr>
              <w:t>10</w:t>
            </w:r>
            <w:r>
              <w:rPr>
                <w:rFonts w:hint="eastAsia" w:asciiTheme="minorEastAsia" w:hAnsiTheme="minorEastAsia" w:eastAsiaTheme="minorEastAsia" w:cstheme="minorEastAsia"/>
                <w:i w:val="0"/>
                <w:iCs w:val="0"/>
                <w:caps w:val="0"/>
                <w:color w:val="auto"/>
                <w:spacing w:val="0"/>
                <w:sz w:val="24"/>
                <w:szCs w:val="24"/>
              </w:rPr>
              <w:t>:</w:t>
            </w:r>
            <w:r>
              <w:rPr>
                <w:rFonts w:hint="eastAsia" w:asciiTheme="minorEastAsia" w:hAnsiTheme="minorEastAsia" w:eastAsiaTheme="minorEastAsia" w:cstheme="minorEastAsia"/>
                <w:i w:val="0"/>
                <w:iCs w:val="0"/>
                <w:caps w:val="0"/>
                <w:color w:val="auto"/>
                <w:spacing w:val="0"/>
                <w:sz w:val="24"/>
                <w:szCs w:val="24"/>
                <w:lang w:val="en-US" w:eastAsia="zh-CN"/>
              </w:rPr>
              <w:t>3</w:t>
            </w:r>
            <w:r>
              <w:rPr>
                <w:rFonts w:hint="eastAsia" w:asciiTheme="minorEastAsia" w:hAnsiTheme="minorEastAsia" w:eastAsiaTheme="minorEastAsia" w:cstheme="minorEastAsia"/>
                <w:i w:val="0"/>
                <w:iCs w:val="0"/>
                <w:caps w:val="0"/>
                <w:color w:val="auto"/>
                <w:spacing w:val="0"/>
                <w:sz w:val="24"/>
                <w:szCs w:val="24"/>
              </w:rPr>
              <w:t>0（北京时间）前提交响应文件。   </w:t>
            </w:r>
          </w:p>
        </w:tc>
      </w:tr>
    </w:tbl>
    <w:p w14:paraId="2899E9FA">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rPr>
        <w:t>一、项目基本情况</w:t>
      </w:r>
      <w:r>
        <w:rPr>
          <w:rFonts w:hint="eastAsia" w:asciiTheme="minorEastAsia" w:hAnsiTheme="minorEastAsia" w:eastAsiaTheme="minorEastAsia" w:cstheme="minorEastAsia"/>
          <w:b/>
          <w:bCs/>
          <w:color w:val="auto"/>
          <w:kern w:val="0"/>
          <w:sz w:val="24"/>
          <w:szCs w:val="24"/>
          <w:highlight w:val="none"/>
          <w:lang w:eastAsia="zh-CN"/>
        </w:rPr>
        <w:t>：</w:t>
      </w:r>
    </w:p>
    <w:p w14:paraId="24D924AC">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HMFYZFCGCS-2026-002</w:t>
      </w:r>
    </w:p>
    <w:p w14:paraId="63B0C699">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i w:val="0"/>
          <w:iCs w:val="0"/>
          <w:caps w:val="0"/>
          <w:color w:val="auto"/>
          <w:spacing w:val="0"/>
          <w:sz w:val="24"/>
          <w:szCs w:val="24"/>
          <w:lang w:eastAsia="zh-CN"/>
        </w:rPr>
        <w:t>三塘湖至淖毛湖至骆驿铁路建设项目等三个重点项目26个配套砂石矿矿业权出让收益评估报告编制</w:t>
      </w:r>
    </w:p>
    <w:p w14:paraId="08E1FE9F">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采购方式：</w:t>
      </w:r>
      <w:r>
        <w:rPr>
          <w:rFonts w:hint="eastAsia" w:asciiTheme="minorEastAsia" w:hAnsiTheme="minorEastAsia" w:eastAsiaTheme="minorEastAsia" w:cstheme="minorEastAsia"/>
          <w:color w:val="auto"/>
          <w:sz w:val="24"/>
          <w:szCs w:val="24"/>
          <w:highlight w:val="none"/>
          <w:lang w:eastAsia="zh-CN"/>
        </w:rPr>
        <w:t>竞争性磋商</w:t>
      </w:r>
    </w:p>
    <w:p w14:paraId="5FA4093E">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预算金额（元）：</w:t>
      </w:r>
      <w:r>
        <w:rPr>
          <w:rFonts w:hint="eastAsia" w:asciiTheme="minorEastAsia" w:hAnsiTheme="minorEastAsia" w:eastAsiaTheme="minorEastAsia" w:cstheme="minorEastAsia"/>
          <w:color w:val="auto"/>
          <w:sz w:val="24"/>
          <w:szCs w:val="24"/>
          <w:highlight w:val="none"/>
          <w:lang w:val="en-US" w:eastAsia="zh-CN"/>
        </w:rPr>
        <w:t>520000.00</w:t>
      </w:r>
      <w:r>
        <w:rPr>
          <w:rFonts w:hint="eastAsia" w:asciiTheme="minorEastAsia" w:hAnsiTheme="minorEastAsia" w:eastAsiaTheme="minorEastAsia" w:cstheme="minorEastAsia"/>
          <w:color w:val="auto"/>
          <w:sz w:val="24"/>
          <w:szCs w:val="24"/>
          <w:highlight w:val="none"/>
        </w:rPr>
        <w:t>元</w:t>
      </w:r>
    </w:p>
    <w:p w14:paraId="30AA90EE">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最高限价（元）：</w:t>
      </w:r>
      <w:r>
        <w:rPr>
          <w:rFonts w:hint="eastAsia" w:asciiTheme="minorEastAsia" w:hAnsiTheme="minorEastAsia" w:eastAsiaTheme="minorEastAsia" w:cstheme="minorEastAsia"/>
          <w:color w:val="auto"/>
          <w:sz w:val="24"/>
          <w:szCs w:val="24"/>
          <w:highlight w:val="none"/>
          <w:lang w:val="en-US" w:eastAsia="zh-CN"/>
        </w:rPr>
        <w:t>520000.00</w:t>
      </w:r>
      <w:r>
        <w:rPr>
          <w:rFonts w:hint="eastAsia" w:asciiTheme="minorEastAsia" w:hAnsiTheme="minorEastAsia" w:eastAsiaTheme="minorEastAsia" w:cstheme="minorEastAsia"/>
          <w:color w:val="auto"/>
          <w:sz w:val="24"/>
          <w:szCs w:val="24"/>
          <w:highlight w:val="none"/>
        </w:rPr>
        <w:t>元</w:t>
      </w:r>
    </w:p>
    <w:p w14:paraId="718AC09E">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数量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p>
    <w:p w14:paraId="53027FBF">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采购内容：</w:t>
      </w:r>
      <w:r>
        <w:rPr>
          <w:rFonts w:hint="eastAsia" w:asciiTheme="minorEastAsia" w:hAnsiTheme="minorEastAsia" w:eastAsiaTheme="minorEastAsia" w:cstheme="minorEastAsia"/>
          <w:color w:val="auto"/>
          <w:sz w:val="24"/>
          <w:szCs w:val="24"/>
          <w:highlight w:val="none"/>
          <w:lang w:val="en-US" w:eastAsia="zh-CN"/>
        </w:rPr>
        <w:t>伊吾县自然资源局通过购买第三方技术服务，由具备专业能力的第三方机构组织开展三塘湖至淖毛湖至骆驿铁路建设项目等三个重点项目26个配套砂石矿矿业权出让收益评估报告编制工作，推进三塘湖至淖毛湖至骆驿铁路建设项目、G335线诺木托拉依至下马崖乡公路建设项目、新疆铁路梧桐水至淖毛湖线建设项目等三个自治区重点项目配套砂石料场矿业权手续办理。</w:t>
      </w:r>
    </w:p>
    <w:p w14:paraId="73571A54">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合同履约期限：自签订合同并正式移交普查报告之日起15日内完成，具体以签订合同为准。</w:t>
      </w:r>
    </w:p>
    <w:p w14:paraId="074FCFD6">
      <w:pPr>
        <w:keepNext w:val="0"/>
        <w:keepLines w:val="0"/>
        <w:pageBreakBefore w:val="0"/>
        <w:widowControl/>
        <w:numPr>
          <w:ilvl w:val="0"/>
          <w:numId w:val="0"/>
        </w:numPr>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二、投标人资格要求：</w:t>
      </w:r>
    </w:p>
    <w:p w14:paraId="73A1F8FB">
      <w:pPr>
        <w:keepNext w:val="0"/>
        <w:keepLines w:val="0"/>
        <w:pageBreakBefore w:val="0"/>
        <w:widowControl/>
        <w:kinsoku w:val="0"/>
        <w:wordWrap/>
        <w:overflowPunct/>
        <w:topLinePunct w:val="0"/>
        <w:autoSpaceDE w:val="0"/>
        <w:autoSpaceDN w:val="0"/>
        <w:bidi w:val="0"/>
        <w:adjustRightInd w:val="0"/>
        <w:snapToGrid w:val="0"/>
        <w:spacing w:line="520" w:lineRule="exact"/>
        <w:ind w:firstLine="484" w:firstLineChars="200"/>
        <w:jc w:val="both"/>
        <w:textAlignment w:val="baseline"/>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1.满足《中华人民共和国政府采购法》第二十二条规定；</w:t>
      </w:r>
    </w:p>
    <w:p w14:paraId="51816CF3">
      <w:pPr>
        <w:keepNext w:val="0"/>
        <w:keepLines w:val="0"/>
        <w:pageBreakBefore w:val="0"/>
        <w:widowControl/>
        <w:kinsoku w:val="0"/>
        <w:wordWrap/>
        <w:overflowPunct/>
        <w:topLinePunct w:val="0"/>
        <w:autoSpaceDE w:val="0"/>
        <w:autoSpaceDN w:val="0"/>
        <w:bidi w:val="0"/>
        <w:adjustRightInd w:val="0"/>
        <w:snapToGrid w:val="0"/>
        <w:spacing w:line="520" w:lineRule="exact"/>
        <w:ind w:firstLine="484" w:firstLineChars="200"/>
        <w:jc w:val="both"/>
        <w:textAlignment w:val="baseline"/>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（1）具有独立承担民事责任的能力；</w:t>
      </w:r>
    </w:p>
    <w:p w14:paraId="1EF49B72">
      <w:pPr>
        <w:keepNext w:val="0"/>
        <w:keepLines w:val="0"/>
        <w:pageBreakBefore w:val="0"/>
        <w:widowControl/>
        <w:kinsoku w:val="0"/>
        <w:wordWrap/>
        <w:overflowPunct/>
        <w:topLinePunct w:val="0"/>
        <w:autoSpaceDE w:val="0"/>
        <w:autoSpaceDN w:val="0"/>
        <w:bidi w:val="0"/>
        <w:adjustRightInd w:val="0"/>
        <w:snapToGrid w:val="0"/>
        <w:spacing w:line="520" w:lineRule="exact"/>
        <w:ind w:firstLine="484" w:firstLineChars="200"/>
        <w:jc w:val="both"/>
        <w:textAlignment w:val="baseline"/>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（2）具有健全的财务会计制度；</w:t>
      </w:r>
    </w:p>
    <w:p w14:paraId="659A3CAA">
      <w:pPr>
        <w:keepNext w:val="0"/>
        <w:keepLines w:val="0"/>
        <w:pageBreakBefore w:val="0"/>
        <w:widowControl/>
        <w:kinsoku w:val="0"/>
        <w:wordWrap/>
        <w:overflowPunct/>
        <w:topLinePunct w:val="0"/>
        <w:autoSpaceDE w:val="0"/>
        <w:autoSpaceDN w:val="0"/>
        <w:bidi w:val="0"/>
        <w:adjustRightInd w:val="0"/>
        <w:snapToGrid w:val="0"/>
        <w:spacing w:line="520" w:lineRule="exact"/>
        <w:ind w:firstLine="484" w:firstLineChars="200"/>
        <w:jc w:val="both"/>
        <w:textAlignment w:val="baseline"/>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（3）具有履行合同所必需的设备和专业技术能力；</w:t>
      </w:r>
    </w:p>
    <w:p w14:paraId="729F7D37">
      <w:pPr>
        <w:keepNext w:val="0"/>
        <w:keepLines w:val="0"/>
        <w:pageBreakBefore w:val="0"/>
        <w:widowControl/>
        <w:kinsoku w:val="0"/>
        <w:wordWrap/>
        <w:overflowPunct/>
        <w:topLinePunct w:val="0"/>
        <w:autoSpaceDE w:val="0"/>
        <w:autoSpaceDN w:val="0"/>
        <w:bidi w:val="0"/>
        <w:adjustRightInd w:val="0"/>
        <w:snapToGrid w:val="0"/>
        <w:spacing w:line="520" w:lineRule="exact"/>
        <w:ind w:firstLine="484" w:firstLineChars="200"/>
        <w:jc w:val="both"/>
        <w:textAlignment w:val="baseline"/>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（4）有依法缴纳税收和社会保障资金的良好记录：</w:t>
      </w:r>
    </w:p>
    <w:p w14:paraId="22AECD05">
      <w:pPr>
        <w:keepNext w:val="0"/>
        <w:keepLines w:val="0"/>
        <w:pageBreakBefore w:val="0"/>
        <w:widowControl/>
        <w:kinsoku w:val="0"/>
        <w:wordWrap/>
        <w:overflowPunct/>
        <w:topLinePunct w:val="0"/>
        <w:autoSpaceDE w:val="0"/>
        <w:autoSpaceDN w:val="0"/>
        <w:bidi w:val="0"/>
        <w:adjustRightInd w:val="0"/>
        <w:snapToGrid w:val="0"/>
        <w:spacing w:line="520" w:lineRule="exact"/>
        <w:ind w:firstLine="484" w:firstLineChars="200"/>
        <w:jc w:val="both"/>
        <w:textAlignment w:val="baseline"/>
        <w:rPr>
          <w:rFonts w:hint="eastAsia" w:asciiTheme="minorEastAsia" w:hAnsiTheme="minorEastAsia" w:eastAsiaTheme="minorEastAsia" w:cstheme="minorEastAsia"/>
          <w:b/>
          <w:bCs/>
          <w:color w:val="auto"/>
          <w:sz w:val="24"/>
          <w:szCs w:val="24"/>
          <w:lang w:val="en-US" w:eastAsia="en-US"/>
        </w:rPr>
      </w:pPr>
      <w:r>
        <w:rPr>
          <w:rFonts w:hint="eastAsia" w:asciiTheme="minorEastAsia" w:hAnsiTheme="minorEastAsia" w:eastAsiaTheme="minorEastAsia" w:cstheme="minorEastAsia"/>
          <w:b/>
          <w:bCs/>
          <w:color w:val="auto"/>
          <w:sz w:val="24"/>
          <w:szCs w:val="24"/>
          <w:lang w:val="en-US" w:eastAsia="zh-CN"/>
        </w:rPr>
        <w:t>（5）参加政府采购活动前三年内，在经营活动中没有重大违法记录。</w:t>
      </w:r>
    </w:p>
    <w:p w14:paraId="1C908F1A">
      <w:pPr>
        <w:keepNext w:val="0"/>
        <w:keepLines w:val="0"/>
        <w:pageBreakBefore w:val="0"/>
        <w:widowControl/>
        <w:kinsoku w:val="0"/>
        <w:wordWrap/>
        <w:overflowPunct/>
        <w:topLinePunct w:val="0"/>
        <w:autoSpaceDE w:val="0"/>
        <w:autoSpaceDN w:val="0"/>
        <w:bidi w:val="0"/>
        <w:adjustRightInd w:val="0"/>
        <w:snapToGrid w:val="0"/>
        <w:spacing w:line="520" w:lineRule="exact"/>
        <w:ind w:firstLine="484" w:firstLineChars="200"/>
        <w:jc w:val="both"/>
        <w:textAlignment w:val="baseline"/>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（6）法律、行政法规规定的其他条件。</w:t>
      </w:r>
    </w:p>
    <w:p w14:paraId="4F9091E7">
      <w:pPr>
        <w:keepNext w:val="0"/>
        <w:keepLines w:val="0"/>
        <w:pageBreakBefore w:val="0"/>
        <w:widowControl/>
        <w:kinsoku w:val="0"/>
        <w:wordWrap/>
        <w:overflowPunct/>
        <w:topLinePunct w:val="0"/>
        <w:autoSpaceDE w:val="0"/>
        <w:autoSpaceDN w:val="0"/>
        <w:bidi w:val="0"/>
        <w:adjustRightInd w:val="0"/>
        <w:snapToGrid w:val="0"/>
        <w:spacing w:line="520" w:lineRule="exact"/>
        <w:ind w:firstLine="484" w:firstLineChars="200"/>
        <w:jc w:val="both"/>
        <w:textAlignment w:val="baseline"/>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2.落实政府采购政策需满足的资格要求：</w:t>
      </w:r>
    </w:p>
    <w:p w14:paraId="0E61B34D">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（1）按照《政府采购促进中小企业发展管理办法》（财库〔2020〕46号）的规定，落实支持中小企业发展。</w:t>
      </w:r>
    </w:p>
    <w:p w14:paraId="7DC23D60">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（2）按照《财政部、司法部关于政府采购支持监狱企业发展有关问题的通知》（财库〔2014〕68号）的规定，落实支持监狱企业发展政策；</w:t>
      </w:r>
    </w:p>
    <w:p w14:paraId="51F863F9">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（3）按照《三部门联合发布关于促进残疾人就业政府采购政策的通知》（财库〔2017〕141号）的规定，落实支持残疾人福利性单位发展政策。</w:t>
      </w:r>
    </w:p>
    <w:p w14:paraId="0B685A18">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（4）落实政府采购政策需满足的资格要求：本项目为专门面向小微企业采购项目，供应商须按要求提供中小微企业申明函或监狱企业的证明文件或残疾人福利性单位声明函；</w:t>
      </w:r>
    </w:p>
    <w:p w14:paraId="3CAC9491">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rPr>
        <w:t> 3.本项目的特定资格要求：</w:t>
      </w:r>
    </w:p>
    <w:p w14:paraId="516A88D2">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（1）具有《国土资源部关于印发〈矿业权评估管理办法（试行）〉的通知》（国土资发〔2008〕174号）要求的机构和人员资质；</w:t>
      </w:r>
    </w:p>
    <w:p w14:paraId="763DF3C4">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（2）项目负责人具备相关专业高级职称证书资格证且持有有效矿业权评估师执业证书；</w:t>
      </w:r>
    </w:p>
    <w:p w14:paraId="42CE2520">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（3）未被“信用中国”（www.creditchina.gov.cn）、中国政府采购网（www.ccgp.gov.cn）列入失信被执行人、重大税收违法案件当事人名单、政府采购严重违法失信行为记录名单；</w:t>
      </w:r>
    </w:p>
    <w:p w14:paraId="0BB3C339">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4.本项目不接受联合体投标。</w:t>
      </w:r>
    </w:p>
    <w:p w14:paraId="57C335BE">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三、</w:t>
      </w:r>
      <w:r>
        <w:rPr>
          <w:rFonts w:hint="eastAsia" w:asciiTheme="minorEastAsia" w:hAnsiTheme="minorEastAsia" w:eastAsiaTheme="minorEastAsia" w:cstheme="minorEastAsia"/>
          <w:b/>
          <w:bCs/>
          <w:color w:val="auto"/>
          <w:sz w:val="24"/>
          <w:szCs w:val="24"/>
          <w:highlight w:val="none"/>
        </w:rPr>
        <w:t>获取竞争性磋商文件时间</w:t>
      </w:r>
      <w:r>
        <w:rPr>
          <w:rFonts w:hint="eastAsia" w:asciiTheme="minorEastAsia" w:hAnsiTheme="minorEastAsia" w:eastAsiaTheme="minorEastAsia" w:cstheme="minorEastAsia"/>
          <w:b/>
          <w:bCs/>
          <w:color w:val="auto"/>
          <w:sz w:val="24"/>
          <w:szCs w:val="24"/>
          <w:highlight w:val="none"/>
          <w:lang w:eastAsia="zh-CN"/>
        </w:rPr>
        <w:t>及方式：</w:t>
      </w:r>
    </w:p>
    <w:p w14:paraId="23D253D5">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1.时间：2026年5月24</w:t>
      </w:r>
      <w:bookmarkStart w:id="318" w:name="_GoBack"/>
      <w:bookmarkEnd w:id="318"/>
      <w:r>
        <w:rPr>
          <w:rFonts w:hint="eastAsia" w:asciiTheme="minorEastAsia" w:hAnsiTheme="minorEastAsia" w:eastAsiaTheme="minorEastAsia" w:cstheme="minorEastAsia"/>
          <w:b w:val="0"/>
          <w:bCs w:val="0"/>
          <w:color w:val="auto"/>
          <w:kern w:val="2"/>
          <w:sz w:val="24"/>
          <w:szCs w:val="24"/>
          <w:highlight w:val="none"/>
          <w:lang w:val="en-US" w:eastAsia="zh-CN" w:bidi="ar-SA"/>
        </w:rPr>
        <w:t>日至 2026年6月3日，每天00:00至12:00，下午12:00至23:59（北京时间，法定节假日除外）</w:t>
      </w:r>
    </w:p>
    <w:p w14:paraId="75D38F8F">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2.地点：政府采购云平台（https://www.zcygov.cn）</w:t>
      </w:r>
    </w:p>
    <w:p w14:paraId="3FB7D2C4">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方式：供应商登录政采云平台（https://www.zcygov.cn）在线申请获取采购文件（进入“项目采购”应用，在“获取采购文件”菜单中选择项目，申请获取采购文件，审核通过后可下载招标文件）；如有操作性问题，可与政采云热/在线客服进行咨询，咨询电话95763。</w:t>
      </w:r>
    </w:p>
    <w:p w14:paraId="05BE85E6">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4.售价：0元。</w:t>
      </w:r>
    </w:p>
    <w:p w14:paraId="25045C49">
      <w:pPr>
        <w:keepNext w:val="0"/>
        <w:keepLines w:val="0"/>
        <w:pageBreakBefore w:val="0"/>
        <w:widowControl/>
        <w:kinsoku/>
        <w:wordWrap/>
        <w:overflowPunct/>
        <w:topLinePunct w:val="0"/>
        <w:bidi w:val="0"/>
        <w:adjustRightInd w:val="0"/>
        <w:snapToGrid w:val="0"/>
        <w:spacing w:line="520" w:lineRule="exact"/>
        <w:ind w:firstLine="484"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开标（投标）日期：</w:t>
      </w:r>
      <w:r>
        <w:rPr>
          <w:rFonts w:hint="eastAsia" w:asciiTheme="minorEastAsia" w:hAnsiTheme="minorEastAsia" w:eastAsiaTheme="minorEastAsia" w:cstheme="minorEastAsia"/>
          <w:b/>
          <w:bCs/>
          <w:color w:val="auto"/>
          <w:sz w:val="24"/>
          <w:szCs w:val="24"/>
          <w:highlight w:val="none"/>
          <w:lang w:eastAsia="zh-CN"/>
        </w:rPr>
        <w:t>2026年6月4日</w:t>
      </w: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lang w:eastAsia="zh-CN"/>
        </w:rPr>
        <w:t>0时</w:t>
      </w:r>
      <w:r>
        <w:rPr>
          <w:rFonts w:hint="eastAsia" w:asciiTheme="minorEastAsia" w:hAnsiTheme="minorEastAsia" w:eastAsiaTheme="minorEastAsia" w:cstheme="minorEastAsia"/>
          <w:b/>
          <w:bCs/>
          <w:color w:val="auto"/>
          <w:sz w:val="24"/>
          <w:szCs w:val="24"/>
          <w:highlight w:val="none"/>
        </w:rPr>
        <w:t>（北京时间）</w:t>
      </w:r>
      <w:r>
        <w:rPr>
          <w:rFonts w:hint="eastAsia" w:asciiTheme="minorEastAsia" w:hAnsiTheme="minorEastAsia" w:eastAsiaTheme="minorEastAsia" w:cstheme="minorEastAsia"/>
          <w:color w:val="auto"/>
          <w:sz w:val="24"/>
          <w:szCs w:val="24"/>
          <w:highlight w:val="none"/>
        </w:rPr>
        <w:t>。若逾时，届时其投标将被拒绝。</w:t>
      </w:r>
    </w:p>
    <w:p w14:paraId="00E3FD02">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483" w:leftChars="228" w:right="0" w:firstLine="0" w:firstLineChars="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b/>
          <w:bCs/>
          <w:color w:val="auto"/>
          <w:sz w:val="24"/>
          <w:szCs w:val="24"/>
          <w:highlight w:val="none"/>
          <w:lang w:val="en-US" w:eastAsia="zh-CN"/>
        </w:rPr>
        <w:t>四、其他事项：</w:t>
      </w:r>
      <w:bookmarkStart w:id="17" w:name="_Toc2215"/>
      <w:bookmarkStart w:id="18" w:name="_Toc15972"/>
      <w:r>
        <w:rPr>
          <w:rFonts w:hint="eastAsia" w:asciiTheme="minorEastAsia" w:hAnsiTheme="minorEastAsia" w:eastAsiaTheme="minorEastAsia" w:cstheme="minorEastAsia"/>
          <w:color w:val="auto"/>
          <w:sz w:val="24"/>
          <w:szCs w:val="22"/>
        </w:rPr>
        <w:br w:type="textWrapping"/>
      </w:r>
      <w:r>
        <w:rPr>
          <w:rFonts w:hint="eastAsia" w:asciiTheme="minorEastAsia" w:hAnsiTheme="minorEastAsia" w:eastAsiaTheme="minorEastAsia" w:cstheme="minorEastAsia"/>
          <w:color w:val="auto"/>
          <w:lang w:val="en-US" w:eastAsia="zh-CN"/>
        </w:rPr>
        <w:t>1.本项目实行网上投标，采用电子响应文件；</w:t>
      </w:r>
    </w:p>
    <w:p w14:paraId="417BD4AE">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right="0" w:firstLine="484"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46845198">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right="0" w:firstLine="484"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供应商在完成政采云电子交易客户端下载、安装后，可通过账号密码或CA登录客户端进行响应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07FF364F">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right="0" w:firstLine="484"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4.供应商应当在投标截止时间前，将生成的“电子加密响应文件”上传递交至“政府采购云平台”，投标截止时间以后上传递交的响应文件将被“政府采购云平台”拒收；</w:t>
      </w:r>
    </w:p>
    <w:p w14:paraId="6C89D8C6">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right="0" w:firstLine="484"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5.供应商在开标前须提前配置好电脑浏览器（建议使用360浏览器或谷歌浏览器），开标时登录政采云平台，在“项目采购－开标评标”功能中，使用制作加密电子响应文件的CA锁进行解密及报价确认。本项目响应文件的解密时间定为30分钟内，若供应商在规定时间内因自身原因导致无法正常解密，后果由供应商自行承担。</w:t>
      </w:r>
    </w:p>
    <w:p w14:paraId="2E1A0F19">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right="0" w:firstLine="484"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6.供应商登录政采云平台，在开标时间后30分钟内用“项目采购－开标评标”功能进行解密响应文件。若供应商在规定时间内未按时解密的，视为无效投标。解密与加密响应文件须使用同一个CA。   </w:t>
      </w:r>
    </w:p>
    <w:p w14:paraId="5647DFB8">
      <w:pPr>
        <w:keepNext w:val="0"/>
        <w:keepLines w:val="0"/>
        <w:pageBreakBefore w:val="0"/>
        <w:widowControl/>
        <w:kinsoku w:val="0"/>
        <w:wordWrap/>
        <w:overflowPunct/>
        <w:topLinePunct w:val="0"/>
        <w:autoSpaceDE w:val="0"/>
        <w:autoSpaceDN w:val="0"/>
        <w:bidi w:val="0"/>
        <w:adjustRightInd w:val="0"/>
        <w:snapToGrid w:val="0"/>
        <w:spacing w:line="520" w:lineRule="exact"/>
        <w:ind w:firstLine="564" w:firstLineChars="200"/>
        <w:jc w:val="both"/>
        <w:textAlignment w:val="baseline"/>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val="en-US" w:eastAsia="zh-CN"/>
        </w:rPr>
        <w:t>五</w:t>
      </w:r>
      <w:r>
        <w:rPr>
          <w:rFonts w:hint="eastAsia" w:asciiTheme="minorEastAsia" w:hAnsiTheme="minorEastAsia" w:eastAsiaTheme="minorEastAsia" w:cstheme="minorEastAsia"/>
          <w:b/>
          <w:bCs/>
          <w:color w:val="auto"/>
          <w:sz w:val="28"/>
          <w:szCs w:val="28"/>
        </w:rPr>
        <w:t>、凡对本次采购提出询问，请按以下方式联系</w:t>
      </w:r>
      <w:r>
        <w:rPr>
          <w:rFonts w:hint="eastAsia" w:asciiTheme="minorEastAsia" w:hAnsiTheme="minorEastAsia" w:eastAsiaTheme="minorEastAsia" w:cstheme="minorEastAsia"/>
          <w:b/>
          <w:bCs/>
          <w:color w:val="auto"/>
          <w:sz w:val="28"/>
          <w:szCs w:val="28"/>
          <w:lang w:eastAsia="zh-CN"/>
        </w:rPr>
        <w:t>：</w:t>
      </w:r>
    </w:p>
    <w:p w14:paraId="378CF51F">
      <w:pPr>
        <w:keepNext w:val="0"/>
        <w:keepLines w:val="0"/>
        <w:pageBreakBefore w:val="0"/>
        <w:widowControl/>
        <w:kinsoku w:val="0"/>
        <w:wordWrap/>
        <w:overflowPunct/>
        <w:topLinePunct w:val="0"/>
        <w:autoSpaceDE w:val="0"/>
        <w:autoSpaceDN w:val="0"/>
        <w:bidi w:val="0"/>
        <w:adjustRightInd w:val="0"/>
        <w:snapToGrid w:val="0"/>
        <w:spacing w:line="520" w:lineRule="exact"/>
        <w:ind w:firstLine="484" w:firstLineChars="200"/>
        <w:jc w:val="both"/>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1.采购人信息：</w:t>
      </w:r>
    </w:p>
    <w:p w14:paraId="125CE0DE">
      <w:pPr>
        <w:keepNext w:val="0"/>
        <w:keepLines w:val="0"/>
        <w:pageBreakBefore w:val="0"/>
        <w:widowControl/>
        <w:kinsoku w:val="0"/>
        <w:wordWrap/>
        <w:overflowPunct/>
        <w:topLinePunct w:val="0"/>
        <w:autoSpaceDE w:val="0"/>
        <w:autoSpaceDN w:val="0"/>
        <w:bidi w:val="0"/>
        <w:adjustRightInd w:val="0"/>
        <w:snapToGrid w:val="0"/>
        <w:spacing w:line="520" w:lineRule="exact"/>
        <w:ind w:firstLine="484" w:firstLineChars="200"/>
        <w:jc w:val="both"/>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名称：伊吾县自然资源局</w:t>
      </w:r>
    </w:p>
    <w:p w14:paraId="49674A60">
      <w:pPr>
        <w:keepNext w:val="0"/>
        <w:keepLines w:val="0"/>
        <w:pageBreakBefore w:val="0"/>
        <w:widowControl/>
        <w:kinsoku w:val="0"/>
        <w:wordWrap/>
        <w:overflowPunct/>
        <w:topLinePunct w:val="0"/>
        <w:autoSpaceDE w:val="0"/>
        <w:autoSpaceDN w:val="0"/>
        <w:bidi w:val="0"/>
        <w:adjustRightInd w:val="0"/>
        <w:snapToGrid w:val="0"/>
        <w:spacing w:line="520" w:lineRule="exact"/>
        <w:ind w:firstLine="484" w:firstLineChars="200"/>
        <w:jc w:val="both"/>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地址：伊吾县</w:t>
      </w:r>
    </w:p>
    <w:p w14:paraId="32526D6B">
      <w:pPr>
        <w:keepNext w:val="0"/>
        <w:keepLines w:val="0"/>
        <w:pageBreakBefore w:val="0"/>
        <w:widowControl/>
        <w:kinsoku w:val="0"/>
        <w:wordWrap/>
        <w:overflowPunct/>
        <w:topLinePunct w:val="0"/>
        <w:autoSpaceDE w:val="0"/>
        <w:autoSpaceDN w:val="0"/>
        <w:bidi w:val="0"/>
        <w:adjustRightInd w:val="0"/>
        <w:snapToGrid w:val="0"/>
        <w:spacing w:line="520" w:lineRule="exact"/>
        <w:ind w:firstLine="484" w:firstLineChars="200"/>
        <w:jc w:val="both"/>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项目联系人：温且木·安木都</w:t>
      </w:r>
    </w:p>
    <w:p w14:paraId="0FDEB702">
      <w:pPr>
        <w:keepNext w:val="0"/>
        <w:keepLines w:val="0"/>
        <w:pageBreakBefore w:val="0"/>
        <w:widowControl/>
        <w:kinsoku w:val="0"/>
        <w:wordWrap/>
        <w:overflowPunct/>
        <w:topLinePunct w:val="0"/>
        <w:autoSpaceDE w:val="0"/>
        <w:autoSpaceDN w:val="0"/>
        <w:bidi w:val="0"/>
        <w:adjustRightInd w:val="0"/>
        <w:snapToGrid w:val="0"/>
        <w:spacing w:line="520" w:lineRule="exact"/>
        <w:ind w:firstLine="484" w:firstLineChars="200"/>
        <w:jc w:val="both"/>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联系方式：18103714385</w:t>
      </w:r>
    </w:p>
    <w:p w14:paraId="381F4F44">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p>
    <w:p w14:paraId="0480C0C7">
      <w:pPr>
        <w:keepNext w:val="0"/>
        <w:keepLines w:val="0"/>
        <w:pageBreakBefore w:val="0"/>
        <w:widowControl/>
        <w:kinsoku w:val="0"/>
        <w:wordWrap/>
        <w:overflowPunct/>
        <w:topLinePunct w:val="0"/>
        <w:autoSpaceDE w:val="0"/>
        <w:autoSpaceDN w:val="0"/>
        <w:bidi w:val="0"/>
        <w:adjustRightInd w:val="0"/>
        <w:snapToGrid w:val="0"/>
        <w:spacing w:line="520" w:lineRule="exact"/>
        <w:ind w:firstLine="484" w:firstLineChars="200"/>
        <w:jc w:val="both"/>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2.项目联系方式：</w:t>
      </w:r>
    </w:p>
    <w:p w14:paraId="4B5513B1">
      <w:pPr>
        <w:keepNext w:val="0"/>
        <w:keepLines w:val="0"/>
        <w:pageBreakBefore w:val="0"/>
        <w:widowControl/>
        <w:kinsoku w:val="0"/>
        <w:wordWrap/>
        <w:overflowPunct/>
        <w:topLinePunct w:val="0"/>
        <w:autoSpaceDE w:val="0"/>
        <w:autoSpaceDN w:val="0"/>
        <w:bidi w:val="0"/>
        <w:adjustRightInd w:val="0"/>
        <w:snapToGrid w:val="0"/>
        <w:spacing w:line="520" w:lineRule="exact"/>
        <w:ind w:firstLine="484" w:firstLineChars="200"/>
        <w:jc w:val="both"/>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名称：哈密丰远造价咨询有限责任公司</w:t>
      </w:r>
    </w:p>
    <w:p w14:paraId="1AEBBF12">
      <w:pPr>
        <w:keepNext w:val="0"/>
        <w:keepLines w:val="0"/>
        <w:pageBreakBefore w:val="0"/>
        <w:widowControl/>
        <w:kinsoku w:val="0"/>
        <w:wordWrap/>
        <w:overflowPunct/>
        <w:topLinePunct w:val="0"/>
        <w:autoSpaceDE w:val="0"/>
        <w:autoSpaceDN w:val="0"/>
        <w:bidi w:val="0"/>
        <w:adjustRightInd w:val="0"/>
        <w:snapToGrid w:val="0"/>
        <w:spacing w:line="520" w:lineRule="exact"/>
        <w:ind w:firstLine="484" w:firstLineChars="200"/>
        <w:jc w:val="both"/>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地址：新疆哈密市科苑城小区7号楼106室</w:t>
      </w:r>
    </w:p>
    <w:p w14:paraId="1C60FCAC">
      <w:pPr>
        <w:keepNext w:val="0"/>
        <w:keepLines w:val="0"/>
        <w:pageBreakBefore w:val="0"/>
        <w:widowControl/>
        <w:kinsoku w:val="0"/>
        <w:wordWrap/>
        <w:overflowPunct/>
        <w:topLinePunct w:val="0"/>
        <w:autoSpaceDE w:val="0"/>
        <w:autoSpaceDN w:val="0"/>
        <w:bidi w:val="0"/>
        <w:adjustRightInd w:val="0"/>
        <w:snapToGrid w:val="0"/>
        <w:spacing w:line="520" w:lineRule="exact"/>
        <w:ind w:firstLine="484" w:firstLineChars="200"/>
        <w:jc w:val="both"/>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项目联系人：陈玉霞</w:t>
      </w:r>
    </w:p>
    <w:p w14:paraId="77568445">
      <w:pPr>
        <w:keepNext w:val="0"/>
        <w:keepLines w:val="0"/>
        <w:pageBreakBefore w:val="0"/>
        <w:widowControl/>
        <w:kinsoku w:val="0"/>
        <w:wordWrap/>
        <w:overflowPunct/>
        <w:topLinePunct w:val="0"/>
        <w:autoSpaceDE w:val="0"/>
        <w:autoSpaceDN w:val="0"/>
        <w:bidi w:val="0"/>
        <w:adjustRightInd w:val="0"/>
        <w:snapToGrid w:val="0"/>
        <w:spacing w:line="520" w:lineRule="exact"/>
        <w:ind w:firstLine="484" w:firstLineChars="200"/>
        <w:jc w:val="both"/>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电话：</w:t>
      </w:r>
      <w:bookmarkStart w:id="19" w:name="bookmark2"/>
      <w:bookmarkEnd w:id="19"/>
      <w:r>
        <w:rPr>
          <w:rFonts w:hint="eastAsia" w:asciiTheme="minorEastAsia" w:hAnsiTheme="minorEastAsia" w:eastAsiaTheme="minorEastAsia" w:cstheme="minorEastAsia"/>
          <w:b w:val="0"/>
          <w:bCs w:val="0"/>
          <w:color w:val="auto"/>
          <w:kern w:val="2"/>
          <w:sz w:val="24"/>
          <w:szCs w:val="24"/>
          <w:highlight w:val="none"/>
          <w:lang w:val="en-US" w:eastAsia="zh-CN" w:bidi="ar-SA"/>
        </w:rPr>
        <w:t>18199764261</w:t>
      </w:r>
    </w:p>
    <w:p w14:paraId="2BD313A7">
      <w:pPr>
        <w:pStyle w:val="22"/>
        <w:ind w:left="0" w:leftChars="0" w:firstLine="0" w:firstLineChars="0"/>
        <w:rPr>
          <w:rFonts w:hint="eastAsia" w:asciiTheme="minorEastAsia" w:hAnsiTheme="minorEastAsia" w:eastAsiaTheme="minorEastAsia" w:cstheme="minorEastAsia"/>
          <w:color w:val="auto"/>
        </w:rPr>
      </w:pPr>
    </w:p>
    <w:p w14:paraId="206DFE29">
      <w:pPr>
        <w:pStyle w:val="22"/>
        <w:ind w:left="0" w:leftChars="0" w:firstLine="0" w:firstLineChars="0"/>
        <w:rPr>
          <w:rFonts w:hint="eastAsia" w:asciiTheme="minorEastAsia" w:hAnsiTheme="minorEastAsia" w:eastAsiaTheme="minorEastAsia" w:cstheme="minorEastAsia"/>
          <w:color w:val="auto"/>
        </w:rPr>
      </w:pPr>
    </w:p>
    <w:p w14:paraId="36B9CE01">
      <w:pPr>
        <w:pStyle w:val="22"/>
        <w:ind w:left="0" w:leftChars="0" w:firstLine="0" w:firstLineChars="0"/>
        <w:rPr>
          <w:rFonts w:hint="eastAsia" w:asciiTheme="minorEastAsia" w:hAnsiTheme="minorEastAsia" w:eastAsiaTheme="minorEastAsia" w:cstheme="minorEastAsia"/>
          <w:color w:val="auto"/>
        </w:rPr>
      </w:pPr>
    </w:p>
    <w:p w14:paraId="37551357">
      <w:pPr>
        <w:pStyle w:val="22"/>
        <w:ind w:left="0" w:leftChars="0" w:firstLine="0" w:firstLineChars="0"/>
        <w:rPr>
          <w:rFonts w:hint="eastAsia" w:asciiTheme="minorEastAsia" w:hAnsiTheme="minorEastAsia" w:eastAsiaTheme="minorEastAsia" w:cstheme="minorEastAsia"/>
          <w:color w:val="auto"/>
        </w:rPr>
      </w:pPr>
    </w:p>
    <w:p w14:paraId="72FD006B">
      <w:pPr>
        <w:pStyle w:val="22"/>
        <w:ind w:left="0" w:leftChars="0" w:firstLine="0" w:firstLineChars="0"/>
        <w:rPr>
          <w:rFonts w:hint="eastAsia" w:asciiTheme="minorEastAsia" w:hAnsiTheme="minorEastAsia" w:eastAsiaTheme="minorEastAsia" w:cstheme="minorEastAsia"/>
          <w:color w:val="auto"/>
        </w:rPr>
      </w:pPr>
    </w:p>
    <w:p w14:paraId="12A6C6EF">
      <w:pPr>
        <w:pStyle w:val="22"/>
        <w:ind w:left="0" w:leftChars="0" w:firstLine="0" w:firstLineChars="0"/>
        <w:rPr>
          <w:rFonts w:hint="eastAsia" w:asciiTheme="minorEastAsia" w:hAnsiTheme="minorEastAsia" w:eastAsiaTheme="minorEastAsia" w:cstheme="minorEastAsia"/>
          <w:color w:val="auto"/>
        </w:rPr>
      </w:pPr>
    </w:p>
    <w:p w14:paraId="7CE20071">
      <w:pPr>
        <w:pStyle w:val="22"/>
        <w:ind w:left="0" w:leftChars="0" w:firstLine="0" w:firstLineChars="0"/>
        <w:rPr>
          <w:rFonts w:hint="eastAsia" w:asciiTheme="minorEastAsia" w:hAnsiTheme="minorEastAsia" w:eastAsiaTheme="minorEastAsia" w:cstheme="minorEastAsia"/>
          <w:color w:val="auto"/>
        </w:rPr>
      </w:pPr>
    </w:p>
    <w:p w14:paraId="6C33718B">
      <w:pPr>
        <w:pStyle w:val="22"/>
        <w:ind w:left="0" w:leftChars="0" w:firstLine="0" w:firstLineChars="0"/>
        <w:rPr>
          <w:rFonts w:hint="eastAsia" w:asciiTheme="minorEastAsia" w:hAnsiTheme="minorEastAsia" w:eastAsiaTheme="minorEastAsia" w:cstheme="minorEastAsia"/>
          <w:color w:val="auto"/>
        </w:rPr>
      </w:pPr>
    </w:p>
    <w:p w14:paraId="5F98734C">
      <w:pPr>
        <w:pStyle w:val="22"/>
        <w:ind w:left="0" w:leftChars="0" w:firstLine="0" w:firstLineChars="0"/>
        <w:rPr>
          <w:rFonts w:hint="eastAsia" w:asciiTheme="minorEastAsia" w:hAnsiTheme="minorEastAsia" w:eastAsiaTheme="minorEastAsia" w:cstheme="minorEastAsia"/>
          <w:color w:val="auto"/>
        </w:rPr>
      </w:pPr>
    </w:p>
    <w:p w14:paraId="07971907">
      <w:pPr>
        <w:pStyle w:val="22"/>
        <w:ind w:left="0" w:leftChars="0" w:firstLine="0" w:firstLineChars="0"/>
        <w:rPr>
          <w:rFonts w:hint="eastAsia" w:asciiTheme="minorEastAsia" w:hAnsiTheme="minorEastAsia" w:eastAsiaTheme="minorEastAsia" w:cstheme="minorEastAsia"/>
          <w:color w:val="auto"/>
        </w:rPr>
      </w:pPr>
    </w:p>
    <w:p w14:paraId="42BF0E4A">
      <w:pPr>
        <w:pStyle w:val="22"/>
        <w:ind w:left="0" w:leftChars="0" w:firstLine="0" w:firstLineChars="0"/>
        <w:rPr>
          <w:rFonts w:hint="eastAsia" w:asciiTheme="minorEastAsia" w:hAnsiTheme="minorEastAsia" w:eastAsiaTheme="minorEastAsia" w:cstheme="minorEastAsia"/>
          <w:color w:val="auto"/>
        </w:rPr>
      </w:pPr>
    </w:p>
    <w:p w14:paraId="520271E4">
      <w:pPr>
        <w:pStyle w:val="22"/>
        <w:ind w:left="0" w:leftChars="0" w:firstLine="0" w:firstLineChars="0"/>
        <w:rPr>
          <w:rFonts w:hint="eastAsia" w:asciiTheme="minorEastAsia" w:hAnsiTheme="minorEastAsia" w:eastAsiaTheme="minorEastAsia" w:cstheme="minorEastAsia"/>
          <w:color w:val="auto"/>
        </w:rPr>
      </w:pPr>
    </w:p>
    <w:p w14:paraId="31A77DF4">
      <w:pPr>
        <w:pStyle w:val="2"/>
        <w:bidi w:val="0"/>
        <w:jc w:val="center"/>
        <w:rPr>
          <w:rFonts w:hint="eastAsia" w:asciiTheme="minorEastAsia" w:hAnsiTheme="minorEastAsia" w:eastAsiaTheme="minorEastAsia" w:cstheme="minorEastAsia"/>
          <w:color w:val="auto"/>
          <w:sz w:val="36"/>
          <w:szCs w:val="22"/>
        </w:rPr>
      </w:pPr>
      <w:r>
        <w:rPr>
          <w:rFonts w:hint="eastAsia" w:asciiTheme="minorEastAsia" w:hAnsiTheme="minorEastAsia" w:eastAsiaTheme="minorEastAsia" w:cstheme="minorEastAsia"/>
          <w:color w:val="auto"/>
          <w:sz w:val="36"/>
          <w:szCs w:val="22"/>
        </w:rPr>
        <w:t>第二章 供应商须知</w:t>
      </w:r>
      <w:bookmarkEnd w:id="12"/>
      <w:bookmarkEnd w:id="13"/>
      <w:bookmarkEnd w:id="14"/>
      <w:bookmarkEnd w:id="15"/>
      <w:bookmarkEnd w:id="17"/>
      <w:bookmarkEnd w:id="18"/>
    </w:p>
    <w:bookmarkEnd w:id="16"/>
    <w:p w14:paraId="17C6D1A0">
      <w:pPr>
        <w:bidi w:val="0"/>
        <w:jc w:val="center"/>
        <w:rPr>
          <w:rFonts w:hint="eastAsia" w:asciiTheme="minorEastAsia" w:hAnsiTheme="minorEastAsia" w:eastAsiaTheme="minorEastAsia" w:cstheme="minorEastAsia"/>
          <w:b/>
          <w:bCs/>
          <w:color w:val="auto"/>
          <w:sz w:val="28"/>
          <w:szCs w:val="28"/>
        </w:rPr>
      </w:pPr>
      <w:bookmarkStart w:id="20" w:name="_Toc12824"/>
      <w:bookmarkStart w:id="21" w:name="_Toc5420"/>
      <w:bookmarkStart w:id="22" w:name="_Toc14932"/>
      <w:r>
        <w:rPr>
          <w:rFonts w:hint="eastAsia" w:asciiTheme="minorEastAsia" w:hAnsiTheme="minorEastAsia" w:eastAsiaTheme="minorEastAsia" w:cstheme="minorEastAsia"/>
          <w:b/>
          <w:bCs/>
          <w:color w:val="auto"/>
          <w:sz w:val="28"/>
          <w:szCs w:val="28"/>
          <w:lang w:val="en-US" w:eastAsia="zh-CN"/>
        </w:rPr>
        <w:t>供应商</w:t>
      </w:r>
      <w:r>
        <w:rPr>
          <w:rFonts w:hint="eastAsia" w:asciiTheme="minorEastAsia" w:hAnsiTheme="minorEastAsia" w:eastAsiaTheme="minorEastAsia" w:cstheme="minorEastAsia"/>
          <w:b/>
          <w:bCs/>
          <w:color w:val="auto"/>
          <w:sz w:val="28"/>
          <w:szCs w:val="28"/>
        </w:rPr>
        <w:t>须知前附表</w:t>
      </w:r>
      <w:bookmarkEnd w:id="20"/>
      <w:bookmarkEnd w:id="21"/>
      <w:bookmarkEnd w:id="22"/>
    </w:p>
    <w:tbl>
      <w:tblPr>
        <w:tblStyle w:val="24"/>
        <w:tblpPr w:leftFromText="180" w:rightFromText="180" w:vertAnchor="text" w:horzAnchor="page" w:tblpXSpec="center" w:tblpY="161"/>
        <w:tblOverlap w:val="never"/>
        <w:tblW w:w="9852" w:type="dxa"/>
        <w:jc w:val="center"/>
        <w:tblLayout w:type="fixed"/>
        <w:tblCellMar>
          <w:top w:w="0" w:type="dxa"/>
          <w:left w:w="108" w:type="dxa"/>
          <w:bottom w:w="0" w:type="dxa"/>
          <w:right w:w="108" w:type="dxa"/>
        </w:tblCellMar>
      </w:tblPr>
      <w:tblGrid>
        <w:gridCol w:w="990"/>
        <w:gridCol w:w="2043"/>
        <w:gridCol w:w="6819"/>
      </w:tblGrid>
      <w:tr w14:paraId="57D95DA3">
        <w:trPr>
          <w:trHeight w:val="58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0E096308">
            <w:pPr>
              <w:bidi w:val="0"/>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条款号</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34C7F0AD">
            <w:pPr>
              <w:bidi w:val="0"/>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条款名称</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7D03B9B8">
            <w:pPr>
              <w:bidi w:val="0"/>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编 列 内 容</w:t>
            </w:r>
          </w:p>
        </w:tc>
      </w:tr>
      <w:tr w14:paraId="4F064BFA">
        <w:tblPrEx>
          <w:tblCellMar>
            <w:top w:w="0" w:type="dxa"/>
            <w:left w:w="108" w:type="dxa"/>
            <w:bottom w:w="0" w:type="dxa"/>
            <w:right w:w="108" w:type="dxa"/>
          </w:tblCellMar>
        </w:tblPrEx>
        <w:trPr>
          <w:trHeight w:val="1458"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00152C36">
            <w:pPr>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1EB75C39">
            <w:pPr>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4839205E">
            <w:pPr>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  称：</w:t>
            </w:r>
            <w:r>
              <w:rPr>
                <w:rFonts w:hint="eastAsia" w:asciiTheme="minorEastAsia" w:hAnsiTheme="minorEastAsia" w:eastAsiaTheme="minorEastAsia" w:cstheme="minorEastAsia"/>
                <w:color w:val="auto"/>
                <w:sz w:val="24"/>
                <w:szCs w:val="24"/>
                <w:lang w:val="en-US" w:eastAsia="zh-CN"/>
              </w:rPr>
              <w:t>伊吾县自然资源局</w:t>
            </w:r>
          </w:p>
          <w:p w14:paraId="54172EC1">
            <w:pPr>
              <w:bidi w:val="0"/>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地  址：伊吾县</w:t>
            </w:r>
          </w:p>
          <w:p w14:paraId="157FFFE5">
            <w:pPr>
              <w:bidi w:val="0"/>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联系人：温且木·安木都   联系电话：18103714385</w:t>
            </w:r>
          </w:p>
        </w:tc>
      </w:tr>
      <w:tr w14:paraId="7DB64A27">
        <w:tblPrEx>
          <w:tblCellMar>
            <w:top w:w="0" w:type="dxa"/>
            <w:left w:w="108" w:type="dxa"/>
            <w:bottom w:w="0" w:type="dxa"/>
            <w:right w:w="108" w:type="dxa"/>
          </w:tblCellMar>
        </w:tblPrEx>
        <w:trPr>
          <w:trHeight w:val="567"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3479C030">
            <w:pPr>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3A0BB673">
            <w:pPr>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070EBDBF">
            <w:pPr>
              <w:bidi w:val="0"/>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名  称：</w:t>
            </w:r>
            <w:r>
              <w:rPr>
                <w:rFonts w:hint="eastAsia" w:asciiTheme="minorEastAsia" w:hAnsiTheme="minorEastAsia" w:eastAsiaTheme="minorEastAsia" w:cstheme="minorEastAsia"/>
                <w:color w:val="auto"/>
                <w:sz w:val="24"/>
                <w:szCs w:val="24"/>
                <w:lang w:val="en-US" w:eastAsia="zh-CN"/>
              </w:rPr>
              <w:t>哈密丰远造价咨询有限责任公司</w:t>
            </w:r>
          </w:p>
          <w:p w14:paraId="710E6103">
            <w:pPr>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地  址：哈密市科苑城小区7号楼106室</w:t>
            </w:r>
          </w:p>
          <w:p w14:paraId="410A22E8">
            <w:pPr>
              <w:bidi w:val="0"/>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lang w:val="en-US" w:eastAsia="zh-CN"/>
              </w:rPr>
              <w:t>陈玉霞    联系</w:t>
            </w:r>
            <w:r>
              <w:rPr>
                <w:rFonts w:hint="eastAsia" w:asciiTheme="minorEastAsia" w:hAnsiTheme="minorEastAsia" w:eastAsiaTheme="minorEastAsia" w:cstheme="minorEastAsia"/>
                <w:color w:val="auto"/>
                <w:sz w:val="24"/>
                <w:szCs w:val="24"/>
              </w:rPr>
              <w:t>电话：</w:t>
            </w:r>
            <w:r>
              <w:rPr>
                <w:rFonts w:hint="eastAsia" w:asciiTheme="minorEastAsia" w:hAnsiTheme="minorEastAsia" w:eastAsiaTheme="minorEastAsia" w:cstheme="minorEastAsia"/>
                <w:color w:val="auto"/>
                <w:sz w:val="24"/>
                <w:szCs w:val="24"/>
                <w:lang w:val="en-US" w:eastAsia="zh-CN"/>
              </w:rPr>
              <w:t xml:space="preserve">18199764261    </w:t>
            </w:r>
          </w:p>
        </w:tc>
      </w:tr>
      <w:tr w14:paraId="7FA9DC4A">
        <w:tblPrEx>
          <w:tblCellMar>
            <w:top w:w="0" w:type="dxa"/>
            <w:left w:w="108" w:type="dxa"/>
            <w:bottom w:w="0" w:type="dxa"/>
            <w:right w:w="108" w:type="dxa"/>
          </w:tblCellMar>
        </w:tblPrEx>
        <w:trPr>
          <w:trHeight w:val="574"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422AA92E">
            <w:pPr>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4510CEC2">
            <w:pPr>
              <w:bidi w:val="0"/>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项目名称</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3FEA62B0">
            <w:pPr>
              <w:bidi w:val="0"/>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三塘湖至淖毛湖至骆驿铁路建设项目等三个重点项目26个配套砂石矿矿业权出让收益评估报告编制</w:t>
            </w:r>
          </w:p>
        </w:tc>
      </w:tr>
      <w:tr w14:paraId="7215C195">
        <w:tblPrEx>
          <w:tblCellMar>
            <w:top w:w="0" w:type="dxa"/>
            <w:left w:w="108" w:type="dxa"/>
            <w:bottom w:w="0" w:type="dxa"/>
            <w:right w:w="108" w:type="dxa"/>
          </w:tblCellMar>
        </w:tblPrEx>
        <w:trPr>
          <w:trHeight w:val="2237"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103E963E">
            <w:pPr>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218AFA3F">
            <w:pPr>
              <w:bidi w:val="0"/>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采购需求</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6FC0DB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伊吾县自然资源局通过购买第三方技术服务，由具备专业能力的第三方机构组织开展三塘湖至淖毛湖至骆驿铁路建设项目等三个重点项目26个配套砂石矿矿业权出让收益评估报告编制工作，推进三塘湖至淖毛湖至骆驿铁路建设项目、G335线诺木托拉依至下马崖乡公路建设项目、新疆铁路梧桐水至淖毛湖线建设项目等三个自治区重点项目配套砂石料场矿业权手续办理。</w:t>
            </w:r>
          </w:p>
        </w:tc>
      </w:tr>
      <w:tr w14:paraId="1F265E78">
        <w:tblPrEx>
          <w:tblCellMar>
            <w:top w:w="0" w:type="dxa"/>
            <w:left w:w="108" w:type="dxa"/>
            <w:bottom w:w="0" w:type="dxa"/>
            <w:right w:w="108" w:type="dxa"/>
          </w:tblCellMar>
        </w:tblPrEx>
        <w:trPr>
          <w:trHeight w:val="567"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1E075F00">
            <w:pPr>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074E3714">
            <w:pPr>
              <w:bidi w:val="0"/>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预算金额</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21A1BA07">
            <w:pPr>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520000.00元</w:t>
            </w:r>
          </w:p>
        </w:tc>
      </w:tr>
      <w:tr w14:paraId="42C318AB">
        <w:tblPrEx>
          <w:tblCellMar>
            <w:top w:w="0" w:type="dxa"/>
            <w:left w:w="108" w:type="dxa"/>
            <w:bottom w:w="0" w:type="dxa"/>
            <w:right w:w="108" w:type="dxa"/>
          </w:tblCellMar>
        </w:tblPrEx>
        <w:trPr>
          <w:trHeight w:val="462"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22904274">
            <w:pPr>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34662228">
            <w:pPr>
              <w:bidi w:val="0"/>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资金落实情况</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1D81AF6E">
            <w:pPr>
              <w:bidi w:val="0"/>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已落实</w:t>
            </w:r>
          </w:p>
        </w:tc>
      </w:tr>
      <w:tr w14:paraId="5000FF40">
        <w:tblPrEx>
          <w:tblCellMar>
            <w:top w:w="0" w:type="dxa"/>
            <w:left w:w="108" w:type="dxa"/>
            <w:bottom w:w="0" w:type="dxa"/>
            <w:right w:w="108" w:type="dxa"/>
          </w:tblCellMar>
        </w:tblPrEx>
        <w:trPr>
          <w:trHeight w:val="434"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6551AA9B">
            <w:pPr>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7DC4AB81">
            <w:pPr>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招标方式</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0A5DFEBC">
            <w:pPr>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竞争性磋商</w:t>
            </w:r>
          </w:p>
        </w:tc>
      </w:tr>
      <w:tr w14:paraId="3E22A530">
        <w:tblPrEx>
          <w:tblCellMar>
            <w:top w:w="0" w:type="dxa"/>
            <w:left w:w="108" w:type="dxa"/>
            <w:bottom w:w="0" w:type="dxa"/>
            <w:right w:w="108" w:type="dxa"/>
          </w:tblCellMar>
        </w:tblPrEx>
        <w:trPr>
          <w:trHeight w:val="487"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411529A2">
            <w:pPr>
              <w:bidi w:val="0"/>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8</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300E087F">
            <w:pPr>
              <w:bidi w:val="0"/>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资金来源</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609863AC">
            <w:pPr>
              <w:bidi w:val="0"/>
              <w:spacing w:line="360" w:lineRule="auto"/>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财政资金</w:t>
            </w:r>
          </w:p>
        </w:tc>
      </w:tr>
      <w:tr w14:paraId="4C079C4F">
        <w:tblPrEx>
          <w:tblCellMar>
            <w:top w:w="0" w:type="dxa"/>
            <w:left w:w="108" w:type="dxa"/>
            <w:bottom w:w="0" w:type="dxa"/>
            <w:right w:w="108" w:type="dxa"/>
          </w:tblCellMar>
        </w:tblPrEx>
        <w:trPr>
          <w:trHeight w:val="54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4A9563C8">
            <w:pPr>
              <w:bidi w:val="0"/>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62DAADDB">
            <w:pPr>
              <w:bidi w:val="0"/>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服务期限</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578D4812">
            <w:pPr>
              <w:bidi w:val="0"/>
              <w:spacing w:line="360" w:lineRule="auto"/>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eastAsia="zh-CN"/>
              </w:rPr>
              <w:t>自签订合同并正式移交普查报告之日起</w:t>
            </w:r>
            <w:r>
              <w:rPr>
                <w:rFonts w:hint="eastAsia" w:asciiTheme="minorEastAsia" w:hAnsiTheme="minorEastAsia" w:eastAsiaTheme="minorEastAsia" w:cstheme="minorEastAsia"/>
                <w:color w:val="auto"/>
                <w:sz w:val="24"/>
                <w:szCs w:val="24"/>
                <w:highlight w:val="none"/>
                <w:lang w:val="en-US" w:eastAsia="zh-CN"/>
              </w:rPr>
              <w:t>15日内</w:t>
            </w:r>
            <w:r>
              <w:rPr>
                <w:rFonts w:hint="eastAsia" w:asciiTheme="minorEastAsia" w:hAnsiTheme="minorEastAsia" w:eastAsiaTheme="minorEastAsia" w:cstheme="minorEastAsia"/>
                <w:color w:val="auto"/>
                <w:sz w:val="24"/>
                <w:szCs w:val="24"/>
                <w:highlight w:val="none"/>
                <w:lang w:eastAsia="zh-CN"/>
              </w:rPr>
              <w:t>完成，具体以签订合同为准。</w:t>
            </w:r>
          </w:p>
        </w:tc>
      </w:tr>
      <w:tr w14:paraId="0F69844B">
        <w:tblPrEx>
          <w:tblCellMar>
            <w:top w:w="0" w:type="dxa"/>
            <w:left w:w="108" w:type="dxa"/>
            <w:bottom w:w="0" w:type="dxa"/>
            <w:right w:w="108" w:type="dxa"/>
          </w:tblCellMar>
        </w:tblPrEx>
        <w:trPr>
          <w:trHeight w:val="567"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58A5D0DC">
            <w:pPr>
              <w:bidi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10</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4DCB5859">
            <w:pPr>
              <w:bidi w:val="0"/>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val="0"/>
                <w:bCs w:val="0"/>
                <w:color w:val="auto"/>
                <w:sz w:val="24"/>
                <w:szCs w:val="24"/>
              </w:rPr>
              <w:t>现场踏勘</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317C6F1E">
            <w:pPr>
              <w:bidi w:val="0"/>
              <w:spacing w:line="360" w:lineRule="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sym w:font="Wingdings" w:char="00FE"/>
            </w:r>
            <w:r>
              <w:rPr>
                <w:rFonts w:hint="eastAsia" w:asciiTheme="minorEastAsia" w:hAnsiTheme="minorEastAsia" w:eastAsiaTheme="minorEastAsia" w:cstheme="minorEastAsia"/>
                <w:color w:val="auto"/>
                <w:lang w:val="en-US" w:eastAsia="zh-CN"/>
              </w:rPr>
              <w:t>不组织</w:t>
            </w:r>
          </w:p>
          <w:p w14:paraId="537EDD03">
            <w:pPr>
              <w:bidi w:val="0"/>
              <w:spacing w:line="360" w:lineRule="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sym w:font="Wingdings" w:char="00A8"/>
            </w:r>
            <w:r>
              <w:rPr>
                <w:rFonts w:hint="eastAsia" w:asciiTheme="minorEastAsia" w:hAnsiTheme="minorEastAsia" w:eastAsiaTheme="minorEastAsia" w:cstheme="minorEastAsia"/>
                <w:color w:val="auto"/>
                <w:lang w:val="en-US" w:eastAsia="zh-CN"/>
              </w:rPr>
              <w:t>组织</w:t>
            </w:r>
          </w:p>
        </w:tc>
      </w:tr>
      <w:tr w14:paraId="5A406419">
        <w:tblPrEx>
          <w:tblCellMar>
            <w:top w:w="0" w:type="dxa"/>
            <w:left w:w="108" w:type="dxa"/>
            <w:bottom w:w="0" w:type="dxa"/>
            <w:right w:w="108" w:type="dxa"/>
          </w:tblCellMar>
        </w:tblPrEx>
        <w:trPr>
          <w:trHeight w:val="567"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30A1C66E">
            <w:pPr>
              <w:bidi w:val="0"/>
              <w:spacing w:line="360" w:lineRule="auto"/>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11</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09FF323F">
            <w:pPr>
              <w:bidi w:val="0"/>
              <w:spacing w:line="36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响应</w:t>
            </w:r>
            <w:r>
              <w:rPr>
                <w:rFonts w:hint="eastAsia" w:asciiTheme="minorEastAsia" w:hAnsiTheme="minorEastAsia" w:eastAsiaTheme="minorEastAsia" w:cstheme="minorEastAsia"/>
                <w:b w:val="0"/>
                <w:bCs w:val="0"/>
                <w:color w:val="auto"/>
                <w:sz w:val="24"/>
                <w:szCs w:val="24"/>
              </w:rPr>
              <w:t>文件有效期</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03DC108A">
            <w:pPr>
              <w:bidi w:val="0"/>
              <w:spacing w:line="36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提交</w:t>
            </w:r>
            <w:r>
              <w:rPr>
                <w:rFonts w:hint="eastAsia" w:asciiTheme="minorEastAsia" w:hAnsiTheme="minorEastAsia" w:eastAsiaTheme="minorEastAsia" w:cstheme="minorEastAsia"/>
                <w:b w:val="0"/>
                <w:bCs w:val="0"/>
                <w:color w:val="auto"/>
                <w:sz w:val="24"/>
                <w:szCs w:val="24"/>
                <w:lang w:val="en-US" w:eastAsia="zh-CN"/>
              </w:rPr>
              <w:t>响应</w:t>
            </w:r>
            <w:r>
              <w:rPr>
                <w:rFonts w:hint="eastAsia" w:asciiTheme="minorEastAsia" w:hAnsiTheme="minorEastAsia" w:eastAsiaTheme="minorEastAsia" w:cstheme="minorEastAsia"/>
                <w:b w:val="0"/>
                <w:bCs w:val="0"/>
                <w:color w:val="auto"/>
                <w:sz w:val="24"/>
                <w:szCs w:val="24"/>
              </w:rPr>
              <w:t>文件的截止之日起90天</w:t>
            </w:r>
          </w:p>
        </w:tc>
      </w:tr>
      <w:tr w14:paraId="02A7B514">
        <w:tblPrEx>
          <w:tblCellMar>
            <w:top w:w="0" w:type="dxa"/>
            <w:left w:w="108" w:type="dxa"/>
            <w:bottom w:w="0" w:type="dxa"/>
            <w:right w:w="108" w:type="dxa"/>
          </w:tblCellMar>
        </w:tblPrEx>
        <w:trPr>
          <w:trHeight w:val="567"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29E69161">
            <w:pPr>
              <w:bidi w:val="0"/>
              <w:spacing w:line="360" w:lineRule="auto"/>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12</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4DA3D0D1">
            <w:pPr>
              <w:bidi w:val="0"/>
              <w:spacing w:line="36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是否接受联合体投标</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76586EAB">
            <w:pPr>
              <w:bidi w:val="0"/>
              <w:spacing w:line="36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√不接受</w:t>
            </w:r>
          </w:p>
          <w:p w14:paraId="75217C49">
            <w:pPr>
              <w:bidi w:val="0"/>
              <w:spacing w:line="36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sym w:font="Wingdings" w:char="00A8"/>
            </w:r>
            <w:r>
              <w:rPr>
                <w:rFonts w:hint="eastAsia" w:asciiTheme="minorEastAsia" w:hAnsiTheme="minorEastAsia" w:eastAsiaTheme="minorEastAsia" w:cstheme="minorEastAsia"/>
                <w:b w:val="0"/>
                <w:bCs w:val="0"/>
                <w:color w:val="auto"/>
                <w:sz w:val="24"/>
                <w:szCs w:val="24"/>
              </w:rPr>
              <w:t>接受</w:t>
            </w:r>
          </w:p>
        </w:tc>
      </w:tr>
      <w:tr w14:paraId="35A0DECB">
        <w:tblPrEx>
          <w:tblCellMar>
            <w:top w:w="0" w:type="dxa"/>
            <w:left w:w="108" w:type="dxa"/>
            <w:bottom w:w="0" w:type="dxa"/>
            <w:right w:w="108" w:type="dxa"/>
          </w:tblCellMar>
        </w:tblPrEx>
        <w:trPr>
          <w:trHeight w:val="7778"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1AD5ADE0">
            <w:pPr>
              <w:bidi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13</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06F33B6F">
            <w:pPr>
              <w:bidi w:val="0"/>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w:t>
            </w:r>
          </w:p>
          <w:p w14:paraId="5A827BDD">
            <w:pPr>
              <w:bidi w:val="0"/>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响应资格条件</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4BCB0D94">
            <w:pPr>
              <w:bidi w:val="0"/>
              <w:spacing w:line="240" w:lineRule="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1.满足《中华人民共和国政府采购法》第二十二条规定；</w:t>
            </w:r>
          </w:p>
          <w:p w14:paraId="65A5A873">
            <w:pPr>
              <w:bidi w:val="0"/>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（1）具有独立承担民事责任的能力；</w:t>
            </w:r>
          </w:p>
          <w:p w14:paraId="3454F624">
            <w:pPr>
              <w:bidi w:val="0"/>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（2）具有健全的财务会计制度；</w:t>
            </w:r>
          </w:p>
          <w:p w14:paraId="448CD6C8">
            <w:pPr>
              <w:bidi w:val="0"/>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（3）具有履行合同所必需的设备和专业技术能力；</w:t>
            </w:r>
          </w:p>
          <w:p w14:paraId="1FDA6821">
            <w:pPr>
              <w:bidi w:val="0"/>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（4）有依法缴纳税收和社会保障资金的良好记录：</w:t>
            </w:r>
          </w:p>
          <w:p w14:paraId="47282FE2">
            <w:pPr>
              <w:bidi w:val="0"/>
              <w:spacing w:line="240" w:lineRule="auto"/>
              <w:rPr>
                <w:rFonts w:hint="eastAsia" w:asciiTheme="minorEastAsia" w:hAnsiTheme="minorEastAsia" w:eastAsiaTheme="minorEastAsia" w:cstheme="minorEastAsia"/>
                <w:color w:val="auto"/>
                <w:sz w:val="24"/>
                <w:szCs w:val="24"/>
                <w:lang w:val="en-US" w:eastAsia="en-US"/>
              </w:rPr>
            </w:pPr>
            <w:r>
              <w:rPr>
                <w:rFonts w:hint="eastAsia" w:asciiTheme="minorEastAsia" w:hAnsiTheme="minorEastAsia" w:eastAsiaTheme="minorEastAsia" w:cstheme="minorEastAsia"/>
                <w:color w:val="auto"/>
                <w:sz w:val="24"/>
                <w:szCs w:val="24"/>
                <w:lang w:val="en-US" w:eastAsia="zh-CN"/>
              </w:rPr>
              <w:t>（5）参加政府采购活动前三年内，在经营活动中没有重大违法记录。</w:t>
            </w:r>
          </w:p>
          <w:p w14:paraId="48FD873E">
            <w:pPr>
              <w:bidi w:val="0"/>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（6）法律、行政法规规定的其他条件。</w:t>
            </w:r>
          </w:p>
          <w:p w14:paraId="616984A5">
            <w:pPr>
              <w:bidi w:val="0"/>
              <w:spacing w:line="240" w:lineRule="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2.落实政府采购政策需满足的资格要求：</w:t>
            </w:r>
          </w:p>
          <w:p w14:paraId="7185CF08">
            <w:pPr>
              <w:bidi w:val="0"/>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（1）按照《政府采购促进中小企业发展管理办法》（财库〔2020〕46号）的规定，落实支持中小企业发展。</w:t>
            </w:r>
          </w:p>
          <w:p w14:paraId="6FDEFAC9">
            <w:pPr>
              <w:bidi w:val="0"/>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（2）按照《财政部、司法部关于政府采购支持监狱企业发展有关问题的通知》（财库〔2014〕68号）的规定，落实支持监狱企业发展政策；</w:t>
            </w:r>
          </w:p>
          <w:p w14:paraId="00E8693B">
            <w:pPr>
              <w:bidi w:val="0"/>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（3）按照《三部门联合发布关于促进残疾人就业政府采购政策的通知》（财库〔2017〕141号）的规定，落实支持残疾人福利性单位发展政策。</w:t>
            </w:r>
          </w:p>
          <w:p w14:paraId="0EA4F416">
            <w:pPr>
              <w:bidi w:val="0"/>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（4）落实政府采购政策需满足的资格要求：</w:t>
            </w:r>
            <w:r>
              <w:rPr>
                <w:rFonts w:hint="eastAsia" w:asciiTheme="minorEastAsia" w:hAnsiTheme="minorEastAsia" w:eastAsiaTheme="minorEastAsia" w:cstheme="minorEastAsia"/>
                <w:b/>
                <w:bCs/>
                <w:color w:val="auto"/>
                <w:sz w:val="24"/>
                <w:szCs w:val="24"/>
                <w:lang w:val="en-US" w:eastAsia="zh-CN"/>
              </w:rPr>
              <w:t>本项目为专门面向小微企业采购项目，</w:t>
            </w:r>
            <w:r>
              <w:rPr>
                <w:rFonts w:hint="eastAsia" w:asciiTheme="minorEastAsia" w:hAnsiTheme="minorEastAsia" w:eastAsiaTheme="minorEastAsia" w:cstheme="minorEastAsia"/>
                <w:color w:val="auto"/>
                <w:sz w:val="24"/>
                <w:szCs w:val="24"/>
                <w:lang w:val="en-US" w:eastAsia="zh-CN"/>
              </w:rPr>
              <w:t>供应商须按要求提供中小微企业申明函或监狱企业的证明文件或残疾人福利性单位声明函；</w:t>
            </w:r>
          </w:p>
          <w:p w14:paraId="11B3F1E9">
            <w:pPr>
              <w:bidi w:val="0"/>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w:t>
            </w:r>
            <w:r>
              <w:rPr>
                <w:rFonts w:hint="eastAsia" w:asciiTheme="minorEastAsia" w:hAnsiTheme="minorEastAsia" w:eastAsiaTheme="minorEastAsia" w:cstheme="minorEastAsia"/>
                <w:b/>
                <w:bCs/>
                <w:color w:val="auto"/>
                <w:sz w:val="24"/>
                <w:szCs w:val="24"/>
                <w:lang w:val="en-US" w:eastAsia="zh-CN"/>
              </w:rPr>
              <w:t>3.本项目的特定资格要求：</w:t>
            </w:r>
          </w:p>
          <w:p w14:paraId="23C5A8B9">
            <w:pPr>
              <w:bidi w:val="0"/>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（1）具有《国土资源部关于印发〈矿业权评估管理办法（试行）〉的通知》（国土资发〔2008〕174号）要求的机构和人员资质；</w:t>
            </w:r>
          </w:p>
          <w:p w14:paraId="47F565BD">
            <w:pPr>
              <w:bidi w:val="0"/>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（2）项目负责人具备相关专业高级职称证书资格证且持有有效矿业权评估师执业证书；</w:t>
            </w:r>
          </w:p>
          <w:p w14:paraId="5FBE4A8C">
            <w:pPr>
              <w:bidi w:val="0"/>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（3）未被“信用中国”（www.creditchina.gov.cn）、中国政府采购网（www.ccgp.gov.cn）列入失信被执行人、重大税收违法案件当事人名单、政府采购严重违法失信行为记录名单；</w:t>
            </w:r>
          </w:p>
          <w:p w14:paraId="092DDF0C">
            <w:pPr>
              <w:bidi w:val="0"/>
              <w:spacing w:line="240" w:lineRule="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4.本项目不接受联合体投标。</w:t>
            </w:r>
          </w:p>
          <w:p w14:paraId="409F60E9">
            <w:pPr>
              <w:bidi w:val="0"/>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5.本项目采购标的对应的中小企业划分标准所属行业为其他未列明行业。</w:t>
            </w:r>
          </w:p>
        </w:tc>
      </w:tr>
      <w:tr w14:paraId="6CF3C1F5">
        <w:tblPrEx>
          <w:tblCellMar>
            <w:top w:w="0" w:type="dxa"/>
            <w:left w:w="108" w:type="dxa"/>
            <w:bottom w:w="0" w:type="dxa"/>
            <w:right w:w="108" w:type="dxa"/>
          </w:tblCellMar>
        </w:tblPrEx>
        <w:trPr>
          <w:trHeight w:val="90"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5A9EBA97">
            <w:pPr>
              <w:bidi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14</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7B4D08D7">
            <w:pPr>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是否允许递交</w:t>
            </w:r>
          </w:p>
          <w:p w14:paraId="5BEA9B63">
            <w:pPr>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备选投标方案</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7E12D097">
            <w:pPr>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52"/>
            </w:r>
            <w:r>
              <w:rPr>
                <w:rFonts w:hint="eastAsia" w:asciiTheme="minorEastAsia" w:hAnsiTheme="minorEastAsia" w:eastAsiaTheme="minorEastAsia" w:cstheme="minorEastAsia"/>
                <w:color w:val="auto"/>
                <w:sz w:val="24"/>
                <w:szCs w:val="24"/>
              </w:rPr>
              <w:t>不允许</w:t>
            </w:r>
          </w:p>
          <w:p w14:paraId="49F140FC">
            <w:pPr>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允许</w:t>
            </w:r>
          </w:p>
        </w:tc>
      </w:tr>
      <w:tr w14:paraId="5DDB16E4">
        <w:tblPrEx>
          <w:tblCellMar>
            <w:top w:w="0" w:type="dxa"/>
            <w:left w:w="108" w:type="dxa"/>
            <w:bottom w:w="0" w:type="dxa"/>
            <w:right w:w="108" w:type="dxa"/>
          </w:tblCellMar>
        </w:tblPrEx>
        <w:trPr>
          <w:trHeight w:val="567"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1418ABEF">
            <w:pPr>
              <w:bidi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15</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6A1D4D4C">
            <w:pPr>
              <w:bidi w:val="0"/>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竞争性磋商文件领取</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6696C92B">
            <w:p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供应商</w:t>
            </w:r>
            <w:r>
              <w:rPr>
                <w:rFonts w:hint="eastAsia" w:asciiTheme="minorEastAsia" w:hAnsiTheme="minorEastAsia" w:eastAsiaTheme="minorEastAsia" w:cstheme="minorEastAsia"/>
                <w:b/>
                <w:bCs/>
                <w:color w:val="auto"/>
                <w:sz w:val="24"/>
                <w:szCs w:val="24"/>
                <w:lang w:eastAsia="zh-CN"/>
              </w:rPr>
              <w:t>登录</w:t>
            </w:r>
            <w:r>
              <w:rPr>
                <w:rFonts w:hint="eastAsia" w:asciiTheme="minorEastAsia" w:hAnsiTheme="minorEastAsia" w:eastAsiaTheme="minorEastAsia" w:cstheme="minorEastAsia"/>
                <w:b/>
                <w:bCs/>
                <w:color w:val="auto"/>
                <w:sz w:val="24"/>
                <w:szCs w:val="24"/>
              </w:rPr>
              <w:t>政采云</w:t>
            </w:r>
            <w:r>
              <w:rPr>
                <w:rFonts w:hint="eastAsia" w:asciiTheme="minorEastAsia" w:hAnsiTheme="minorEastAsia" w:eastAsiaTheme="minorEastAsia" w:cstheme="minorEastAsia"/>
                <w:b/>
                <w:bCs/>
                <w:color w:val="auto"/>
                <w:sz w:val="24"/>
                <w:szCs w:val="24"/>
                <w:lang w:eastAsia="zh-CN"/>
              </w:rPr>
              <w:t>平台</w:t>
            </w:r>
            <w:r>
              <w:rPr>
                <w:rFonts w:hint="eastAsia" w:asciiTheme="minorEastAsia" w:hAnsiTheme="minorEastAsia" w:eastAsiaTheme="minorEastAsia" w:cstheme="minorEastAsia"/>
                <w:b/>
                <w:bCs/>
                <w:color w:val="auto"/>
                <w:sz w:val="24"/>
                <w:szCs w:val="24"/>
              </w:rPr>
              <w:t>http://www.zcygov.cn/可下载竞争性磋商文件，如有操作性问题，可与政采云在线客服进行咨询，咨询电话：400-881-7190）。 </w:t>
            </w:r>
          </w:p>
          <w:p w14:paraId="28A6439C">
            <w:p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本次招标不提供纸质版竞争性磋商文件。  </w:t>
            </w:r>
          </w:p>
        </w:tc>
      </w:tr>
      <w:tr w14:paraId="3003D09A">
        <w:tblPrEx>
          <w:tblCellMar>
            <w:top w:w="0" w:type="dxa"/>
            <w:left w:w="108" w:type="dxa"/>
            <w:bottom w:w="0" w:type="dxa"/>
            <w:right w:w="108" w:type="dxa"/>
          </w:tblCellMar>
        </w:tblPrEx>
        <w:trPr>
          <w:trHeight w:val="567"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37660F6E">
            <w:pPr>
              <w:bidi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16</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40BBE7BF">
            <w:pPr>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签字和（或）</w:t>
            </w:r>
          </w:p>
          <w:p w14:paraId="11A97E8B">
            <w:pPr>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盖章要求</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3E320543">
            <w:pPr>
              <w:bidi w:val="0"/>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企业公章</w:t>
            </w:r>
            <w:r>
              <w:rPr>
                <w:rFonts w:hint="eastAsia" w:asciiTheme="minorEastAsia" w:hAnsiTheme="minorEastAsia" w:eastAsiaTheme="minorEastAsia" w:cstheme="minorEastAsia"/>
                <w:color w:val="auto"/>
                <w:sz w:val="24"/>
                <w:szCs w:val="24"/>
                <w:lang w:eastAsia="zh-CN"/>
              </w:rPr>
              <w:t>、法人章</w:t>
            </w:r>
          </w:p>
          <w:p w14:paraId="686CB2A3">
            <w:pPr>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企业法定代表人或其委托代理人签字</w:t>
            </w:r>
          </w:p>
        </w:tc>
      </w:tr>
      <w:tr w14:paraId="50C82496">
        <w:tblPrEx>
          <w:tblCellMar>
            <w:top w:w="0" w:type="dxa"/>
            <w:left w:w="108" w:type="dxa"/>
            <w:bottom w:w="0" w:type="dxa"/>
            <w:right w:w="108" w:type="dxa"/>
          </w:tblCellMar>
        </w:tblPrEx>
        <w:trPr>
          <w:trHeight w:val="567"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44FE47D8">
            <w:pPr>
              <w:adjustRightInd w:val="0"/>
              <w:snapToGrid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lang w:val="en-US" w:eastAsia="zh-CN"/>
              </w:rPr>
              <w:t>17</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300286B2">
            <w:pPr>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54582735">
            <w:pPr>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技术指标是作为功能性说明，不论任何情况，供应商在投标时必须达到或优于</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要求。</w:t>
            </w:r>
          </w:p>
        </w:tc>
      </w:tr>
      <w:tr w14:paraId="49BE4713">
        <w:tblPrEx>
          <w:tblCellMar>
            <w:top w:w="0" w:type="dxa"/>
            <w:left w:w="108" w:type="dxa"/>
            <w:bottom w:w="0" w:type="dxa"/>
            <w:right w:w="108" w:type="dxa"/>
          </w:tblCellMar>
        </w:tblPrEx>
        <w:trPr>
          <w:trHeight w:val="495"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00E37F0F">
            <w:pPr>
              <w:bidi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18</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07BE3E09">
            <w:pPr>
              <w:adjustRightInd w:val="0"/>
              <w:snapToGrid w:val="0"/>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Cs/>
                <w:color w:val="auto"/>
                <w:sz w:val="24"/>
                <w:szCs w:val="24"/>
              </w:rPr>
              <w:t>报价方式</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1BA26102">
            <w:pPr>
              <w:adjustRightInd w:val="0"/>
              <w:snapToGrid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经磋商确定的最后报价</w:t>
            </w:r>
          </w:p>
        </w:tc>
      </w:tr>
      <w:tr w14:paraId="12BAB71A">
        <w:tblPrEx>
          <w:tblCellMar>
            <w:top w:w="0" w:type="dxa"/>
            <w:left w:w="108" w:type="dxa"/>
            <w:bottom w:w="0" w:type="dxa"/>
            <w:right w:w="108" w:type="dxa"/>
          </w:tblCellMar>
        </w:tblPrEx>
        <w:trPr>
          <w:trHeight w:val="448"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76D9F418">
            <w:pPr>
              <w:bidi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19</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706F6D08">
            <w:pPr>
              <w:bidi w:val="0"/>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评标办法</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598F7CDA">
            <w:p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综合评分法</w:t>
            </w:r>
          </w:p>
        </w:tc>
      </w:tr>
      <w:tr w14:paraId="275D5871">
        <w:tblPrEx>
          <w:tblCellMar>
            <w:top w:w="0" w:type="dxa"/>
            <w:left w:w="108" w:type="dxa"/>
            <w:bottom w:w="0" w:type="dxa"/>
            <w:right w:w="108" w:type="dxa"/>
          </w:tblCellMar>
        </w:tblPrEx>
        <w:trPr>
          <w:trHeight w:val="670"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279B2FC9">
            <w:pPr>
              <w:bidi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0</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0F5524B8">
            <w:pPr>
              <w:bidi w:val="0"/>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投标保证金</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09805E49">
            <w:pPr>
              <w:keepNext w:val="0"/>
              <w:keepLines w:val="0"/>
              <w:widowControl/>
              <w:suppressLineNumbers w:val="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z w:val="24"/>
                <w:highlight w:val="none"/>
                <w:lang w:eastAsia="zh-CN"/>
              </w:rPr>
              <w:t>1.</w:t>
            </w:r>
            <w:r>
              <w:rPr>
                <w:rFonts w:hint="eastAsia" w:asciiTheme="minorEastAsia" w:hAnsiTheme="minorEastAsia" w:eastAsiaTheme="minorEastAsia" w:cstheme="minorEastAsia"/>
                <w:b/>
                <w:bCs/>
                <w:color w:val="auto"/>
                <w:sz w:val="24"/>
                <w:highlight w:val="none"/>
              </w:rPr>
              <w:t>投标保证金的形式：</w:t>
            </w:r>
            <w:r>
              <w:rPr>
                <w:rFonts w:hint="eastAsia" w:asciiTheme="minorEastAsia" w:hAnsiTheme="minorEastAsia" w:eastAsiaTheme="minorEastAsia" w:cstheme="minorEastAsia"/>
                <w:color w:val="auto"/>
                <w:sz w:val="24"/>
                <w:highlight w:val="none"/>
                <w:lang w:val="en-US" w:eastAsia="zh-CN"/>
              </w:rPr>
              <w:t>磋商保证金形式：☑转账 ☑电汇 ☑保函 ☑保单等非现金方式。</w:t>
            </w:r>
          </w:p>
          <w:p w14:paraId="0FBC881B">
            <w:pPr>
              <w:keepNext w:val="0"/>
              <w:keepLines w:val="0"/>
              <w:pageBreakBefore w:val="0"/>
              <w:kinsoku/>
              <w:wordWrap/>
              <w:overflowPunct/>
              <w:topLinePunct w:val="0"/>
              <w:bidi w:val="0"/>
              <w:adjustRightInd w:val="0"/>
              <w:snapToGrid w:val="0"/>
              <w:spacing w:line="240" w:lineRule="auto"/>
              <w:contextualSpacing/>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lang w:val="en-US" w:eastAsia="zh-CN"/>
              </w:rPr>
              <w:t>2.</w:t>
            </w:r>
            <w:r>
              <w:rPr>
                <w:rFonts w:hint="eastAsia" w:asciiTheme="minorEastAsia" w:hAnsiTheme="minorEastAsia" w:eastAsiaTheme="minorEastAsia" w:cstheme="minorEastAsia"/>
                <w:b/>
                <w:bCs/>
                <w:color w:val="auto"/>
                <w:sz w:val="24"/>
                <w:highlight w:val="none"/>
              </w:rPr>
              <w:t>投标保证金数额</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10000.00</w:t>
            </w:r>
            <w:r>
              <w:rPr>
                <w:rFonts w:hint="eastAsia" w:asciiTheme="minorEastAsia" w:hAnsiTheme="minorEastAsia" w:eastAsiaTheme="minorEastAsia" w:cstheme="minorEastAsia"/>
                <w:color w:val="auto"/>
                <w:sz w:val="24"/>
                <w:highlight w:val="none"/>
              </w:rPr>
              <w:t>元</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人民币</w:t>
            </w:r>
            <w:r>
              <w:rPr>
                <w:rFonts w:hint="eastAsia" w:asciiTheme="minorEastAsia" w:hAnsiTheme="minorEastAsia" w:eastAsiaTheme="minorEastAsia" w:cstheme="minorEastAsia"/>
                <w:color w:val="auto"/>
                <w:sz w:val="24"/>
                <w:highlight w:val="none"/>
                <w:lang w:val="en-US" w:eastAsia="zh-CN"/>
              </w:rPr>
              <w:t>大写</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壹万元整）</w:t>
            </w:r>
            <w:r>
              <w:rPr>
                <w:rFonts w:hint="eastAsia" w:asciiTheme="minorEastAsia" w:hAnsiTheme="minorEastAsia" w:eastAsiaTheme="minorEastAsia" w:cstheme="minorEastAsia"/>
                <w:color w:val="auto"/>
                <w:sz w:val="24"/>
                <w:highlight w:val="none"/>
              </w:rPr>
              <w:t>；</w:t>
            </w:r>
          </w:p>
          <w:p w14:paraId="3CE2CDB4">
            <w:pPr>
              <w:keepNext w:val="0"/>
              <w:keepLines w:val="0"/>
              <w:pageBreakBefore w:val="0"/>
              <w:kinsoku/>
              <w:wordWrap/>
              <w:overflowPunct/>
              <w:topLinePunct w:val="0"/>
              <w:bidi w:val="0"/>
              <w:adjustRightInd w:val="0"/>
              <w:snapToGrid w:val="0"/>
              <w:spacing w:line="240" w:lineRule="auto"/>
              <w:contextualSpacing/>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lang w:val="en-US" w:eastAsia="zh-CN"/>
              </w:rPr>
              <w:t>3.</w:t>
            </w:r>
            <w:r>
              <w:rPr>
                <w:rFonts w:hint="eastAsia" w:asciiTheme="minorEastAsia" w:hAnsiTheme="minorEastAsia" w:eastAsiaTheme="minorEastAsia" w:cstheme="minorEastAsia"/>
                <w:b/>
                <w:bCs/>
                <w:color w:val="auto"/>
                <w:sz w:val="24"/>
                <w:highlight w:val="none"/>
              </w:rPr>
              <w:t>递交时间：</w:t>
            </w:r>
            <w:r>
              <w:rPr>
                <w:rFonts w:hint="eastAsia" w:asciiTheme="minorEastAsia" w:hAnsiTheme="minorEastAsia" w:eastAsiaTheme="minorEastAsia" w:cstheme="minorEastAsia"/>
                <w:color w:val="auto"/>
                <w:sz w:val="24"/>
                <w:highlight w:val="none"/>
              </w:rPr>
              <w:t>在投标截止时间前递交（以到账时间为准）；</w:t>
            </w:r>
          </w:p>
          <w:p w14:paraId="129DC38F">
            <w:pPr>
              <w:keepNext w:val="0"/>
              <w:keepLines w:val="0"/>
              <w:pageBreakBefore w:val="0"/>
              <w:kinsoku/>
              <w:wordWrap/>
              <w:overflowPunct/>
              <w:topLinePunct w:val="0"/>
              <w:bidi w:val="0"/>
              <w:adjustRightInd w:val="0"/>
              <w:snapToGrid w:val="0"/>
              <w:spacing w:line="240" w:lineRule="auto"/>
              <w:contextualSpacing/>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lang w:val="en-US" w:eastAsia="zh-CN"/>
              </w:rPr>
              <w:t>4.</w:t>
            </w:r>
            <w:r>
              <w:rPr>
                <w:rFonts w:hint="eastAsia" w:asciiTheme="minorEastAsia" w:hAnsiTheme="minorEastAsia" w:eastAsiaTheme="minorEastAsia" w:cstheme="minorEastAsia"/>
                <w:b/>
                <w:bCs/>
                <w:color w:val="auto"/>
                <w:sz w:val="24"/>
                <w:highlight w:val="none"/>
              </w:rPr>
              <w:t>保证金凭证：投标单位提供打款凭证截图加盖公章；保函或保险保单由政采云平台机构出具的有效证件，其他不予认可。</w:t>
            </w:r>
          </w:p>
          <w:p w14:paraId="11E7ADFF">
            <w:pPr>
              <w:keepNext w:val="0"/>
              <w:keepLines w:val="0"/>
              <w:pageBreakBefore w:val="0"/>
              <w:kinsoku/>
              <w:wordWrap/>
              <w:overflowPunct/>
              <w:topLinePunct w:val="0"/>
              <w:bidi w:val="0"/>
              <w:adjustRightInd w:val="0"/>
              <w:snapToGrid w:val="0"/>
              <w:spacing w:line="240" w:lineRule="auto"/>
              <w:contextualSpacing/>
              <w:jc w:val="left"/>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5.</w:t>
            </w:r>
            <w:r>
              <w:rPr>
                <w:rFonts w:hint="eastAsia" w:asciiTheme="minorEastAsia" w:hAnsiTheme="minorEastAsia" w:eastAsiaTheme="minorEastAsia" w:cstheme="minorEastAsia"/>
                <w:b/>
                <w:bCs/>
                <w:color w:val="auto"/>
                <w:sz w:val="24"/>
                <w:highlight w:val="none"/>
              </w:rPr>
              <w:t>账户信息：</w:t>
            </w:r>
          </w:p>
          <w:p w14:paraId="1D4D0710">
            <w:pPr>
              <w:pStyle w:val="50"/>
              <w:keepNext w:val="0"/>
              <w:keepLines w:val="0"/>
              <w:pageBreakBefore w:val="0"/>
              <w:widowControl w:val="0"/>
              <w:shd w:val="clear" w:color="auto" w:fill="auto"/>
              <w:kinsoku/>
              <w:wordWrap/>
              <w:overflowPunct/>
              <w:topLinePunct w:val="0"/>
              <w:bidi w:val="0"/>
              <w:adjustRightInd/>
              <w:snapToGrid/>
              <w:spacing w:line="240" w:lineRule="auto"/>
              <w:ind w:firstLine="484"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账户名：哈密丰远造价咨询有限责任公司</w:t>
            </w:r>
          </w:p>
          <w:p w14:paraId="4ED9E573">
            <w:pPr>
              <w:pStyle w:val="50"/>
              <w:keepNext w:val="0"/>
              <w:keepLines w:val="0"/>
              <w:pageBreakBefore w:val="0"/>
              <w:widowControl w:val="0"/>
              <w:shd w:val="clear" w:color="auto" w:fill="auto"/>
              <w:kinsoku/>
              <w:wordWrap/>
              <w:overflowPunct/>
              <w:topLinePunct w:val="0"/>
              <w:bidi w:val="0"/>
              <w:adjustRightInd/>
              <w:snapToGrid/>
              <w:spacing w:line="240" w:lineRule="auto"/>
              <w:ind w:firstLine="484"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开户银行：哈密市商业银行营业部</w:t>
            </w:r>
          </w:p>
          <w:p w14:paraId="639C3C6F">
            <w:pPr>
              <w:pStyle w:val="50"/>
              <w:keepNext w:val="0"/>
              <w:keepLines w:val="0"/>
              <w:pageBreakBefore w:val="0"/>
              <w:widowControl w:val="0"/>
              <w:shd w:val="clear" w:color="auto" w:fill="auto"/>
              <w:kinsoku/>
              <w:wordWrap/>
              <w:overflowPunct/>
              <w:topLinePunct w:val="0"/>
              <w:bidi w:val="0"/>
              <w:adjustRightInd/>
              <w:snapToGrid/>
              <w:spacing w:line="240" w:lineRule="auto"/>
              <w:ind w:firstLine="484"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开户账号：908010100100032843</w:t>
            </w:r>
          </w:p>
          <w:p w14:paraId="7B7C4004">
            <w:pPr>
              <w:pStyle w:val="50"/>
              <w:keepNext w:val="0"/>
              <w:keepLines w:val="0"/>
              <w:pageBreakBefore w:val="0"/>
              <w:widowControl w:val="0"/>
              <w:shd w:val="clear" w:color="auto" w:fill="auto"/>
              <w:kinsoku/>
              <w:wordWrap/>
              <w:overflowPunct/>
              <w:topLinePunct w:val="0"/>
              <w:bidi w:val="0"/>
              <w:adjustRightInd/>
              <w:snapToGrid/>
              <w:spacing w:line="240" w:lineRule="auto"/>
              <w:ind w:firstLine="484"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开户行行号：313884000024</w:t>
            </w:r>
          </w:p>
          <w:p w14:paraId="34699C70">
            <w:pPr>
              <w:keepNext w:val="0"/>
              <w:keepLines w:val="0"/>
              <w:pageBreakBefore w:val="0"/>
              <w:kinsoku/>
              <w:wordWrap/>
              <w:overflowPunct/>
              <w:topLinePunct w:val="0"/>
              <w:bidi w:val="0"/>
              <w:adjustRightInd w:val="0"/>
              <w:snapToGrid w:val="0"/>
              <w:spacing w:line="240" w:lineRule="auto"/>
              <w:contextualSpacing/>
              <w:jc w:val="left"/>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 xml:space="preserve">注：递交磋商保证金时，须注明款项用途（项目名称+项目，可简写。 </w:t>
            </w:r>
          </w:p>
          <w:p w14:paraId="27470DC3">
            <w:pPr>
              <w:keepNext w:val="0"/>
              <w:keepLines w:val="0"/>
              <w:pageBreakBefore w:val="0"/>
              <w:kinsoku/>
              <w:wordWrap/>
              <w:overflowPunct/>
              <w:topLinePunct w:val="0"/>
              <w:bidi w:val="0"/>
              <w:adjustRightInd w:val="0"/>
              <w:snapToGrid w:val="0"/>
              <w:spacing w:line="240" w:lineRule="auto"/>
              <w:contextualSpacing/>
              <w:jc w:val="left"/>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 xml:space="preserve">磋商保证金的退还： </w:t>
            </w:r>
          </w:p>
          <w:p w14:paraId="19E46CA5">
            <w:pPr>
              <w:keepNext w:val="0"/>
              <w:keepLines w:val="0"/>
              <w:pageBreakBefore w:val="0"/>
              <w:kinsoku/>
              <w:wordWrap/>
              <w:overflowPunct/>
              <w:topLinePunct w:val="0"/>
              <w:bidi w:val="0"/>
              <w:adjustRightInd w:val="0"/>
              <w:snapToGrid w:val="0"/>
              <w:spacing w:line="240" w:lineRule="auto"/>
              <w:contextualSpacing/>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中标通知书发出之日起 5 个工作日内退还未中标人的磋商保证金，中标单位磋商保证金在与采购单位签订合同后，5 个工作日内，无息退还。</w:t>
            </w:r>
          </w:p>
          <w:p w14:paraId="109F3BEC">
            <w:pPr>
              <w:keepNext w:val="0"/>
              <w:keepLines w:val="0"/>
              <w:pageBreakBefore w:val="0"/>
              <w:kinsoku/>
              <w:wordWrap/>
              <w:overflowPunct/>
              <w:topLinePunct w:val="0"/>
              <w:bidi w:val="0"/>
              <w:adjustRightInd w:val="0"/>
              <w:snapToGrid w:val="0"/>
              <w:spacing w:line="240" w:lineRule="auto"/>
              <w:contextualSpacing/>
              <w:jc w:val="left"/>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6.</w:t>
            </w:r>
            <w:r>
              <w:rPr>
                <w:rFonts w:hint="eastAsia" w:asciiTheme="minorEastAsia" w:hAnsiTheme="minorEastAsia" w:eastAsiaTheme="minorEastAsia" w:cstheme="minorEastAsia"/>
                <w:b/>
                <w:bCs/>
                <w:color w:val="auto"/>
                <w:sz w:val="24"/>
                <w:highlight w:val="none"/>
              </w:rPr>
              <w:t>采用电子保函形式应按以下要求办理：</w:t>
            </w:r>
          </w:p>
          <w:p w14:paraId="31E7A080">
            <w:pPr>
              <w:keepNext w:val="0"/>
              <w:keepLines w:val="0"/>
              <w:pageBreakBefore w:val="0"/>
              <w:kinsoku/>
              <w:wordWrap/>
              <w:overflowPunct/>
              <w:topLinePunct w:val="0"/>
              <w:bidi w:val="0"/>
              <w:adjustRightInd w:val="0"/>
              <w:snapToGrid w:val="0"/>
              <w:spacing w:line="240" w:lineRule="auto"/>
              <w:contextualSpacing/>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（1）电子保函按照“一标段一保函”的原则。</w:t>
            </w:r>
          </w:p>
          <w:p w14:paraId="2C5B9B04">
            <w:pPr>
              <w:keepNext w:val="0"/>
              <w:keepLines w:val="0"/>
              <w:pageBreakBefore w:val="0"/>
              <w:kinsoku/>
              <w:wordWrap/>
              <w:overflowPunct/>
              <w:topLinePunct w:val="0"/>
              <w:bidi w:val="0"/>
              <w:adjustRightInd w:val="0"/>
              <w:snapToGrid w:val="0"/>
              <w:spacing w:line="240" w:lineRule="auto"/>
              <w:contextualSpacing/>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（2）电子保函须在招标文件规定的投标截止时间前办理完成。</w:t>
            </w:r>
          </w:p>
          <w:p w14:paraId="02B36CAA">
            <w:pPr>
              <w:keepNext w:val="0"/>
              <w:keepLines w:val="0"/>
              <w:pageBreakBefore w:val="0"/>
              <w:kinsoku/>
              <w:wordWrap/>
              <w:overflowPunct/>
              <w:topLinePunct w:val="0"/>
              <w:bidi w:val="0"/>
              <w:adjustRightInd w:val="0"/>
              <w:snapToGrid w:val="0"/>
              <w:spacing w:line="240" w:lineRule="auto"/>
              <w:contextualSpacing/>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（3）具体办理流程详见新疆政府采购网《新疆政府采购电子保函操作流程》。</w:t>
            </w:r>
          </w:p>
          <w:p w14:paraId="371D2D38">
            <w:pPr>
              <w:keepNext w:val="0"/>
              <w:keepLines w:val="0"/>
              <w:pageBreakBefore w:val="0"/>
              <w:kinsoku/>
              <w:wordWrap/>
              <w:overflowPunct/>
              <w:topLinePunct w:val="0"/>
              <w:bidi w:val="0"/>
              <w:adjustRightInd w:val="0"/>
              <w:snapToGrid w:val="0"/>
              <w:spacing w:line="240" w:lineRule="auto"/>
              <w:contextualSpacing/>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4"/>
                <w:highlight w:val="none"/>
              </w:rPr>
              <w:t>投标人以保函形式缴纳投标保证金的，建议通过“新疆政府采购信用融资服务平台”，使用其企业CA证书申请购买电子投标保函。</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备注：如采用电子保函形式缴纳的，在投标截止日之前须从新疆电子保函服务管理平台中确认是否生效。电子保函服务管理平台技术人员联系方式：95763。鼓励及提倡投标单位使用新疆政府采购电子保函进行投标</w:t>
            </w:r>
            <w:r>
              <w:rPr>
                <w:rFonts w:hint="eastAsia" w:asciiTheme="minorEastAsia" w:hAnsiTheme="minorEastAsia" w:eastAsiaTheme="minorEastAsia" w:cstheme="minorEastAsia"/>
                <w:color w:val="auto"/>
                <w:sz w:val="24"/>
                <w:highlight w:val="none"/>
                <w:lang w:eastAsia="zh-CN"/>
              </w:rPr>
              <w:t>）</w:t>
            </w:r>
          </w:p>
        </w:tc>
      </w:tr>
      <w:tr w14:paraId="638A3819">
        <w:tblPrEx>
          <w:tblCellMar>
            <w:top w:w="0" w:type="dxa"/>
            <w:left w:w="108" w:type="dxa"/>
            <w:bottom w:w="0" w:type="dxa"/>
            <w:right w:w="108" w:type="dxa"/>
          </w:tblCellMar>
        </w:tblPrEx>
        <w:trPr>
          <w:trHeight w:val="567"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7AD0E79E">
            <w:pPr>
              <w:bidi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1</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16698D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4"/>
                <w:szCs w:val="24"/>
                <w:lang w:val="zh-CN" w:eastAsia="zh-CN"/>
              </w:rPr>
            </w:pPr>
            <w:r>
              <w:rPr>
                <w:rFonts w:hint="eastAsia" w:asciiTheme="minorEastAsia" w:hAnsiTheme="minorEastAsia" w:eastAsiaTheme="minorEastAsia" w:cstheme="minorEastAsia"/>
                <w:b/>
                <w:bCs/>
                <w:color w:val="auto"/>
                <w:sz w:val="24"/>
                <w:szCs w:val="24"/>
                <w:lang w:val="en-US" w:eastAsia="zh-CN"/>
              </w:rPr>
              <w:t>响应</w:t>
            </w:r>
            <w:r>
              <w:rPr>
                <w:rFonts w:hint="eastAsia" w:asciiTheme="minorEastAsia" w:hAnsiTheme="minorEastAsia" w:eastAsiaTheme="minorEastAsia" w:cstheme="minorEastAsia"/>
                <w:b/>
                <w:bCs/>
                <w:color w:val="auto"/>
                <w:sz w:val="24"/>
                <w:szCs w:val="24"/>
                <w:lang w:val="zh-CN" w:eastAsia="zh-CN"/>
              </w:rPr>
              <w:t>文件</w:t>
            </w:r>
          </w:p>
          <w:p w14:paraId="552D4B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4"/>
                <w:szCs w:val="24"/>
                <w:lang w:val="zh-CN" w:eastAsia="zh-CN"/>
              </w:rPr>
            </w:pPr>
            <w:r>
              <w:rPr>
                <w:rFonts w:hint="eastAsia" w:asciiTheme="minorEastAsia" w:hAnsiTheme="minorEastAsia" w:eastAsiaTheme="minorEastAsia" w:cstheme="minorEastAsia"/>
                <w:b/>
                <w:bCs/>
                <w:color w:val="auto"/>
                <w:sz w:val="24"/>
                <w:szCs w:val="24"/>
                <w:lang w:val="zh-CN" w:eastAsia="zh-CN"/>
              </w:rPr>
              <w:t>（电子加密文件）</w:t>
            </w:r>
          </w:p>
          <w:p w14:paraId="1B4B42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4"/>
                <w:szCs w:val="24"/>
                <w:lang w:val="zh-CN" w:eastAsia="zh-CN"/>
              </w:rPr>
            </w:pPr>
            <w:r>
              <w:rPr>
                <w:rFonts w:hint="eastAsia" w:asciiTheme="minorEastAsia" w:hAnsiTheme="minorEastAsia" w:eastAsiaTheme="minorEastAsia" w:cstheme="minorEastAsia"/>
                <w:b/>
                <w:bCs/>
                <w:color w:val="auto"/>
                <w:sz w:val="24"/>
                <w:szCs w:val="24"/>
                <w:lang w:val="en-US" w:eastAsia="zh-CN"/>
              </w:rPr>
              <w:t>提</w:t>
            </w:r>
            <w:r>
              <w:rPr>
                <w:rFonts w:hint="eastAsia" w:asciiTheme="minorEastAsia" w:hAnsiTheme="minorEastAsia" w:eastAsiaTheme="minorEastAsia" w:cstheme="minorEastAsia"/>
                <w:b/>
                <w:bCs/>
                <w:color w:val="auto"/>
                <w:sz w:val="24"/>
                <w:szCs w:val="24"/>
                <w:lang w:val="zh-CN" w:eastAsia="zh-CN"/>
              </w:rPr>
              <w:t>交时间及地点</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2ABF78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4"/>
                <w:szCs w:val="24"/>
                <w:lang w:val="zh-CN" w:eastAsia="zh-CN"/>
              </w:rPr>
            </w:pPr>
            <w:r>
              <w:rPr>
                <w:rFonts w:hint="eastAsia" w:asciiTheme="minorEastAsia" w:hAnsiTheme="minorEastAsia" w:eastAsiaTheme="minorEastAsia" w:cstheme="minorEastAsia"/>
                <w:b/>
                <w:bCs/>
                <w:color w:val="auto"/>
                <w:sz w:val="24"/>
                <w:szCs w:val="24"/>
                <w:lang w:val="zh-CN" w:eastAsia="zh-CN"/>
              </w:rPr>
              <w:t>提交</w:t>
            </w:r>
            <w:r>
              <w:rPr>
                <w:rFonts w:hint="eastAsia" w:asciiTheme="minorEastAsia" w:hAnsiTheme="minorEastAsia" w:eastAsiaTheme="minorEastAsia" w:cstheme="minorEastAsia"/>
                <w:b/>
                <w:bCs/>
                <w:color w:val="auto"/>
                <w:sz w:val="24"/>
                <w:szCs w:val="24"/>
                <w:lang w:val="en-US" w:eastAsia="zh-CN"/>
              </w:rPr>
              <w:t>响应</w:t>
            </w:r>
            <w:r>
              <w:rPr>
                <w:rFonts w:hint="eastAsia" w:asciiTheme="minorEastAsia" w:hAnsiTheme="minorEastAsia" w:eastAsiaTheme="minorEastAsia" w:cstheme="minorEastAsia"/>
                <w:b/>
                <w:bCs/>
                <w:color w:val="auto"/>
                <w:sz w:val="24"/>
                <w:szCs w:val="24"/>
                <w:lang w:val="zh-CN" w:eastAsia="zh-CN"/>
              </w:rPr>
              <w:t>文件截止时间及开标时间：</w:t>
            </w:r>
          </w:p>
          <w:p w14:paraId="681E23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4"/>
                <w:szCs w:val="24"/>
                <w:lang w:val="zh-CN" w:eastAsia="zh-CN"/>
              </w:rPr>
            </w:pPr>
            <w:r>
              <w:rPr>
                <w:rFonts w:hint="eastAsia" w:asciiTheme="minorEastAsia" w:hAnsiTheme="minorEastAsia" w:eastAsiaTheme="minorEastAsia" w:cstheme="minorEastAsia"/>
                <w:b/>
                <w:bCs/>
                <w:color w:val="auto"/>
                <w:sz w:val="24"/>
                <w:szCs w:val="24"/>
                <w:lang w:val="zh-CN" w:eastAsia="zh-CN"/>
              </w:rPr>
              <w:t>2026年6月4日</w:t>
            </w:r>
            <w:r>
              <w:rPr>
                <w:rFonts w:hint="eastAsia" w:asciiTheme="minorEastAsia" w:hAnsiTheme="minorEastAsia" w:eastAsiaTheme="minorEastAsia" w:cstheme="minorEastAsia"/>
                <w:b/>
                <w:bCs/>
                <w:color w:val="auto"/>
                <w:sz w:val="24"/>
                <w:szCs w:val="24"/>
                <w:lang w:val="en-US" w:eastAsia="zh-CN"/>
              </w:rPr>
              <w:t>10</w:t>
            </w:r>
            <w:r>
              <w:rPr>
                <w:rFonts w:hint="eastAsia" w:asciiTheme="minorEastAsia" w:hAnsiTheme="minorEastAsia" w:eastAsiaTheme="minorEastAsia" w:cstheme="minorEastAsia"/>
                <w:b/>
                <w:bCs/>
                <w:color w:val="auto"/>
                <w:sz w:val="24"/>
                <w:szCs w:val="24"/>
                <w:lang w:val="zh-CN" w:eastAsia="zh-CN"/>
              </w:rPr>
              <w:t>时</w:t>
            </w:r>
            <w:r>
              <w:rPr>
                <w:rFonts w:hint="eastAsia" w:asciiTheme="minorEastAsia" w:hAnsiTheme="minorEastAsia" w:eastAsiaTheme="minorEastAsia" w:cstheme="minorEastAsia"/>
                <w:b/>
                <w:bCs/>
                <w:color w:val="auto"/>
                <w:sz w:val="24"/>
                <w:szCs w:val="24"/>
                <w:lang w:val="en-US" w:eastAsia="zh-CN"/>
              </w:rPr>
              <w:t>30</w:t>
            </w:r>
            <w:r>
              <w:rPr>
                <w:rFonts w:hint="eastAsia" w:asciiTheme="minorEastAsia" w:hAnsiTheme="minorEastAsia" w:eastAsiaTheme="minorEastAsia" w:cstheme="minorEastAsia"/>
                <w:b/>
                <w:bCs/>
                <w:color w:val="auto"/>
                <w:sz w:val="24"/>
                <w:szCs w:val="24"/>
                <w:lang w:val="zh-CN" w:eastAsia="zh-CN"/>
              </w:rPr>
              <w:t>分（北京时间）</w:t>
            </w:r>
          </w:p>
          <w:p w14:paraId="1DF6A2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4"/>
                <w:szCs w:val="24"/>
                <w:lang w:val="zh-CN" w:eastAsia="zh-CN"/>
              </w:rPr>
            </w:pPr>
            <w:r>
              <w:rPr>
                <w:rFonts w:hint="eastAsia" w:asciiTheme="minorEastAsia" w:hAnsiTheme="minorEastAsia" w:eastAsiaTheme="minorEastAsia" w:cstheme="minorEastAsia"/>
                <w:b/>
                <w:bCs/>
                <w:color w:val="auto"/>
                <w:sz w:val="24"/>
                <w:szCs w:val="24"/>
                <w:lang w:val="zh-CN" w:eastAsia="zh-CN"/>
              </w:rPr>
              <w:t>投标地点及开标地点：</w:t>
            </w:r>
            <w:r>
              <w:rPr>
                <w:rFonts w:hint="eastAsia" w:asciiTheme="minorEastAsia" w:hAnsiTheme="minorEastAsia" w:eastAsiaTheme="minorEastAsia" w:cstheme="minorEastAsia"/>
                <w:b/>
                <w:bCs/>
                <w:color w:val="auto"/>
                <w:sz w:val="24"/>
                <w:szCs w:val="24"/>
                <w:lang w:val="zh-CN" w:eastAsia="zh-CN"/>
              </w:rPr>
              <w:fldChar w:fldCharType="begin"/>
            </w:r>
            <w:r>
              <w:rPr>
                <w:rFonts w:hint="eastAsia" w:asciiTheme="minorEastAsia" w:hAnsiTheme="minorEastAsia" w:eastAsiaTheme="minorEastAsia" w:cstheme="minorEastAsia"/>
                <w:b/>
                <w:bCs/>
                <w:color w:val="auto"/>
                <w:sz w:val="24"/>
                <w:szCs w:val="24"/>
                <w:lang w:val="zh-CN" w:eastAsia="zh-CN"/>
              </w:rPr>
              <w:instrText xml:space="preserve"> HYPERLINK "https://www.zcygov.cn" </w:instrText>
            </w:r>
            <w:r>
              <w:rPr>
                <w:rFonts w:hint="eastAsia" w:asciiTheme="minorEastAsia" w:hAnsiTheme="minorEastAsia" w:eastAsiaTheme="minorEastAsia" w:cstheme="minorEastAsia"/>
                <w:b/>
                <w:bCs/>
                <w:color w:val="auto"/>
                <w:sz w:val="24"/>
                <w:szCs w:val="24"/>
                <w:lang w:val="zh-CN" w:eastAsia="zh-CN"/>
              </w:rPr>
              <w:fldChar w:fldCharType="separate"/>
            </w:r>
            <w:r>
              <w:rPr>
                <w:rFonts w:hint="eastAsia" w:asciiTheme="minorEastAsia" w:hAnsiTheme="minorEastAsia" w:eastAsiaTheme="minorEastAsia" w:cstheme="minorEastAsia"/>
                <w:b/>
                <w:bCs/>
                <w:color w:val="auto"/>
                <w:sz w:val="24"/>
                <w:szCs w:val="24"/>
                <w:lang w:val="zh-CN" w:eastAsia="zh-CN"/>
              </w:rPr>
              <w:t>https://www.zcygov.cn</w:t>
            </w:r>
            <w:r>
              <w:rPr>
                <w:rFonts w:hint="eastAsia" w:asciiTheme="minorEastAsia" w:hAnsiTheme="minorEastAsia" w:eastAsiaTheme="minorEastAsia" w:cstheme="minorEastAsia"/>
                <w:b/>
                <w:bCs/>
                <w:color w:val="auto"/>
                <w:sz w:val="24"/>
                <w:szCs w:val="24"/>
                <w:lang w:val="zh-CN" w:eastAsia="zh-CN"/>
              </w:rPr>
              <w:fldChar w:fldCharType="end"/>
            </w:r>
          </w:p>
        </w:tc>
      </w:tr>
      <w:tr w14:paraId="1A785C3E">
        <w:tblPrEx>
          <w:tblCellMar>
            <w:top w:w="0" w:type="dxa"/>
            <w:left w:w="108" w:type="dxa"/>
            <w:bottom w:w="0" w:type="dxa"/>
            <w:right w:w="108" w:type="dxa"/>
          </w:tblCellMar>
        </w:tblPrEx>
        <w:trPr>
          <w:trHeight w:val="567"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2F3AB3D8">
            <w:pPr>
              <w:bidi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2</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6A6BD20B">
            <w:pPr>
              <w:bidi w:val="0"/>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响应</w:t>
            </w:r>
            <w:r>
              <w:rPr>
                <w:rFonts w:hint="eastAsia" w:asciiTheme="minorEastAsia" w:hAnsiTheme="minorEastAsia" w:eastAsiaTheme="minorEastAsia" w:cstheme="minorEastAsia"/>
                <w:b/>
                <w:bCs/>
                <w:color w:val="auto"/>
                <w:sz w:val="24"/>
                <w:szCs w:val="24"/>
              </w:rPr>
              <w:t>文件的份数</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6F2D75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中标后5日内中标供应商提供纸质版文件一式两份（与电子版投标文件一致）。</w:t>
            </w:r>
          </w:p>
          <w:p w14:paraId="54B1B2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zh-CN" w:eastAsia="zh-CN"/>
              </w:rPr>
              <w:t>（注：采用不见面方式开标的，开标结束后，</w:t>
            </w:r>
            <w:r>
              <w:rPr>
                <w:rFonts w:hint="eastAsia" w:asciiTheme="minorEastAsia" w:hAnsiTheme="minorEastAsia" w:eastAsiaTheme="minorEastAsia" w:cstheme="minorEastAsia"/>
                <w:b/>
                <w:bCs/>
                <w:color w:val="auto"/>
                <w:sz w:val="24"/>
                <w:szCs w:val="24"/>
                <w:lang w:val="en-US" w:eastAsia="zh-CN"/>
              </w:rPr>
              <w:t>中标供应商</w:t>
            </w:r>
            <w:r>
              <w:rPr>
                <w:rFonts w:hint="eastAsia" w:asciiTheme="minorEastAsia" w:hAnsiTheme="minorEastAsia" w:eastAsiaTheme="minorEastAsia" w:cstheme="minorEastAsia"/>
                <w:b/>
                <w:bCs/>
                <w:color w:val="auto"/>
                <w:sz w:val="24"/>
                <w:szCs w:val="24"/>
                <w:lang w:val="zh-CN" w:eastAsia="zh-CN"/>
              </w:rPr>
              <w:t>须将投标文件（须与上传政采云投标文件一致）电子版U盘一份及纸质版正本一份，副本</w:t>
            </w:r>
            <w:r>
              <w:rPr>
                <w:rFonts w:hint="eastAsia" w:asciiTheme="minorEastAsia" w:hAnsiTheme="minorEastAsia" w:eastAsiaTheme="minorEastAsia" w:cstheme="minorEastAsia"/>
                <w:b/>
                <w:bCs/>
                <w:color w:val="auto"/>
                <w:sz w:val="24"/>
                <w:szCs w:val="24"/>
                <w:lang w:val="en-US" w:eastAsia="zh-CN"/>
              </w:rPr>
              <w:t>一份</w:t>
            </w:r>
            <w:r>
              <w:rPr>
                <w:rFonts w:hint="eastAsia" w:asciiTheme="minorEastAsia" w:hAnsiTheme="minorEastAsia" w:eastAsiaTheme="minorEastAsia" w:cstheme="minorEastAsia"/>
                <w:b/>
                <w:bCs/>
                <w:color w:val="auto"/>
                <w:sz w:val="24"/>
                <w:szCs w:val="24"/>
                <w:lang w:val="zh-CN" w:eastAsia="zh-CN"/>
              </w:rPr>
              <w:t>，盖章处按要求盖章或签字，递交至招标代理公司。</w:t>
            </w:r>
          </w:p>
        </w:tc>
      </w:tr>
      <w:tr w14:paraId="03261150">
        <w:tblPrEx>
          <w:tblCellMar>
            <w:top w:w="0" w:type="dxa"/>
            <w:left w:w="108" w:type="dxa"/>
            <w:bottom w:w="0" w:type="dxa"/>
            <w:right w:w="108" w:type="dxa"/>
          </w:tblCellMar>
        </w:tblPrEx>
        <w:trPr>
          <w:trHeight w:val="434"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6296B6A1">
            <w:pPr>
              <w:bidi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3</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7D4E895F">
            <w:pPr>
              <w:bidi w:val="0"/>
              <w:spacing w:line="360" w:lineRule="auto"/>
              <w:jc w:val="center"/>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最高限价</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526FFF3D">
            <w:pPr>
              <w:bidi w:val="0"/>
              <w:spacing w:line="360" w:lineRule="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rPr>
              <w:t>最高限价</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520000.00元。</w:t>
            </w:r>
          </w:p>
        </w:tc>
      </w:tr>
      <w:tr w14:paraId="73865BE2">
        <w:tblPrEx>
          <w:tblCellMar>
            <w:top w:w="0" w:type="dxa"/>
            <w:left w:w="108" w:type="dxa"/>
            <w:bottom w:w="0" w:type="dxa"/>
            <w:right w:w="108" w:type="dxa"/>
          </w:tblCellMar>
        </w:tblPrEx>
        <w:trPr>
          <w:trHeight w:val="90"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2062035B">
            <w:pPr>
              <w:bidi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24</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7607D729">
            <w:pPr>
              <w:bidi w:val="0"/>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代理服务费</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1EC086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中标单位在领取本项目中标通知书时，具体以实际中标价参考【国家发展改革委关于进一步放开建设项目专业服务价格的通知】发改价格〔2015〕299号）及《招标代理服务收费有关问题》（发改办价格〔2003〕857号文）中规定，由中标单位向招标代理机构支付本项目代理费。</w:t>
            </w:r>
          </w:p>
        </w:tc>
      </w:tr>
      <w:tr w14:paraId="1C163A09">
        <w:tblPrEx>
          <w:tblCellMar>
            <w:top w:w="0" w:type="dxa"/>
            <w:left w:w="108" w:type="dxa"/>
            <w:bottom w:w="0" w:type="dxa"/>
            <w:right w:w="108" w:type="dxa"/>
          </w:tblCellMar>
        </w:tblPrEx>
        <w:trPr>
          <w:trHeight w:val="567"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63891EA4">
            <w:pPr>
              <w:bidi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25</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581DB12F">
            <w:pPr>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提出质疑的时间</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09CAB4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1.供应商认为采购文件、采购过程、中标或者成交结果使自己的权益受到损害的，可以在知道或者应知其权益受到损害之日起7个工作日内，以书面形式向采购人、采购代理机构提出质疑。</w:t>
            </w:r>
          </w:p>
          <w:p w14:paraId="7F3FBE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2.提出质疑的供应商（以下简称质疑供应商）应当是参与所质疑项目采购活动的供应商。</w:t>
            </w:r>
          </w:p>
          <w:p w14:paraId="3D46D7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3.对采购文件提出质疑的，应当在获取采购文件或者采购文件公告期限届满之日起7个工作日内提出。</w:t>
            </w:r>
          </w:p>
          <w:p w14:paraId="6E1CB5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4.质疑函应当包括下列内容：</w:t>
            </w:r>
          </w:p>
          <w:p w14:paraId="3223C7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（一）供应商的姓名或者名称、地址、邮编、联系人及联系电话；</w:t>
            </w:r>
          </w:p>
          <w:p w14:paraId="160E48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（二）质疑项目的名称、编号；</w:t>
            </w:r>
          </w:p>
          <w:p w14:paraId="4BC795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（三）具体、明确的质疑事项和与质疑事项相关的请求；</w:t>
            </w:r>
          </w:p>
          <w:p w14:paraId="462305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（四）事实依据；</w:t>
            </w:r>
          </w:p>
          <w:p w14:paraId="7DDB64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（五）必要的法律依据；</w:t>
            </w:r>
          </w:p>
          <w:p w14:paraId="2F6EA9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（六）提出质疑的日期。</w:t>
            </w:r>
          </w:p>
          <w:p w14:paraId="19284F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供应商为自然人的，应当由本人签字；供应商为法人或者其他组织的，应当由法定代表人、主要负责人，或者其授权代表签字或者盖章，并加盖公章。</w:t>
            </w:r>
          </w:p>
          <w:p w14:paraId="177371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5.接收质疑函的方式：现场递交纸质版及Word格式电子版质疑文件（一式两份）。</w:t>
            </w:r>
          </w:p>
        </w:tc>
      </w:tr>
      <w:tr w14:paraId="492DA7BC">
        <w:tblPrEx>
          <w:tblCellMar>
            <w:top w:w="0" w:type="dxa"/>
            <w:left w:w="108" w:type="dxa"/>
            <w:bottom w:w="0" w:type="dxa"/>
            <w:right w:w="108" w:type="dxa"/>
          </w:tblCellMar>
        </w:tblPrEx>
        <w:trPr>
          <w:trHeight w:val="567"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6941C108">
            <w:pPr>
              <w:bidi w:val="0"/>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7A17CEF5">
            <w:pPr>
              <w:pStyle w:val="9"/>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sz w:val="24"/>
                <w:szCs w:val="24"/>
                <w:highlight w:val="none"/>
                <w:lang w:val="en-US" w:eastAsia="zh-CN"/>
              </w:rPr>
              <w:t>解密时间</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22D556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供应商应当在投标文件递交截止时间前，将生成的“电子加密投标文件”上传递交至“政府采购云平台”。投标文件递交截止时间以后上传递交的投标文件将被“政府采购云平台”拒收。</w:t>
            </w:r>
          </w:p>
          <w:p w14:paraId="34F847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投标文件开启时间后30分钟内（2026年6月4日10:30-11:00前）供应商可以登录“政采云”平台，用“项目采购－开标评标”功能进行解密投标文件。若供应商在规定时间内（2026年6月4日11:00前）未按时解密的，视为投标文件撤回。</w:t>
            </w:r>
          </w:p>
        </w:tc>
      </w:tr>
      <w:tr w14:paraId="61A6B78D">
        <w:tblPrEx>
          <w:tblCellMar>
            <w:top w:w="0" w:type="dxa"/>
            <w:left w:w="108" w:type="dxa"/>
            <w:bottom w:w="0" w:type="dxa"/>
            <w:right w:w="108" w:type="dxa"/>
          </w:tblCellMar>
        </w:tblPrEx>
        <w:trPr>
          <w:trHeight w:val="567"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402C6C1A">
            <w:pPr>
              <w:bidi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27</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32EC0BF4">
            <w:pPr>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知识产权</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7E73F8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供应商须保证，采购人在中华人民共和国境内使用投标设施设备、资料、技术、服务或其任何一部分时，享有不受限制的无偿使用权，不会产生因第三方提出侵犯其专利权、商标权或其他知识产权而引起的法律或经济纠纷。如供应商不拥有相应的知识产权，则在投标报价中必须包括合法获取该知识产权的一切相关费用。如因此导致采购人损失的，供应商须承担全部赔偿责任。</w:t>
            </w:r>
          </w:p>
          <w:p w14:paraId="32A954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2.供应商如欲在项目实施过程中采用自有知识成果，须在响应文件中声明，并提供相关知识产权证明文件。使用该知识成果后，供应商须提供开发接口和开发手册等技术文档。</w:t>
            </w:r>
          </w:p>
        </w:tc>
      </w:tr>
      <w:tr w14:paraId="45B13C48">
        <w:tblPrEx>
          <w:tblCellMar>
            <w:top w:w="0" w:type="dxa"/>
            <w:left w:w="108" w:type="dxa"/>
            <w:bottom w:w="0" w:type="dxa"/>
            <w:right w:w="108" w:type="dxa"/>
          </w:tblCellMar>
        </w:tblPrEx>
        <w:trPr>
          <w:trHeight w:val="27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081C376D">
            <w:pPr>
              <w:bidi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28</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6C63C4EA">
            <w:pPr>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政府采购</w:t>
            </w:r>
          </w:p>
          <w:p w14:paraId="0B774EB7">
            <w:pPr>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政策支持</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7312B7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促进中小企业发展政策：根据《政府采购促进中小企业发展暂行办法》规定，如本项目供应商为小型或微型企业且报价产品为小型或微型企业生产的，货物服务采购项目给予小微企业的价格扣除优惠，由财库〔2020〕46号文件规定的6%～10%提高至10%～20%。大中型企业与小微企业组成联合体或者大中型企业向小微企业分包的，评审优惠幅度由2%～3%提高至4%～6%。</w:t>
            </w:r>
          </w:p>
          <w:p w14:paraId="0EE75A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监狱企业扶持政策：供应商如为监狱企业将视同小型或微型企业，且报价产品为小型或微型企业生产的，将对该产品的评标报价给予10%～20%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14:paraId="25FD99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3.残疾人福利性单位视同小型、微型企业。不重复享受政策。</w:t>
            </w:r>
          </w:p>
          <w:p w14:paraId="5C44E7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列入财政部会同国务院有关部门发布的节能产品、环境标志产品品目清单，供应商应当提供国家确定的认证机构出具的、处于有效期之内的节能产品、环境标志产品认证证书。</w:t>
            </w:r>
          </w:p>
        </w:tc>
      </w:tr>
      <w:tr w14:paraId="6173C522">
        <w:tblPrEx>
          <w:tblCellMar>
            <w:top w:w="0" w:type="dxa"/>
            <w:left w:w="108" w:type="dxa"/>
            <w:bottom w:w="0" w:type="dxa"/>
            <w:right w:w="108" w:type="dxa"/>
          </w:tblCellMar>
        </w:tblPrEx>
        <w:trPr>
          <w:trHeight w:val="4580"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7D3E645F">
            <w:pPr>
              <w:bidi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29</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1C4410EB">
            <w:pPr>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其他说明</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732A5F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请投标单位提前自学线上开标流程；投标截止时间当天，线上开标环节，响应文件解密时长30分钟，请各投标亲自带笔记本电脑及CA锁网上进行文件解密以及操作投标事项，请供应商提前调试好在线参标电脑各项配置。</w:t>
            </w:r>
          </w:p>
          <w:p w14:paraId="039163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sz w:val="24"/>
                <w:szCs w:val="24"/>
                <w:lang w:val="en-US" w:eastAsia="zh-CN"/>
              </w:rPr>
              <w:t>2.竞争性磋商文件中采购清单、技术需求等如有偏差，如有疑义请在澄清中及时提出；否则视为充分理解竞争性磋商文件各项要求。3.本次采用政府采购云平台线上招标、投标，请各潜在供应商及时办理CA锁和学习政府采购云平台线上投标相关知识。请在政府采购云平台登录后，进行下载竞争性磋商文件。请各供应商获取竞争性磋商文件后及时关注云平台答疑文件获取栏目。具体相关事宜见政府采购云平台。本项目采用资格后审，请供应商仔细阅读竞争性磋商文件和各项要求，在制作文件及相关资料过程中，若因供应商资格条件不符、提供资料不全等原因导致响应文件予以退还，责任自负。竞争性磋商文件中如有内容冲突的地方，以供应商须知要求为准。</w:t>
            </w:r>
          </w:p>
        </w:tc>
      </w:tr>
      <w:tr w14:paraId="646E97B1">
        <w:tblPrEx>
          <w:tblCellMar>
            <w:top w:w="0" w:type="dxa"/>
            <w:left w:w="108" w:type="dxa"/>
            <w:bottom w:w="0" w:type="dxa"/>
            <w:right w:w="108" w:type="dxa"/>
          </w:tblCellMar>
        </w:tblPrEx>
        <w:trPr>
          <w:trHeight w:val="567"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3F0EC8CA">
            <w:pPr>
              <w:bidi w:val="0"/>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7D390B4D">
            <w:pPr>
              <w:bidi w:val="0"/>
              <w:spacing w:line="360" w:lineRule="auto"/>
              <w:jc w:val="center"/>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备注</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24AD70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4"/>
                <w:szCs w:val="24"/>
                <w:lang w:val="zh-CN" w:eastAsia="zh-CN"/>
              </w:rPr>
            </w:pPr>
            <w:r>
              <w:rPr>
                <w:rFonts w:hint="eastAsia" w:asciiTheme="minorEastAsia" w:hAnsiTheme="minorEastAsia" w:eastAsiaTheme="minorEastAsia" w:cstheme="minorEastAsia"/>
                <w:b/>
                <w:bCs/>
                <w:color w:val="auto"/>
                <w:sz w:val="24"/>
                <w:szCs w:val="24"/>
                <w:lang w:val="zh-CN" w:eastAsia="zh-CN"/>
              </w:rPr>
              <w:t>1.竞争性磋商文件中废标、无效标、投标被拒绝字样的条款，为招标的实质性要求和条件，着重提醒各投标人注意，并认真查看竞争性磋商文件中的每一个条款及要求，因误读竞争性磋商文件而造成的后果，招标人概不负责。</w:t>
            </w:r>
          </w:p>
          <w:p w14:paraId="09481E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zh-CN" w:eastAsia="zh-CN"/>
              </w:rPr>
              <w:t>2.响应文件中有弄虚作假的内容，其响应文件作废。（如假证书、假业绩、隐瞒不良行为记录、夸大荣誉、使用非本单位在职员工的相关证件及不符合竞争性磋商文件规定的条款等）；在签订合同之前，投标人如发现投标人的响应文件有弄虚作假内容，招标人可拒绝与其签订合同，并将其列入政府采购黑名单库。</w:t>
            </w:r>
          </w:p>
        </w:tc>
      </w:tr>
      <w:tr w14:paraId="0201DC9D">
        <w:tblPrEx>
          <w:tblCellMar>
            <w:top w:w="0" w:type="dxa"/>
            <w:left w:w="108" w:type="dxa"/>
            <w:bottom w:w="0" w:type="dxa"/>
            <w:right w:w="108" w:type="dxa"/>
          </w:tblCellMar>
        </w:tblPrEx>
        <w:trPr>
          <w:trHeight w:val="567"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0BA7C982">
            <w:pPr>
              <w:bidi w:val="0"/>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7E7A72E0">
            <w:pPr>
              <w:bidi w:val="0"/>
              <w:spacing w:line="360" w:lineRule="auto"/>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报价</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0F690FD9">
            <w:pPr>
              <w:bidi w:val="0"/>
              <w:spacing w:line="360" w:lineRule="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两次</w:t>
            </w:r>
          </w:p>
        </w:tc>
      </w:tr>
    </w:tbl>
    <w:p w14:paraId="7C37889E">
      <w:pPr>
        <w:widowControl/>
        <w:adjustRightInd w:val="0"/>
        <w:snapToGrid w:val="0"/>
        <w:spacing w:line="312" w:lineRule="auto"/>
        <w:jc w:val="left"/>
        <w:rPr>
          <w:rFonts w:hint="eastAsia" w:asciiTheme="minorEastAsia" w:hAnsiTheme="minorEastAsia" w:eastAsiaTheme="minorEastAsia" w:cstheme="minorEastAsia"/>
          <w:b/>
          <w:bCs/>
          <w:color w:val="auto"/>
          <w:sz w:val="36"/>
          <w:szCs w:val="36"/>
          <w:lang w:val="en-US" w:eastAsia="zh-CN"/>
        </w:rPr>
      </w:pPr>
      <w:r>
        <w:rPr>
          <w:rFonts w:hint="eastAsia" w:asciiTheme="minorEastAsia" w:hAnsiTheme="minorEastAsia" w:eastAsiaTheme="minorEastAsia" w:cstheme="minorEastAsia"/>
          <w:color w:val="auto"/>
          <w:sz w:val="24"/>
          <w:szCs w:val="24"/>
        </w:rPr>
        <w:t>本表的具体资料是对投标人须知的具体补充和修改，如有矛盾，应以本前附表为准。</w:t>
      </w:r>
      <w:bookmarkStart w:id="23" w:name="_Toc25716"/>
    </w:p>
    <w:p w14:paraId="6A06478F">
      <w:pPr>
        <w:bidi w:val="0"/>
        <w:jc w:val="center"/>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lang w:val="en-US" w:eastAsia="zh-CN"/>
        </w:rPr>
        <w:t>供应商须知正文部分</w:t>
      </w:r>
      <w:bookmarkEnd w:id="23"/>
    </w:p>
    <w:p w14:paraId="6B2892BA">
      <w:pPr>
        <w:pStyle w:val="3"/>
        <w:numPr>
          <w:ilvl w:val="0"/>
          <w:numId w:val="0"/>
        </w:numPr>
        <w:bidi w:val="0"/>
        <w:ind w:leftChars="0"/>
        <w:jc w:val="center"/>
        <w:rPr>
          <w:rFonts w:hint="eastAsia" w:asciiTheme="minorEastAsia" w:hAnsiTheme="minorEastAsia" w:eastAsiaTheme="minorEastAsia" w:cstheme="minorEastAsia"/>
          <w:color w:val="auto"/>
          <w:sz w:val="32"/>
          <w:szCs w:val="32"/>
        </w:rPr>
      </w:pPr>
      <w:bookmarkStart w:id="24" w:name="_Toc15356"/>
      <w:bookmarkStart w:id="25" w:name="_Toc6529"/>
      <w:bookmarkStart w:id="26" w:name="_Toc19272"/>
      <w:bookmarkStart w:id="27" w:name="_Toc19026"/>
      <w:bookmarkStart w:id="28" w:name="_Toc1706"/>
      <w:bookmarkStart w:id="29" w:name="_Toc21821"/>
      <w:bookmarkStart w:id="30" w:name="_Toc7140"/>
      <w:bookmarkStart w:id="31" w:name="_Toc2078"/>
      <w:bookmarkStart w:id="32" w:name="_Toc27410"/>
      <w:bookmarkStart w:id="33" w:name="_Toc18439"/>
      <w:bookmarkStart w:id="34" w:name="_Toc23291"/>
      <w:bookmarkStart w:id="35" w:name="_Toc12052"/>
      <w:r>
        <w:rPr>
          <w:rFonts w:hint="eastAsia" w:asciiTheme="minorEastAsia" w:hAnsiTheme="minorEastAsia" w:eastAsiaTheme="minorEastAsia" w:cstheme="minorEastAsia"/>
          <w:color w:val="auto"/>
          <w:sz w:val="32"/>
          <w:szCs w:val="32"/>
          <w:lang w:val="en-US" w:eastAsia="zh-CN"/>
        </w:rPr>
        <w:t>一、</w:t>
      </w:r>
      <w:r>
        <w:rPr>
          <w:rFonts w:hint="eastAsia" w:asciiTheme="minorEastAsia" w:hAnsiTheme="minorEastAsia" w:eastAsiaTheme="minorEastAsia" w:cstheme="minorEastAsia"/>
          <w:color w:val="auto"/>
          <w:sz w:val="32"/>
          <w:szCs w:val="32"/>
        </w:rPr>
        <w:t>总  则</w:t>
      </w:r>
      <w:bookmarkEnd w:id="24"/>
      <w:bookmarkEnd w:id="25"/>
      <w:bookmarkEnd w:id="26"/>
      <w:bookmarkEnd w:id="27"/>
      <w:bookmarkEnd w:id="28"/>
      <w:bookmarkEnd w:id="29"/>
      <w:bookmarkEnd w:id="30"/>
      <w:bookmarkEnd w:id="31"/>
      <w:bookmarkEnd w:id="32"/>
      <w:bookmarkEnd w:id="33"/>
      <w:bookmarkEnd w:id="34"/>
      <w:bookmarkEnd w:id="35"/>
    </w:p>
    <w:p w14:paraId="6D2E27D8">
      <w:pPr>
        <w:bidi w:val="0"/>
        <w:spacing w:line="360" w:lineRule="auto"/>
        <w:rPr>
          <w:rFonts w:hint="eastAsia" w:asciiTheme="minorEastAsia" w:hAnsiTheme="minorEastAsia" w:eastAsiaTheme="minorEastAsia" w:cstheme="minorEastAsia"/>
          <w:b/>
          <w:bCs/>
          <w:color w:val="auto"/>
          <w:sz w:val="24"/>
          <w:szCs w:val="24"/>
        </w:rPr>
      </w:pPr>
      <w:bookmarkStart w:id="36" w:name="_Toc20661"/>
      <w:bookmarkStart w:id="37" w:name="_Toc15894"/>
      <w:bookmarkStart w:id="38" w:name="_Toc2677"/>
      <w:r>
        <w:rPr>
          <w:rFonts w:hint="eastAsia" w:asciiTheme="minorEastAsia" w:hAnsiTheme="minorEastAsia" w:eastAsiaTheme="minorEastAsia" w:cstheme="minorEastAsia"/>
          <w:b/>
          <w:bCs/>
          <w:color w:val="auto"/>
          <w:sz w:val="24"/>
          <w:szCs w:val="24"/>
        </w:rPr>
        <w:t>1  合格的供应商</w:t>
      </w:r>
      <w:bookmarkEnd w:id="36"/>
      <w:bookmarkEnd w:id="37"/>
      <w:bookmarkEnd w:id="38"/>
    </w:p>
    <w:p w14:paraId="7EB9C766">
      <w:pPr>
        <w:numPr>
          <w:ilvl w:val="1"/>
          <w:numId w:val="5"/>
        </w:num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供应商参加政府采购活动应当具备下列条件：</w:t>
      </w:r>
    </w:p>
    <w:p w14:paraId="5F6DD68A">
      <w:pPr>
        <w:keepNext w:val="0"/>
        <w:keepLines w:val="0"/>
        <w:pageBreakBefore w:val="0"/>
        <w:widowControl w:val="0"/>
        <w:kinsoku/>
        <w:wordWrap/>
        <w:overflowPunct/>
        <w:topLinePunct w:val="0"/>
        <w:autoSpaceDE/>
        <w:autoSpaceDN/>
        <w:bidi w:val="0"/>
        <w:adjustRightInd/>
        <w:snapToGrid/>
        <w:spacing w:line="42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1.1.1满足《中华人民共和国政府采购法》第二十二条规定；</w:t>
      </w:r>
    </w:p>
    <w:p w14:paraId="6BCB5540">
      <w:pPr>
        <w:keepNext w:val="0"/>
        <w:keepLines w:val="0"/>
        <w:pageBreakBefore w:val="0"/>
        <w:widowControl w:val="0"/>
        <w:kinsoku/>
        <w:wordWrap/>
        <w:overflowPunct/>
        <w:topLinePunct w:val="0"/>
        <w:autoSpaceDE/>
        <w:autoSpaceDN/>
        <w:bidi w:val="0"/>
        <w:adjustRightInd/>
        <w:snapToGrid/>
        <w:spacing w:line="42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（1）具有独立承担民事责任的能力；</w:t>
      </w:r>
    </w:p>
    <w:p w14:paraId="6C4AD7A0">
      <w:pPr>
        <w:keepNext w:val="0"/>
        <w:keepLines w:val="0"/>
        <w:pageBreakBefore w:val="0"/>
        <w:widowControl w:val="0"/>
        <w:kinsoku/>
        <w:wordWrap/>
        <w:overflowPunct/>
        <w:topLinePunct w:val="0"/>
        <w:autoSpaceDE/>
        <w:autoSpaceDN/>
        <w:bidi w:val="0"/>
        <w:adjustRightInd/>
        <w:snapToGrid/>
        <w:spacing w:line="42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（2）具有健全的财务会计制度；</w:t>
      </w:r>
    </w:p>
    <w:p w14:paraId="78226E95">
      <w:pPr>
        <w:keepNext w:val="0"/>
        <w:keepLines w:val="0"/>
        <w:pageBreakBefore w:val="0"/>
        <w:widowControl w:val="0"/>
        <w:kinsoku/>
        <w:wordWrap/>
        <w:overflowPunct/>
        <w:topLinePunct w:val="0"/>
        <w:autoSpaceDE/>
        <w:autoSpaceDN/>
        <w:bidi w:val="0"/>
        <w:adjustRightInd/>
        <w:snapToGrid/>
        <w:spacing w:line="42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（3）具有履行合同所必需的设备和专业技术能力；</w:t>
      </w:r>
    </w:p>
    <w:p w14:paraId="5640AF3B">
      <w:pPr>
        <w:keepNext w:val="0"/>
        <w:keepLines w:val="0"/>
        <w:pageBreakBefore w:val="0"/>
        <w:widowControl w:val="0"/>
        <w:kinsoku/>
        <w:wordWrap/>
        <w:overflowPunct/>
        <w:topLinePunct w:val="0"/>
        <w:autoSpaceDE/>
        <w:autoSpaceDN/>
        <w:bidi w:val="0"/>
        <w:adjustRightInd/>
        <w:snapToGrid/>
        <w:spacing w:line="42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（4）有依法缴纳税收和社会保障资金的良好记录：</w:t>
      </w:r>
    </w:p>
    <w:p w14:paraId="3719EA92">
      <w:pPr>
        <w:keepNext w:val="0"/>
        <w:keepLines w:val="0"/>
        <w:pageBreakBefore w:val="0"/>
        <w:widowControl w:val="0"/>
        <w:kinsoku/>
        <w:wordWrap/>
        <w:overflowPunct/>
        <w:topLinePunct w:val="0"/>
        <w:autoSpaceDE/>
        <w:autoSpaceDN/>
        <w:bidi w:val="0"/>
        <w:adjustRightInd/>
        <w:snapToGrid/>
        <w:spacing w:line="42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en-US"/>
        </w:rPr>
      </w:pPr>
      <w:r>
        <w:rPr>
          <w:rFonts w:hint="eastAsia" w:asciiTheme="minorEastAsia" w:hAnsiTheme="minorEastAsia" w:eastAsiaTheme="minorEastAsia" w:cstheme="minorEastAsia"/>
          <w:color w:val="auto"/>
          <w:sz w:val="24"/>
          <w:szCs w:val="24"/>
          <w:lang w:val="en-US" w:eastAsia="zh-CN"/>
        </w:rPr>
        <w:t>（5）参加政府采购活动前三年内，在经营活动中没有重大违法记录。</w:t>
      </w:r>
    </w:p>
    <w:p w14:paraId="2EAD3170">
      <w:pPr>
        <w:keepNext w:val="0"/>
        <w:keepLines w:val="0"/>
        <w:pageBreakBefore w:val="0"/>
        <w:widowControl w:val="0"/>
        <w:kinsoku/>
        <w:wordWrap/>
        <w:overflowPunct/>
        <w:topLinePunct w:val="0"/>
        <w:autoSpaceDE/>
        <w:autoSpaceDN/>
        <w:bidi w:val="0"/>
        <w:adjustRightInd/>
        <w:snapToGrid/>
        <w:spacing w:line="42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（6）法律、行政法规规定的其他条件。</w:t>
      </w:r>
    </w:p>
    <w:p w14:paraId="559310FD">
      <w:pPr>
        <w:keepNext w:val="0"/>
        <w:keepLines w:val="0"/>
        <w:pageBreakBefore w:val="0"/>
        <w:widowControl w:val="0"/>
        <w:kinsoku/>
        <w:wordWrap/>
        <w:overflowPunct/>
        <w:topLinePunct w:val="0"/>
        <w:autoSpaceDE/>
        <w:autoSpaceDN/>
        <w:bidi w:val="0"/>
        <w:adjustRightInd/>
        <w:snapToGrid/>
        <w:spacing w:line="42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1.1.2.落实政府采购政策需满足的资格要求：</w:t>
      </w:r>
    </w:p>
    <w:p w14:paraId="6CE4F9C5">
      <w:pPr>
        <w:keepNext w:val="0"/>
        <w:keepLines w:val="0"/>
        <w:pageBreakBefore w:val="0"/>
        <w:widowControl w:val="0"/>
        <w:kinsoku/>
        <w:wordWrap/>
        <w:overflowPunct/>
        <w:topLinePunct w:val="0"/>
        <w:autoSpaceDE/>
        <w:autoSpaceDN/>
        <w:bidi w:val="0"/>
        <w:adjustRightInd/>
        <w:snapToGrid/>
        <w:spacing w:line="42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（1）按照《政府采购促进中小企业发展管理办法》（财库〔2020〕46号）的规定，落实支持中小企业发展。</w:t>
      </w:r>
    </w:p>
    <w:p w14:paraId="475C3CFA">
      <w:pPr>
        <w:keepNext w:val="0"/>
        <w:keepLines w:val="0"/>
        <w:pageBreakBefore w:val="0"/>
        <w:widowControl w:val="0"/>
        <w:kinsoku/>
        <w:wordWrap/>
        <w:overflowPunct/>
        <w:topLinePunct w:val="0"/>
        <w:autoSpaceDE/>
        <w:autoSpaceDN/>
        <w:bidi w:val="0"/>
        <w:adjustRightInd/>
        <w:snapToGrid/>
        <w:spacing w:line="42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（2）按照《财政部、司法部关于政府采购支持监狱企业发展有关问题的通知》（财库〔2014〕68号）的规定，落实支持监狱企业发展政策；</w:t>
      </w:r>
    </w:p>
    <w:p w14:paraId="3C3ECA35">
      <w:pPr>
        <w:keepNext w:val="0"/>
        <w:keepLines w:val="0"/>
        <w:pageBreakBefore w:val="0"/>
        <w:widowControl w:val="0"/>
        <w:kinsoku/>
        <w:wordWrap/>
        <w:overflowPunct/>
        <w:topLinePunct w:val="0"/>
        <w:autoSpaceDE/>
        <w:autoSpaceDN/>
        <w:bidi w:val="0"/>
        <w:adjustRightInd/>
        <w:snapToGrid/>
        <w:spacing w:line="42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（3）按照《三部门联合发布关于促进残疾人就业政府采购政策的通知》（财库〔2017〕141号）的规定，落实支持残疾人福利性单位发展政策。</w:t>
      </w:r>
    </w:p>
    <w:p w14:paraId="2CA1E4B9">
      <w:pPr>
        <w:keepNext w:val="0"/>
        <w:keepLines w:val="0"/>
        <w:pageBreakBefore w:val="0"/>
        <w:widowControl w:val="0"/>
        <w:kinsoku/>
        <w:wordWrap/>
        <w:overflowPunct/>
        <w:topLinePunct w:val="0"/>
        <w:autoSpaceDE/>
        <w:autoSpaceDN/>
        <w:bidi w:val="0"/>
        <w:adjustRightInd/>
        <w:snapToGrid/>
        <w:spacing w:line="42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（4）落实政府采购政策需满足的资格要求：本项目为专门面向小微企业采购项目，供应商须按要求提供中小微企业申明函或监狱企业的证明文件或残疾人福利性单位声明函；</w:t>
      </w:r>
    </w:p>
    <w:p w14:paraId="70331418">
      <w:pPr>
        <w:keepNext w:val="0"/>
        <w:keepLines w:val="0"/>
        <w:pageBreakBefore w:val="0"/>
        <w:widowControl w:val="0"/>
        <w:kinsoku/>
        <w:wordWrap/>
        <w:overflowPunct/>
        <w:topLinePunct w:val="0"/>
        <w:autoSpaceDE/>
        <w:autoSpaceDN/>
        <w:bidi w:val="0"/>
        <w:adjustRightInd/>
        <w:snapToGrid/>
        <w:spacing w:line="42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1.1.3.本项目的特定资格要求：</w:t>
      </w:r>
    </w:p>
    <w:p w14:paraId="299A6504">
      <w:pPr>
        <w:keepNext w:val="0"/>
        <w:keepLines w:val="0"/>
        <w:pageBreakBefore w:val="0"/>
        <w:widowControl w:val="0"/>
        <w:kinsoku/>
        <w:wordWrap/>
        <w:overflowPunct/>
        <w:topLinePunct w:val="0"/>
        <w:autoSpaceDE/>
        <w:autoSpaceDN/>
        <w:bidi w:val="0"/>
        <w:adjustRightInd/>
        <w:snapToGrid/>
        <w:spacing w:line="42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（1）具有《国土资源部关于印发〈矿业权评估管理办法（试行）〉的通知》（国土资发〔2008〕174号）要求的机构和人员资质；</w:t>
      </w:r>
    </w:p>
    <w:p w14:paraId="37F19A01">
      <w:pPr>
        <w:keepNext w:val="0"/>
        <w:keepLines w:val="0"/>
        <w:pageBreakBefore w:val="0"/>
        <w:widowControl w:val="0"/>
        <w:kinsoku/>
        <w:wordWrap/>
        <w:overflowPunct/>
        <w:topLinePunct w:val="0"/>
        <w:autoSpaceDE/>
        <w:autoSpaceDN/>
        <w:bidi w:val="0"/>
        <w:adjustRightInd/>
        <w:snapToGrid/>
        <w:spacing w:line="42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（2）项目负责人具备相关专业高级职称证书资格证且持有有效矿业权评估师执业证书；</w:t>
      </w:r>
    </w:p>
    <w:p w14:paraId="6BAE9FF9">
      <w:pPr>
        <w:keepNext w:val="0"/>
        <w:keepLines w:val="0"/>
        <w:pageBreakBefore w:val="0"/>
        <w:widowControl w:val="0"/>
        <w:kinsoku/>
        <w:wordWrap/>
        <w:overflowPunct/>
        <w:topLinePunct w:val="0"/>
        <w:autoSpaceDE/>
        <w:autoSpaceDN/>
        <w:bidi w:val="0"/>
        <w:adjustRightInd/>
        <w:snapToGrid/>
        <w:spacing w:line="42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（3）未被“信用中国”（www.creditchina.gov.cn）、中国政府采购网（www.ccgp.gov.cn）列入失信被执行人、重大税收违法案件当事人名单、政府采购严重违法失信行为记录名单；</w:t>
      </w:r>
    </w:p>
    <w:p w14:paraId="71631A81">
      <w:pPr>
        <w:keepNext w:val="0"/>
        <w:keepLines w:val="0"/>
        <w:pageBreakBefore w:val="0"/>
        <w:widowControl w:val="0"/>
        <w:kinsoku/>
        <w:wordWrap/>
        <w:overflowPunct/>
        <w:topLinePunct w:val="0"/>
        <w:autoSpaceDE/>
        <w:autoSpaceDN/>
        <w:bidi w:val="0"/>
        <w:adjustRightInd/>
        <w:snapToGrid/>
        <w:spacing w:line="42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1.1.4.本项目不接受联合体投标。</w:t>
      </w:r>
    </w:p>
    <w:p w14:paraId="7694987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1.1.5.本项目采购标的对应的中小企业划分标准所属行业为其他未列明行业。</w:t>
      </w:r>
    </w:p>
    <w:p w14:paraId="5F10D5C4">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 凡参加投标的供应商必须具有履行本</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规定的有关要求的能力，信誉良好。</w:t>
      </w:r>
    </w:p>
    <w:p w14:paraId="1B0E3B14">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 若采购人员及相关人员与供应商有下列利害关系之一的，应当回避：</w:t>
      </w:r>
    </w:p>
    <w:p w14:paraId="5CE23C65">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 参加采购活动前3年内与供应商存在劳动关系；</w:t>
      </w:r>
    </w:p>
    <w:p w14:paraId="29BD9DF0">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1.3.2 参加采购活动前3年内担任供应商的董事、监事；</w:t>
      </w:r>
    </w:p>
    <w:p w14:paraId="7C996320">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1.3.3 参加采购活动前3年内是供应商的控股股东或者实际控制人；</w:t>
      </w:r>
    </w:p>
    <w:p w14:paraId="27871082">
      <w:pPr>
        <w:bidi w:val="0"/>
        <w:spacing w:line="360" w:lineRule="auto"/>
        <w:ind w:firstLine="242"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1.3.4 与供应商的法定代表人或者负责人有夫妻、直系血亲、三代以内旁系血亲或者近姻亲关系；</w:t>
      </w:r>
    </w:p>
    <w:p w14:paraId="689A25D1">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1.3.5 与供应商有其他可能影响政府采购活动公平、公正进行的关系。</w:t>
      </w:r>
    </w:p>
    <w:p w14:paraId="5CF50AE8">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1.3.6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0EF9538">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 采购人或者采购代理机构有下列情形之一的，属于以不合理的条件对供应商实行差别待遇或者歧视待遇：</w:t>
      </w:r>
    </w:p>
    <w:p w14:paraId="6654CB41">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1.4.1 就同一采购项目向供应商提供有差别的项目信息；</w:t>
      </w:r>
    </w:p>
    <w:p w14:paraId="29202DDE">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1.4.2 设定的资格、技术、商务条件与采购项目的具体特点和实际需要不相适应或者与合同履行无关；</w:t>
      </w:r>
    </w:p>
    <w:p w14:paraId="572B2D0C">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1.4.3 采购需求中的技术、服务等要求指向特定供应商、特定产品；</w:t>
      </w:r>
    </w:p>
    <w:p w14:paraId="765FA803">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1.4.4 以特定行政区域或者特定行业的业绩、奖项作为中标</w:t>
      </w:r>
      <w:r>
        <w:rPr>
          <w:rFonts w:hint="eastAsia" w:asciiTheme="minorEastAsia" w:hAnsiTheme="minorEastAsia" w:eastAsiaTheme="minorEastAsia" w:cstheme="minorEastAsia"/>
          <w:color w:val="auto"/>
          <w:sz w:val="24"/>
          <w:szCs w:val="24"/>
          <w:lang w:val="en-US" w:eastAsia="zh-CN"/>
        </w:rPr>
        <w:t>和</w:t>
      </w:r>
      <w:r>
        <w:rPr>
          <w:rFonts w:hint="eastAsia" w:asciiTheme="minorEastAsia" w:hAnsiTheme="minorEastAsia" w:eastAsiaTheme="minorEastAsia" w:cstheme="minorEastAsia"/>
          <w:color w:val="auto"/>
          <w:sz w:val="24"/>
          <w:szCs w:val="24"/>
        </w:rPr>
        <w:t>成交条件；</w:t>
      </w:r>
    </w:p>
    <w:p w14:paraId="73C89D0F">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1.4.5 对供应商采取不同的资格审查或者评审标准；</w:t>
      </w:r>
    </w:p>
    <w:p w14:paraId="0F88CDE4">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1.4.6 限定或者指定特定的专利、商标、品牌或者供应商；</w:t>
      </w:r>
    </w:p>
    <w:p w14:paraId="79B8FB6C">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1.4.7 非法限定供应商的所有制形式、组织形式或者所在地；</w:t>
      </w:r>
    </w:p>
    <w:p w14:paraId="27761579">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1.4.8 以其他不合理条件限制或者排斥潜在供应商。</w:t>
      </w:r>
    </w:p>
    <w:p w14:paraId="75E30981">
      <w:pPr>
        <w:bidi w:val="0"/>
        <w:spacing w:line="360" w:lineRule="auto"/>
        <w:ind w:firstLine="484"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 有下列情形之一的，视为供应商串通投标，其投标无效：</w:t>
      </w:r>
    </w:p>
    <w:p w14:paraId="34EC9387">
      <w:pPr>
        <w:bidi w:val="0"/>
        <w:spacing w:line="360" w:lineRule="auto"/>
        <w:ind w:firstLine="484"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1.5.1不同供应商的响应文件由同一单位或者个人编制；</w:t>
      </w:r>
    </w:p>
    <w:p w14:paraId="1BC43811">
      <w:pPr>
        <w:bidi w:val="0"/>
        <w:spacing w:line="360" w:lineRule="auto"/>
        <w:ind w:firstLine="484"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1.5.2不同供应商委托同一单位或者个人办理投标事宜；</w:t>
      </w:r>
    </w:p>
    <w:p w14:paraId="76BDECAA">
      <w:pPr>
        <w:bidi w:val="0"/>
        <w:spacing w:line="360" w:lineRule="auto"/>
        <w:ind w:firstLine="484"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1.5.3不同供应商的响应文件载明的项目管理成员或者联系人员为同一人；</w:t>
      </w:r>
    </w:p>
    <w:p w14:paraId="27B5808A">
      <w:pPr>
        <w:bidi w:val="0"/>
        <w:spacing w:line="360" w:lineRule="auto"/>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1.5.4不同供应商的响应文件异常一致或者投标报价呈规律性差异；</w:t>
      </w:r>
    </w:p>
    <w:p w14:paraId="76A4612B">
      <w:pPr>
        <w:bidi w:val="0"/>
        <w:spacing w:line="360" w:lineRule="auto"/>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1.5.5不同供应商的响应文件相互混装；</w:t>
      </w:r>
    </w:p>
    <w:p w14:paraId="10DDB496">
      <w:pPr>
        <w:bidi w:val="0"/>
        <w:spacing w:line="360" w:lineRule="auto"/>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1.5.6不同供应商的投标保证金从同一单位或者个人的账户转出。</w:t>
      </w:r>
    </w:p>
    <w:p w14:paraId="1C41CCCB">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 xml:space="preserve"> 供应商在本次采购活动中，必须遵循《中华人民共和国政府采购法实施条例》等相关法令、法规的规定。</w:t>
      </w:r>
    </w:p>
    <w:p w14:paraId="767EF6F4">
      <w:pPr>
        <w:bidi w:val="0"/>
        <w:spacing w:line="360" w:lineRule="auto"/>
        <w:jc w:val="left"/>
        <w:rPr>
          <w:rFonts w:hint="eastAsia" w:asciiTheme="minorEastAsia" w:hAnsiTheme="minorEastAsia" w:eastAsiaTheme="minorEastAsia" w:cstheme="minorEastAsia"/>
          <w:b/>
          <w:bCs/>
          <w:color w:val="auto"/>
          <w:sz w:val="24"/>
          <w:szCs w:val="24"/>
        </w:rPr>
      </w:pPr>
      <w:bookmarkStart w:id="39" w:name="_Toc21361"/>
      <w:bookmarkStart w:id="40" w:name="_Toc13508"/>
      <w:bookmarkStart w:id="41" w:name="_Toc21311"/>
      <w:r>
        <w:rPr>
          <w:rFonts w:hint="eastAsia" w:asciiTheme="minorEastAsia" w:hAnsiTheme="minorEastAsia" w:eastAsiaTheme="minorEastAsia" w:cstheme="minorEastAsia"/>
          <w:b/>
          <w:bCs/>
          <w:color w:val="auto"/>
          <w:sz w:val="24"/>
          <w:szCs w:val="24"/>
        </w:rPr>
        <w:t>2  定义</w:t>
      </w:r>
      <w:bookmarkEnd w:id="39"/>
      <w:bookmarkEnd w:id="40"/>
      <w:bookmarkEnd w:id="41"/>
    </w:p>
    <w:p w14:paraId="138C1251">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2.1“采购人”系指依法进行政府采购的国家机关、事业单位、团体组织。</w:t>
      </w:r>
    </w:p>
    <w:p w14:paraId="2AF4F5A0">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2.2“采购代理机构”系指具备一定条件，经政府有关部门批准而依法拥有政府采购代理资格的社会中介机构。</w:t>
      </w:r>
    </w:p>
    <w:p w14:paraId="045CD482">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2.3“供应商”系指参加政府采购市场的合法供应</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"https://baike.baidu.com/item/%E4%B8%BB%E4%BD%93/2888766" \t "https://baike.baidu.com/item/%E6%94%BF%E5%BA%9C%E9%87%87%E8%B4%AD%E4%BE%9B%E5%BA%94%E5%95%86/_blank"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主体</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，具体是指向采购人提供货物、工程或者服务的法人、其他组织或者</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"https://baike.baidu.com/item/%E8%87%AA%E7%84%B6%E4%BA%BA/1465" \t "https://baike.baidu.com/item/%E6%94%BF%E5%BA%9C%E9%87%87%E8%B4%AD%E4%BE%9B%E5%BA%94%E5%95%86/_blank"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自然人</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w:t>
      </w:r>
    </w:p>
    <w:p w14:paraId="5FDF1036">
      <w:pPr>
        <w:bidi w:val="0"/>
        <w:spacing w:line="360" w:lineRule="auto"/>
        <w:ind w:firstLine="484"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2.4</w:t>
      </w:r>
      <w:r>
        <w:rPr>
          <w:rFonts w:hint="eastAsia" w:asciiTheme="minorEastAsia" w:hAnsiTheme="minorEastAsia" w:eastAsiaTheme="minorEastAsia" w:cstheme="minorEastAsia"/>
          <w:color w:val="auto"/>
          <w:sz w:val="24"/>
          <w:szCs w:val="24"/>
          <w:lang w:val="en-US" w:eastAsia="zh-CN"/>
        </w:rPr>
        <w:t>“采购”是指以合同方式有偿取得货物、工程或者服务的行为，包括购买、租赁、委托、雇用等。</w:t>
      </w:r>
    </w:p>
    <w:p w14:paraId="27F859C7">
      <w:pPr>
        <w:bidi w:val="0"/>
        <w:spacing w:line="360" w:lineRule="auto"/>
        <w:ind w:firstLine="484"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2.5“货物”是指各种形态和种类的物品，包括原材料、燃料、设备、产品等。</w:t>
      </w:r>
    </w:p>
    <w:p w14:paraId="610EC32C">
      <w:pPr>
        <w:bidi w:val="0"/>
        <w:spacing w:line="360" w:lineRule="auto"/>
        <w:ind w:firstLine="484"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2.6“工程”是指建设工程，包括建筑物和构筑物的新建、改建、扩建、装修、拆除、修缮等。</w:t>
      </w:r>
    </w:p>
    <w:p w14:paraId="43BD6A0E">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2.7“服务”是指除货物和工程以外的其他政府采购对象，包括政府自身需要的服务和政府向社会公众提供的公共服务。</w:t>
      </w:r>
    </w:p>
    <w:p w14:paraId="55742E74">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竞争性磋商</w:t>
      </w:r>
      <w:r>
        <w:rPr>
          <w:rFonts w:hint="eastAsia" w:asciiTheme="minorEastAsia" w:hAnsiTheme="minorEastAsia" w:eastAsiaTheme="minorEastAsia" w:cstheme="minorEastAsia"/>
          <w:color w:val="auto"/>
          <w:sz w:val="24"/>
          <w:szCs w:val="24"/>
        </w:rPr>
        <w:t>文件”系指由采购人向供应商发出的本采购项目的全部文件（包括修改文件、补充文件、答疑纪要、各种通知和附件等）。</w:t>
      </w:r>
    </w:p>
    <w:p w14:paraId="7A747005">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rPr>
        <w:t>文件”系指供应商根据</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提交的所有文件。</w:t>
      </w:r>
    </w:p>
    <w:p w14:paraId="41789A7D">
      <w:pPr>
        <w:bidi w:val="0"/>
        <w:spacing w:line="360" w:lineRule="auto"/>
        <w:jc w:val="left"/>
        <w:rPr>
          <w:rFonts w:hint="eastAsia" w:asciiTheme="minorEastAsia" w:hAnsiTheme="minorEastAsia" w:eastAsiaTheme="minorEastAsia" w:cstheme="minorEastAsia"/>
          <w:b/>
          <w:bCs/>
          <w:color w:val="auto"/>
          <w:sz w:val="24"/>
          <w:szCs w:val="24"/>
        </w:rPr>
      </w:pPr>
      <w:bookmarkStart w:id="42" w:name="_Toc8374"/>
      <w:bookmarkStart w:id="43" w:name="_Toc28507"/>
      <w:bookmarkStart w:id="44" w:name="_Toc9762"/>
      <w:r>
        <w:rPr>
          <w:rFonts w:hint="eastAsia" w:asciiTheme="minorEastAsia" w:hAnsiTheme="minorEastAsia" w:eastAsiaTheme="minorEastAsia" w:cstheme="minorEastAsia"/>
          <w:b/>
          <w:bCs/>
          <w:color w:val="auto"/>
          <w:sz w:val="24"/>
          <w:szCs w:val="24"/>
        </w:rPr>
        <w:t>3  文件费用</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无。</w:t>
      </w:r>
      <w:bookmarkEnd w:id="42"/>
      <w:bookmarkEnd w:id="43"/>
      <w:bookmarkEnd w:id="44"/>
    </w:p>
    <w:p w14:paraId="354FF821">
      <w:pPr>
        <w:bidi w:val="0"/>
        <w:spacing w:line="360" w:lineRule="auto"/>
        <w:jc w:val="left"/>
        <w:rPr>
          <w:rFonts w:hint="eastAsia" w:asciiTheme="minorEastAsia" w:hAnsiTheme="minorEastAsia" w:eastAsiaTheme="minorEastAsia" w:cstheme="minorEastAsia"/>
          <w:b/>
          <w:bCs/>
          <w:color w:val="auto"/>
          <w:sz w:val="24"/>
          <w:szCs w:val="24"/>
        </w:rPr>
      </w:pPr>
      <w:bookmarkStart w:id="45" w:name="_Toc9236"/>
      <w:bookmarkStart w:id="46" w:name="_Toc26674"/>
      <w:bookmarkStart w:id="47" w:name="_Toc12273"/>
      <w:r>
        <w:rPr>
          <w:rFonts w:hint="eastAsia" w:asciiTheme="minorEastAsia" w:hAnsiTheme="minorEastAsia" w:eastAsiaTheme="minorEastAsia" w:cstheme="minorEastAsia"/>
          <w:b/>
          <w:bCs/>
          <w:color w:val="auto"/>
          <w:sz w:val="24"/>
          <w:szCs w:val="24"/>
        </w:rPr>
        <w:t>4  采购内容</w:t>
      </w:r>
      <w:bookmarkEnd w:id="45"/>
      <w:bookmarkEnd w:id="46"/>
      <w:bookmarkEnd w:id="47"/>
    </w:p>
    <w:p w14:paraId="40F26032">
      <w:pPr>
        <w:bidi w:val="0"/>
        <w:spacing w:line="360" w:lineRule="auto"/>
        <w:ind w:left="563" w:leftChars="266"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4.1 采购内容</w:t>
      </w:r>
      <w:r>
        <w:rPr>
          <w:rFonts w:hint="eastAsia" w:asciiTheme="minorEastAsia" w:hAnsiTheme="minorEastAsia" w:eastAsiaTheme="minorEastAsia" w:cstheme="minorEastAsia"/>
          <w:color w:val="auto"/>
          <w:sz w:val="24"/>
          <w:szCs w:val="24"/>
          <w:lang w:eastAsia="zh-CN"/>
        </w:rPr>
        <w:t>：</w:t>
      </w:r>
    </w:p>
    <w:p w14:paraId="70E23750">
      <w:pPr>
        <w:bidi w:val="0"/>
        <w:spacing w:line="360" w:lineRule="auto"/>
        <w:ind w:firstLine="484" w:firstLineChars="20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伊吾县自然资源局通过购买第三方技术服务，由具备专业能力的第三方机构组织开展三塘湖至淖毛湖至骆驿铁路建设项目等三个重点项目26个配套砂石矿矿业权出让收益评估报告编制工作，推进三塘湖至淖毛湖至骆驿铁路建设项目、G335线诺木托拉依至下马崖乡公路建设项目、新疆铁路梧桐水至淖毛湖线建设项目等三个自治区重点项目配套砂石料场矿业权手续办理。</w:t>
      </w:r>
    </w:p>
    <w:p w14:paraId="49E90A69">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4.2 </w:t>
      </w:r>
      <w:r>
        <w:rPr>
          <w:rFonts w:hint="eastAsia" w:asciiTheme="minorEastAsia" w:hAnsiTheme="minorEastAsia" w:eastAsiaTheme="minorEastAsia" w:cstheme="minorEastAsia"/>
          <w:color w:val="auto"/>
          <w:sz w:val="24"/>
          <w:szCs w:val="24"/>
        </w:rPr>
        <w:t>采购项目</w:t>
      </w:r>
      <w:r>
        <w:rPr>
          <w:rFonts w:hint="eastAsia" w:asciiTheme="minorEastAsia" w:hAnsiTheme="minorEastAsia" w:eastAsiaTheme="minorEastAsia" w:cstheme="minorEastAsia"/>
          <w:color w:val="auto"/>
          <w:sz w:val="24"/>
          <w:szCs w:val="24"/>
          <w:lang w:eastAsia="zh-CN"/>
        </w:rPr>
        <w:t>基本服务</w:t>
      </w:r>
      <w:r>
        <w:rPr>
          <w:rFonts w:hint="eastAsia" w:asciiTheme="minorEastAsia" w:hAnsiTheme="minorEastAsia" w:eastAsiaTheme="minorEastAsia" w:cstheme="minorEastAsia"/>
          <w:color w:val="auto"/>
          <w:sz w:val="24"/>
          <w:szCs w:val="24"/>
        </w:rPr>
        <w:t>要求详见第三章；</w:t>
      </w:r>
    </w:p>
    <w:p w14:paraId="706E1463">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 xml:space="preserve"> 在采购活动中的标准按国家现行规定（国际标准、国家标准、部标或行业标准）执行。</w:t>
      </w:r>
    </w:p>
    <w:p w14:paraId="6C131769">
      <w:pPr>
        <w:bidi w:val="0"/>
        <w:spacing w:line="360" w:lineRule="auto"/>
        <w:jc w:val="left"/>
        <w:rPr>
          <w:rFonts w:hint="eastAsia" w:asciiTheme="minorEastAsia" w:hAnsiTheme="minorEastAsia" w:eastAsiaTheme="minorEastAsia" w:cstheme="minorEastAsia"/>
          <w:b/>
          <w:bCs/>
          <w:color w:val="auto"/>
          <w:sz w:val="24"/>
          <w:szCs w:val="24"/>
        </w:rPr>
      </w:pPr>
      <w:bookmarkStart w:id="48" w:name="_Toc2891"/>
      <w:bookmarkStart w:id="49" w:name="_Toc30414"/>
      <w:bookmarkStart w:id="50" w:name="_Toc13918"/>
      <w:r>
        <w:rPr>
          <w:rFonts w:hint="eastAsia" w:asciiTheme="minorEastAsia" w:hAnsiTheme="minorEastAsia" w:eastAsiaTheme="minorEastAsia" w:cstheme="minorEastAsia"/>
          <w:b/>
          <w:bCs/>
          <w:color w:val="auto"/>
          <w:sz w:val="24"/>
          <w:szCs w:val="24"/>
        </w:rPr>
        <w:t>5  有关说明</w:t>
      </w:r>
      <w:bookmarkEnd w:id="48"/>
      <w:bookmarkEnd w:id="49"/>
      <w:bookmarkEnd w:id="50"/>
    </w:p>
    <w:p w14:paraId="626E61ED">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 xml:space="preserve"> 规范要求和实际需要的内容，在</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中有漏项，务请在</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rPr>
        <w:t>文件中指出，并提供解决方案作实质性响应。</w:t>
      </w:r>
    </w:p>
    <w:p w14:paraId="7BE64ECE">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 xml:space="preserve"> 供应商根据招标文件载明的标的采购项目实际情况，拟在中标后将中标项目的非主体、非关键性工作交由他人完成的，应当在投标文件中载明。</w:t>
      </w:r>
    </w:p>
    <w:p w14:paraId="4864D713">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 xml:space="preserve"> 供应商应提供该项目技术支持和服务承诺书。</w:t>
      </w:r>
    </w:p>
    <w:p w14:paraId="319BAFDE">
      <w:pPr>
        <w:pStyle w:val="3"/>
        <w:numPr>
          <w:ilvl w:val="0"/>
          <w:numId w:val="0"/>
        </w:numPr>
        <w:bidi w:val="0"/>
        <w:ind w:leftChars="0"/>
        <w:jc w:val="center"/>
        <w:rPr>
          <w:rFonts w:hint="eastAsia" w:asciiTheme="minorEastAsia" w:hAnsiTheme="minorEastAsia" w:eastAsiaTheme="minorEastAsia" w:cstheme="minorEastAsia"/>
          <w:color w:val="auto"/>
          <w:sz w:val="32"/>
          <w:szCs w:val="32"/>
        </w:rPr>
      </w:pPr>
      <w:bookmarkStart w:id="51" w:name="_Toc17382"/>
      <w:bookmarkStart w:id="52" w:name="_Toc18640"/>
      <w:bookmarkStart w:id="53" w:name="_Toc4128"/>
      <w:bookmarkStart w:id="54" w:name="_Toc6626"/>
      <w:bookmarkStart w:id="55" w:name="_Toc18325"/>
      <w:bookmarkStart w:id="56" w:name="_Toc29028"/>
    </w:p>
    <w:p w14:paraId="03839663">
      <w:pPr>
        <w:pStyle w:val="3"/>
        <w:numPr>
          <w:ilvl w:val="0"/>
          <w:numId w:val="0"/>
        </w:numPr>
        <w:bidi w:val="0"/>
        <w:ind w:leftChars="0"/>
        <w:jc w:val="center"/>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二、</w:t>
      </w:r>
      <w:bookmarkEnd w:id="51"/>
      <w:bookmarkEnd w:id="52"/>
      <w:bookmarkEnd w:id="53"/>
      <w:bookmarkEnd w:id="54"/>
      <w:r>
        <w:rPr>
          <w:rFonts w:hint="eastAsia" w:asciiTheme="minorEastAsia" w:hAnsiTheme="minorEastAsia" w:eastAsiaTheme="minorEastAsia" w:cstheme="minorEastAsia"/>
          <w:color w:val="auto"/>
          <w:sz w:val="32"/>
          <w:szCs w:val="32"/>
          <w:lang w:eastAsia="zh-CN"/>
        </w:rPr>
        <w:t>竞争性磋商文件</w:t>
      </w:r>
      <w:bookmarkEnd w:id="55"/>
      <w:bookmarkEnd w:id="56"/>
    </w:p>
    <w:p w14:paraId="2D7DD706">
      <w:pPr>
        <w:bidi w:val="0"/>
        <w:spacing w:line="360" w:lineRule="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rPr>
        <w:t xml:space="preserve">6  </w:t>
      </w:r>
      <w:r>
        <w:rPr>
          <w:rFonts w:hint="eastAsia" w:asciiTheme="minorEastAsia" w:hAnsiTheme="minorEastAsia" w:eastAsiaTheme="minorEastAsia" w:cstheme="minorEastAsia"/>
          <w:b/>
          <w:bCs/>
          <w:color w:val="auto"/>
          <w:sz w:val="24"/>
          <w:szCs w:val="24"/>
          <w:lang w:eastAsia="zh-CN"/>
        </w:rPr>
        <w:t>竞争性磋商文件</w:t>
      </w:r>
    </w:p>
    <w:p w14:paraId="222BE4E3">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6.1 </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用以阐明所需</w:t>
      </w:r>
      <w:r>
        <w:rPr>
          <w:rFonts w:hint="eastAsia" w:asciiTheme="minorEastAsia" w:hAnsiTheme="minorEastAsia" w:eastAsiaTheme="minorEastAsia" w:cstheme="minorEastAsia"/>
          <w:color w:val="auto"/>
          <w:sz w:val="24"/>
          <w:szCs w:val="24"/>
          <w:lang w:val="en-US" w:eastAsia="zh-CN"/>
        </w:rPr>
        <w:t>货物、工程或者服务</w:t>
      </w:r>
      <w:r>
        <w:rPr>
          <w:rFonts w:hint="eastAsia" w:asciiTheme="minorEastAsia" w:hAnsiTheme="minorEastAsia" w:eastAsiaTheme="minorEastAsia" w:cstheme="minorEastAsia"/>
          <w:color w:val="auto"/>
          <w:sz w:val="24"/>
          <w:szCs w:val="24"/>
        </w:rPr>
        <w:t>采购程序和商务合同主要条款，包括：</w:t>
      </w:r>
    </w:p>
    <w:p w14:paraId="19139FA1">
      <w:pPr>
        <w:bidi w:val="0"/>
        <w:spacing w:line="360" w:lineRule="auto"/>
        <w:ind w:firstLine="484"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rPr>
        <w:t xml:space="preserve">第一章 </w:t>
      </w:r>
      <w:r>
        <w:rPr>
          <w:rFonts w:hint="eastAsia" w:asciiTheme="minorEastAsia" w:hAnsiTheme="minorEastAsia" w:eastAsiaTheme="minorEastAsia" w:cstheme="minorEastAsia"/>
          <w:b/>
          <w:bCs/>
          <w:color w:val="auto"/>
          <w:sz w:val="24"/>
          <w:szCs w:val="24"/>
          <w:lang w:eastAsia="zh-CN"/>
        </w:rPr>
        <w:t>竞争性磋商公告</w:t>
      </w:r>
    </w:p>
    <w:p w14:paraId="2D138F04">
      <w:pPr>
        <w:bidi w:val="0"/>
        <w:spacing w:line="360" w:lineRule="auto"/>
        <w:ind w:firstLine="484"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第二章 供应商须知</w:t>
      </w:r>
    </w:p>
    <w:p w14:paraId="3A4C797D">
      <w:p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      </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供应商须知前附表</w:t>
      </w:r>
    </w:p>
    <w:p w14:paraId="3762B379">
      <w:p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      </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供应商须知正文部分</w:t>
      </w:r>
    </w:p>
    <w:p w14:paraId="49331F66">
      <w:pPr>
        <w:bidi w:val="0"/>
        <w:spacing w:line="360" w:lineRule="auto"/>
        <w:ind w:firstLine="484"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rPr>
        <w:t xml:space="preserve">第三章 </w:t>
      </w:r>
      <w:r>
        <w:rPr>
          <w:rFonts w:hint="eastAsia" w:asciiTheme="minorEastAsia" w:hAnsiTheme="minorEastAsia" w:eastAsiaTheme="minorEastAsia" w:cstheme="minorEastAsia"/>
          <w:b/>
          <w:bCs/>
          <w:color w:val="auto"/>
          <w:sz w:val="24"/>
          <w:szCs w:val="24"/>
          <w:lang w:eastAsia="zh-CN"/>
        </w:rPr>
        <w:t>采购内容及技术要求</w:t>
      </w:r>
    </w:p>
    <w:p w14:paraId="59B923EB">
      <w:pPr>
        <w:bidi w:val="0"/>
        <w:spacing w:line="360" w:lineRule="auto"/>
        <w:ind w:firstLine="484"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eastAsia="zh-CN"/>
        </w:rPr>
        <w:t>第四章</w:t>
      </w:r>
      <w:r>
        <w:rPr>
          <w:rFonts w:hint="eastAsia" w:asciiTheme="minorEastAsia" w:hAnsiTheme="minorEastAsia" w:eastAsiaTheme="minorEastAsia" w:cstheme="minorEastAsia"/>
          <w:b/>
          <w:bCs/>
          <w:color w:val="auto"/>
          <w:sz w:val="24"/>
          <w:szCs w:val="24"/>
        </w:rPr>
        <w:t xml:space="preserve"> 合同</w:t>
      </w:r>
      <w:r>
        <w:rPr>
          <w:rFonts w:hint="eastAsia" w:asciiTheme="minorEastAsia" w:hAnsiTheme="minorEastAsia" w:eastAsiaTheme="minorEastAsia" w:cstheme="minorEastAsia"/>
          <w:b/>
          <w:bCs/>
          <w:color w:val="auto"/>
          <w:sz w:val="24"/>
          <w:szCs w:val="24"/>
          <w:lang w:eastAsia="zh-CN"/>
        </w:rPr>
        <w:t>条款</w:t>
      </w:r>
    </w:p>
    <w:p w14:paraId="556DFF84">
      <w:pPr>
        <w:bidi w:val="0"/>
        <w:spacing w:line="360" w:lineRule="auto"/>
        <w:ind w:firstLine="484"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第五章</w:t>
      </w:r>
      <w:r>
        <w:rPr>
          <w:rFonts w:hint="eastAsia" w:asciiTheme="minorEastAsia" w:hAnsiTheme="minorEastAsia" w:eastAsiaTheme="minorEastAsia" w:cstheme="minorEastAsia"/>
          <w:b/>
          <w:bCs/>
          <w:color w:val="auto"/>
          <w:sz w:val="24"/>
          <w:szCs w:val="24"/>
        </w:rPr>
        <w:t xml:space="preserve"> 主要</w:t>
      </w:r>
      <w:r>
        <w:rPr>
          <w:rFonts w:hint="eastAsia" w:asciiTheme="minorEastAsia" w:hAnsiTheme="minorEastAsia" w:eastAsiaTheme="minorEastAsia" w:cstheme="minorEastAsia"/>
          <w:b/>
          <w:bCs/>
          <w:color w:val="auto"/>
          <w:sz w:val="24"/>
          <w:szCs w:val="24"/>
          <w:lang w:val="en-US" w:eastAsia="zh-CN"/>
        </w:rPr>
        <w:t>响应</w:t>
      </w:r>
      <w:r>
        <w:rPr>
          <w:rFonts w:hint="eastAsia" w:asciiTheme="minorEastAsia" w:hAnsiTheme="minorEastAsia" w:eastAsiaTheme="minorEastAsia" w:cstheme="minorEastAsia"/>
          <w:b/>
          <w:bCs/>
          <w:color w:val="auto"/>
          <w:sz w:val="24"/>
          <w:szCs w:val="24"/>
        </w:rPr>
        <w:t xml:space="preserve">文件的格式及其内容  </w:t>
      </w:r>
    </w:p>
    <w:p w14:paraId="0F3A2E7D">
      <w:pPr>
        <w:keepNext w:val="0"/>
        <w:keepLines w:val="0"/>
        <w:pageBreakBefore w:val="0"/>
        <w:widowControl w:val="0"/>
        <w:kinsoku/>
        <w:wordWrap/>
        <w:overflowPunct/>
        <w:topLinePunct w:val="0"/>
        <w:autoSpaceDE/>
        <w:autoSpaceDN/>
        <w:bidi w:val="0"/>
        <w:adjustRightInd/>
        <w:spacing w:line="500" w:lineRule="exact"/>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（1）投标函；</w:t>
      </w:r>
    </w:p>
    <w:p w14:paraId="4342C03B">
      <w:pPr>
        <w:keepNext w:val="0"/>
        <w:keepLines w:val="0"/>
        <w:pageBreakBefore w:val="0"/>
        <w:widowControl w:val="0"/>
        <w:kinsoku/>
        <w:wordWrap/>
        <w:overflowPunct/>
        <w:topLinePunct w:val="0"/>
        <w:autoSpaceDE/>
        <w:autoSpaceDN/>
        <w:bidi w:val="0"/>
        <w:adjustRightInd/>
        <w:spacing w:line="500" w:lineRule="exact"/>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（2）法定代表人资格证明及授权委托书；</w:t>
      </w:r>
    </w:p>
    <w:p w14:paraId="1E081B0F">
      <w:pPr>
        <w:keepNext w:val="0"/>
        <w:keepLines w:val="0"/>
        <w:pageBreakBefore w:val="0"/>
        <w:widowControl w:val="0"/>
        <w:kinsoku/>
        <w:wordWrap/>
        <w:overflowPunct/>
        <w:topLinePunct w:val="0"/>
        <w:autoSpaceDE/>
        <w:autoSpaceDN/>
        <w:bidi w:val="0"/>
        <w:adjustRightInd/>
        <w:spacing w:line="500" w:lineRule="exact"/>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（3）报价一览表；</w:t>
      </w:r>
    </w:p>
    <w:p w14:paraId="2A6EC717">
      <w:pPr>
        <w:keepNext w:val="0"/>
        <w:keepLines w:val="0"/>
        <w:pageBreakBefore w:val="0"/>
        <w:widowControl w:val="0"/>
        <w:kinsoku/>
        <w:wordWrap/>
        <w:overflowPunct/>
        <w:topLinePunct w:val="0"/>
        <w:autoSpaceDE/>
        <w:autoSpaceDN/>
        <w:bidi w:val="0"/>
        <w:adjustRightInd/>
        <w:spacing w:line="500" w:lineRule="exact"/>
        <w:ind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（4）采购内容及技术要求；</w:t>
      </w:r>
    </w:p>
    <w:p w14:paraId="14E76BBD">
      <w:pPr>
        <w:keepNext w:val="0"/>
        <w:keepLines w:val="0"/>
        <w:pageBreakBefore w:val="0"/>
        <w:widowControl w:val="0"/>
        <w:kinsoku/>
        <w:wordWrap/>
        <w:overflowPunct/>
        <w:topLinePunct w:val="0"/>
        <w:autoSpaceDE/>
        <w:autoSpaceDN/>
        <w:bidi w:val="0"/>
        <w:adjustRightInd/>
        <w:spacing w:line="500" w:lineRule="exact"/>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（5）反商业贿赂承诺书；</w:t>
      </w:r>
    </w:p>
    <w:p w14:paraId="25A27C31">
      <w:pPr>
        <w:keepNext w:val="0"/>
        <w:keepLines w:val="0"/>
        <w:pageBreakBefore w:val="0"/>
        <w:widowControl w:val="0"/>
        <w:kinsoku/>
        <w:wordWrap/>
        <w:overflowPunct/>
        <w:topLinePunct w:val="0"/>
        <w:autoSpaceDE/>
        <w:autoSpaceDN/>
        <w:bidi w:val="0"/>
        <w:adjustRightInd/>
        <w:spacing w:line="500" w:lineRule="exact"/>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（6）商务条款偏离表；</w:t>
      </w:r>
    </w:p>
    <w:p w14:paraId="5A3E4261">
      <w:pPr>
        <w:keepNext w:val="0"/>
        <w:keepLines w:val="0"/>
        <w:pageBreakBefore w:val="0"/>
        <w:widowControl w:val="0"/>
        <w:kinsoku/>
        <w:wordWrap/>
        <w:overflowPunct/>
        <w:topLinePunct w:val="0"/>
        <w:autoSpaceDE/>
        <w:autoSpaceDN/>
        <w:bidi w:val="0"/>
        <w:adjustRightInd/>
        <w:spacing w:line="500" w:lineRule="exact"/>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（7）近</w:t>
      </w: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rPr>
        <w:t>年同类项目业绩表；</w:t>
      </w:r>
    </w:p>
    <w:p w14:paraId="1A166F87">
      <w:pPr>
        <w:keepNext w:val="0"/>
        <w:keepLines w:val="0"/>
        <w:pageBreakBefore w:val="0"/>
        <w:widowControl w:val="0"/>
        <w:kinsoku/>
        <w:wordWrap/>
        <w:overflowPunct/>
        <w:topLinePunct w:val="0"/>
        <w:autoSpaceDE/>
        <w:autoSpaceDN/>
        <w:bidi w:val="0"/>
        <w:adjustRightInd/>
        <w:spacing w:line="500" w:lineRule="exact"/>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（8）拟派项目负责人简历表及拟投入本项目的主要成员表；</w:t>
      </w:r>
    </w:p>
    <w:p w14:paraId="00D468BA">
      <w:pPr>
        <w:keepNext w:val="0"/>
        <w:keepLines w:val="0"/>
        <w:pageBreakBefore w:val="0"/>
        <w:widowControl w:val="0"/>
        <w:kinsoku/>
        <w:wordWrap/>
        <w:overflowPunct/>
        <w:topLinePunct w:val="0"/>
        <w:autoSpaceDE/>
        <w:autoSpaceDN/>
        <w:bidi w:val="0"/>
        <w:adjustRightInd/>
        <w:spacing w:line="500" w:lineRule="exact"/>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（9）关于资格的声明函；</w:t>
      </w:r>
    </w:p>
    <w:p w14:paraId="1A9A615D">
      <w:pPr>
        <w:keepNext w:val="0"/>
        <w:keepLines w:val="0"/>
        <w:pageBreakBefore w:val="0"/>
        <w:widowControl w:val="0"/>
        <w:kinsoku/>
        <w:wordWrap/>
        <w:overflowPunct/>
        <w:topLinePunct w:val="0"/>
        <w:autoSpaceDE/>
        <w:autoSpaceDN/>
        <w:bidi w:val="0"/>
        <w:adjustRightInd/>
        <w:spacing w:line="500" w:lineRule="exact"/>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（10）技术参数偏离表；</w:t>
      </w:r>
    </w:p>
    <w:p w14:paraId="7F4B8ED2">
      <w:pPr>
        <w:keepNext w:val="0"/>
        <w:keepLines w:val="0"/>
        <w:pageBreakBefore w:val="0"/>
        <w:widowControl w:val="0"/>
        <w:kinsoku/>
        <w:wordWrap/>
        <w:overflowPunct/>
        <w:topLinePunct w:val="0"/>
        <w:autoSpaceDE/>
        <w:autoSpaceDN/>
        <w:bidi w:val="0"/>
        <w:adjustRightInd/>
        <w:spacing w:line="500" w:lineRule="exact"/>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（11）技术支持及服务承诺书（格式自拟）；</w:t>
      </w:r>
    </w:p>
    <w:p w14:paraId="751ABD8F">
      <w:pPr>
        <w:keepNext w:val="0"/>
        <w:keepLines w:val="0"/>
        <w:pageBreakBefore w:val="0"/>
        <w:widowControl w:val="0"/>
        <w:kinsoku/>
        <w:wordWrap/>
        <w:overflowPunct/>
        <w:topLinePunct w:val="0"/>
        <w:autoSpaceDE/>
        <w:autoSpaceDN/>
        <w:bidi w:val="0"/>
        <w:adjustRightInd/>
        <w:spacing w:line="500" w:lineRule="exact"/>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（12）中小企业声明函；</w:t>
      </w:r>
    </w:p>
    <w:p w14:paraId="6CEA88C4">
      <w:pPr>
        <w:keepNext w:val="0"/>
        <w:keepLines w:val="0"/>
        <w:pageBreakBefore w:val="0"/>
        <w:widowControl w:val="0"/>
        <w:kinsoku/>
        <w:wordWrap/>
        <w:overflowPunct/>
        <w:topLinePunct w:val="0"/>
        <w:autoSpaceDE/>
        <w:autoSpaceDN/>
        <w:bidi w:val="0"/>
        <w:adjustRightInd/>
        <w:spacing w:line="500" w:lineRule="exact"/>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（13）监狱企业声明函（监狱企业适用）；</w:t>
      </w:r>
    </w:p>
    <w:p w14:paraId="2390A661">
      <w:pPr>
        <w:pStyle w:val="18"/>
        <w:keepNext w:val="0"/>
        <w:keepLines w:val="0"/>
        <w:pageBreakBefore w:val="0"/>
        <w:widowControl w:val="0"/>
        <w:kinsoku/>
        <w:wordWrap/>
        <w:overflowPunct/>
        <w:topLinePunct w:val="0"/>
        <w:autoSpaceDE/>
        <w:autoSpaceDN/>
        <w:bidi w:val="0"/>
        <w:adjustRightInd/>
        <w:spacing w:line="500" w:lineRule="exact"/>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（14）残疾人福利性单位声明函</w:t>
      </w:r>
    </w:p>
    <w:p w14:paraId="2DDBEF5C">
      <w:pPr>
        <w:pStyle w:val="18"/>
        <w:keepNext w:val="0"/>
        <w:keepLines w:val="0"/>
        <w:pageBreakBefore w:val="0"/>
        <w:widowControl w:val="0"/>
        <w:kinsoku/>
        <w:wordWrap/>
        <w:overflowPunct/>
        <w:topLinePunct w:val="0"/>
        <w:autoSpaceDE/>
        <w:autoSpaceDN/>
        <w:bidi w:val="0"/>
        <w:adjustRightInd/>
        <w:spacing w:line="500" w:lineRule="exact"/>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w:t>
      </w:r>
      <w:r>
        <w:rPr>
          <w:rFonts w:hint="eastAsia" w:asciiTheme="minorEastAsia" w:hAnsiTheme="minorEastAsia" w:eastAsiaTheme="minorEastAsia" w:cstheme="minorEastAsia"/>
          <w:color w:val="auto"/>
          <w:sz w:val="24"/>
          <w:szCs w:val="24"/>
          <w:lang w:val="en-US" w:eastAsia="zh-CN"/>
        </w:rPr>
        <w:t>项目实施方案</w:t>
      </w:r>
      <w:r>
        <w:rPr>
          <w:rFonts w:hint="eastAsia" w:asciiTheme="minorEastAsia" w:hAnsiTheme="minorEastAsia" w:eastAsiaTheme="minorEastAsia" w:cstheme="minorEastAsia"/>
          <w:color w:val="auto"/>
          <w:sz w:val="24"/>
          <w:szCs w:val="24"/>
        </w:rPr>
        <w:t>（格式自拟）</w:t>
      </w:r>
    </w:p>
    <w:p w14:paraId="55631FCB">
      <w:pPr>
        <w:pStyle w:val="18"/>
        <w:keepNext w:val="0"/>
        <w:keepLines w:val="0"/>
        <w:pageBreakBefore w:val="0"/>
        <w:widowControl w:val="0"/>
        <w:kinsoku/>
        <w:wordWrap/>
        <w:overflowPunct/>
        <w:topLinePunct w:val="0"/>
        <w:autoSpaceDE/>
        <w:autoSpaceDN/>
        <w:bidi w:val="0"/>
        <w:adjustRightInd/>
        <w:spacing w:line="500" w:lineRule="exact"/>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16</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项目档案管理方案</w:t>
      </w:r>
      <w:r>
        <w:rPr>
          <w:rFonts w:hint="eastAsia" w:asciiTheme="minorEastAsia" w:hAnsiTheme="minorEastAsia" w:eastAsiaTheme="minorEastAsia" w:cstheme="minorEastAsia"/>
          <w:color w:val="auto"/>
          <w:sz w:val="24"/>
          <w:szCs w:val="24"/>
        </w:rPr>
        <w:t>（格式自拟）</w:t>
      </w:r>
    </w:p>
    <w:p w14:paraId="2D1D6166">
      <w:pPr>
        <w:pStyle w:val="18"/>
        <w:keepNext w:val="0"/>
        <w:keepLines w:val="0"/>
        <w:pageBreakBefore w:val="0"/>
        <w:widowControl w:val="0"/>
        <w:kinsoku/>
        <w:wordWrap/>
        <w:overflowPunct/>
        <w:topLinePunct w:val="0"/>
        <w:autoSpaceDE/>
        <w:autoSpaceDN/>
        <w:bidi w:val="0"/>
        <w:adjustRightInd/>
        <w:spacing w:line="500" w:lineRule="exact"/>
        <w:ind w:firstLine="484"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17</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后续服务方案、合理化建议、服务承诺和承接本项目的优势</w:t>
      </w:r>
      <w:r>
        <w:rPr>
          <w:rFonts w:hint="eastAsia" w:asciiTheme="minorEastAsia" w:hAnsiTheme="minorEastAsia" w:eastAsiaTheme="minorEastAsia" w:cstheme="minorEastAsia"/>
          <w:color w:val="auto"/>
          <w:sz w:val="24"/>
          <w:szCs w:val="24"/>
        </w:rPr>
        <w:t>（格式自拟）</w:t>
      </w:r>
    </w:p>
    <w:p w14:paraId="17637D39">
      <w:pPr>
        <w:keepNext w:val="0"/>
        <w:keepLines w:val="0"/>
        <w:pageBreakBefore w:val="0"/>
        <w:widowControl w:val="0"/>
        <w:kinsoku/>
        <w:wordWrap/>
        <w:overflowPunct/>
        <w:topLinePunct w:val="0"/>
        <w:autoSpaceDE/>
        <w:autoSpaceDN/>
        <w:bidi w:val="0"/>
        <w:adjustRightInd/>
        <w:spacing w:line="500" w:lineRule="exact"/>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（18）要求提供</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其他</w:t>
      </w:r>
      <w:r>
        <w:rPr>
          <w:rFonts w:hint="eastAsia" w:asciiTheme="minorEastAsia" w:hAnsiTheme="minorEastAsia" w:eastAsiaTheme="minorEastAsia" w:cstheme="minorEastAsia"/>
          <w:color w:val="auto"/>
          <w:sz w:val="24"/>
          <w:szCs w:val="24"/>
        </w:rPr>
        <w:t>材料以及供应商认为需要提交的材料（格式自拟）。</w:t>
      </w:r>
    </w:p>
    <w:p w14:paraId="4ABFFEE7">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供应商应认真阅读</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中所有的事项、格式、条款和规范等要求。如果没有按照</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要求提交全部资料或者</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rPr>
        <w:t>文件没有对</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做出实质性响应，其</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rPr>
        <w:t>文件可能被拒绝。</w:t>
      </w:r>
    </w:p>
    <w:p w14:paraId="13870719">
      <w:p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7  </w:t>
      </w:r>
      <w:r>
        <w:rPr>
          <w:rFonts w:hint="eastAsia" w:asciiTheme="minorEastAsia" w:hAnsiTheme="minorEastAsia" w:eastAsiaTheme="minorEastAsia" w:cstheme="minorEastAsia"/>
          <w:b/>
          <w:bCs/>
          <w:color w:val="auto"/>
          <w:sz w:val="24"/>
          <w:szCs w:val="24"/>
          <w:lang w:eastAsia="zh-CN"/>
        </w:rPr>
        <w:t>竞争性磋商文件</w:t>
      </w:r>
      <w:r>
        <w:rPr>
          <w:rFonts w:hint="eastAsia" w:asciiTheme="minorEastAsia" w:hAnsiTheme="minorEastAsia" w:eastAsiaTheme="minorEastAsia" w:cstheme="minorEastAsia"/>
          <w:b/>
          <w:bCs/>
          <w:color w:val="auto"/>
          <w:sz w:val="24"/>
          <w:szCs w:val="24"/>
        </w:rPr>
        <w:t>的澄清</w:t>
      </w:r>
    </w:p>
    <w:p w14:paraId="1767D723">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 采购人或者采购代理机构可以对已发出的</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资格预审文件、投标邀请书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进行必要的澄清或者修改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但不得改变采购标的和资格条件。澄清或者修改应当在原公告发布媒体上发布澄清公告。澄清或者修改的内容为</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资格预审文件、投标邀请书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的组成部分。</w:t>
      </w:r>
    </w:p>
    <w:p w14:paraId="150143D6">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澄清或者修改的内容可能影响</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rPr>
        <w:t>文件编制的，采购人或者采购代理机构应当在投标截止时间至少</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日前，以书面形式通知所有获取</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的潜在供应商；不足</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日的，采购人或者采购代理机构可顺延提交</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rPr>
        <w:t>文件的截止时间。</w:t>
      </w:r>
    </w:p>
    <w:p w14:paraId="4F6EF21C">
      <w:p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8  </w:t>
      </w:r>
      <w:r>
        <w:rPr>
          <w:rFonts w:hint="eastAsia" w:asciiTheme="minorEastAsia" w:hAnsiTheme="minorEastAsia" w:eastAsiaTheme="minorEastAsia" w:cstheme="minorEastAsia"/>
          <w:b/>
          <w:bCs/>
          <w:color w:val="auto"/>
          <w:sz w:val="24"/>
          <w:szCs w:val="24"/>
          <w:lang w:eastAsia="zh-CN"/>
        </w:rPr>
        <w:t>竞争性磋商文件</w:t>
      </w:r>
      <w:r>
        <w:rPr>
          <w:rFonts w:hint="eastAsia" w:asciiTheme="minorEastAsia" w:hAnsiTheme="minorEastAsia" w:eastAsiaTheme="minorEastAsia" w:cstheme="minorEastAsia"/>
          <w:b/>
          <w:bCs/>
          <w:color w:val="auto"/>
          <w:sz w:val="24"/>
          <w:szCs w:val="24"/>
        </w:rPr>
        <w:t>的修改</w:t>
      </w:r>
    </w:p>
    <w:p w14:paraId="5C136A92">
      <w:pPr>
        <w:bidi w:val="0"/>
        <w:spacing w:line="360" w:lineRule="auto"/>
        <w:ind w:firstLine="484" w:firstLineChars="200"/>
        <w:rPr>
          <w:rFonts w:hint="eastAsia" w:asciiTheme="minorEastAsia" w:hAnsiTheme="minorEastAsia" w:eastAsiaTheme="minorEastAsia" w:cstheme="minorEastAsia"/>
          <w:color w:val="auto"/>
          <w:sz w:val="24"/>
          <w:szCs w:val="24"/>
        </w:rPr>
      </w:pPr>
      <w:bookmarkStart w:id="57" w:name="_Toc8777"/>
      <w:bookmarkStart w:id="58" w:name="_Toc4140"/>
      <w:bookmarkStart w:id="59" w:name="_Toc4805"/>
      <w:bookmarkStart w:id="60" w:name="_Toc13169"/>
      <w:bookmarkStart w:id="61" w:name="_Toc7406"/>
      <w:bookmarkStart w:id="62" w:name="_Toc29841"/>
      <w:r>
        <w:rPr>
          <w:rFonts w:hint="eastAsia" w:asciiTheme="minorEastAsia" w:hAnsiTheme="minorEastAsia" w:eastAsiaTheme="minorEastAsia" w:cstheme="minorEastAsia"/>
          <w:color w:val="auto"/>
          <w:sz w:val="24"/>
          <w:szCs w:val="24"/>
        </w:rPr>
        <w:t>8.1 采购人可以视采购具体情况，延长投标截止时间和开标时间，但至少应当在</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要求提交</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rPr>
        <w:t>文件的截止时间3日前，将变更时间书面通知所有</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收受人，并在财政部门指定的政府采购信息发布媒体上发布变更公告。</w:t>
      </w:r>
    </w:p>
    <w:p w14:paraId="077C24AE">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8.2 </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的修改将以书面通知所有</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收受人，并对供应商具有约束力。</w:t>
      </w:r>
    </w:p>
    <w:p w14:paraId="07EA1136">
      <w:pPr>
        <w:pStyle w:val="3"/>
        <w:numPr>
          <w:ilvl w:val="0"/>
          <w:numId w:val="0"/>
        </w:numPr>
        <w:bidi w:val="0"/>
        <w:ind w:leftChars="0"/>
        <w:jc w:val="center"/>
        <w:rPr>
          <w:rFonts w:hint="eastAsia" w:asciiTheme="minorEastAsia" w:hAnsiTheme="minorEastAsia" w:eastAsiaTheme="minorEastAsia" w:cstheme="minorEastAsia"/>
          <w:color w:val="auto"/>
          <w:sz w:val="32"/>
          <w:szCs w:val="32"/>
        </w:rPr>
      </w:pPr>
      <w:bookmarkStart w:id="63" w:name="_Toc26361"/>
      <w:bookmarkStart w:id="64" w:name="_Toc14881"/>
      <w:bookmarkStart w:id="65" w:name="_Toc32526"/>
      <w:bookmarkStart w:id="66" w:name="_Toc3540"/>
      <w:bookmarkStart w:id="67" w:name="_Toc5967"/>
      <w:bookmarkStart w:id="68" w:name="_Toc13096"/>
      <w:r>
        <w:rPr>
          <w:rFonts w:hint="eastAsia" w:asciiTheme="minorEastAsia" w:hAnsiTheme="minorEastAsia" w:eastAsiaTheme="minorEastAsia" w:cstheme="minorEastAsia"/>
          <w:color w:val="auto"/>
          <w:sz w:val="32"/>
          <w:szCs w:val="32"/>
        </w:rPr>
        <w:t xml:space="preserve">三、 </w:t>
      </w:r>
      <w:bookmarkEnd w:id="57"/>
      <w:bookmarkEnd w:id="58"/>
      <w:bookmarkEnd w:id="59"/>
      <w:bookmarkEnd w:id="60"/>
      <w:bookmarkEnd w:id="61"/>
      <w:bookmarkEnd w:id="62"/>
      <w:r>
        <w:rPr>
          <w:rFonts w:hint="eastAsia" w:asciiTheme="minorEastAsia" w:hAnsiTheme="minorEastAsia" w:eastAsiaTheme="minorEastAsia" w:cstheme="minorEastAsia"/>
          <w:color w:val="auto"/>
          <w:sz w:val="32"/>
          <w:szCs w:val="32"/>
          <w:lang w:val="en-US" w:eastAsia="zh-CN"/>
        </w:rPr>
        <w:t>响应</w:t>
      </w:r>
      <w:r>
        <w:rPr>
          <w:rFonts w:hint="eastAsia" w:asciiTheme="minorEastAsia" w:hAnsiTheme="minorEastAsia" w:eastAsiaTheme="minorEastAsia" w:cstheme="minorEastAsia"/>
          <w:color w:val="auto"/>
          <w:sz w:val="32"/>
          <w:szCs w:val="32"/>
        </w:rPr>
        <w:t>文件的编制</w:t>
      </w:r>
      <w:bookmarkEnd w:id="63"/>
      <w:bookmarkEnd w:id="64"/>
      <w:bookmarkEnd w:id="65"/>
      <w:bookmarkEnd w:id="66"/>
      <w:bookmarkEnd w:id="67"/>
      <w:bookmarkEnd w:id="68"/>
    </w:p>
    <w:p w14:paraId="3250B946">
      <w:p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9  </w:t>
      </w:r>
      <w:r>
        <w:rPr>
          <w:rFonts w:hint="eastAsia" w:asciiTheme="minorEastAsia" w:hAnsiTheme="minorEastAsia" w:eastAsiaTheme="minorEastAsia" w:cstheme="minorEastAsia"/>
          <w:b/>
          <w:bCs/>
          <w:color w:val="auto"/>
          <w:sz w:val="24"/>
          <w:szCs w:val="24"/>
          <w:lang w:val="en-US" w:eastAsia="zh-CN"/>
        </w:rPr>
        <w:t>响应</w:t>
      </w:r>
      <w:r>
        <w:rPr>
          <w:rFonts w:hint="eastAsia" w:asciiTheme="minorEastAsia" w:hAnsiTheme="minorEastAsia" w:eastAsiaTheme="minorEastAsia" w:cstheme="minorEastAsia"/>
          <w:b/>
          <w:bCs/>
          <w:color w:val="auto"/>
          <w:sz w:val="24"/>
          <w:szCs w:val="24"/>
        </w:rPr>
        <w:t>文件的编写</w:t>
      </w:r>
    </w:p>
    <w:p w14:paraId="1FCC3337">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9.1 供应商应仔细阅读</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了解</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的要求。在充分理解</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、技术规范及标准、项目采购需求、合同文本（主要内容）后编制</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rPr>
        <w:t>文件。</w:t>
      </w:r>
    </w:p>
    <w:p w14:paraId="1588D33C">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9.2 投标供应商编制电子</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rPr>
        <w:t>文件可参考《政府采购项目电子交易管理操作指南</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供应商》，在政采云《帮助文档》下载。</w:t>
      </w:r>
    </w:p>
    <w:p w14:paraId="3A67160F">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9.3 </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rPr>
        <w:t>文件中需要分别对资格审查要求、符合性审查要求、开标一览表、</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逐一关联响应。</w:t>
      </w:r>
    </w:p>
    <w:p w14:paraId="74982101">
      <w:pPr>
        <w:bidi w:val="0"/>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 xml:space="preserve">10  </w:t>
      </w:r>
      <w:r>
        <w:rPr>
          <w:rFonts w:hint="eastAsia" w:asciiTheme="minorEastAsia" w:hAnsiTheme="minorEastAsia" w:eastAsiaTheme="minorEastAsia" w:cstheme="minorEastAsia"/>
          <w:b/>
          <w:bCs/>
          <w:color w:val="auto"/>
          <w:sz w:val="28"/>
          <w:szCs w:val="28"/>
          <w:lang w:eastAsia="zh-CN"/>
        </w:rPr>
        <w:t>响应文件</w:t>
      </w:r>
      <w:r>
        <w:rPr>
          <w:rFonts w:hint="eastAsia" w:asciiTheme="minorEastAsia" w:hAnsiTheme="minorEastAsia" w:eastAsiaTheme="minorEastAsia" w:cstheme="minorEastAsia"/>
          <w:b/>
          <w:bCs/>
          <w:color w:val="auto"/>
          <w:sz w:val="28"/>
          <w:szCs w:val="28"/>
        </w:rPr>
        <w:t>的语言及计量单位</w:t>
      </w:r>
    </w:p>
    <w:p w14:paraId="2AEF4611">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10.1 </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以及供应商和采购人及采购代理机构就有关采购活动的所有文件和来往函件，应以中文书写。供应商可以提交用其他语言（原文）打印的资料，但必须翻译成中文，当原文和译文（中文）之间</w:t>
      </w:r>
      <w:r>
        <w:rPr>
          <w:rFonts w:hint="eastAsia" w:asciiTheme="minorEastAsia" w:hAnsiTheme="minorEastAsia" w:eastAsiaTheme="minorEastAsia" w:cstheme="minorEastAsia"/>
          <w:color w:val="auto"/>
          <w:sz w:val="24"/>
          <w:szCs w:val="24"/>
          <w:lang w:eastAsia="zh-CN"/>
        </w:rPr>
        <w:t>存在</w:t>
      </w:r>
      <w:r>
        <w:rPr>
          <w:rFonts w:hint="eastAsia" w:asciiTheme="minorEastAsia" w:hAnsiTheme="minorEastAsia" w:eastAsiaTheme="minorEastAsia" w:cstheme="minorEastAsia"/>
          <w:color w:val="auto"/>
          <w:sz w:val="24"/>
          <w:szCs w:val="24"/>
        </w:rPr>
        <w:t>差异和/或矛盾时，以中文为准。</w:t>
      </w:r>
    </w:p>
    <w:p w14:paraId="38E57EEA">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10.2 </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中所使用的计量单位除</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中有特殊规定外，一律使用法定计量单位。</w:t>
      </w:r>
    </w:p>
    <w:p w14:paraId="46195289">
      <w:pPr>
        <w:bidi w:val="0"/>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 xml:space="preserve">11  </w:t>
      </w:r>
      <w:r>
        <w:rPr>
          <w:rFonts w:hint="eastAsia" w:asciiTheme="minorEastAsia" w:hAnsiTheme="minorEastAsia" w:eastAsiaTheme="minorEastAsia" w:cstheme="minorEastAsia"/>
          <w:b/>
          <w:bCs/>
          <w:color w:val="auto"/>
          <w:sz w:val="28"/>
          <w:szCs w:val="28"/>
          <w:lang w:eastAsia="zh-CN"/>
        </w:rPr>
        <w:t>响应文件</w:t>
      </w:r>
      <w:r>
        <w:rPr>
          <w:rFonts w:hint="eastAsia" w:asciiTheme="minorEastAsia" w:hAnsiTheme="minorEastAsia" w:eastAsiaTheme="minorEastAsia" w:cstheme="minorEastAsia"/>
          <w:b/>
          <w:bCs/>
          <w:color w:val="auto"/>
          <w:sz w:val="28"/>
          <w:szCs w:val="28"/>
        </w:rPr>
        <w:t>构成</w:t>
      </w:r>
    </w:p>
    <w:p w14:paraId="29D6BC75">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供应商编写的</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应按下列顺序及内容提供</w:t>
      </w:r>
      <w:r>
        <w:rPr>
          <w:rFonts w:hint="eastAsia" w:asciiTheme="minorEastAsia" w:hAnsiTheme="minorEastAsia" w:eastAsiaTheme="minorEastAsia" w:cstheme="minorEastAsia"/>
          <w:color w:val="auto"/>
          <w:sz w:val="24"/>
          <w:szCs w:val="24"/>
          <w:lang w:eastAsia="zh-CN"/>
        </w:rPr>
        <w:t>：</w:t>
      </w:r>
    </w:p>
    <w:p w14:paraId="6387941E">
      <w:pPr>
        <w:keepNext w:val="0"/>
        <w:keepLines w:val="0"/>
        <w:pageBreakBefore w:val="0"/>
        <w:widowControl w:val="0"/>
        <w:kinsoku/>
        <w:wordWrap/>
        <w:overflowPunct/>
        <w:topLinePunct w:val="0"/>
        <w:autoSpaceDE/>
        <w:autoSpaceDN/>
        <w:bidi w:val="0"/>
        <w:adjustRightInd/>
        <w:spacing w:line="360" w:lineRule="auto"/>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（1）投标函；</w:t>
      </w:r>
    </w:p>
    <w:p w14:paraId="5C6ECBEC">
      <w:pPr>
        <w:keepNext w:val="0"/>
        <w:keepLines w:val="0"/>
        <w:pageBreakBefore w:val="0"/>
        <w:widowControl w:val="0"/>
        <w:kinsoku/>
        <w:wordWrap/>
        <w:overflowPunct/>
        <w:topLinePunct w:val="0"/>
        <w:autoSpaceDE/>
        <w:autoSpaceDN/>
        <w:bidi w:val="0"/>
        <w:adjustRightInd/>
        <w:spacing w:line="360" w:lineRule="auto"/>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（2）法定代表人资格证明及授权委托书；</w:t>
      </w:r>
    </w:p>
    <w:p w14:paraId="41E0296C">
      <w:pPr>
        <w:keepNext w:val="0"/>
        <w:keepLines w:val="0"/>
        <w:pageBreakBefore w:val="0"/>
        <w:widowControl w:val="0"/>
        <w:kinsoku/>
        <w:wordWrap/>
        <w:overflowPunct/>
        <w:topLinePunct w:val="0"/>
        <w:autoSpaceDE/>
        <w:autoSpaceDN/>
        <w:bidi w:val="0"/>
        <w:adjustRightInd/>
        <w:spacing w:line="360" w:lineRule="auto"/>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（3）报价一览表；</w:t>
      </w:r>
    </w:p>
    <w:p w14:paraId="5EBB83DC">
      <w:pPr>
        <w:keepNext w:val="0"/>
        <w:keepLines w:val="0"/>
        <w:pageBreakBefore w:val="0"/>
        <w:widowControl w:val="0"/>
        <w:kinsoku/>
        <w:wordWrap/>
        <w:overflowPunct/>
        <w:topLinePunct w:val="0"/>
        <w:autoSpaceDE/>
        <w:autoSpaceDN/>
        <w:bidi w:val="0"/>
        <w:adjustRightInd/>
        <w:spacing w:line="360" w:lineRule="auto"/>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）反商业贿赂承诺书；</w:t>
      </w:r>
    </w:p>
    <w:p w14:paraId="21266DC2">
      <w:pPr>
        <w:keepNext w:val="0"/>
        <w:keepLines w:val="0"/>
        <w:pageBreakBefore w:val="0"/>
        <w:widowControl w:val="0"/>
        <w:kinsoku/>
        <w:wordWrap/>
        <w:overflowPunct/>
        <w:topLinePunct w:val="0"/>
        <w:autoSpaceDE/>
        <w:autoSpaceDN/>
        <w:bidi w:val="0"/>
        <w:adjustRightInd/>
        <w:spacing w:line="360" w:lineRule="auto"/>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）商务条款偏离表；</w:t>
      </w:r>
    </w:p>
    <w:p w14:paraId="602C40B4">
      <w:pPr>
        <w:keepNext w:val="0"/>
        <w:keepLines w:val="0"/>
        <w:pageBreakBefore w:val="0"/>
        <w:widowControl w:val="0"/>
        <w:kinsoku/>
        <w:wordWrap/>
        <w:overflowPunct/>
        <w:topLinePunct w:val="0"/>
        <w:autoSpaceDE/>
        <w:autoSpaceDN/>
        <w:bidi w:val="0"/>
        <w:adjustRightInd/>
        <w:spacing w:line="360" w:lineRule="auto"/>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）近</w:t>
      </w:r>
      <w:r>
        <w:rPr>
          <w:rFonts w:hint="eastAsia" w:asciiTheme="minorEastAsia" w:hAnsiTheme="minorEastAsia" w:eastAsiaTheme="minorEastAsia" w:cstheme="minorEastAsia"/>
          <w:color w:val="auto"/>
          <w:sz w:val="24"/>
          <w:szCs w:val="24"/>
          <w:lang w:val="en-US" w:eastAsia="zh-CN"/>
        </w:rPr>
        <w:t>五</w:t>
      </w:r>
      <w:r>
        <w:rPr>
          <w:rFonts w:hint="eastAsia" w:asciiTheme="minorEastAsia" w:hAnsiTheme="minorEastAsia" w:eastAsiaTheme="minorEastAsia" w:cstheme="minorEastAsia"/>
          <w:color w:val="auto"/>
          <w:sz w:val="24"/>
          <w:szCs w:val="24"/>
        </w:rPr>
        <w:t>年同类项目业绩表；</w:t>
      </w:r>
    </w:p>
    <w:p w14:paraId="1F23C392">
      <w:pPr>
        <w:keepNext w:val="0"/>
        <w:keepLines w:val="0"/>
        <w:pageBreakBefore w:val="0"/>
        <w:widowControl w:val="0"/>
        <w:kinsoku/>
        <w:wordWrap/>
        <w:overflowPunct/>
        <w:topLinePunct w:val="0"/>
        <w:autoSpaceDE/>
        <w:autoSpaceDN/>
        <w:bidi w:val="0"/>
        <w:adjustRightInd/>
        <w:spacing w:line="360" w:lineRule="auto"/>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）拟派项目负责人简历表及拟投入本项目的主要成员表；</w:t>
      </w:r>
    </w:p>
    <w:p w14:paraId="029320B2">
      <w:pPr>
        <w:keepNext w:val="0"/>
        <w:keepLines w:val="0"/>
        <w:pageBreakBefore w:val="0"/>
        <w:widowControl w:val="0"/>
        <w:kinsoku/>
        <w:wordWrap/>
        <w:overflowPunct/>
        <w:topLinePunct w:val="0"/>
        <w:autoSpaceDE/>
        <w:autoSpaceDN/>
        <w:bidi w:val="0"/>
        <w:adjustRightInd/>
        <w:spacing w:line="360" w:lineRule="auto"/>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）关于资格的声明函；</w:t>
      </w:r>
    </w:p>
    <w:p w14:paraId="6BDEDCED">
      <w:pPr>
        <w:keepNext w:val="0"/>
        <w:keepLines w:val="0"/>
        <w:pageBreakBefore w:val="0"/>
        <w:widowControl w:val="0"/>
        <w:kinsoku/>
        <w:wordWrap/>
        <w:overflowPunct/>
        <w:topLinePunct w:val="0"/>
        <w:autoSpaceDE/>
        <w:autoSpaceDN/>
        <w:bidi w:val="0"/>
        <w:adjustRightInd/>
        <w:spacing w:line="360" w:lineRule="auto"/>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）技术参数偏离表；</w:t>
      </w:r>
    </w:p>
    <w:p w14:paraId="7BE63938">
      <w:pPr>
        <w:keepNext w:val="0"/>
        <w:keepLines w:val="0"/>
        <w:pageBreakBefore w:val="0"/>
        <w:widowControl w:val="0"/>
        <w:kinsoku/>
        <w:wordWrap/>
        <w:overflowPunct/>
        <w:topLinePunct w:val="0"/>
        <w:autoSpaceDE/>
        <w:autoSpaceDN/>
        <w:bidi w:val="0"/>
        <w:adjustRightInd/>
        <w:spacing w:line="360" w:lineRule="auto"/>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）技术支持及服务承诺书（格式自拟）；</w:t>
      </w:r>
    </w:p>
    <w:p w14:paraId="5B88D186">
      <w:pPr>
        <w:keepNext w:val="0"/>
        <w:keepLines w:val="0"/>
        <w:pageBreakBefore w:val="0"/>
        <w:widowControl w:val="0"/>
        <w:kinsoku/>
        <w:wordWrap/>
        <w:overflowPunct/>
        <w:topLinePunct w:val="0"/>
        <w:autoSpaceDE/>
        <w:autoSpaceDN/>
        <w:bidi w:val="0"/>
        <w:adjustRightInd/>
        <w:spacing w:line="360" w:lineRule="auto"/>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）中小企业声明函；</w:t>
      </w:r>
    </w:p>
    <w:p w14:paraId="7CAD57EE">
      <w:pPr>
        <w:keepNext w:val="0"/>
        <w:keepLines w:val="0"/>
        <w:pageBreakBefore w:val="0"/>
        <w:widowControl w:val="0"/>
        <w:kinsoku/>
        <w:wordWrap/>
        <w:overflowPunct/>
        <w:topLinePunct w:val="0"/>
        <w:autoSpaceDE/>
        <w:autoSpaceDN/>
        <w:bidi w:val="0"/>
        <w:adjustRightInd/>
        <w:spacing w:line="360" w:lineRule="auto"/>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）监狱企业声明函（监狱企业适用）；</w:t>
      </w:r>
    </w:p>
    <w:p w14:paraId="1B0DC20B">
      <w:pPr>
        <w:pStyle w:val="18"/>
        <w:keepNext w:val="0"/>
        <w:keepLines w:val="0"/>
        <w:pageBreakBefore w:val="0"/>
        <w:widowControl w:val="0"/>
        <w:kinsoku/>
        <w:wordWrap/>
        <w:overflowPunct/>
        <w:topLinePunct w:val="0"/>
        <w:autoSpaceDE/>
        <w:autoSpaceDN/>
        <w:bidi w:val="0"/>
        <w:adjustRightInd/>
        <w:spacing w:line="480" w:lineRule="exact"/>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）残疾人福利性单位声明函</w:t>
      </w:r>
    </w:p>
    <w:p w14:paraId="213A3699">
      <w:pPr>
        <w:pStyle w:val="18"/>
        <w:keepNext w:val="0"/>
        <w:keepLines w:val="0"/>
        <w:pageBreakBefore w:val="0"/>
        <w:widowControl w:val="0"/>
        <w:kinsoku/>
        <w:wordWrap/>
        <w:overflowPunct/>
        <w:topLinePunct w:val="0"/>
        <w:autoSpaceDE/>
        <w:autoSpaceDN/>
        <w:bidi w:val="0"/>
        <w:adjustRightInd/>
        <w:spacing w:line="480" w:lineRule="exact"/>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项目实施方案</w:t>
      </w:r>
      <w:r>
        <w:rPr>
          <w:rFonts w:hint="eastAsia" w:asciiTheme="minorEastAsia" w:hAnsiTheme="minorEastAsia" w:eastAsiaTheme="minorEastAsia" w:cstheme="minorEastAsia"/>
          <w:color w:val="auto"/>
          <w:sz w:val="24"/>
          <w:szCs w:val="24"/>
        </w:rPr>
        <w:t>（格式自拟）</w:t>
      </w:r>
    </w:p>
    <w:p w14:paraId="181DABC7">
      <w:pPr>
        <w:pStyle w:val="18"/>
        <w:keepNext w:val="0"/>
        <w:keepLines w:val="0"/>
        <w:pageBreakBefore w:val="0"/>
        <w:widowControl w:val="0"/>
        <w:kinsoku/>
        <w:wordWrap/>
        <w:overflowPunct/>
        <w:topLinePunct w:val="0"/>
        <w:autoSpaceDE/>
        <w:autoSpaceDN/>
        <w:bidi w:val="0"/>
        <w:adjustRightInd/>
        <w:spacing w:line="480" w:lineRule="exact"/>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项目档案管理方案</w:t>
      </w:r>
      <w:r>
        <w:rPr>
          <w:rFonts w:hint="eastAsia" w:asciiTheme="minorEastAsia" w:hAnsiTheme="minorEastAsia" w:eastAsiaTheme="minorEastAsia" w:cstheme="minorEastAsia"/>
          <w:color w:val="auto"/>
          <w:sz w:val="24"/>
          <w:szCs w:val="24"/>
        </w:rPr>
        <w:t>（格式自拟）</w:t>
      </w:r>
    </w:p>
    <w:p w14:paraId="45988039">
      <w:pPr>
        <w:pStyle w:val="18"/>
        <w:keepNext w:val="0"/>
        <w:keepLines w:val="0"/>
        <w:pageBreakBefore w:val="0"/>
        <w:widowControl w:val="0"/>
        <w:kinsoku/>
        <w:wordWrap/>
        <w:overflowPunct/>
        <w:topLinePunct w:val="0"/>
        <w:autoSpaceDE/>
        <w:autoSpaceDN/>
        <w:bidi w:val="0"/>
        <w:adjustRightInd/>
        <w:spacing w:line="480" w:lineRule="exact"/>
        <w:ind w:firstLine="484"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16</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后续服务方案、合理化建议、服务承诺和承接本项目的优势</w:t>
      </w:r>
      <w:r>
        <w:rPr>
          <w:rFonts w:hint="eastAsia" w:asciiTheme="minorEastAsia" w:hAnsiTheme="minorEastAsia" w:eastAsiaTheme="minorEastAsia" w:cstheme="minorEastAsia"/>
          <w:color w:val="auto"/>
          <w:sz w:val="24"/>
          <w:szCs w:val="24"/>
        </w:rPr>
        <w:t>（格式自拟）</w:t>
      </w:r>
    </w:p>
    <w:p w14:paraId="31006070">
      <w:pPr>
        <w:keepNext w:val="0"/>
        <w:keepLines w:val="0"/>
        <w:pageBreakBefore w:val="0"/>
        <w:widowControl w:val="0"/>
        <w:kinsoku/>
        <w:wordWrap/>
        <w:overflowPunct/>
        <w:topLinePunct w:val="0"/>
        <w:autoSpaceDE/>
        <w:autoSpaceDN/>
        <w:bidi w:val="0"/>
        <w:adjustRightInd/>
        <w:spacing w:line="360" w:lineRule="auto"/>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（17）要求提供</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其他</w:t>
      </w:r>
      <w:r>
        <w:rPr>
          <w:rFonts w:hint="eastAsia" w:asciiTheme="minorEastAsia" w:hAnsiTheme="minorEastAsia" w:eastAsiaTheme="minorEastAsia" w:cstheme="minorEastAsia"/>
          <w:color w:val="auto"/>
          <w:sz w:val="24"/>
          <w:szCs w:val="24"/>
        </w:rPr>
        <w:t>材料以及供应商认为需要提交的材料（格式自拟）。</w:t>
      </w:r>
    </w:p>
    <w:p w14:paraId="637052B4">
      <w:p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12  </w:t>
      </w:r>
      <w:r>
        <w:rPr>
          <w:rFonts w:hint="eastAsia" w:asciiTheme="minorEastAsia" w:hAnsiTheme="minorEastAsia" w:eastAsiaTheme="minorEastAsia" w:cstheme="minorEastAsia"/>
          <w:b/>
          <w:bCs/>
          <w:color w:val="auto"/>
          <w:sz w:val="24"/>
          <w:szCs w:val="24"/>
          <w:lang w:eastAsia="zh-CN"/>
        </w:rPr>
        <w:t>响应文件</w:t>
      </w:r>
      <w:r>
        <w:rPr>
          <w:rFonts w:hint="eastAsia" w:asciiTheme="minorEastAsia" w:hAnsiTheme="minorEastAsia" w:eastAsiaTheme="minorEastAsia" w:cstheme="minorEastAsia"/>
          <w:b/>
          <w:bCs/>
          <w:color w:val="auto"/>
          <w:sz w:val="24"/>
          <w:szCs w:val="24"/>
        </w:rPr>
        <w:t>的格式</w:t>
      </w:r>
    </w:p>
    <w:p w14:paraId="66D04B73">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12.1 </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附件及</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各章节提供了一部分用于编制</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时必要的格式，供应商应按此格式编制</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w:t>
      </w:r>
    </w:p>
    <w:p w14:paraId="779F53E7">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12.2 </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中未提供格式的部分由供应商自行编制。</w:t>
      </w:r>
    </w:p>
    <w:p w14:paraId="4AF063AC">
      <w:p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13  投标报价</w:t>
      </w:r>
    </w:p>
    <w:p w14:paraId="444F1C0D">
      <w:pPr>
        <w:bidi w:val="0"/>
        <w:spacing w:line="360" w:lineRule="auto"/>
        <w:ind w:firstLine="484"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13.1 除本</w:t>
      </w:r>
      <w:r>
        <w:rPr>
          <w:rFonts w:hint="eastAsia" w:asciiTheme="minorEastAsia" w:hAnsiTheme="minorEastAsia" w:eastAsiaTheme="minorEastAsia" w:cstheme="minorEastAsia"/>
          <w:b/>
          <w:bCs/>
          <w:color w:val="auto"/>
          <w:sz w:val="24"/>
          <w:szCs w:val="24"/>
          <w:lang w:eastAsia="zh-CN"/>
        </w:rPr>
        <w:t>竞争性磋商文件</w:t>
      </w:r>
      <w:r>
        <w:rPr>
          <w:rFonts w:hint="eastAsia" w:asciiTheme="minorEastAsia" w:hAnsiTheme="minorEastAsia" w:eastAsiaTheme="minorEastAsia" w:cstheme="minorEastAsia"/>
          <w:b/>
          <w:bCs/>
          <w:color w:val="auto"/>
          <w:sz w:val="24"/>
          <w:szCs w:val="24"/>
        </w:rPr>
        <w:t>另有规定外，供应商应按</w:t>
      </w:r>
      <w:r>
        <w:rPr>
          <w:rFonts w:hint="eastAsia" w:asciiTheme="minorEastAsia" w:hAnsiTheme="minorEastAsia" w:eastAsiaTheme="minorEastAsia" w:cstheme="minorEastAsia"/>
          <w:b/>
          <w:bCs/>
          <w:color w:val="auto"/>
          <w:sz w:val="24"/>
          <w:szCs w:val="24"/>
          <w:lang w:eastAsia="zh-CN"/>
        </w:rPr>
        <w:t>竞争性磋商文件</w:t>
      </w:r>
      <w:r>
        <w:rPr>
          <w:rFonts w:hint="eastAsia" w:asciiTheme="minorEastAsia" w:hAnsiTheme="minorEastAsia" w:eastAsiaTheme="minorEastAsia" w:cstheme="minorEastAsia"/>
          <w:b/>
          <w:bCs/>
          <w:color w:val="auto"/>
          <w:sz w:val="24"/>
          <w:szCs w:val="24"/>
        </w:rPr>
        <w:t>所附相应的投标一览表格式标明</w:t>
      </w:r>
      <w:r>
        <w:rPr>
          <w:rFonts w:hint="eastAsia" w:asciiTheme="minorEastAsia" w:hAnsiTheme="minorEastAsia" w:eastAsiaTheme="minorEastAsia" w:cstheme="minorEastAsia"/>
          <w:b/>
          <w:bCs/>
          <w:color w:val="auto"/>
          <w:sz w:val="24"/>
          <w:szCs w:val="24"/>
          <w:lang w:val="en-US" w:eastAsia="zh-CN"/>
        </w:rPr>
        <w:t>投标报</w:t>
      </w:r>
      <w:r>
        <w:rPr>
          <w:rFonts w:hint="eastAsia" w:asciiTheme="minorEastAsia" w:hAnsiTheme="minorEastAsia" w:eastAsiaTheme="minorEastAsia" w:cstheme="minorEastAsia"/>
          <w:b/>
          <w:bCs/>
          <w:color w:val="auto"/>
          <w:sz w:val="24"/>
          <w:szCs w:val="24"/>
        </w:rPr>
        <w:t>价等内容。报价以人民币报价。</w:t>
      </w:r>
    </w:p>
    <w:p w14:paraId="231B2148">
      <w:pPr>
        <w:bidi w:val="0"/>
        <w:spacing w:line="360" w:lineRule="auto"/>
        <w:ind w:firstLine="484"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13.2 任何有选择性的报价将不予接受。</w:t>
      </w:r>
    </w:p>
    <w:p w14:paraId="57A7FF61">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13.3 供应商须充分注意并重视第三章“</w:t>
      </w:r>
      <w:r>
        <w:rPr>
          <w:rFonts w:hint="eastAsia" w:asciiTheme="minorEastAsia" w:hAnsiTheme="minorEastAsia" w:eastAsiaTheme="minorEastAsia" w:cstheme="minorEastAsia"/>
          <w:color w:val="auto"/>
          <w:sz w:val="24"/>
          <w:szCs w:val="24"/>
          <w:lang w:eastAsia="zh-CN"/>
        </w:rPr>
        <w:t>技术要求</w:t>
      </w:r>
      <w:r>
        <w:rPr>
          <w:rFonts w:hint="eastAsia" w:asciiTheme="minorEastAsia" w:hAnsiTheme="minorEastAsia" w:eastAsiaTheme="minorEastAsia" w:cstheme="minorEastAsia"/>
          <w:color w:val="auto"/>
          <w:sz w:val="24"/>
          <w:szCs w:val="24"/>
        </w:rPr>
        <w:t>”的内容，并严格按该章的有关内容做出实质性响应。</w:t>
      </w:r>
    </w:p>
    <w:p w14:paraId="68385249">
      <w:pPr>
        <w:bidi w:val="0"/>
        <w:spacing w:line="360" w:lineRule="auto"/>
        <w:ind w:firstLine="484"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13.4 供应商可按</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第三章“</w:t>
      </w:r>
      <w:r>
        <w:rPr>
          <w:rFonts w:hint="eastAsia" w:asciiTheme="minorEastAsia" w:hAnsiTheme="minorEastAsia" w:eastAsiaTheme="minorEastAsia" w:cstheme="minorEastAsia"/>
          <w:color w:val="auto"/>
          <w:sz w:val="24"/>
          <w:szCs w:val="24"/>
          <w:lang w:eastAsia="zh-CN"/>
        </w:rPr>
        <w:t>技术要求</w:t>
      </w:r>
      <w:r>
        <w:rPr>
          <w:rFonts w:hint="eastAsia" w:asciiTheme="minorEastAsia" w:hAnsiTheme="minorEastAsia" w:eastAsiaTheme="minorEastAsia" w:cstheme="minorEastAsia"/>
          <w:color w:val="auto"/>
          <w:sz w:val="24"/>
          <w:szCs w:val="24"/>
        </w:rPr>
        <w:t>”的内容</w:t>
      </w:r>
      <w:r>
        <w:rPr>
          <w:rFonts w:hint="eastAsia" w:asciiTheme="minorEastAsia" w:hAnsiTheme="minorEastAsia" w:eastAsiaTheme="minorEastAsia" w:cstheme="minorEastAsia"/>
          <w:color w:val="auto"/>
          <w:sz w:val="24"/>
          <w:szCs w:val="24"/>
          <w:lang w:val="en-US" w:eastAsia="zh-CN"/>
        </w:rPr>
        <w:t>进行</w:t>
      </w:r>
      <w:r>
        <w:rPr>
          <w:rFonts w:hint="eastAsia" w:asciiTheme="minorEastAsia" w:hAnsiTheme="minorEastAsia" w:eastAsiaTheme="minorEastAsia" w:cstheme="minorEastAsia"/>
          <w:color w:val="auto"/>
          <w:sz w:val="24"/>
          <w:szCs w:val="24"/>
        </w:rPr>
        <w:t>报价，投标报价</w:t>
      </w:r>
      <w:r>
        <w:rPr>
          <w:rFonts w:hint="eastAsia" w:asciiTheme="minorEastAsia" w:hAnsiTheme="minorEastAsia" w:eastAsiaTheme="minorEastAsia" w:cstheme="minorEastAsia"/>
          <w:color w:val="auto"/>
          <w:sz w:val="24"/>
          <w:szCs w:val="24"/>
          <w:lang w:val="en-US" w:eastAsia="zh-CN"/>
        </w:rPr>
        <w:t>应</w:t>
      </w:r>
      <w:r>
        <w:rPr>
          <w:rFonts w:hint="eastAsia" w:asciiTheme="minorEastAsia" w:hAnsiTheme="minorEastAsia" w:eastAsiaTheme="minorEastAsia" w:cstheme="minorEastAsia"/>
          <w:color w:val="auto"/>
          <w:sz w:val="24"/>
          <w:szCs w:val="24"/>
        </w:rPr>
        <w:t>包</w:t>
      </w:r>
      <w:r>
        <w:rPr>
          <w:rFonts w:hint="eastAsia" w:asciiTheme="minorEastAsia" w:hAnsiTheme="minorEastAsia" w:eastAsiaTheme="minorEastAsia" w:cstheme="minorEastAsia"/>
          <w:color w:val="auto"/>
          <w:sz w:val="24"/>
          <w:szCs w:val="24"/>
          <w:lang w:val="en-US" w:eastAsia="zh-CN"/>
        </w:rPr>
        <w:t>含</w:t>
      </w:r>
      <w:r>
        <w:rPr>
          <w:rFonts w:hint="eastAsia" w:asciiTheme="minorEastAsia" w:hAnsiTheme="minorEastAsia" w:eastAsiaTheme="minorEastAsia" w:cstheme="minorEastAsia"/>
          <w:color w:val="auto"/>
          <w:sz w:val="24"/>
          <w:szCs w:val="24"/>
        </w:rPr>
        <w:t>税金及本</w:t>
      </w: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所</w:t>
      </w:r>
      <w:r>
        <w:rPr>
          <w:rFonts w:hint="eastAsia" w:asciiTheme="minorEastAsia" w:hAnsiTheme="minorEastAsia" w:eastAsiaTheme="minorEastAsia" w:cstheme="minorEastAsia"/>
          <w:color w:val="auto"/>
          <w:sz w:val="24"/>
          <w:szCs w:val="24"/>
          <w:lang w:val="en-US" w:eastAsia="zh-CN"/>
        </w:rPr>
        <w:t>产生</w:t>
      </w:r>
      <w:r>
        <w:rPr>
          <w:rFonts w:hint="eastAsia" w:asciiTheme="minorEastAsia" w:hAnsiTheme="minorEastAsia" w:eastAsiaTheme="minorEastAsia" w:cstheme="minorEastAsia"/>
          <w:color w:val="auto"/>
          <w:sz w:val="24"/>
          <w:szCs w:val="24"/>
        </w:rPr>
        <w:t>的全部费用，</w:t>
      </w:r>
    </w:p>
    <w:p w14:paraId="51741116">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13.5</w:t>
      </w:r>
      <w:r>
        <w:rPr>
          <w:rFonts w:hint="eastAsia" w:asciiTheme="minorEastAsia" w:hAnsiTheme="minorEastAsia" w:eastAsiaTheme="minorEastAsia" w:cstheme="minorEastAsia"/>
          <w:color w:val="auto"/>
          <w:sz w:val="24"/>
          <w:szCs w:val="24"/>
        </w:rPr>
        <w:t xml:space="preserve"> 供应商的报价在中标后的合同实施期间应保持不变，即不因市场价格或政策性价格的调整而增减。</w:t>
      </w:r>
    </w:p>
    <w:p w14:paraId="173C563A">
      <w:p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14  证明供应商合格</w:t>
      </w:r>
      <w:r>
        <w:rPr>
          <w:rFonts w:hint="eastAsia" w:asciiTheme="minorEastAsia" w:hAnsiTheme="minorEastAsia" w:eastAsiaTheme="minorEastAsia" w:cstheme="minorEastAsia"/>
          <w:b/>
          <w:bCs/>
          <w:color w:val="auto"/>
          <w:sz w:val="24"/>
          <w:szCs w:val="24"/>
          <w:lang w:val="en-US" w:eastAsia="zh-CN"/>
        </w:rPr>
        <w:t>的</w:t>
      </w:r>
      <w:r>
        <w:rPr>
          <w:rFonts w:hint="eastAsia" w:asciiTheme="minorEastAsia" w:hAnsiTheme="minorEastAsia" w:eastAsiaTheme="minorEastAsia" w:cstheme="minorEastAsia"/>
          <w:b/>
          <w:bCs/>
          <w:color w:val="auto"/>
          <w:sz w:val="24"/>
          <w:szCs w:val="24"/>
        </w:rPr>
        <w:t>资格</w:t>
      </w:r>
      <w:r>
        <w:rPr>
          <w:rFonts w:hint="eastAsia" w:asciiTheme="minorEastAsia" w:hAnsiTheme="minorEastAsia" w:eastAsiaTheme="minorEastAsia" w:cstheme="minorEastAsia"/>
          <w:b/>
          <w:bCs/>
          <w:color w:val="auto"/>
          <w:sz w:val="24"/>
          <w:szCs w:val="24"/>
          <w:lang w:val="en-US" w:eastAsia="zh-CN"/>
        </w:rPr>
        <w:t>证明</w:t>
      </w:r>
      <w:r>
        <w:rPr>
          <w:rFonts w:hint="eastAsia" w:asciiTheme="minorEastAsia" w:hAnsiTheme="minorEastAsia" w:eastAsiaTheme="minorEastAsia" w:cstheme="minorEastAsia"/>
          <w:b/>
          <w:bCs/>
          <w:color w:val="auto"/>
          <w:sz w:val="24"/>
          <w:szCs w:val="24"/>
        </w:rPr>
        <w:t>文件</w:t>
      </w:r>
    </w:p>
    <w:p w14:paraId="55A77460">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按照供应商须知前附表规定，供应商应提交</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所要求的资格证明文件。</w:t>
      </w:r>
    </w:p>
    <w:p w14:paraId="285DDC6E">
      <w:p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15  证明符合</w:t>
      </w:r>
      <w:r>
        <w:rPr>
          <w:rFonts w:hint="eastAsia" w:asciiTheme="minorEastAsia" w:hAnsiTheme="minorEastAsia" w:eastAsiaTheme="minorEastAsia" w:cstheme="minorEastAsia"/>
          <w:b/>
          <w:bCs/>
          <w:color w:val="auto"/>
          <w:sz w:val="24"/>
          <w:szCs w:val="24"/>
          <w:lang w:eastAsia="zh-CN"/>
        </w:rPr>
        <w:t>竞争性磋商文件</w:t>
      </w:r>
      <w:r>
        <w:rPr>
          <w:rFonts w:hint="eastAsia" w:asciiTheme="minorEastAsia" w:hAnsiTheme="minorEastAsia" w:eastAsiaTheme="minorEastAsia" w:cstheme="minorEastAsia"/>
          <w:b/>
          <w:bCs/>
          <w:color w:val="auto"/>
          <w:sz w:val="24"/>
          <w:szCs w:val="24"/>
        </w:rPr>
        <w:t>规定的文件</w:t>
      </w:r>
    </w:p>
    <w:p w14:paraId="56E7B8DE">
      <w:pPr>
        <w:bidi w:val="0"/>
        <w:spacing w:line="360" w:lineRule="auto"/>
        <w:ind w:firstLine="484"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供应商应逐条对</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要求的</w:t>
      </w:r>
      <w:r>
        <w:rPr>
          <w:rFonts w:hint="eastAsia" w:asciiTheme="minorEastAsia" w:hAnsiTheme="minorEastAsia" w:eastAsiaTheme="minorEastAsia" w:cstheme="minorEastAsia"/>
          <w:color w:val="auto"/>
          <w:sz w:val="24"/>
          <w:szCs w:val="24"/>
          <w:lang w:val="en-US" w:eastAsia="zh-CN"/>
        </w:rPr>
        <w:t>内容</w:t>
      </w:r>
      <w:r>
        <w:rPr>
          <w:rFonts w:hint="eastAsia" w:asciiTheme="minorEastAsia" w:hAnsiTheme="minorEastAsia" w:eastAsiaTheme="minorEastAsia" w:cstheme="minorEastAsia"/>
          <w:color w:val="auto"/>
          <w:sz w:val="24"/>
          <w:szCs w:val="24"/>
        </w:rPr>
        <w:t>做出实质性</w:t>
      </w:r>
      <w:r>
        <w:rPr>
          <w:rFonts w:hint="eastAsia" w:asciiTheme="minorEastAsia" w:hAnsiTheme="minorEastAsia" w:eastAsiaTheme="minorEastAsia" w:cstheme="minorEastAsia"/>
          <w:color w:val="auto"/>
          <w:sz w:val="24"/>
          <w:szCs w:val="24"/>
          <w:lang w:val="en-US" w:eastAsia="zh-CN"/>
        </w:rPr>
        <w:t>响</w:t>
      </w:r>
      <w:r>
        <w:rPr>
          <w:rFonts w:hint="eastAsia" w:asciiTheme="minorEastAsia" w:hAnsiTheme="minorEastAsia" w:eastAsiaTheme="minorEastAsia" w:cstheme="minorEastAsia"/>
          <w:color w:val="auto"/>
          <w:sz w:val="24"/>
          <w:szCs w:val="24"/>
        </w:rPr>
        <w:t>应，认真填写</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所附的“商务条款偏离表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技术规格偏离表”。</w:t>
      </w:r>
      <w:r>
        <w:rPr>
          <w:rFonts w:hint="eastAsia" w:asciiTheme="minorEastAsia" w:hAnsiTheme="minorEastAsia" w:eastAsiaTheme="minorEastAsia" w:cstheme="minorEastAsia"/>
          <w:b/>
          <w:bCs/>
          <w:color w:val="auto"/>
          <w:sz w:val="24"/>
          <w:szCs w:val="24"/>
        </w:rPr>
        <w:t>若有偏离</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请将具体偏离条款在“偏离”一栏中详细说明</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若无偏离</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请在“偏离”一栏中标注“无”字样。如不填写将视为不响应</w:t>
      </w:r>
      <w:r>
        <w:rPr>
          <w:rFonts w:hint="eastAsia" w:asciiTheme="minorEastAsia" w:hAnsiTheme="minorEastAsia" w:eastAsiaTheme="minorEastAsia" w:cstheme="minorEastAsia"/>
          <w:b/>
          <w:bCs/>
          <w:color w:val="auto"/>
          <w:sz w:val="24"/>
          <w:szCs w:val="24"/>
          <w:lang w:eastAsia="zh-CN"/>
        </w:rPr>
        <w:t>竞争性磋商文件</w:t>
      </w:r>
      <w:r>
        <w:rPr>
          <w:rFonts w:hint="eastAsia" w:asciiTheme="minorEastAsia" w:hAnsiTheme="minorEastAsia" w:eastAsiaTheme="minorEastAsia" w:cstheme="minorEastAsia"/>
          <w:b/>
          <w:bCs/>
          <w:color w:val="auto"/>
          <w:sz w:val="24"/>
          <w:szCs w:val="24"/>
        </w:rPr>
        <w:t>要求。</w:t>
      </w:r>
    </w:p>
    <w:p w14:paraId="405A7715">
      <w:p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16  电子</w:t>
      </w:r>
      <w:r>
        <w:rPr>
          <w:rFonts w:hint="eastAsia" w:asciiTheme="minorEastAsia" w:hAnsiTheme="minorEastAsia" w:eastAsiaTheme="minorEastAsia" w:cstheme="minorEastAsia"/>
          <w:b/>
          <w:bCs/>
          <w:color w:val="auto"/>
          <w:sz w:val="24"/>
          <w:szCs w:val="24"/>
          <w:lang w:eastAsia="zh-CN"/>
        </w:rPr>
        <w:t>响应文件</w:t>
      </w:r>
      <w:r>
        <w:rPr>
          <w:rFonts w:hint="eastAsia" w:asciiTheme="minorEastAsia" w:hAnsiTheme="minorEastAsia" w:eastAsiaTheme="minorEastAsia" w:cstheme="minorEastAsia"/>
          <w:b/>
          <w:bCs/>
          <w:color w:val="auto"/>
          <w:sz w:val="24"/>
          <w:szCs w:val="24"/>
        </w:rPr>
        <w:t>的有效期</w:t>
      </w:r>
    </w:p>
    <w:p w14:paraId="66C184C6">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16.1 </w:t>
      </w:r>
      <w:r>
        <w:rPr>
          <w:rFonts w:hint="eastAsia" w:asciiTheme="minorEastAsia" w:hAnsiTheme="minorEastAsia" w:eastAsiaTheme="minorEastAsia" w:cstheme="minorEastAsia"/>
          <w:b/>
          <w:bCs/>
          <w:color w:val="auto"/>
          <w:sz w:val="24"/>
          <w:szCs w:val="24"/>
          <w:lang w:eastAsia="zh-CN"/>
        </w:rPr>
        <w:t>响应文件</w:t>
      </w:r>
      <w:r>
        <w:rPr>
          <w:rFonts w:hint="eastAsia" w:asciiTheme="minorEastAsia" w:hAnsiTheme="minorEastAsia" w:eastAsiaTheme="minorEastAsia" w:cstheme="minorEastAsia"/>
          <w:b/>
          <w:bCs/>
          <w:color w:val="auto"/>
          <w:sz w:val="24"/>
          <w:szCs w:val="24"/>
        </w:rPr>
        <w:t>有效期</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提交</w:t>
      </w:r>
      <w:r>
        <w:rPr>
          <w:rFonts w:hint="eastAsia" w:asciiTheme="minorEastAsia" w:hAnsiTheme="minorEastAsia" w:eastAsiaTheme="minorEastAsia" w:cstheme="minorEastAsia"/>
          <w:b/>
          <w:bCs/>
          <w:color w:val="auto"/>
          <w:sz w:val="24"/>
          <w:szCs w:val="24"/>
          <w:lang w:eastAsia="zh-CN"/>
        </w:rPr>
        <w:t>响应文件</w:t>
      </w:r>
      <w:r>
        <w:rPr>
          <w:rFonts w:hint="eastAsia" w:asciiTheme="minorEastAsia" w:hAnsiTheme="minorEastAsia" w:eastAsiaTheme="minorEastAsia" w:cstheme="minorEastAsia"/>
          <w:b/>
          <w:bCs/>
          <w:color w:val="auto"/>
          <w:sz w:val="24"/>
          <w:szCs w:val="24"/>
        </w:rPr>
        <w:t>截止之日起90天。</w:t>
      </w:r>
    </w:p>
    <w:p w14:paraId="5BD26FCA">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16.2 在特殊情况下</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在原</w:t>
      </w:r>
      <w:r>
        <w:rPr>
          <w:rFonts w:hint="eastAsia" w:asciiTheme="minorEastAsia" w:hAnsiTheme="minorEastAsia" w:eastAsiaTheme="minorEastAsia" w:cstheme="minorEastAsia"/>
          <w:color w:val="auto"/>
          <w:sz w:val="24"/>
          <w:szCs w:val="24"/>
          <w:lang w:val="en-US" w:eastAsia="zh-CN"/>
        </w:rPr>
        <w:t>响应文件</w:t>
      </w:r>
      <w:r>
        <w:rPr>
          <w:rFonts w:hint="eastAsia" w:asciiTheme="minorEastAsia" w:hAnsiTheme="minorEastAsia" w:eastAsiaTheme="minorEastAsia" w:cstheme="minorEastAsia"/>
          <w:color w:val="auto"/>
          <w:sz w:val="24"/>
          <w:szCs w:val="24"/>
        </w:rPr>
        <w:t>有效期届满之前，采购人可与供应商协商延长</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的有效期，并经供应商确认。</w:t>
      </w:r>
    </w:p>
    <w:p w14:paraId="3F0DA007">
      <w:p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17  电子</w:t>
      </w:r>
      <w:r>
        <w:rPr>
          <w:rFonts w:hint="eastAsia" w:asciiTheme="minorEastAsia" w:hAnsiTheme="minorEastAsia" w:eastAsiaTheme="minorEastAsia" w:cstheme="minorEastAsia"/>
          <w:b/>
          <w:bCs/>
          <w:color w:val="auto"/>
          <w:sz w:val="24"/>
          <w:szCs w:val="24"/>
          <w:lang w:eastAsia="zh-CN"/>
        </w:rPr>
        <w:t>响应文件</w:t>
      </w:r>
      <w:r>
        <w:rPr>
          <w:rFonts w:hint="eastAsia" w:asciiTheme="minorEastAsia" w:hAnsiTheme="minorEastAsia" w:eastAsiaTheme="minorEastAsia" w:cstheme="minorEastAsia"/>
          <w:b/>
          <w:bCs/>
          <w:color w:val="auto"/>
          <w:sz w:val="24"/>
          <w:szCs w:val="24"/>
        </w:rPr>
        <w:t>的</w:t>
      </w:r>
      <w:r>
        <w:rPr>
          <w:rFonts w:hint="eastAsia" w:asciiTheme="minorEastAsia" w:hAnsiTheme="minorEastAsia" w:eastAsiaTheme="minorEastAsia" w:cstheme="minorEastAsia"/>
          <w:b/>
          <w:bCs/>
          <w:color w:val="auto"/>
          <w:sz w:val="24"/>
          <w:szCs w:val="24"/>
          <w:lang w:val="en-US" w:eastAsia="zh-CN"/>
        </w:rPr>
        <w:t>格式</w:t>
      </w:r>
      <w:r>
        <w:rPr>
          <w:rFonts w:hint="eastAsia" w:asciiTheme="minorEastAsia" w:hAnsiTheme="minorEastAsia" w:eastAsiaTheme="minorEastAsia" w:cstheme="minorEastAsia"/>
          <w:b/>
          <w:bCs/>
          <w:color w:val="auto"/>
          <w:sz w:val="24"/>
          <w:szCs w:val="24"/>
        </w:rPr>
        <w:t>要求及签署</w:t>
      </w:r>
    </w:p>
    <w:p w14:paraId="507F1F43">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17.1 </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val="en-US" w:eastAsia="zh-CN"/>
        </w:rPr>
        <w:t>格式</w:t>
      </w:r>
      <w:r>
        <w:rPr>
          <w:rFonts w:hint="eastAsia" w:asciiTheme="minorEastAsia" w:hAnsiTheme="minorEastAsia" w:eastAsiaTheme="minorEastAsia" w:cstheme="minorEastAsia"/>
          <w:color w:val="auto"/>
          <w:sz w:val="24"/>
          <w:szCs w:val="24"/>
        </w:rPr>
        <w:t>应清楚工整</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未实质性响应</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、字迹潦草、表达不清、未按要求填写或可能导致非唯一理解的</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将按无效投标处理。</w:t>
      </w:r>
    </w:p>
    <w:p w14:paraId="1C5BC75F">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应由供应商法</w:t>
      </w:r>
      <w:r>
        <w:rPr>
          <w:rFonts w:hint="eastAsia" w:asciiTheme="minorEastAsia" w:hAnsiTheme="minorEastAsia" w:eastAsiaTheme="minorEastAsia" w:cstheme="minorEastAsia"/>
          <w:color w:val="auto"/>
          <w:sz w:val="24"/>
          <w:szCs w:val="24"/>
          <w:lang w:val="en-US" w:eastAsia="zh-CN"/>
        </w:rPr>
        <w:t>定代表人</w:t>
      </w:r>
      <w:r>
        <w:rPr>
          <w:rFonts w:hint="eastAsia" w:asciiTheme="minorEastAsia" w:hAnsiTheme="minorEastAsia" w:eastAsiaTheme="minorEastAsia" w:cstheme="minorEastAsia"/>
          <w:color w:val="auto"/>
          <w:sz w:val="24"/>
          <w:szCs w:val="24"/>
        </w:rPr>
        <w:t>或委托代理人在规定签章处逐一签署及加盖供应商的公章。</w:t>
      </w:r>
    </w:p>
    <w:p w14:paraId="33F8DD5F">
      <w:p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18  投标保证金</w:t>
      </w:r>
    </w:p>
    <w:p w14:paraId="373A884F">
      <w:pPr>
        <w:bidi w:val="0"/>
        <w:spacing w:line="360" w:lineRule="auto"/>
        <w:ind w:firstLine="484"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18.1 各供应商必须在投标截止时</w:t>
      </w:r>
      <w:r>
        <w:rPr>
          <w:rFonts w:hint="eastAsia" w:asciiTheme="minorEastAsia" w:hAnsiTheme="minorEastAsia" w:eastAsiaTheme="minorEastAsia" w:cstheme="minorEastAsia"/>
          <w:color w:val="auto"/>
          <w:sz w:val="24"/>
          <w:szCs w:val="24"/>
          <w:lang w:eastAsia="zh-CN"/>
        </w:rPr>
        <w:t>间之</w:t>
      </w:r>
      <w:r>
        <w:rPr>
          <w:rFonts w:hint="eastAsia" w:asciiTheme="minorEastAsia" w:hAnsiTheme="minorEastAsia" w:eastAsiaTheme="minorEastAsia" w:cstheme="minorEastAsia"/>
          <w:color w:val="auto"/>
          <w:sz w:val="24"/>
          <w:szCs w:val="24"/>
        </w:rPr>
        <w:t>前</w:t>
      </w:r>
      <w:r>
        <w:rPr>
          <w:rFonts w:hint="eastAsia" w:asciiTheme="minorEastAsia" w:hAnsiTheme="minorEastAsia" w:eastAsiaTheme="minorEastAsia" w:cstheme="minorEastAsia"/>
          <w:color w:val="auto"/>
          <w:sz w:val="24"/>
          <w:szCs w:val="24"/>
          <w:lang w:val="en-US" w:eastAsia="zh-CN"/>
        </w:rPr>
        <w:t>提</w:t>
      </w:r>
      <w:r>
        <w:rPr>
          <w:rFonts w:hint="eastAsia" w:asciiTheme="minorEastAsia" w:hAnsiTheme="minorEastAsia" w:eastAsiaTheme="minorEastAsia" w:cstheme="minorEastAsia"/>
          <w:color w:val="auto"/>
          <w:sz w:val="24"/>
          <w:szCs w:val="24"/>
        </w:rPr>
        <w:t>交。</w:t>
      </w:r>
    </w:p>
    <w:p w14:paraId="368BC446">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18.2 投标保证金用于保护本次招标免受供应商的违规、违约行为而引起的风险。</w:t>
      </w:r>
    </w:p>
    <w:p w14:paraId="69C02C3C">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18.3 发生以下情况投标保证金不予退还：</w:t>
      </w:r>
    </w:p>
    <w:p w14:paraId="06D97200">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18.3.1</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如果供应商在投标有效期内撤回</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lang w:val="en-US" w:eastAsia="zh-CN"/>
        </w:rPr>
        <w:t>的</w:t>
      </w:r>
      <w:r>
        <w:rPr>
          <w:rFonts w:hint="eastAsia" w:asciiTheme="minorEastAsia" w:hAnsiTheme="minorEastAsia" w:eastAsiaTheme="minorEastAsia" w:cstheme="minorEastAsia"/>
          <w:color w:val="auto"/>
          <w:sz w:val="24"/>
          <w:szCs w:val="24"/>
        </w:rPr>
        <w:t>；</w:t>
      </w:r>
    </w:p>
    <w:p w14:paraId="59C593E5">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18.3.2</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中标供应商有下列情形之一的，投标保证金不予退还</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情节严重的，由</w:t>
      </w:r>
      <w:r>
        <w:rPr>
          <w:rFonts w:hint="eastAsia" w:asciiTheme="minorEastAsia" w:hAnsiTheme="minorEastAsia" w:eastAsiaTheme="minorEastAsia" w:cstheme="minorEastAsia"/>
          <w:color w:val="auto"/>
          <w:sz w:val="24"/>
          <w:szCs w:val="24"/>
          <w:lang w:val="en-US" w:eastAsia="zh-CN"/>
        </w:rPr>
        <w:t>财政</w:t>
      </w:r>
      <w:r>
        <w:rPr>
          <w:rFonts w:hint="eastAsia" w:asciiTheme="minorEastAsia" w:hAnsiTheme="minorEastAsia" w:eastAsiaTheme="minorEastAsia" w:cstheme="minorEastAsia"/>
          <w:color w:val="auto"/>
          <w:sz w:val="24"/>
          <w:szCs w:val="24"/>
        </w:rPr>
        <w:t>部门将其列入不良行为记录名单，在一至三年内禁止参加政府采购活动，并予以通报：</w:t>
      </w:r>
    </w:p>
    <w:p w14:paraId="0024D1E7">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中标后无正当理由不与采购人签订合同的；</w:t>
      </w:r>
    </w:p>
    <w:p w14:paraId="0E767BE2">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（二）未经采购人同意将中标项目转让给他人，或者将中标项目分包给他人的；</w:t>
      </w:r>
    </w:p>
    <w:p w14:paraId="1BCD7229">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（三）拒绝履行合同义务的。</w:t>
      </w:r>
    </w:p>
    <w:p w14:paraId="5FD37EAE">
      <w:pPr>
        <w:bidi w:val="0"/>
        <w:spacing w:line="360" w:lineRule="auto"/>
        <w:ind w:firstLine="484"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4"/>
          <w:szCs w:val="24"/>
        </w:rPr>
        <w:t>18.3.3 如果中标供应商放弃中标项目的，无正当理由不与采购人签订合同的，在签订合同时向采购人提出附加条件或者更改合同实质性内容的，或者拒不提交所要求的履约保证金的</w:t>
      </w:r>
      <w:r>
        <w:rPr>
          <w:rFonts w:hint="eastAsia" w:asciiTheme="minorEastAsia" w:hAnsiTheme="minorEastAsia" w:eastAsiaTheme="minorEastAsia" w:cstheme="minorEastAsia"/>
          <w:color w:val="auto"/>
          <w:sz w:val="28"/>
          <w:szCs w:val="28"/>
        </w:rPr>
        <w:t>。</w:t>
      </w:r>
      <w:bookmarkStart w:id="69" w:name="_Toc167"/>
      <w:bookmarkStart w:id="70" w:name="_Toc5423"/>
      <w:bookmarkStart w:id="71" w:name="_Toc20192"/>
    </w:p>
    <w:p w14:paraId="037A8A08">
      <w:pPr>
        <w:pStyle w:val="3"/>
        <w:numPr>
          <w:ilvl w:val="0"/>
          <w:numId w:val="0"/>
        </w:numPr>
        <w:bidi w:val="0"/>
        <w:ind w:leftChars="0"/>
        <w:jc w:val="center"/>
        <w:rPr>
          <w:rFonts w:hint="eastAsia" w:asciiTheme="minorEastAsia" w:hAnsiTheme="minorEastAsia" w:eastAsiaTheme="minorEastAsia" w:cstheme="minorEastAsia"/>
          <w:color w:val="auto"/>
          <w:sz w:val="32"/>
          <w:szCs w:val="32"/>
        </w:rPr>
      </w:pPr>
      <w:bookmarkStart w:id="72" w:name="_Toc5633"/>
      <w:bookmarkStart w:id="73" w:name="_Toc20072"/>
      <w:bookmarkStart w:id="74" w:name="_Toc28814"/>
      <w:bookmarkStart w:id="75" w:name="_Toc10478"/>
      <w:bookmarkStart w:id="76" w:name="_Toc15133"/>
      <w:bookmarkStart w:id="77" w:name="_Toc30175"/>
      <w:bookmarkStart w:id="78" w:name="_Toc19171"/>
      <w:bookmarkStart w:id="79" w:name="_Toc2665"/>
      <w:bookmarkStart w:id="80" w:name="_Toc13957"/>
      <w:r>
        <w:rPr>
          <w:rFonts w:hint="eastAsia" w:asciiTheme="minorEastAsia" w:hAnsiTheme="minorEastAsia" w:eastAsiaTheme="minorEastAsia" w:cstheme="minorEastAsia"/>
          <w:color w:val="auto"/>
          <w:sz w:val="32"/>
          <w:szCs w:val="32"/>
        </w:rPr>
        <w:t xml:space="preserve">四、 </w:t>
      </w:r>
      <w:r>
        <w:rPr>
          <w:rFonts w:hint="eastAsia" w:asciiTheme="minorEastAsia" w:hAnsiTheme="minorEastAsia" w:eastAsiaTheme="minorEastAsia" w:cstheme="minorEastAsia"/>
          <w:color w:val="auto"/>
          <w:sz w:val="32"/>
          <w:szCs w:val="32"/>
          <w:lang w:eastAsia="zh-CN"/>
        </w:rPr>
        <w:t>响应文件</w:t>
      </w:r>
      <w:r>
        <w:rPr>
          <w:rFonts w:hint="eastAsia" w:asciiTheme="minorEastAsia" w:hAnsiTheme="minorEastAsia" w:eastAsiaTheme="minorEastAsia" w:cstheme="minorEastAsia"/>
          <w:color w:val="auto"/>
          <w:sz w:val="32"/>
          <w:szCs w:val="32"/>
        </w:rPr>
        <w:t>的</w:t>
      </w:r>
      <w:r>
        <w:rPr>
          <w:rFonts w:hint="eastAsia" w:asciiTheme="minorEastAsia" w:hAnsiTheme="minorEastAsia" w:eastAsiaTheme="minorEastAsia" w:cstheme="minorEastAsia"/>
          <w:color w:val="auto"/>
          <w:sz w:val="32"/>
          <w:szCs w:val="32"/>
          <w:lang w:val="en-US" w:eastAsia="zh-CN"/>
        </w:rPr>
        <w:t>提</w:t>
      </w:r>
      <w:r>
        <w:rPr>
          <w:rFonts w:hint="eastAsia" w:asciiTheme="minorEastAsia" w:hAnsiTheme="minorEastAsia" w:eastAsiaTheme="minorEastAsia" w:cstheme="minorEastAsia"/>
          <w:color w:val="auto"/>
          <w:sz w:val="32"/>
          <w:szCs w:val="32"/>
        </w:rPr>
        <w:t>交</w:t>
      </w:r>
      <w:bookmarkEnd w:id="69"/>
      <w:bookmarkEnd w:id="70"/>
      <w:bookmarkEnd w:id="71"/>
      <w:bookmarkEnd w:id="72"/>
      <w:bookmarkEnd w:id="73"/>
      <w:bookmarkEnd w:id="74"/>
      <w:bookmarkEnd w:id="75"/>
      <w:bookmarkEnd w:id="76"/>
      <w:bookmarkEnd w:id="77"/>
      <w:bookmarkEnd w:id="78"/>
      <w:bookmarkEnd w:id="79"/>
      <w:bookmarkEnd w:id="80"/>
    </w:p>
    <w:p w14:paraId="2A14B2EC">
      <w:pPr>
        <w:bidi w:val="0"/>
        <w:spacing w:line="360" w:lineRule="auto"/>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19  </w:t>
      </w:r>
      <w:r>
        <w:rPr>
          <w:rFonts w:hint="eastAsia" w:asciiTheme="minorEastAsia" w:hAnsiTheme="minorEastAsia" w:eastAsiaTheme="minorEastAsia" w:cstheme="minorEastAsia"/>
          <w:b/>
          <w:bCs/>
          <w:color w:val="auto"/>
          <w:sz w:val="24"/>
          <w:szCs w:val="24"/>
          <w:lang w:eastAsia="zh-CN"/>
        </w:rPr>
        <w:t>响应文件</w:t>
      </w:r>
      <w:r>
        <w:rPr>
          <w:rFonts w:hint="eastAsia" w:asciiTheme="minorEastAsia" w:hAnsiTheme="minorEastAsia" w:eastAsiaTheme="minorEastAsia" w:cstheme="minorEastAsia"/>
          <w:b/>
          <w:bCs/>
          <w:color w:val="auto"/>
          <w:sz w:val="24"/>
          <w:szCs w:val="24"/>
        </w:rPr>
        <w:t>的</w:t>
      </w:r>
      <w:r>
        <w:rPr>
          <w:rFonts w:hint="eastAsia" w:asciiTheme="minorEastAsia" w:hAnsiTheme="minorEastAsia" w:eastAsiaTheme="minorEastAsia" w:cstheme="minorEastAsia"/>
          <w:b/>
          <w:bCs/>
          <w:color w:val="auto"/>
          <w:sz w:val="24"/>
          <w:szCs w:val="24"/>
          <w:lang w:val="en-US" w:eastAsia="zh-CN"/>
        </w:rPr>
        <w:t>提</w:t>
      </w:r>
      <w:r>
        <w:rPr>
          <w:rFonts w:hint="eastAsia" w:asciiTheme="minorEastAsia" w:hAnsiTheme="minorEastAsia" w:eastAsiaTheme="minorEastAsia" w:cstheme="minorEastAsia"/>
          <w:b/>
          <w:bCs/>
          <w:color w:val="auto"/>
          <w:sz w:val="24"/>
          <w:szCs w:val="24"/>
        </w:rPr>
        <w:t>交详见供应商须知。</w:t>
      </w:r>
    </w:p>
    <w:p w14:paraId="2327DACA">
      <w:pPr>
        <w:bidi w:val="0"/>
        <w:spacing w:line="360" w:lineRule="auto"/>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20  </w:t>
      </w:r>
      <w:r>
        <w:rPr>
          <w:rFonts w:hint="eastAsia" w:asciiTheme="minorEastAsia" w:hAnsiTheme="minorEastAsia" w:eastAsiaTheme="minorEastAsia" w:cstheme="minorEastAsia"/>
          <w:b/>
          <w:bCs/>
          <w:color w:val="auto"/>
          <w:sz w:val="24"/>
          <w:szCs w:val="24"/>
          <w:lang w:eastAsia="zh-CN"/>
        </w:rPr>
        <w:t>响应文件</w:t>
      </w:r>
      <w:r>
        <w:rPr>
          <w:rFonts w:hint="eastAsia" w:asciiTheme="minorEastAsia" w:hAnsiTheme="minorEastAsia" w:eastAsiaTheme="minorEastAsia" w:cstheme="minorEastAsia"/>
          <w:b/>
          <w:bCs/>
          <w:color w:val="auto"/>
          <w:sz w:val="24"/>
          <w:szCs w:val="24"/>
          <w:lang w:val="en-US" w:eastAsia="zh-CN"/>
        </w:rPr>
        <w:t>提</w:t>
      </w:r>
      <w:r>
        <w:rPr>
          <w:rFonts w:hint="eastAsia" w:asciiTheme="minorEastAsia" w:hAnsiTheme="minorEastAsia" w:eastAsiaTheme="minorEastAsia" w:cstheme="minorEastAsia"/>
          <w:b/>
          <w:bCs/>
          <w:color w:val="auto"/>
          <w:sz w:val="24"/>
          <w:szCs w:val="24"/>
        </w:rPr>
        <w:t>交的截止时间</w:t>
      </w:r>
    </w:p>
    <w:p w14:paraId="102074BE">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 供应商必须在</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要求提交</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的截止时</w:t>
      </w:r>
      <w:r>
        <w:rPr>
          <w:rFonts w:hint="eastAsia" w:asciiTheme="minorEastAsia" w:hAnsiTheme="minorEastAsia" w:eastAsiaTheme="minorEastAsia" w:cstheme="minorEastAsia"/>
          <w:color w:val="auto"/>
          <w:sz w:val="24"/>
          <w:szCs w:val="24"/>
          <w:lang w:eastAsia="zh-CN"/>
        </w:rPr>
        <w:t>间之</w:t>
      </w:r>
      <w:r>
        <w:rPr>
          <w:rFonts w:hint="eastAsia" w:asciiTheme="minorEastAsia" w:hAnsiTheme="minorEastAsia" w:eastAsiaTheme="minorEastAsia" w:cstheme="minorEastAsia"/>
          <w:color w:val="auto"/>
          <w:sz w:val="24"/>
          <w:szCs w:val="24"/>
        </w:rPr>
        <w:t>前</w:t>
      </w:r>
      <w:r>
        <w:rPr>
          <w:rFonts w:hint="eastAsia" w:asciiTheme="minorEastAsia" w:hAnsiTheme="minorEastAsia" w:eastAsiaTheme="minorEastAsia" w:cstheme="minorEastAsia"/>
          <w:color w:val="auto"/>
          <w:sz w:val="24"/>
          <w:szCs w:val="24"/>
          <w:lang w:val="en-US" w:eastAsia="zh-CN"/>
        </w:rPr>
        <w:t>提</w:t>
      </w:r>
      <w:r>
        <w:rPr>
          <w:rFonts w:hint="eastAsia" w:asciiTheme="minorEastAsia" w:hAnsiTheme="minorEastAsia" w:eastAsiaTheme="minorEastAsia" w:cstheme="minorEastAsia"/>
          <w:color w:val="auto"/>
          <w:sz w:val="24"/>
          <w:szCs w:val="24"/>
        </w:rPr>
        <w:t>交。</w:t>
      </w:r>
    </w:p>
    <w:p w14:paraId="10E4B098">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 在</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要求提交</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的截止时间之后上传的</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，为无效</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，采购人将不予接收。</w:t>
      </w:r>
    </w:p>
    <w:p w14:paraId="3AE12821">
      <w:pPr>
        <w:bidi w:val="0"/>
        <w:spacing w:line="360" w:lineRule="auto"/>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21  </w:t>
      </w:r>
      <w:r>
        <w:rPr>
          <w:rFonts w:hint="eastAsia" w:asciiTheme="minorEastAsia" w:hAnsiTheme="minorEastAsia" w:eastAsiaTheme="minorEastAsia" w:cstheme="minorEastAsia"/>
          <w:b/>
          <w:bCs/>
          <w:color w:val="auto"/>
          <w:sz w:val="24"/>
          <w:szCs w:val="24"/>
          <w:lang w:eastAsia="zh-CN"/>
        </w:rPr>
        <w:t>响应文件</w:t>
      </w:r>
      <w:r>
        <w:rPr>
          <w:rFonts w:hint="eastAsia" w:asciiTheme="minorEastAsia" w:hAnsiTheme="minorEastAsia" w:eastAsiaTheme="minorEastAsia" w:cstheme="minorEastAsia"/>
          <w:b/>
          <w:bCs/>
          <w:color w:val="auto"/>
          <w:sz w:val="24"/>
          <w:szCs w:val="24"/>
        </w:rPr>
        <w:t>的修改和撤回</w:t>
      </w:r>
    </w:p>
    <w:p w14:paraId="4A73EC04">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21.1 供应商在投标截止时</w:t>
      </w:r>
      <w:r>
        <w:rPr>
          <w:rFonts w:hint="eastAsia" w:asciiTheme="minorEastAsia" w:hAnsiTheme="minorEastAsia" w:eastAsiaTheme="minorEastAsia" w:cstheme="minorEastAsia"/>
          <w:color w:val="auto"/>
          <w:sz w:val="24"/>
          <w:szCs w:val="24"/>
          <w:lang w:eastAsia="zh-CN"/>
        </w:rPr>
        <w:t>间之</w:t>
      </w:r>
      <w:r>
        <w:rPr>
          <w:rFonts w:hint="eastAsia" w:asciiTheme="minorEastAsia" w:hAnsiTheme="minorEastAsia" w:eastAsiaTheme="minorEastAsia" w:cstheme="minorEastAsia"/>
          <w:color w:val="auto"/>
          <w:sz w:val="24"/>
          <w:szCs w:val="24"/>
        </w:rPr>
        <w:t>前，可以对所</w:t>
      </w:r>
      <w:r>
        <w:rPr>
          <w:rFonts w:hint="eastAsia" w:asciiTheme="minorEastAsia" w:hAnsiTheme="minorEastAsia" w:eastAsiaTheme="minorEastAsia" w:cstheme="minorEastAsia"/>
          <w:color w:val="auto"/>
          <w:sz w:val="24"/>
          <w:szCs w:val="24"/>
          <w:lang w:val="en-US" w:eastAsia="zh-CN"/>
        </w:rPr>
        <w:t>提</w:t>
      </w:r>
      <w:r>
        <w:rPr>
          <w:rFonts w:hint="eastAsia" w:asciiTheme="minorEastAsia" w:hAnsiTheme="minorEastAsia" w:eastAsiaTheme="minorEastAsia" w:cstheme="minorEastAsia"/>
          <w:color w:val="auto"/>
          <w:sz w:val="24"/>
          <w:szCs w:val="24"/>
        </w:rPr>
        <w:t>交的</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进行补充、修改或者撤回。补充、修改的内容应当按</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要求签署、盖章，并作为</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的组成部分。供应商对其</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进行的修改或撤回应在</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规定的投标截止时</w:t>
      </w:r>
      <w:r>
        <w:rPr>
          <w:rFonts w:hint="eastAsia" w:asciiTheme="minorEastAsia" w:hAnsiTheme="minorEastAsia" w:eastAsiaTheme="minorEastAsia" w:cstheme="minorEastAsia"/>
          <w:color w:val="auto"/>
          <w:sz w:val="24"/>
          <w:szCs w:val="24"/>
          <w:lang w:eastAsia="zh-CN"/>
        </w:rPr>
        <w:t>间之</w:t>
      </w:r>
      <w:r>
        <w:rPr>
          <w:rFonts w:hint="eastAsia" w:asciiTheme="minorEastAsia" w:hAnsiTheme="minorEastAsia" w:eastAsiaTheme="minorEastAsia" w:cstheme="minorEastAsia"/>
          <w:color w:val="auto"/>
          <w:sz w:val="24"/>
          <w:szCs w:val="24"/>
        </w:rPr>
        <w:t>前送达。</w:t>
      </w:r>
    </w:p>
    <w:p w14:paraId="79773C48">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21.2 供应商根据</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载明采购项目的实际情况，拟在中标后将中标项目的非主体、非关键性工作交由他人完成的，应当在</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中载明。</w:t>
      </w:r>
    </w:p>
    <w:p w14:paraId="1EC44194">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21.3 投标截止时间后不得修改</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w:t>
      </w:r>
    </w:p>
    <w:p w14:paraId="6D566D02">
      <w:pPr>
        <w:bidi w:val="0"/>
        <w:spacing w:line="360" w:lineRule="auto"/>
        <w:ind w:firstLine="48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21.4 供应商不得在投标有效期</w:t>
      </w:r>
      <w:r>
        <w:rPr>
          <w:rFonts w:hint="eastAsia" w:asciiTheme="minorEastAsia" w:hAnsiTheme="minorEastAsia" w:eastAsiaTheme="minorEastAsia" w:cstheme="minorEastAsia"/>
          <w:color w:val="auto"/>
          <w:sz w:val="24"/>
          <w:szCs w:val="24"/>
          <w:lang w:val="en-US" w:eastAsia="zh-CN"/>
        </w:rPr>
        <w:t>内</w:t>
      </w:r>
      <w:r>
        <w:rPr>
          <w:rFonts w:hint="eastAsia" w:asciiTheme="minorEastAsia" w:hAnsiTheme="minorEastAsia" w:eastAsiaTheme="minorEastAsia" w:cstheme="minorEastAsia"/>
          <w:color w:val="auto"/>
          <w:sz w:val="24"/>
          <w:szCs w:val="24"/>
        </w:rPr>
        <w:t>撤销</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，否则采购人将不予退还其投标保证金。</w:t>
      </w:r>
      <w:bookmarkStart w:id="81" w:name="_Toc10256"/>
      <w:bookmarkStart w:id="82" w:name="_Toc26952"/>
      <w:bookmarkStart w:id="83" w:name="_Toc14795"/>
    </w:p>
    <w:p w14:paraId="76DF46ED">
      <w:pPr>
        <w:pStyle w:val="3"/>
        <w:numPr>
          <w:ilvl w:val="0"/>
          <w:numId w:val="0"/>
        </w:numPr>
        <w:bidi w:val="0"/>
        <w:ind w:leftChars="0"/>
        <w:jc w:val="center"/>
        <w:rPr>
          <w:rFonts w:hint="eastAsia" w:asciiTheme="minorEastAsia" w:hAnsiTheme="minorEastAsia" w:eastAsiaTheme="minorEastAsia" w:cstheme="minorEastAsia"/>
          <w:color w:val="auto"/>
          <w:sz w:val="32"/>
          <w:szCs w:val="32"/>
        </w:rPr>
      </w:pPr>
      <w:bookmarkStart w:id="84" w:name="_Toc30259"/>
      <w:bookmarkStart w:id="85" w:name="_Toc25534"/>
      <w:bookmarkStart w:id="86" w:name="_Toc8730"/>
      <w:bookmarkStart w:id="87" w:name="_Toc18848"/>
      <w:bookmarkStart w:id="88" w:name="_Toc24323"/>
      <w:bookmarkStart w:id="89" w:name="_Toc18583"/>
      <w:bookmarkStart w:id="90" w:name="_Toc21719"/>
      <w:bookmarkStart w:id="91" w:name="_Toc12676"/>
      <w:bookmarkStart w:id="92" w:name="_Toc11186"/>
      <w:r>
        <w:rPr>
          <w:rFonts w:hint="eastAsia" w:asciiTheme="minorEastAsia" w:hAnsiTheme="minorEastAsia" w:eastAsiaTheme="minorEastAsia" w:cstheme="minorEastAsia"/>
          <w:color w:val="auto"/>
          <w:sz w:val="32"/>
          <w:szCs w:val="32"/>
        </w:rPr>
        <w:t>五、开   标</w:t>
      </w:r>
      <w:bookmarkEnd w:id="81"/>
      <w:bookmarkEnd w:id="82"/>
      <w:bookmarkEnd w:id="83"/>
      <w:bookmarkEnd w:id="84"/>
      <w:bookmarkEnd w:id="85"/>
      <w:bookmarkEnd w:id="86"/>
      <w:bookmarkEnd w:id="87"/>
      <w:bookmarkEnd w:id="88"/>
      <w:bookmarkEnd w:id="89"/>
      <w:bookmarkEnd w:id="90"/>
      <w:bookmarkEnd w:id="91"/>
      <w:bookmarkEnd w:id="92"/>
    </w:p>
    <w:p w14:paraId="56E30328">
      <w:p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  开标</w:t>
      </w:r>
    </w:p>
    <w:p w14:paraId="0C02D2AD">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 开标</w:t>
      </w:r>
      <w:r>
        <w:rPr>
          <w:rFonts w:hint="eastAsia" w:asciiTheme="minorEastAsia" w:hAnsiTheme="minorEastAsia" w:eastAsiaTheme="minorEastAsia" w:cstheme="minorEastAsia"/>
          <w:color w:val="auto"/>
          <w:sz w:val="24"/>
          <w:szCs w:val="24"/>
          <w:lang w:val="en-US" w:eastAsia="zh-CN"/>
        </w:rPr>
        <w:t>时间</w:t>
      </w:r>
      <w:r>
        <w:rPr>
          <w:rFonts w:hint="eastAsia" w:asciiTheme="minorEastAsia" w:hAnsiTheme="minorEastAsia" w:eastAsiaTheme="minorEastAsia" w:cstheme="minorEastAsia"/>
          <w:color w:val="auto"/>
          <w:sz w:val="24"/>
          <w:szCs w:val="24"/>
        </w:rPr>
        <w:t>为</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lang w:val="en-US" w:eastAsia="zh-CN"/>
        </w:rPr>
        <w:t>中</w:t>
      </w:r>
      <w:r>
        <w:rPr>
          <w:rFonts w:hint="eastAsia" w:asciiTheme="minorEastAsia" w:hAnsiTheme="minorEastAsia" w:eastAsiaTheme="minorEastAsia" w:cstheme="minorEastAsia"/>
          <w:color w:val="auto"/>
          <w:sz w:val="24"/>
          <w:szCs w:val="24"/>
        </w:rPr>
        <w:t>提交</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lang w:val="en-US" w:eastAsia="zh-CN"/>
        </w:rPr>
        <w:t>的</w:t>
      </w:r>
      <w:r>
        <w:rPr>
          <w:rFonts w:hint="eastAsia" w:asciiTheme="minorEastAsia" w:hAnsiTheme="minorEastAsia" w:eastAsiaTheme="minorEastAsia" w:cstheme="minorEastAsia"/>
          <w:color w:val="auto"/>
          <w:sz w:val="24"/>
          <w:szCs w:val="24"/>
        </w:rPr>
        <w:t>截止时间；开标地点为</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中预先确定的地点。</w:t>
      </w:r>
    </w:p>
    <w:p w14:paraId="5D5D160C">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22.2 采购代理机构主持，采购人和有关方面代表参加。投标供应商不足3家的，不得开标。</w:t>
      </w:r>
    </w:p>
    <w:p w14:paraId="3384C30B">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 开标方式：电子开评标</w:t>
      </w:r>
    </w:p>
    <w:p w14:paraId="37DE5BB8">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22.3.1开标时间到达后，主持人</w:t>
      </w:r>
      <w:r>
        <w:rPr>
          <w:rFonts w:hint="eastAsia" w:asciiTheme="minorEastAsia" w:hAnsiTheme="minorEastAsia" w:eastAsiaTheme="minorEastAsia" w:cstheme="minorEastAsia"/>
          <w:color w:val="auto"/>
          <w:sz w:val="24"/>
          <w:szCs w:val="24"/>
          <w:lang w:val="en-US" w:eastAsia="zh-CN"/>
        </w:rPr>
        <w:t>开启解密标书后，供应商点击【CA解密】进行解密，超过解密时限，默认供应商自动放弃。解密成功的</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可继续进行开标。</w:t>
      </w:r>
    </w:p>
    <w:p w14:paraId="2509594C">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22.3.2 若</w:t>
      </w:r>
      <w:r>
        <w:rPr>
          <w:rFonts w:hint="eastAsia" w:asciiTheme="minorEastAsia" w:hAnsiTheme="minorEastAsia" w:eastAsiaTheme="minorEastAsia" w:cstheme="minorEastAsia"/>
          <w:color w:val="auto"/>
          <w:sz w:val="24"/>
          <w:szCs w:val="24"/>
          <w:lang w:val="en-US" w:eastAsia="zh-CN"/>
        </w:rPr>
        <w:t>提交</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家数少于三家或者开标后成功解密的家数少于三家的，将终止该</w:t>
      </w:r>
      <w:r>
        <w:rPr>
          <w:rFonts w:hint="eastAsia" w:asciiTheme="minorEastAsia" w:hAnsiTheme="minorEastAsia" w:eastAsiaTheme="minorEastAsia" w:cstheme="minorEastAsia"/>
          <w:color w:val="auto"/>
          <w:sz w:val="24"/>
          <w:szCs w:val="24"/>
          <w:lang w:val="en-US" w:eastAsia="zh-CN"/>
        </w:rPr>
        <w:t>项目（标项）</w:t>
      </w:r>
      <w:r>
        <w:rPr>
          <w:rFonts w:hint="eastAsia" w:asciiTheme="minorEastAsia" w:hAnsiTheme="minorEastAsia" w:eastAsiaTheme="minorEastAsia" w:cstheme="minorEastAsia"/>
          <w:color w:val="auto"/>
          <w:sz w:val="24"/>
          <w:szCs w:val="24"/>
        </w:rPr>
        <w:t xml:space="preserve">的开标。 </w:t>
      </w:r>
    </w:p>
    <w:p w14:paraId="47B40534">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22.4 </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报价出现前后不一致的，除</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另有规定外，按照下列规定修正：</w:t>
      </w:r>
    </w:p>
    <w:p w14:paraId="186AFC91">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22.4.1</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中开标一览表（报价</w:t>
      </w:r>
      <w:r>
        <w:rPr>
          <w:rFonts w:hint="eastAsia" w:asciiTheme="minorEastAsia" w:hAnsiTheme="minorEastAsia" w:eastAsiaTheme="minorEastAsia" w:cstheme="minorEastAsia"/>
          <w:color w:val="auto"/>
          <w:sz w:val="24"/>
          <w:szCs w:val="24"/>
          <w:lang w:val="en-US" w:eastAsia="zh-CN"/>
        </w:rPr>
        <w:t>一览</w:t>
      </w:r>
      <w:r>
        <w:rPr>
          <w:rFonts w:hint="eastAsia" w:asciiTheme="minorEastAsia" w:hAnsiTheme="minorEastAsia" w:eastAsiaTheme="minorEastAsia" w:cstheme="minorEastAsia"/>
          <w:color w:val="auto"/>
          <w:sz w:val="24"/>
          <w:szCs w:val="24"/>
        </w:rPr>
        <w:t>表）内容与</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中相应内容不一致的，以开标一览表（报价</w:t>
      </w:r>
      <w:r>
        <w:rPr>
          <w:rFonts w:hint="eastAsia" w:asciiTheme="minorEastAsia" w:hAnsiTheme="minorEastAsia" w:eastAsiaTheme="minorEastAsia" w:cstheme="minorEastAsia"/>
          <w:color w:val="auto"/>
          <w:sz w:val="24"/>
          <w:szCs w:val="24"/>
          <w:lang w:val="en-US" w:eastAsia="zh-CN"/>
        </w:rPr>
        <w:t>一览</w:t>
      </w:r>
      <w:r>
        <w:rPr>
          <w:rFonts w:hint="eastAsia" w:asciiTheme="minorEastAsia" w:hAnsiTheme="minorEastAsia" w:eastAsiaTheme="minorEastAsia" w:cstheme="minorEastAsia"/>
          <w:color w:val="auto"/>
          <w:sz w:val="24"/>
          <w:szCs w:val="24"/>
        </w:rPr>
        <w:t>表）为准；</w:t>
      </w:r>
    </w:p>
    <w:p w14:paraId="4DEC558C">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22.4.2</w:t>
      </w:r>
      <w:r>
        <w:rPr>
          <w:rFonts w:hint="eastAsia" w:asciiTheme="minorEastAsia" w:hAnsiTheme="minorEastAsia" w:eastAsiaTheme="minorEastAsia" w:cstheme="minorEastAsia"/>
          <w:color w:val="auto"/>
          <w:sz w:val="24"/>
          <w:szCs w:val="24"/>
        </w:rPr>
        <w:t>大写金额和小写金额不一致的，以大写金额为准；</w:t>
      </w:r>
    </w:p>
    <w:p w14:paraId="5AC1AFDC">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22.4.3</w:t>
      </w:r>
      <w:r>
        <w:rPr>
          <w:rFonts w:hint="eastAsia" w:asciiTheme="minorEastAsia" w:hAnsiTheme="minorEastAsia" w:eastAsiaTheme="minorEastAsia" w:cstheme="minorEastAsia"/>
          <w:color w:val="auto"/>
          <w:sz w:val="24"/>
          <w:szCs w:val="24"/>
        </w:rPr>
        <w:t>单价金额小数点或者百分比有明显错位的，以开标一览表（报价</w:t>
      </w:r>
      <w:r>
        <w:rPr>
          <w:rFonts w:hint="eastAsia" w:asciiTheme="minorEastAsia" w:hAnsiTheme="minorEastAsia" w:eastAsiaTheme="minorEastAsia" w:cstheme="minorEastAsia"/>
          <w:color w:val="auto"/>
          <w:sz w:val="24"/>
          <w:szCs w:val="24"/>
          <w:lang w:val="en-US" w:eastAsia="zh-CN"/>
        </w:rPr>
        <w:t>一览</w:t>
      </w:r>
      <w:r>
        <w:rPr>
          <w:rFonts w:hint="eastAsia" w:asciiTheme="minorEastAsia" w:hAnsiTheme="minorEastAsia" w:eastAsiaTheme="minorEastAsia" w:cstheme="minorEastAsia"/>
          <w:color w:val="auto"/>
          <w:sz w:val="24"/>
          <w:szCs w:val="24"/>
        </w:rPr>
        <w:t>表）的总价为准，并修改单价；</w:t>
      </w:r>
    </w:p>
    <w:p w14:paraId="72F23F00">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22.4.4</w:t>
      </w:r>
      <w:r>
        <w:rPr>
          <w:rFonts w:hint="eastAsia" w:asciiTheme="minorEastAsia" w:hAnsiTheme="minorEastAsia" w:eastAsiaTheme="minorEastAsia" w:cstheme="minorEastAsia"/>
          <w:color w:val="auto"/>
          <w:sz w:val="24"/>
          <w:szCs w:val="24"/>
        </w:rPr>
        <w:t>总价金额与按单价汇总金额不一致的，以单价金额计算结果为准。</w:t>
      </w:r>
    </w:p>
    <w:p w14:paraId="0EBDA5B1">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22.4.5</w:t>
      </w:r>
      <w:r>
        <w:rPr>
          <w:rFonts w:hint="eastAsia" w:asciiTheme="minorEastAsia" w:hAnsiTheme="minorEastAsia" w:eastAsiaTheme="minorEastAsia" w:cstheme="minorEastAsia"/>
          <w:color w:val="auto"/>
          <w:sz w:val="24"/>
          <w:szCs w:val="24"/>
        </w:rPr>
        <w:t>对不同文字文本</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的解释发生异议的，以中文文本为准。</w:t>
      </w:r>
    </w:p>
    <w:p w14:paraId="3C9CD289">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22.5 对未按照本</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要求进行投标及资格审查不合格的供应商，其</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将按无效投标处理。</w:t>
      </w:r>
    </w:p>
    <w:p w14:paraId="42E1B4D7">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22.6 供应商之间不得相互串通投标报价，不得妨碍其他供应商的公平竞争，不得损害采购人或者其他供应商的合法权益。</w:t>
      </w:r>
    </w:p>
    <w:p w14:paraId="249C1B6A">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22.7 供应商不得向采购人、</w:t>
      </w:r>
      <w:r>
        <w:rPr>
          <w:rFonts w:hint="eastAsia" w:asciiTheme="minorEastAsia" w:hAnsiTheme="minorEastAsia" w:eastAsiaTheme="minorEastAsia" w:cstheme="minorEastAsia"/>
          <w:color w:val="auto"/>
          <w:sz w:val="24"/>
          <w:szCs w:val="24"/>
          <w:lang w:eastAsia="zh-CN"/>
        </w:rPr>
        <w:t>磋商小组</w:t>
      </w:r>
      <w:r>
        <w:rPr>
          <w:rFonts w:hint="eastAsia" w:asciiTheme="minorEastAsia" w:hAnsiTheme="minorEastAsia" w:eastAsiaTheme="minorEastAsia" w:cstheme="minorEastAsia"/>
          <w:color w:val="auto"/>
          <w:sz w:val="24"/>
          <w:szCs w:val="24"/>
        </w:rPr>
        <w:t>成员行贿或者采取其他不正当手段谋取中标。</w:t>
      </w:r>
    </w:p>
    <w:p w14:paraId="6B12B354">
      <w:pPr>
        <w:pStyle w:val="3"/>
        <w:numPr>
          <w:ilvl w:val="0"/>
          <w:numId w:val="0"/>
        </w:numPr>
        <w:bidi w:val="0"/>
        <w:ind w:leftChars="0"/>
        <w:jc w:val="center"/>
        <w:rPr>
          <w:rFonts w:hint="eastAsia" w:asciiTheme="minorEastAsia" w:hAnsiTheme="minorEastAsia" w:eastAsiaTheme="minorEastAsia" w:cstheme="minorEastAsia"/>
          <w:color w:val="auto"/>
          <w:sz w:val="32"/>
          <w:szCs w:val="32"/>
        </w:rPr>
      </w:pPr>
      <w:bookmarkStart w:id="93" w:name="_Toc16195"/>
      <w:bookmarkStart w:id="94" w:name="_Toc4557"/>
      <w:bookmarkStart w:id="95" w:name="_Toc10859"/>
      <w:bookmarkStart w:id="96" w:name="_Toc17564"/>
      <w:bookmarkStart w:id="97" w:name="_Toc29037"/>
      <w:bookmarkStart w:id="98" w:name="_Toc24841"/>
      <w:bookmarkStart w:id="99" w:name="_Toc28173"/>
      <w:bookmarkStart w:id="100" w:name="_Toc12203"/>
      <w:bookmarkStart w:id="101" w:name="_Toc27665"/>
      <w:bookmarkStart w:id="102" w:name="_Toc6415"/>
      <w:bookmarkStart w:id="103" w:name="_Toc32611"/>
      <w:bookmarkStart w:id="104" w:name="_Toc16901"/>
      <w:r>
        <w:rPr>
          <w:rFonts w:hint="eastAsia" w:asciiTheme="minorEastAsia" w:hAnsiTheme="minorEastAsia" w:eastAsiaTheme="minorEastAsia" w:cstheme="minorEastAsia"/>
          <w:color w:val="auto"/>
          <w:sz w:val="32"/>
          <w:szCs w:val="32"/>
        </w:rPr>
        <w:t>六、 评标、定标</w:t>
      </w:r>
      <w:bookmarkEnd w:id="93"/>
      <w:bookmarkEnd w:id="94"/>
      <w:bookmarkEnd w:id="95"/>
      <w:bookmarkEnd w:id="96"/>
      <w:bookmarkEnd w:id="97"/>
      <w:bookmarkEnd w:id="98"/>
      <w:bookmarkEnd w:id="99"/>
      <w:bookmarkEnd w:id="100"/>
      <w:bookmarkEnd w:id="101"/>
      <w:bookmarkEnd w:id="102"/>
      <w:bookmarkEnd w:id="103"/>
      <w:bookmarkEnd w:id="104"/>
    </w:p>
    <w:p w14:paraId="59E5DFFE">
      <w:pPr>
        <w:keepNext w:val="0"/>
        <w:keepLines w:val="0"/>
        <w:pageBreakBefore w:val="0"/>
        <w:widowControl w:val="0"/>
        <w:kinsoku/>
        <w:wordWrap/>
        <w:overflowPunct/>
        <w:topLinePunct w:val="0"/>
        <w:bidi w:val="0"/>
        <w:spacing w:line="460" w:lineRule="exact"/>
        <w:jc w:val="left"/>
        <w:textAlignment w:val="auto"/>
        <w:rPr>
          <w:rFonts w:hint="eastAsia" w:asciiTheme="minorEastAsia" w:hAnsiTheme="minorEastAsia" w:eastAsiaTheme="minorEastAsia" w:cstheme="minorEastAsia"/>
          <w:b/>
          <w:bCs/>
          <w:color w:val="auto"/>
          <w:sz w:val="28"/>
          <w:szCs w:val="28"/>
        </w:rPr>
      </w:pPr>
      <w:bookmarkStart w:id="105" w:name="OLE_LINK1"/>
      <w:r>
        <w:rPr>
          <w:rFonts w:hint="eastAsia" w:asciiTheme="minorEastAsia" w:hAnsiTheme="minorEastAsia" w:eastAsiaTheme="minorEastAsia" w:cstheme="minorEastAsia"/>
          <w:b/>
          <w:bCs/>
          <w:color w:val="auto"/>
          <w:sz w:val="28"/>
          <w:szCs w:val="28"/>
        </w:rPr>
        <w:t>23  评标</w:t>
      </w:r>
    </w:p>
    <w:p w14:paraId="0755BE3E">
      <w:pPr>
        <w:keepNext w:val="0"/>
        <w:keepLines w:val="0"/>
        <w:pageBreakBefore w:val="0"/>
        <w:widowControl w:val="0"/>
        <w:kinsoku/>
        <w:wordWrap/>
        <w:overflowPunct/>
        <w:topLinePunct w:val="0"/>
        <w:autoSpaceDE/>
        <w:autoSpaceDN/>
        <w:bidi w:val="0"/>
        <w:adjustRightInd/>
        <w:snapToGrid/>
        <w:spacing w:line="460" w:lineRule="exact"/>
        <w:ind w:firstLine="484" w:firstLineChars="20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23.1</w:t>
      </w:r>
      <w:r>
        <w:rPr>
          <w:rFonts w:hint="eastAsia" w:asciiTheme="minorEastAsia" w:hAnsiTheme="minorEastAsia" w:eastAsiaTheme="minorEastAsia" w:cstheme="minorEastAsia"/>
          <w:color w:val="auto"/>
          <w:sz w:val="24"/>
          <w:szCs w:val="24"/>
          <w:lang w:eastAsia="zh-CN"/>
        </w:rPr>
        <w:t>磋商小组</w:t>
      </w:r>
    </w:p>
    <w:p w14:paraId="66729F14">
      <w:pPr>
        <w:keepNext w:val="0"/>
        <w:keepLines w:val="0"/>
        <w:pageBreakBefore w:val="0"/>
        <w:widowControl w:val="0"/>
        <w:kinsoku/>
        <w:wordWrap/>
        <w:overflowPunct/>
        <w:topLinePunct w:val="0"/>
        <w:autoSpaceDE/>
        <w:autoSpaceDN/>
        <w:bidi w:val="0"/>
        <w:adjustRightInd/>
        <w:snapToGrid/>
        <w:spacing w:line="460" w:lineRule="exact"/>
        <w:ind w:firstLine="484" w:firstLineChars="20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23.1.1 磋商小组人数应当为</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人以上单数，其中评审专家不得少于成员总数的三分之二。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170DF27">
      <w:pPr>
        <w:keepNext w:val="0"/>
        <w:keepLines w:val="0"/>
        <w:pageBreakBefore w:val="0"/>
        <w:widowControl w:val="0"/>
        <w:kinsoku/>
        <w:wordWrap/>
        <w:overflowPunct/>
        <w:topLinePunct w:val="0"/>
        <w:autoSpaceDE/>
        <w:autoSpaceDN/>
        <w:bidi w:val="0"/>
        <w:adjustRightInd/>
        <w:snapToGrid/>
        <w:spacing w:line="460" w:lineRule="exact"/>
        <w:ind w:firstLine="484" w:firstLineChars="20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 xml:space="preserve">23.1.2 </w:t>
      </w:r>
      <w:r>
        <w:rPr>
          <w:rFonts w:hint="eastAsia" w:asciiTheme="minorEastAsia" w:hAnsiTheme="minorEastAsia" w:eastAsiaTheme="minorEastAsia" w:cstheme="minorEastAsia"/>
          <w:color w:val="auto"/>
          <w:sz w:val="24"/>
          <w:szCs w:val="24"/>
          <w:lang w:eastAsia="zh-CN"/>
        </w:rPr>
        <w:t>评审专家对本单位的采购项目只能作为采购人代表参与评标。</w:t>
      </w:r>
    </w:p>
    <w:p w14:paraId="7A7EE487">
      <w:pPr>
        <w:keepNext w:val="0"/>
        <w:keepLines w:val="0"/>
        <w:pageBreakBefore w:val="0"/>
        <w:widowControl w:val="0"/>
        <w:kinsoku/>
        <w:wordWrap/>
        <w:overflowPunct/>
        <w:topLinePunct w:val="0"/>
        <w:autoSpaceDE/>
        <w:autoSpaceDN/>
        <w:bidi w:val="0"/>
        <w:adjustRightInd/>
        <w:snapToGrid/>
        <w:spacing w:line="460" w:lineRule="exact"/>
        <w:ind w:firstLine="484" w:firstLineChars="20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23.1.</w:t>
      </w:r>
      <w:r>
        <w:rPr>
          <w:rFonts w:hint="eastAsia" w:asciiTheme="minorEastAsia" w:hAnsiTheme="minorEastAsia" w:eastAsiaTheme="minorEastAsia" w:cstheme="minorEastAsia"/>
          <w:color w:val="auto"/>
          <w:sz w:val="24"/>
          <w:szCs w:val="24"/>
          <w:lang w:val="en-US" w:eastAsia="zh-CN"/>
        </w:rPr>
        <w:t xml:space="preserve">3 </w:t>
      </w:r>
      <w:r>
        <w:rPr>
          <w:rFonts w:hint="eastAsia" w:asciiTheme="minorEastAsia" w:hAnsiTheme="minorEastAsia" w:eastAsiaTheme="minorEastAsia" w:cstheme="minorEastAsia"/>
          <w:color w:val="auto"/>
          <w:sz w:val="24"/>
          <w:szCs w:val="24"/>
        </w:rPr>
        <w:t>采购人就</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征询过意见的专家，不得再作为评</w:t>
      </w:r>
      <w:r>
        <w:rPr>
          <w:rFonts w:hint="eastAsia" w:asciiTheme="minorEastAsia" w:hAnsiTheme="minorEastAsia" w:eastAsiaTheme="minorEastAsia" w:cstheme="minorEastAsia"/>
          <w:color w:val="auto"/>
          <w:sz w:val="24"/>
          <w:szCs w:val="24"/>
          <w:lang w:val="en-US" w:eastAsia="zh-CN"/>
        </w:rPr>
        <w:t>审</w:t>
      </w:r>
      <w:r>
        <w:rPr>
          <w:rFonts w:hint="eastAsia" w:asciiTheme="minorEastAsia" w:hAnsiTheme="minorEastAsia" w:eastAsiaTheme="minorEastAsia" w:cstheme="minorEastAsia"/>
          <w:color w:val="auto"/>
          <w:sz w:val="24"/>
          <w:szCs w:val="24"/>
        </w:rPr>
        <w:t>专家参加评标。采购</w:t>
      </w:r>
      <w:r>
        <w:rPr>
          <w:rFonts w:hint="eastAsia" w:asciiTheme="minorEastAsia" w:hAnsiTheme="minorEastAsia" w:eastAsiaTheme="minorEastAsia" w:cstheme="minorEastAsia"/>
          <w:color w:val="auto"/>
          <w:sz w:val="24"/>
          <w:szCs w:val="24"/>
          <w:lang w:eastAsia="zh-CN"/>
        </w:rPr>
        <w:t>代理机构工作人员不得参加由本机构代理的政府采购项目的评标。</w:t>
      </w:r>
    </w:p>
    <w:p w14:paraId="65E4D9D2">
      <w:pPr>
        <w:keepNext w:val="0"/>
        <w:keepLines w:val="0"/>
        <w:pageBreakBefore w:val="0"/>
        <w:widowControl w:val="0"/>
        <w:kinsoku/>
        <w:wordWrap/>
        <w:overflowPunct/>
        <w:topLinePunct w:val="0"/>
        <w:autoSpaceDE/>
        <w:autoSpaceDN/>
        <w:bidi w:val="0"/>
        <w:adjustRightInd/>
        <w:snapToGrid/>
        <w:spacing w:line="460" w:lineRule="exact"/>
        <w:ind w:firstLine="484" w:firstLineChars="20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23.1.</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 xml:space="preserve"> 采购人委托代表参加</w:t>
      </w:r>
      <w:r>
        <w:rPr>
          <w:rFonts w:hint="eastAsia" w:asciiTheme="minorEastAsia" w:hAnsiTheme="minorEastAsia" w:eastAsiaTheme="minorEastAsia" w:cstheme="minorEastAsia"/>
          <w:color w:val="auto"/>
          <w:sz w:val="24"/>
          <w:szCs w:val="24"/>
          <w:lang w:val="en-US" w:eastAsia="zh-CN"/>
        </w:rPr>
        <w:t>评审的</w:t>
      </w:r>
      <w:r>
        <w:rPr>
          <w:rFonts w:hint="eastAsia" w:asciiTheme="minorEastAsia" w:hAnsiTheme="minorEastAsia" w:eastAsiaTheme="minorEastAsia" w:cstheme="minorEastAsia"/>
          <w:color w:val="auto"/>
          <w:sz w:val="24"/>
          <w:szCs w:val="24"/>
          <w:lang w:eastAsia="zh-CN"/>
        </w:rPr>
        <w:t>，向采购代理机构出具授权</w:t>
      </w:r>
      <w:r>
        <w:rPr>
          <w:rFonts w:hint="eastAsia" w:asciiTheme="minorEastAsia" w:hAnsiTheme="minorEastAsia" w:eastAsiaTheme="minorEastAsia" w:cstheme="minorEastAsia"/>
          <w:color w:val="auto"/>
          <w:sz w:val="24"/>
          <w:szCs w:val="24"/>
          <w:lang w:val="en-US" w:eastAsia="zh-CN"/>
        </w:rPr>
        <w:t>函</w:t>
      </w:r>
      <w:r>
        <w:rPr>
          <w:rFonts w:hint="eastAsia" w:asciiTheme="minorEastAsia" w:hAnsiTheme="minorEastAsia" w:eastAsiaTheme="minorEastAsia" w:cstheme="minorEastAsia"/>
          <w:color w:val="auto"/>
          <w:sz w:val="24"/>
          <w:szCs w:val="24"/>
          <w:lang w:eastAsia="zh-CN"/>
        </w:rPr>
        <w:t>，采购人代表不得担任磋商小组</w:t>
      </w:r>
      <w:r>
        <w:rPr>
          <w:rFonts w:hint="eastAsia" w:asciiTheme="minorEastAsia" w:hAnsiTheme="minorEastAsia" w:eastAsiaTheme="minorEastAsia" w:cstheme="minorEastAsia"/>
          <w:color w:val="auto"/>
          <w:sz w:val="24"/>
          <w:szCs w:val="24"/>
          <w:lang w:val="en-US" w:eastAsia="zh-CN"/>
        </w:rPr>
        <w:t>组长</w:t>
      </w:r>
      <w:r>
        <w:rPr>
          <w:rFonts w:hint="eastAsia" w:asciiTheme="minorEastAsia" w:hAnsiTheme="minorEastAsia" w:eastAsiaTheme="minorEastAsia" w:cstheme="minorEastAsia"/>
          <w:color w:val="auto"/>
          <w:sz w:val="24"/>
          <w:szCs w:val="24"/>
          <w:lang w:eastAsia="zh-CN"/>
        </w:rPr>
        <w:t>。</w:t>
      </w:r>
    </w:p>
    <w:p w14:paraId="7EA77F89">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23.1.5 评审专家</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lang w:val="en-US" w:eastAsia="zh-CN"/>
        </w:rPr>
        <w:t>采购</w:t>
      </w:r>
      <w:r>
        <w:rPr>
          <w:rFonts w:hint="eastAsia" w:asciiTheme="minorEastAsia" w:hAnsiTheme="minorEastAsia" w:eastAsiaTheme="minorEastAsia" w:cstheme="minorEastAsia"/>
          <w:color w:val="auto"/>
          <w:sz w:val="24"/>
          <w:szCs w:val="24"/>
        </w:rPr>
        <w:t>代理在政采云评审专家库中，通过随机方式抽取</w:t>
      </w:r>
      <w:r>
        <w:rPr>
          <w:rFonts w:hint="eastAsia" w:asciiTheme="minorEastAsia" w:hAnsiTheme="minorEastAsia" w:eastAsiaTheme="minorEastAsia" w:cstheme="minorEastAsia"/>
          <w:color w:val="auto"/>
          <w:sz w:val="24"/>
          <w:szCs w:val="24"/>
          <w:lang w:eastAsia="zh-CN"/>
        </w:rPr>
        <w:t>，磋商小组成员名单在评标结果公告前应当保密。</w:t>
      </w:r>
      <w:r>
        <w:rPr>
          <w:rFonts w:hint="eastAsia" w:asciiTheme="minorEastAsia" w:hAnsiTheme="minorEastAsia" w:eastAsiaTheme="minorEastAsia" w:cstheme="minorEastAsia"/>
          <w:color w:val="auto"/>
          <w:sz w:val="24"/>
          <w:szCs w:val="24"/>
        </w:rPr>
        <w:t xml:space="preserve"> </w:t>
      </w:r>
    </w:p>
    <w:p w14:paraId="47C2B11E">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23.1.</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磋商小组</w:t>
      </w:r>
      <w:r>
        <w:rPr>
          <w:rFonts w:hint="eastAsia" w:asciiTheme="minorEastAsia" w:hAnsiTheme="minorEastAsia" w:eastAsiaTheme="minorEastAsia" w:cstheme="minorEastAsia"/>
          <w:color w:val="auto"/>
          <w:sz w:val="24"/>
          <w:szCs w:val="24"/>
        </w:rPr>
        <w:t>成员应认真执行相关法规规定，同时维护采购人与供应商的合法权益。</w:t>
      </w:r>
    </w:p>
    <w:p w14:paraId="6ECA3556">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23.1.</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 xml:space="preserve"> 评标的依据为</w:t>
      </w:r>
      <w:r>
        <w:rPr>
          <w:rFonts w:hint="eastAsia" w:asciiTheme="minorEastAsia" w:hAnsiTheme="minorEastAsia" w:eastAsiaTheme="minorEastAsia" w:cstheme="minorEastAsia"/>
          <w:color w:val="auto"/>
          <w:sz w:val="24"/>
          <w:szCs w:val="24"/>
          <w:lang w:val="en-US" w:eastAsia="zh-CN"/>
        </w:rPr>
        <w:t>竞争性磋商</w:t>
      </w:r>
      <w:r>
        <w:rPr>
          <w:rFonts w:hint="eastAsia" w:asciiTheme="minorEastAsia" w:hAnsiTheme="minorEastAsia" w:eastAsiaTheme="minorEastAsia" w:cstheme="minorEastAsia"/>
          <w:color w:val="auto"/>
          <w:sz w:val="24"/>
          <w:szCs w:val="24"/>
        </w:rPr>
        <w:t>文件和</w:t>
      </w:r>
      <w:r>
        <w:rPr>
          <w:rFonts w:hint="eastAsia" w:asciiTheme="minorEastAsia" w:hAnsiTheme="minorEastAsia" w:eastAsiaTheme="minorEastAsia" w:cstheme="minorEastAsia"/>
          <w:color w:val="auto"/>
          <w:sz w:val="24"/>
          <w:szCs w:val="24"/>
          <w:lang w:eastAsia="zh-CN"/>
        </w:rPr>
        <w:t>响应文件。</w:t>
      </w:r>
    </w:p>
    <w:p w14:paraId="634D8463">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23.1.6 评标中</w:t>
      </w:r>
      <w:r>
        <w:rPr>
          <w:rFonts w:hint="eastAsia" w:asciiTheme="minorEastAsia" w:hAnsiTheme="minorEastAsia" w:eastAsiaTheme="minorEastAsia" w:cstheme="minorEastAsia"/>
          <w:color w:val="auto"/>
          <w:sz w:val="24"/>
          <w:szCs w:val="24"/>
          <w:lang w:eastAsia="zh-CN"/>
        </w:rPr>
        <w:t>磋商小组</w:t>
      </w:r>
      <w:r>
        <w:rPr>
          <w:rFonts w:hint="eastAsia" w:asciiTheme="minorEastAsia" w:hAnsiTheme="minorEastAsia" w:eastAsiaTheme="minorEastAsia" w:cstheme="minorEastAsia"/>
          <w:color w:val="auto"/>
          <w:sz w:val="24"/>
          <w:szCs w:val="24"/>
        </w:rPr>
        <w:t>成员若发生意见分歧，通过书面表决形式，以少数服从多数为原则决定。</w:t>
      </w:r>
    </w:p>
    <w:p w14:paraId="72474E7D">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23.2 评标纪律</w:t>
      </w:r>
    </w:p>
    <w:p w14:paraId="431D6C6F">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23.2.1 </w:t>
      </w:r>
      <w:r>
        <w:rPr>
          <w:rFonts w:hint="eastAsia" w:asciiTheme="minorEastAsia" w:hAnsiTheme="minorEastAsia" w:eastAsiaTheme="minorEastAsia" w:cstheme="minorEastAsia"/>
          <w:color w:val="auto"/>
          <w:sz w:val="24"/>
          <w:szCs w:val="24"/>
        </w:rPr>
        <w:t>要严格遵守评审时间，主动出具身份证明，遵守评审工作纪律和评审回避的相关规定。</w:t>
      </w:r>
    </w:p>
    <w:p w14:paraId="6474A606">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23.2.2 </w:t>
      </w:r>
      <w:r>
        <w:rPr>
          <w:rFonts w:hint="eastAsia" w:asciiTheme="minorEastAsia" w:hAnsiTheme="minorEastAsia" w:eastAsiaTheme="minorEastAsia" w:cstheme="minorEastAsia"/>
          <w:color w:val="auto"/>
          <w:sz w:val="24"/>
          <w:szCs w:val="24"/>
        </w:rPr>
        <w:t>在评审工作开始前，将手机等通讯工具或相关电子设备交由采购人或采购代理机构统一保管，拒不上交的，采购人或采购代理机构可以拒绝其参加评审工作并向财政部门报告。</w:t>
      </w:r>
    </w:p>
    <w:p w14:paraId="7B8E5F38">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23.2.3 </w:t>
      </w:r>
      <w:r>
        <w:rPr>
          <w:rFonts w:hint="eastAsia" w:asciiTheme="minorEastAsia" w:hAnsiTheme="minorEastAsia" w:eastAsiaTheme="minorEastAsia" w:cstheme="minorEastAsia"/>
          <w:color w:val="auto"/>
          <w:sz w:val="24"/>
          <w:szCs w:val="24"/>
          <w:lang w:eastAsia="zh-CN"/>
        </w:rPr>
        <w:t>磋商小组</w:t>
      </w:r>
      <w:r>
        <w:rPr>
          <w:rFonts w:hint="eastAsia" w:asciiTheme="minorEastAsia" w:hAnsiTheme="minorEastAsia" w:eastAsiaTheme="minorEastAsia" w:cstheme="minorEastAsia"/>
          <w:color w:val="auto"/>
          <w:sz w:val="24"/>
          <w:szCs w:val="24"/>
        </w:rPr>
        <w:t>成员和评审工作有关人员不得干预或者影响正常评审工作，不得明示或者暗示其倾向性、引导性意见，不得修改或细化采购文件确定的评审程序、评审方法、评审因素和评审标准，不得接受供应商主动提出的澄清和解释，不得征询采购人代表的倾向性意见，不得协商评分，不得记录、复制或带走任何评审资料。</w:t>
      </w:r>
    </w:p>
    <w:p w14:paraId="55CC9035">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23.2.4 </w:t>
      </w:r>
      <w:r>
        <w:rPr>
          <w:rFonts w:hint="eastAsia" w:asciiTheme="minorEastAsia" w:hAnsiTheme="minorEastAsia" w:eastAsiaTheme="minorEastAsia" w:cstheme="minorEastAsia"/>
          <w:color w:val="auto"/>
          <w:sz w:val="24"/>
          <w:szCs w:val="24"/>
        </w:rPr>
        <w:t>评审结果汇总完成后，采购人、采购代理机构和</w:t>
      </w:r>
      <w:r>
        <w:rPr>
          <w:rFonts w:hint="eastAsia" w:asciiTheme="minorEastAsia" w:hAnsiTheme="minorEastAsia" w:eastAsiaTheme="minorEastAsia" w:cstheme="minorEastAsia"/>
          <w:color w:val="auto"/>
          <w:sz w:val="24"/>
          <w:szCs w:val="24"/>
          <w:lang w:eastAsia="zh-CN"/>
        </w:rPr>
        <w:t>磋商小组</w:t>
      </w:r>
      <w:r>
        <w:rPr>
          <w:rFonts w:hint="eastAsia" w:asciiTheme="minorEastAsia" w:hAnsiTheme="minorEastAsia" w:eastAsiaTheme="minorEastAsia" w:cstheme="minorEastAsia"/>
          <w:color w:val="auto"/>
          <w:sz w:val="24"/>
          <w:szCs w:val="24"/>
        </w:rPr>
        <w:t>均不得修改评审结果或者要求重新评审，但资格性检查认定错误、分值汇总计算错误、分项评分超出评分标准范围、客观分评分不一致、经</w:t>
      </w:r>
      <w:r>
        <w:rPr>
          <w:rFonts w:hint="eastAsia" w:asciiTheme="minorEastAsia" w:hAnsiTheme="minorEastAsia" w:eastAsiaTheme="minorEastAsia" w:cstheme="minorEastAsia"/>
          <w:color w:val="auto"/>
          <w:sz w:val="24"/>
          <w:szCs w:val="24"/>
          <w:lang w:eastAsia="zh-CN"/>
        </w:rPr>
        <w:t>磋商小组</w:t>
      </w:r>
      <w:r>
        <w:rPr>
          <w:rFonts w:hint="eastAsia" w:asciiTheme="minorEastAsia" w:hAnsiTheme="minorEastAsia" w:eastAsiaTheme="minorEastAsia" w:cstheme="minorEastAsia"/>
          <w:color w:val="auto"/>
          <w:sz w:val="24"/>
          <w:szCs w:val="24"/>
        </w:rPr>
        <w:t>一致认定评分畸高、畸低的情形除外。出现上述除外情形的，</w:t>
      </w:r>
      <w:r>
        <w:rPr>
          <w:rFonts w:hint="eastAsia" w:asciiTheme="minorEastAsia" w:hAnsiTheme="minorEastAsia" w:eastAsiaTheme="minorEastAsia" w:cstheme="minorEastAsia"/>
          <w:color w:val="auto"/>
          <w:sz w:val="24"/>
          <w:szCs w:val="24"/>
          <w:lang w:eastAsia="zh-CN"/>
        </w:rPr>
        <w:t>磋商小组</w:t>
      </w:r>
      <w:r>
        <w:rPr>
          <w:rFonts w:hint="eastAsia" w:asciiTheme="minorEastAsia" w:hAnsiTheme="minorEastAsia" w:eastAsiaTheme="minorEastAsia" w:cstheme="minorEastAsia"/>
          <w:color w:val="auto"/>
          <w:sz w:val="24"/>
          <w:szCs w:val="24"/>
        </w:rPr>
        <w:t>应当现场修改评审结果，并在评审报告中明确记载。</w:t>
      </w:r>
    </w:p>
    <w:p w14:paraId="2E853FA6">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23.3 </w:t>
      </w:r>
      <w:r>
        <w:rPr>
          <w:rFonts w:hint="eastAsia" w:asciiTheme="minorEastAsia" w:hAnsiTheme="minorEastAsia" w:eastAsiaTheme="minorEastAsia" w:cstheme="minorEastAsia"/>
          <w:color w:val="auto"/>
          <w:sz w:val="24"/>
          <w:szCs w:val="24"/>
          <w:lang w:val="en-US" w:eastAsia="zh-CN"/>
        </w:rPr>
        <w:t>磋商小组负责具体评标事务，并独立履行下列职责：</w:t>
      </w:r>
    </w:p>
    <w:p w14:paraId="0E596CE4">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23.3.1 审查、评价响应文件是否符合竞争性磋商文件的商务、技术等实质性要求；</w:t>
      </w:r>
    </w:p>
    <w:p w14:paraId="566AA9E9">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23.3.2 要求供应商对响应文件有关事项作出澄清或者说明；</w:t>
      </w:r>
    </w:p>
    <w:p w14:paraId="51FB2CCE">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23.3.3 对响应文件进行比较和评价；</w:t>
      </w:r>
    </w:p>
    <w:p w14:paraId="12A99B06">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23.3.4 确定中标候选人名单，以及根据采购人委托直接确定中标人；</w:t>
      </w:r>
    </w:p>
    <w:p w14:paraId="1AD3ACAC">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23.3.5 向采购人、采购代理机构或者有关部门报告评标中发现的违法行为。</w:t>
      </w:r>
    </w:p>
    <w:p w14:paraId="30A140A6">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23.4 磋商小组成员应当履行下列义务： </w:t>
      </w:r>
    </w:p>
    <w:p w14:paraId="7D5A118A">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23.4.1 遵纪守法，客观、公正、廉洁地履行职责；</w:t>
      </w:r>
    </w:p>
    <w:p w14:paraId="2124AE43">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23.4.2 按照竞争性磋商文件规定的评标方法和评标标准进行评标，对评审意见承担个人责任；</w:t>
      </w:r>
    </w:p>
    <w:p w14:paraId="59635EA9">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23.4.3 对评标过程和结果，以及供应商的商业秘密保密；</w:t>
      </w:r>
    </w:p>
    <w:p w14:paraId="00A33749">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23.4.4 参与评标报告的起草；</w:t>
      </w:r>
    </w:p>
    <w:p w14:paraId="7814CCB5">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23.4.5 配合财政部门的投诉处理工作；</w:t>
      </w:r>
    </w:p>
    <w:p w14:paraId="50D18AD7">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23.4.6 配合采购人答复投标供应商提出的质疑。</w:t>
      </w:r>
    </w:p>
    <w:p w14:paraId="041B7917">
      <w:pPr>
        <w:keepNext w:val="0"/>
        <w:keepLines w:val="0"/>
        <w:pageBreakBefore w:val="0"/>
        <w:widowControl w:val="0"/>
        <w:kinsoku/>
        <w:wordWrap/>
        <w:overflowPunct/>
        <w:topLinePunct w:val="0"/>
        <w:bidi w:val="0"/>
        <w:spacing w:line="460" w:lineRule="exact"/>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24  评标原则</w:t>
      </w:r>
    </w:p>
    <w:p w14:paraId="2D5C27BC">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24.1 评审专家应当严格遵守评审工作纪律</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按照客观、公正、审慎的原则，根据磋商文件规定的评审程序、评审方法和评审标准进行独立评审。未实质性响应磋商文件的响应文件按无效响应处理，评审专家应当告知提交响应文件的供应商。磋商文件内容违反国家有关强制性规定的，磋商小组应当停止评审并向采购人或者采购代理机构说明情况。</w:t>
      </w:r>
    </w:p>
    <w:p w14:paraId="45539542">
      <w:pPr>
        <w:keepNext w:val="0"/>
        <w:keepLines w:val="0"/>
        <w:pageBreakBefore w:val="0"/>
        <w:widowControl w:val="0"/>
        <w:kinsoku/>
        <w:wordWrap/>
        <w:overflowPunct/>
        <w:topLinePunct w:val="0"/>
        <w:bidi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24.2 评审专家应当在评审报告上签字</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对自己的评审意见承担法律责任。对需要共同认定的事项存在争议的</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按照少数服从多数的原则</w:t>
      </w:r>
      <w:r>
        <w:rPr>
          <w:rFonts w:hint="eastAsia" w:asciiTheme="minorEastAsia" w:hAnsiTheme="minorEastAsia" w:eastAsiaTheme="minorEastAsia" w:cstheme="minorEastAsia"/>
          <w:color w:val="auto"/>
          <w:sz w:val="24"/>
          <w:szCs w:val="24"/>
          <w:lang w:eastAsia="zh-CN"/>
        </w:rPr>
        <w:t>作出</w:t>
      </w:r>
      <w:r>
        <w:rPr>
          <w:rFonts w:hint="eastAsia" w:asciiTheme="minorEastAsia" w:hAnsiTheme="minorEastAsia" w:eastAsiaTheme="minorEastAsia" w:cstheme="minorEastAsia"/>
          <w:color w:val="auto"/>
          <w:sz w:val="24"/>
          <w:szCs w:val="24"/>
        </w:rPr>
        <w:t>结论。对评审报告有异议的</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应当在评审报告上签署不同意见并说明理由</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否则视为同意评审报告。</w:t>
      </w:r>
    </w:p>
    <w:p w14:paraId="1F3D7BA0">
      <w:pPr>
        <w:pStyle w:val="33"/>
        <w:keepNext w:val="0"/>
        <w:keepLines w:val="0"/>
        <w:pageBreakBefore w:val="0"/>
        <w:widowControl w:val="0"/>
        <w:kinsoku/>
        <w:wordWrap/>
        <w:overflowPunct/>
        <w:topLinePunct w:val="0"/>
        <w:bidi w:val="0"/>
        <w:spacing w:line="460" w:lineRule="exact"/>
        <w:jc w:val="left"/>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25 详细评审 </w:t>
      </w:r>
    </w:p>
    <w:p w14:paraId="111B9E3C">
      <w:pPr>
        <w:keepNext w:val="0"/>
        <w:keepLines w:val="0"/>
        <w:pageBreakBefore w:val="0"/>
        <w:widowControl w:val="0"/>
        <w:tabs>
          <w:tab w:val="left" w:pos="567"/>
        </w:tabs>
        <w:kinsoku/>
        <w:wordWrap/>
        <w:overflowPunct/>
        <w:topLinePunct w:val="0"/>
        <w:bidi w:val="0"/>
        <w:snapToGrid w:val="0"/>
        <w:spacing w:line="460" w:lineRule="exact"/>
        <w:ind w:firstLine="564" w:firstLineChars="200"/>
        <w:jc w:val="left"/>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25.1 首次报价</w:t>
      </w:r>
    </w:p>
    <w:p w14:paraId="1F18906F">
      <w:pPr>
        <w:keepNext w:val="0"/>
        <w:keepLines w:val="0"/>
        <w:pageBreakBefore w:val="0"/>
        <w:widowControl w:val="0"/>
        <w:tabs>
          <w:tab w:val="left" w:pos="567"/>
        </w:tabs>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供应商的首次报价于提交首次响应文件截止时间开启，本环节由采购代理机构主持，采购人和有关方面代表参加。</w:t>
      </w:r>
    </w:p>
    <w:p w14:paraId="49D1A5A6">
      <w:pPr>
        <w:keepNext w:val="0"/>
        <w:keepLines w:val="0"/>
        <w:pageBreakBefore w:val="0"/>
        <w:widowControl w:val="0"/>
        <w:tabs>
          <w:tab w:val="left" w:pos="567"/>
        </w:tabs>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25.</w:t>
      </w:r>
      <w:r>
        <w:rPr>
          <w:rFonts w:hint="eastAsia" w:asciiTheme="minorEastAsia" w:hAnsiTheme="minorEastAsia" w:eastAsiaTheme="minorEastAsia" w:cstheme="minorEastAsia"/>
          <w:b/>
          <w:color w:val="auto"/>
          <w:sz w:val="24"/>
          <w:szCs w:val="24"/>
          <w:lang w:val="en-US" w:eastAsia="zh-CN"/>
        </w:rPr>
        <w:t>2</w:t>
      </w:r>
      <w:r>
        <w:rPr>
          <w:rFonts w:hint="eastAsia" w:asciiTheme="minorEastAsia" w:hAnsiTheme="minorEastAsia" w:eastAsiaTheme="minorEastAsia" w:cstheme="minorEastAsia"/>
          <w:b/>
          <w:color w:val="auto"/>
          <w:sz w:val="24"/>
          <w:szCs w:val="24"/>
        </w:rPr>
        <w:t xml:space="preserve"> 评审方法：综合评分法。</w:t>
      </w:r>
    </w:p>
    <w:p w14:paraId="44B87457">
      <w:pPr>
        <w:keepNext w:val="0"/>
        <w:keepLines w:val="0"/>
        <w:pageBreakBefore w:val="0"/>
        <w:widowControl w:val="0"/>
        <w:tabs>
          <w:tab w:val="left" w:pos="567"/>
        </w:tabs>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lang w:eastAsia="zh-TW"/>
        </w:rPr>
      </w:pPr>
      <w:r>
        <w:rPr>
          <w:rFonts w:hint="eastAsia" w:asciiTheme="minorEastAsia" w:hAnsiTheme="minorEastAsia" w:eastAsiaTheme="minorEastAsia" w:cstheme="minorEastAsia"/>
          <w:b/>
          <w:color w:val="auto"/>
          <w:sz w:val="24"/>
          <w:szCs w:val="24"/>
        </w:rPr>
        <w:t>25.</w:t>
      </w:r>
      <w:r>
        <w:rPr>
          <w:rFonts w:hint="eastAsia" w:asciiTheme="minorEastAsia" w:hAnsiTheme="minorEastAsia" w:eastAsiaTheme="minorEastAsia" w:cstheme="minorEastAsia"/>
          <w:b/>
          <w:color w:val="auto"/>
          <w:sz w:val="24"/>
          <w:szCs w:val="24"/>
          <w:lang w:val="en-US" w:eastAsia="zh-CN"/>
        </w:rPr>
        <w:t>3</w:t>
      </w:r>
      <w:r>
        <w:rPr>
          <w:rFonts w:hint="eastAsia" w:asciiTheme="minorEastAsia" w:hAnsiTheme="minorEastAsia" w:eastAsiaTheme="minorEastAsia" w:cstheme="minorEastAsia"/>
          <w:b/>
          <w:color w:val="auto"/>
          <w:sz w:val="24"/>
          <w:szCs w:val="24"/>
        </w:rPr>
        <w:t xml:space="preserve"> 评审程序</w:t>
      </w:r>
    </w:p>
    <w:p w14:paraId="09ABF903">
      <w:pPr>
        <w:keepNext w:val="0"/>
        <w:keepLines w:val="0"/>
        <w:pageBreakBefore w:val="0"/>
        <w:widowControl w:val="0"/>
        <w:tabs>
          <w:tab w:val="left" w:pos="567"/>
        </w:tabs>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25.</w:t>
      </w:r>
      <w:r>
        <w:rPr>
          <w:rFonts w:hint="eastAsia" w:asciiTheme="minorEastAsia" w:hAnsiTheme="minorEastAsia" w:eastAsiaTheme="minorEastAsia" w:cstheme="minorEastAsia"/>
          <w:bCs/>
          <w:color w:val="auto"/>
          <w:sz w:val="24"/>
          <w:szCs w:val="24"/>
          <w:lang w:val="en-US" w:eastAsia="zh-CN"/>
        </w:rPr>
        <w:t>3</w:t>
      </w:r>
      <w:r>
        <w:rPr>
          <w:rFonts w:hint="eastAsia" w:asciiTheme="minorEastAsia" w:hAnsiTheme="minorEastAsia" w:eastAsiaTheme="minorEastAsia" w:cstheme="minorEastAsia"/>
          <w:bCs/>
          <w:color w:val="auto"/>
          <w:sz w:val="24"/>
          <w:szCs w:val="24"/>
        </w:rPr>
        <w:t>.1 磋商小组确认磋商文件</w:t>
      </w:r>
    </w:p>
    <w:p w14:paraId="65244E8C">
      <w:pPr>
        <w:keepNext w:val="0"/>
        <w:keepLines w:val="0"/>
        <w:pageBreakBefore w:val="0"/>
        <w:widowControl w:val="0"/>
        <w:tabs>
          <w:tab w:val="left" w:pos="567"/>
        </w:tabs>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 xml:space="preserve">25.3.2 </w:t>
      </w:r>
      <w:r>
        <w:rPr>
          <w:rFonts w:hint="eastAsia" w:asciiTheme="minorEastAsia" w:hAnsiTheme="minorEastAsia" w:eastAsiaTheme="minorEastAsia" w:cstheme="minorEastAsia"/>
          <w:bCs/>
          <w:color w:val="auto"/>
          <w:sz w:val="24"/>
          <w:szCs w:val="24"/>
        </w:rPr>
        <w:t>资格性</w:t>
      </w:r>
      <w:r>
        <w:rPr>
          <w:rFonts w:hint="eastAsia" w:asciiTheme="minorEastAsia" w:hAnsiTheme="minorEastAsia" w:eastAsiaTheme="minorEastAsia" w:cstheme="minorEastAsia"/>
          <w:bCs/>
          <w:color w:val="auto"/>
          <w:sz w:val="24"/>
          <w:szCs w:val="24"/>
          <w:lang w:eastAsia="zh-CN"/>
        </w:rPr>
        <w:t>和符合性</w:t>
      </w:r>
      <w:r>
        <w:rPr>
          <w:rFonts w:hint="eastAsia" w:asciiTheme="minorEastAsia" w:hAnsiTheme="minorEastAsia" w:eastAsiaTheme="minorEastAsia" w:cstheme="minorEastAsia"/>
          <w:bCs/>
          <w:color w:val="auto"/>
          <w:sz w:val="24"/>
          <w:szCs w:val="24"/>
        </w:rPr>
        <w:t>审查</w:t>
      </w:r>
    </w:p>
    <w:p w14:paraId="76AA7ADA">
      <w:pPr>
        <w:keepNext w:val="0"/>
        <w:keepLines w:val="0"/>
        <w:pageBreakBefore w:val="0"/>
        <w:widowControl w:val="0"/>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磋商小组对每个供应商的响应文件进行资格</w:t>
      </w:r>
      <w:r>
        <w:rPr>
          <w:rFonts w:hint="eastAsia" w:asciiTheme="minorEastAsia" w:hAnsiTheme="minorEastAsia" w:eastAsiaTheme="minorEastAsia" w:cstheme="minorEastAsia"/>
          <w:bCs/>
          <w:color w:val="auto"/>
          <w:sz w:val="24"/>
          <w:szCs w:val="24"/>
          <w:lang w:eastAsia="zh-CN"/>
        </w:rPr>
        <w:t>和</w:t>
      </w:r>
      <w:r>
        <w:rPr>
          <w:rFonts w:hint="eastAsia" w:asciiTheme="minorEastAsia" w:hAnsiTheme="minorEastAsia" w:eastAsiaTheme="minorEastAsia" w:cstheme="minorEastAsia"/>
          <w:bCs/>
          <w:color w:val="auto"/>
          <w:sz w:val="24"/>
          <w:szCs w:val="24"/>
        </w:rPr>
        <w:t>符合性审查。资格</w:t>
      </w:r>
      <w:r>
        <w:rPr>
          <w:rFonts w:hint="eastAsia" w:asciiTheme="minorEastAsia" w:hAnsiTheme="minorEastAsia" w:eastAsiaTheme="minorEastAsia" w:cstheme="minorEastAsia"/>
          <w:bCs/>
          <w:color w:val="auto"/>
          <w:sz w:val="24"/>
          <w:szCs w:val="24"/>
          <w:lang w:eastAsia="zh-CN"/>
        </w:rPr>
        <w:t>性审查</w:t>
      </w:r>
      <w:r>
        <w:rPr>
          <w:rFonts w:hint="eastAsia" w:asciiTheme="minorEastAsia" w:hAnsiTheme="minorEastAsia" w:eastAsiaTheme="minorEastAsia" w:cstheme="minorEastAsia"/>
          <w:bCs/>
          <w:color w:val="auto"/>
          <w:sz w:val="24"/>
          <w:szCs w:val="24"/>
        </w:rPr>
        <w:t>、符合性审查是审查响应文件是否对磋商文件的资格及实质性条款作出响应。对资格</w:t>
      </w:r>
      <w:r>
        <w:rPr>
          <w:rFonts w:hint="eastAsia" w:asciiTheme="minorEastAsia" w:hAnsiTheme="minorEastAsia" w:eastAsiaTheme="minorEastAsia" w:cstheme="minorEastAsia"/>
          <w:bCs/>
          <w:color w:val="auto"/>
          <w:sz w:val="24"/>
          <w:szCs w:val="24"/>
          <w:lang w:eastAsia="zh-CN"/>
        </w:rPr>
        <w:t>和</w:t>
      </w:r>
      <w:r>
        <w:rPr>
          <w:rFonts w:hint="eastAsia" w:asciiTheme="minorEastAsia" w:hAnsiTheme="minorEastAsia" w:eastAsiaTheme="minorEastAsia" w:cstheme="minorEastAsia"/>
          <w:bCs/>
          <w:color w:val="auto"/>
          <w:sz w:val="24"/>
          <w:szCs w:val="24"/>
        </w:rPr>
        <w:t>符合性审查不通过的供应商，其响应文件作无效处理。</w:t>
      </w:r>
    </w:p>
    <w:p w14:paraId="28B35A46">
      <w:pPr>
        <w:keepNext w:val="0"/>
        <w:keepLines w:val="0"/>
        <w:pageBreakBefore w:val="0"/>
        <w:widowControl w:val="0"/>
        <w:tabs>
          <w:tab w:val="left" w:pos="567"/>
        </w:tabs>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25.</w:t>
      </w:r>
      <w:r>
        <w:rPr>
          <w:rFonts w:hint="eastAsia" w:asciiTheme="minorEastAsia" w:hAnsiTheme="minorEastAsia" w:eastAsiaTheme="minorEastAsia" w:cstheme="minorEastAsia"/>
          <w:b/>
          <w:bCs w:val="0"/>
          <w:color w:val="auto"/>
          <w:sz w:val="24"/>
          <w:szCs w:val="24"/>
          <w:lang w:val="en-US" w:eastAsia="zh-CN"/>
        </w:rPr>
        <w:t>4</w:t>
      </w:r>
      <w:r>
        <w:rPr>
          <w:rFonts w:hint="eastAsia" w:asciiTheme="minorEastAsia" w:hAnsiTheme="minorEastAsia" w:eastAsiaTheme="minorEastAsia" w:cstheme="minorEastAsia"/>
          <w:b/>
          <w:bCs w:val="0"/>
          <w:color w:val="auto"/>
          <w:sz w:val="24"/>
          <w:szCs w:val="24"/>
        </w:rPr>
        <w:t xml:space="preserve"> 磋商</w:t>
      </w:r>
    </w:p>
    <w:p w14:paraId="0F48231D">
      <w:pPr>
        <w:keepNext w:val="0"/>
        <w:keepLines w:val="0"/>
        <w:pageBreakBefore w:val="0"/>
        <w:widowControl w:val="0"/>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25.4.1 </w:t>
      </w:r>
      <w:r>
        <w:rPr>
          <w:rFonts w:hint="eastAsia" w:asciiTheme="minorEastAsia" w:hAnsiTheme="minorEastAsia" w:eastAsiaTheme="minorEastAsia" w:cstheme="minorEastAsia"/>
          <w:color w:val="auto"/>
          <w:sz w:val="24"/>
          <w:szCs w:val="24"/>
        </w:rPr>
        <w:t>磋商小组与每个供应商分别进行磋商，本次磋商采用</w:t>
      </w:r>
      <w:r>
        <w:rPr>
          <w:rFonts w:hint="eastAsia" w:asciiTheme="minorEastAsia" w:hAnsiTheme="minorEastAsia" w:eastAsiaTheme="minorEastAsia" w:cstheme="minorEastAsia"/>
          <w:color w:val="auto"/>
          <w:sz w:val="24"/>
          <w:szCs w:val="24"/>
          <w:lang w:eastAsia="zh-CN"/>
        </w:rPr>
        <w:t>多</w:t>
      </w:r>
      <w:r>
        <w:rPr>
          <w:rFonts w:hint="eastAsia" w:asciiTheme="minorEastAsia" w:hAnsiTheme="minorEastAsia" w:eastAsiaTheme="minorEastAsia" w:cstheme="minorEastAsia"/>
          <w:color w:val="auto"/>
          <w:sz w:val="24"/>
          <w:szCs w:val="24"/>
        </w:rPr>
        <w:t>轮磋商，</w:t>
      </w:r>
      <w:r>
        <w:rPr>
          <w:rFonts w:hint="eastAsia" w:asciiTheme="minorEastAsia" w:hAnsiTheme="minorEastAsia" w:eastAsiaTheme="minorEastAsia" w:cstheme="minorEastAsia"/>
          <w:color w:val="auto"/>
          <w:sz w:val="24"/>
          <w:szCs w:val="24"/>
          <w:lang w:eastAsia="zh-CN"/>
        </w:rPr>
        <w:t>多次</w:t>
      </w:r>
      <w:r>
        <w:rPr>
          <w:rFonts w:hint="eastAsia" w:asciiTheme="minorEastAsia" w:hAnsiTheme="minorEastAsia" w:eastAsiaTheme="minorEastAsia" w:cstheme="minorEastAsia"/>
          <w:color w:val="auto"/>
          <w:sz w:val="24"/>
          <w:szCs w:val="24"/>
        </w:rPr>
        <w:t>报价形式进行。</w:t>
      </w:r>
    </w:p>
    <w:p w14:paraId="24956D33">
      <w:pPr>
        <w:keepNext w:val="0"/>
        <w:keepLines w:val="0"/>
        <w:pageBreakBefore w:val="0"/>
        <w:widowControl w:val="0"/>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25.</w:t>
      </w:r>
      <w:r>
        <w:rPr>
          <w:rFonts w:hint="eastAsia" w:asciiTheme="minorEastAsia" w:hAnsiTheme="minorEastAsia" w:eastAsiaTheme="minorEastAsia" w:cstheme="minorEastAsia"/>
          <w:bCs/>
          <w:color w:val="auto"/>
          <w:sz w:val="24"/>
          <w:szCs w:val="24"/>
          <w:lang w:val="en-US" w:eastAsia="zh-CN"/>
        </w:rPr>
        <w:t>4</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2</w:t>
      </w:r>
      <w:r>
        <w:rPr>
          <w:rFonts w:hint="eastAsia" w:asciiTheme="minorEastAsia" w:hAnsiTheme="minorEastAsia" w:eastAsiaTheme="minorEastAsia" w:cstheme="minorEastAsia"/>
          <w:bCs/>
          <w:color w:val="auto"/>
          <w:sz w:val="24"/>
          <w:szCs w:val="24"/>
        </w:rPr>
        <w:t xml:space="preserve"> 磋商文件未发生实质性变动的：</w:t>
      </w:r>
    </w:p>
    <w:p w14:paraId="49978D7D">
      <w:pPr>
        <w:keepNext w:val="0"/>
        <w:keepLines w:val="0"/>
        <w:pageBreakBefore w:val="0"/>
        <w:widowControl w:val="0"/>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磋商小组没有对磋商文件作实质性变动增加新的需求，后一轮报价不得高于前一轮报价，否则将按响应无效处理。</w:t>
      </w:r>
    </w:p>
    <w:p w14:paraId="05F12F7C">
      <w:pPr>
        <w:keepNext w:val="0"/>
        <w:keepLines w:val="0"/>
        <w:pageBreakBefore w:val="0"/>
        <w:widowControl w:val="0"/>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25.</w:t>
      </w:r>
      <w:r>
        <w:rPr>
          <w:rFonts w:hint="eastAsia" w:asciiTheme="minorEastAsia" w:hAnsiTheme="minorEastAsia" w:eastAsiaTheme="minorEastAsia" w:cstheme="minorEastAsia"/>
          <w:bCs/>
          <w:color w:val="auto"/>
          <w:sz w:val="24"/>
          <w:szCs w:val="24"/>
          <w:lang w:val="en-US" w:eastAsia="zh-CN"/>
        </w:rPr>
        <w:t>4</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 xml:space="preserve">3 </w:t>
      </w:r>
      <w:r>
        <w:rPr>
          <w:rFonts w:hint="eastAsia" w:asciiTheme="minorEastAsia" w:hAnsiTheme="minorEastAsia" w:eastAsiaTheme="minorEastAsia" w:cstheme="minorEastAsia"/>
          <w:bCs/>
          <w:color w:val="auto"/>
          <w:sz w:val="24"/>
          <w:szCs w:val="24"/>
        </w:rPr>
        <w:t>磋商文件发生实质性变动的：</w:t>
      </w:r>
    </w:p>
    <w:p w14:paraId="2B1AC490">
      <w:pPr>
        <w:keepNext w:val="0"/>
        <w:keepLines w:val="0"/>
        <w:pageBreakBefore w:val="0"/>
        <w:widowControl w:val="0"/>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（1）书面通知变更内容</w:t>
      </w:r>
    </w:p>
    <w:p w14:paraId="1EF69E6F">
      <w:pPr>
        <w:keepNext w:val="0"/>
        <w:keepLines w:val="0"/>
        <w:pageBreakBefore w:val="0"/>
        <w:widowControl w:val="0"/>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在磋商过程中，磋商小组可以根据磋商文件和磋商情况实质性变动采购需求中的技术、服务要求以及合同草案条款，但不得变动磋商文件中的其他内容。实质性变动的内容，须经采购人代表确认。实质性变动的内容，经采购人代表确认后，由磋商小组在政采云平台在线询标（谈判）--新增询标函方式通知所有供应商。对磋商文件作出的实质性变动是磋商文件的有效组成部分。</w:t>
      </w:r>
    </w:p>
    <w:p w14:paraId="06E652C7">
      <w:pPr>
        <w:keepNext w:val="0"/>
        <w:keepLines w:val="0"/>
        <w:pageBreakBefore w:val="0"/>
        <w:widowControl w:val="0"/>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（2）磋商</w:t>
      </w:r>
    </w:p>
    <w:p w14:paraId="70A8DD68">
      <w:pPr>
        <w:keepNext w:val="0"/>
        <w:keepLines w:val="0"/>
        <w:pageBreakBefore w:val="0"/>
        <w:widowControl w:val="0"/>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磋商小组集中与接受磋商文件变更的每个供应商分别进行询标。磋商的内容主要是对响应文件的澄清、修正、补充、确认等。不接受磋商文件变更的供应商，视为自动退出磋商，其响应文件作无效处理。</w:t>
      </w:r>
    </w:p>
    <w:p w14:paraId="27149DD2">
      <w:pPr>
        <w:keepNext w:val="0"/>
        <w:keepLines w:val="0"/>
        <w:pageBreakBefore w:val="0"/>
        <w:widowControl w:val="0"/>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（3）重新提交响应文件（含报价）</w:t>
      </w:r>
    </w:p>
    <w:p w14:paraId="505FA9DB">
      <w:pPr>
        <w:keepNext w:val="0"/>
        <w:keepLines w:val="0"/>
        <w:pageBreakBefore w:val="0"/>
        <w:widowControl w:val="0"/>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供应商应当按照磋商文件的变动情况和磋商小组的要求重新提交响应文件（指磋商结束后，在规定时间内填写《询标函》，在该文件上注明最后报价及有关承诺，并提交）。最终报价时间视磋商进程由磋商小组决定。《询标函》是响应文件的有效组成部分，须由供应商签章。</w:t>
      </w:r>
    </w:p>
    <w:p w14:paraId="542EAE5A">
      <w:pPr>
        <w:keepNext w:val="0"/>
        <w:keepLines w:val="0"/>
        <w:pageBreakBefore w:val="0"/>
        <w:widowControl w:val="0"/>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若供应商未按《询标函》的要求对相关问题进行响应的，视为非实质性响应磋商文件。</w:t>
      </w:r>
    </w:p>
    <w:p w14:paraId="5F13F642">
      <w:pPr>
        <w:keepNext w:val="0"/>
        <w:keepLines w:val="0"/>
        <w:pageBreakBefore w:val="0"/>
        <w:widowControl w:val="0"/>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除非在磋商中磋商小组调整或修改采购需求内容，否则采购人不接受高于前面轮次磋商报价的最终报价。</w:t>
      </w:r>
    </w:p>
    <w:p w14:paraId="7D30DADF">
      <w:pPr>
        <w:keepNext w:val="0"/>
        <w:keepLines w:val="0"/>
        <w:pageBreakBefore w:val="0"/>
        <w:widowControl w:val="0"/>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25.</w:t>
      </w:r>
      <w:r>
        <w:rPr>
          <w:rFonts w:hint="eastAsia" w:asciiTheme="minorEastAsia" w:hAnsiTheme="minorEastAsia" w:eastAsiaTheme="minorEastAsia" w:cstheme="minorEastAsia"/>
          <w:bCs/>
          <w:color w:val="auto"/>
          <w:sz w:val="24"/>
          <w:szCs w:val="24"/>
          <w:lang w:val="en-US" w:eastAsia="zh-CN"/>
        </w:rPr>
        <w:t>4</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4</w:t>
      </w:r>
      <w:r>
        <w:rPr>
          <w:rFonts w:hint="eastAsia" w:asciiTheme="minorEastAsia" w:hAnsiTheme="minorEastAsia" w:eastAsiaTheme="minorEastAsia" w:cstheme="minorEastAsia"/>
          <w:bCs/>
          <w:color w:val="auto"/>
          <w:sz w:val="24"/>
          <w:szCs w:val="24"/>
        </w:rPr>
        <w:t>磋商文件能够详细列明采购标的的技术、服务要求的，磋商结束后，磋商小组应当要求所有实质性响应的供应商在规定时间内提交最后报价，提交最后报价的供应商不得少于2 家。</w:t>
      </w:r>
    </w:p>
    <w:p w14:paraId="48B2AF5B">
      <w:pPr>
        <w:keepNext w:val="0"/>
        <w:keepLines w:val="0"/>
        <w:pageBreakBefore w:val="0"/>
        <w:widowControl w:val="0"/>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25.4.5</w:t>
      </w:r>
      <w:r>
        <w:rPr>
          <w:rFonts w:hint="eastAsia" w:asciiTheme="minorEastAsia" w:hAnsiTheme="minorEastAsia" w:eastAsiaTheme="minorEastAsia" w:cstheme="minorEastAsia"/>
          <w:bCs/>
          <w:color w:val="auto"/>
          <w:sz w:val="24"/>
          <w:szCs w:val="24"/>
        </w:rPr>
        <w:t xml:space="preserve"> 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磋商小组没有对磋商文件作实质性变动采购需求中的技术、服务要求以及合同草案条款时，后一轮报价不得高于前一轮报价。</w:t>
      </w:r>
    </w:p>
    <w:p w14:paraId="1CD5FDB9">
      <w:pPr>
        <w:keepNext w:val="0"/>
        <w:keepLines w:val="0"/>
        <w:pageBreakBefore w:val="0"/>
        <w:widowControl w:val="0"/>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25.4.6</w:t>
      </w:r>
      <w:r>
        <w:rPr>
          <w:rFonts w:hint="eastAsia" w:asciiTheme="minorEastAsia" w:hAnsiTheme="minorEastAsia" w:eastAsiaTheme="minorEastAsia" w:cstheme="minorEastAsia"/>
          <w:bCs/>
          <w:color w:val="auto"/>
          <w:sz w:val="24"/>
          <w:szCs w:val="24"/>
        </w:rPr>
        <w:t xml:space="preserve"> 已提交响应文件的供应商，在提交最后报价之前，可以根据磋商情况退出磋商。</w:t>
      </w:r>
    </w:p>
    <w:p w14:paraId="01517314">
      <w:pPr>
        <w:keepNext w:val="0"/>
        <w:keepLines w:val="0"/>
        <w:pageBreakBefore w:val="0"/>
        <w:widowControl w:val="0"/>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25.4.7</w:t>
      </w:r>
      <w:r>
        <w:rPr>
          <w:rFonts w:hint="eastAsia" w:asciiTheme="minorEastAsia" w:hAnsiTheme="minorEastAsia" w:eastAsiaTheme="minorEastAsia" w:cstheme="minorEastAsia"/>
          <w:bCs/>
          <w:color w:val="auto"/>
          <w:sz w:val="24"/>
          <w:szCs w:val="24"/>
        </w:rPr>
        <w:t xml:space="preserve"> 最后报价是供应商响应文件的有效组成部分。符合《政府采购竞争性磋商采购方式管理暂行办法》（财库〔2014〕214 号）第三条第四项情形的，提交最后报价的供应商可以为 2 家。</w:t>
      </w:r>
    </w:p>
    <w:p w14:paraId="379C9F7C">
      <w:pPr>
        <w:keepNext w:val="0"/>
        <w:keepLines w:val="0"/>
        <w:pageBreakBefore w:val="0"/>
        <w:widowControl w:val="0"/>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25.4.8</w:t>
      </w:r>
      <w:r>
        <w:rPr>
          <w:rFonts w:hint="eastAsia" w:asciiTheme="minorEastAsia" w:hAnsiTheme="minorEastAsia" w:eastAsiaTheme="minorEastAsia" w:cstheme="minorEastAsia"/>
          <w:bCs/>
          <w:color w:val="auto"/>
          <w:sz w:val="24"/>
          <w:szCs w:val="24"/>
        </w:rPr>
        <w:t xml:space="preserve"> 经磋商确定最终采购需求和提交最后报价的供应商后，由磋商小组采用综合评分法对提交最后报价的供应商的响应文件和最后报价进行综合评分。</w:t>
      </w:r>
    </w:p>
    <w:p w14:paraId="364DD607">
      <w:pPr>
        <w:keepNext w:val="0"/>
        <w:keepLines w:val="0"/>
        <w:pageBreakBefore w:val="0"/>
        <w:widowControl w:val="0"/>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25.</w:t>
      </w:r>
      <w:r>
        <w:rPr>
          <w:rFonts w:hint="eastAsia" w:asciiTheme="minorEastAsia" w:hAnsiTheme="minorEastAsia" w:eastAsiaTheme="minorEastAsia" w:cstheme="minorEastAsia"/>
          <w:bCs/>
          <w:color w:val="auto"/>
          <w:sz w:val="24"/>
          <w:szCs w:val="24"/>
          <w:lang w:val="en-US" w:eastAsia="zh-CN"/>
        </w:rPr>
        <w:t>4</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9</w:t>
      </w:r>
      <w:r>
        <w:rPr>
          <w:rFonts w:hint="eastAsia" w:asciiTheme="minorEastAsia" w:hAnsiTheme="minorEastAsia" w:eastAsiaTheme="minorEastAsia" w:cstheme="minorEastAsia"/>
          <w:bCs/>
          <w:color w:val="auto"/>
          <w:sz w:val="24"/>
          <w:szCs w:val="24"/>
        </w:rPr>
        <w:t xml:space="preserve"> 综合评分法评审步骤</w:t>
      </w:r>
    </w:p>
    <w:p w14:paraId="56F81436">
      <w:pPr>
        <w:keepNext w:val="0"/>
        <w:keepLines w:val="0"/>
        <w:pageBreakBefore w:val="0"/>
        <w:widowControl w:val="0"/>
        <w:kinsoku/>
        <w:wordWrap/>
        <w:overflowPunct/>
        <w:topLinePunct w:val="0"/>
        <w:bidi w:val="0"/>
        <w:snapToGrid w:val="0"/>
        <w:spacing w:line="46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经磋商确定最终采购需求和提交最后</w:t>
      </w:r>
      <w:r>
        <w:rPr>
          <w:rFonts w:hint="eastAsia" w:asciiTheme="minorEastAsia" w:hAnsiTheme="minorEastAsia" w:eastAsiaTheme="minorEastAsia" w:cstheme="minorEastAsia"/>
          <w:color w:val="auto"/>
          <w:sz w:val="24"/>
          <w:szCs w:val="24"/>
        </w:rPr>
        <w:t>报价的供应商后，由磋商小组采用综合评分法对提交最后报价的供应商的响应文件和最后报价进行综合评分。</w:t>
      </w:r>
      <w:r>
        <w:rPr>
          <w:rFonts w:hint="eastAsia" w:asciiTheme="minorEastAsia" w:hAnsiTheme="minorEastAsia" w:eastAsiaTheme="minorEastAsia" w:cstheme="minorEastAsia"/>
          <w:b/>
          <w:color w:val="auto"/>
          <w:sz w:val="24"/>
          <w:szCs w:val="24"/>
        </w:rPr>
        <w:t>先进行资格性审查</w:t>
      </w:r>
      <w:r>
        <w:rPr>
          <w:rFonts w:hint="eastAsia" w:asciiTheme="minorEastAsia" w:hAnsiTheme="minorEastAsia" w:eastAsiaTheme="minorEastAsia" w:cstheme="minorEastAsia"/>
          <w:b/>
          <w:color w:val="auto"/>
          <w:sz w:val="24"/>
          <w:szCs w:val="24"/>
          <w:lang w:eastAsia="zh-CN"/>
        </w:rPr>
        <w:t>和</w:t>
      </w:r>
      <w:r>
        <w:rPr>
          <w:rFonts w:hint="eastAsia" w:asciiTheme="minorEastAsia" w:hAnsiTheme="minorEastAsia" w:eastAsiaTheme="minorEastAsia" w:cstheme="minorEastAsia"/>
          <w:b/>
          <w:color w:val="auto"/>
          <w:sz w:val="24"/>
          <w:szCs w:val="24"/>
        </w:rPr>
        <w:t>符合性审查，再进行技术、商务及价格的详细评审。</w:t>
      </w:r>
      <w:r>
        <w:rPr>
          <w:rFonts w:hint="eastAsia" w:asciiTheme="minorEastAsia" w:hAnsiTheme="minorEastAsia" w:eastAsiaTheme="minorEastAsia" w:cstheme="minorEastAsia"/>
          <w:color w:val="auto"/>
          <w:sz w:val="24"/>
          <w:szCs w:val="24"/>
        </w:rPr>
        <w:t>只有通过资格、符合性审查的供应商才能进入下一步的详细评审。</w:t>
      </w:r>
    </w:p>
    <w:p w14:paraId="7E6AE1BE">
      <w:pPr>
        <w:keepNext w:val="0"/>
        <w:keepLines w:val="0"/>
        <w:pageBreakBefore w:val="0"/>
        <w:widowControl w:val="0"/>
        <w:numPr>
          <w:ilvl w:val="1"/>
          <w:numId w:val="6"/>
        </w:numPr>
        <w:kinsoku/>
        <w:wordWrap/>
        <w:overflowPunct/>
        <w:topLinePunct w:val="0"/>
        <w:bidi w:val="0"/>
        <w:spacing w:line="460" w:lineRule="exact"/>
        <w:ind w:left="748" w:hanging="28"/>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资格</w:t>
      </w:r>
      <w:r>
        <w:rPr>
          <w:rFonts w:hint="eastAsia" w:asciiTheme="minorEastAsia" w:hAnsiTheme="minorEastAsia" w:eastAsiaTheme="minorEastAsia" w:cstheme="minorEastAsia"/>
          <w:color w:val="auto"/>
          <w:sz w:val="24"/>
          <w:szCs w:val="24"/>
          <w:lang w:eastAsia="zh-CN"/>
        </w:rPr>
        <w:t>性</w:t>
      </w:r>
      <w:r>
        <w:rPr>
          <w:rFonts w:hint="eastAsia" w:asciiTheme="minorEastAsia" w:hAnsiTheme="minorEastAsia" w:eastAsiaTheme="minorEastAsia" w:cstheme="minorEastAsia"/>
          <w:color w:val="auto"/>
          <w:sz w:val="24"/>
          <w:szCs w:val="24"/>
        </w:rPr>
        <w:t>审查表（详见附表一）</w:t>
      </w:r>
    </w:p>
    <w:p w14:paraId="1188AA64">
      <w:pPr>
        <w:keepNext w:val="0"/>
        <w:keepLines w:val="0"/>
        <w:pageBreakBefore w:val="0"/>
        <w:widowControl w:val="0"/>
        <w:numPr>
          <w:ilvl w:val="1"/>
          <w:numId w:val="6"/>
        </w:numPr>
        <w:kinsoku/>
        <w:wordWrap/>
        <w:overflowPunct/>
        <w:topLinePunct w:val="0"/>
        <w:bidi w:val="0"/>
        <w:spacing w:line="460" w:lineRule="exact"/>
        <w:ind w:left="748" w:hanging="28"/>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符合性</w:t>
      </w:r>
      <w:r>
        <w:rPr>
          <w:rFonts w:hint="eastAsia" w:asciiTheme="minorEastAsia" w:hAnsiTheme="minorEastAsia" w:eastAsiaTheme="minorEastAsia" w:cstheme="minorEastAsia"/>
          <w:color w:val="auto"/>
          <w:sz w:val="24"/>
          <w:szCs w:val="24"/>
        </w:rPr>
        <w:t>审查表（详见附表</w:t>
      </w:r>
      <w:r>
        <w:rPr>
          <w:rFonts w:hint="eastAsia" w:asciiTheme="minorEastAsia" w:hAnsiTheme="minorEastAsia" w:eastAsiaTheme="minorEastAsia" w:cstheme="minorEastAsia"/>
          <w:color w:val="auto"/>
          <w:sz w:val="24"/>
          <w:szCs w:val="24"/>
          <w:lang w:eastAsia="zh-CN"/>
        </w:rPr>
        <w:t>二</w:t>
      </w:r>
      <w:r>
        <w:rPr>
          <w:rFonts w:hint="eastAsia" w:asciiTheme="minorEastAsia" w:hAnsiTheme="minorEastAsia" w:eastAsiaTheme="minorEastAsia" w:cstheme="minorEastAsia"/>
          <w:color w:val="auto"/>
          <w:sz w:val="24"/>
          <w:szCs w:val="24"/>
        </w:rPr>
        <w:t>）</w:t>
      </w:r>
    </w:p>
    <w:p w14:paraId="3FA6AA6B">
      <w:pPr>
        <w:numPr>
          <w:ilvl w:val="1"/>
          <w:numId w:val="6"/>
        </w:numPr>
        <w:spacing w:line="360" w:lineRule="auto"/>
        <w:ind w:left="748" w:hanging="28"/>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商务、技术评审表（详见附表</w:t>
      </w:r>
      <w:r>
        <w:rPr>
          <w:rFonts w:hint="eastAsia" w:asciiTheme="minorEastAsia" w:hAnsiTheme="minorEastAsia" w:eastAsiaTheme="minorEastAsia" w:cstheme="minorEastAsia"/>
          <w:color w:val="auto"/>
          <w:sz w:val="24"/>
          <w:szCs w:val="24"/>
          <w:lang w:eastAsia="zh-CN"/>
        </w:rPr>
        <w:t>三</w:t>
      </w:r>
      <w:r>
        <w:rPr>
          <w:rFonts w:hint="eastAsia" w:asciiTheme="minorEastAsia" w:hAnsiTheme="minorEastAsia" w:eastAsiaTheme="minorEastAsia" w:cstheme="minorEastAsia"/>
          <w:color w:val="auto"/>
          <w:sz w:val="24"/>
          <w:szCs w:val="24"/>
        </w:rPr>
        <w:t>）</w:t>
      </w:r>
    </w:p>
    <w:p w14:paraId="209A9276">
      <w:pPr>
        <w:numPr>
          <w:ilvl w:val="1"/>
          <w:numId w:val="6"/>
        </w:numPr>
        <w:spacing w:line="360" w:lineRule="auto"/>
        <w:ind w:left="748" w:hanging="2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价格评审</w:t>
      </w:r>
    </w:p>
    <w:p w14:paraId="46299C24">
      <w:pPr>
        <w:snapToGrid w:val="0"/>
        <w:spacing w:line="360" w:lineRule="auto"/>
        <w:ind w:firstLine="484"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磋商小组按磋商文件中规定的评审方法和标准，对资格、符合性审查合格的响应文件进行商务和技术评估，综合比较与评价。技术、商务、价格部分分值分配如下：</w:t>
      </w:r>
    </w:p>
    <w:tbl>
      <w:tblPr>
        <w:tblStyle w:val="24"/>
        <w:tblW w:w="7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2515"/>
        <w:gridCol w:w="1850"/>
        <w:gridCol w:w="1600"/>
      </w:tblGrid>
      <w:tr w14:paraId="1F8A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21" w:type="dxa"/>
            <w:noWrap w:val="0"/>
            <w:vAlign w:val="center"/>
          </w:tcPr>
          <w:p w14:paraId="4078E7B4">
            <w:pPr>
              <w:autoSpaceDE w:val="0"/>
              <w:autoSpaceDN w:val="0"/>
              <w:adjustRightInd w:val="0"/>
              <w:jc w:val="center"/>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评分项目</w:t>
            </w:r>
          </w:p>
        </w:tc>
        <w:tc>
          <w:tcPr>
            <w:tcW w:w="2515" w:type="dxa"/>
            <w:noWrap w:val="0"/>
            <w:vAlign w:val="center"/>
          </w:tcPr>
          <w:p w14:paraId="1B44E3C8">
            <w:pPr>
              <w:autoSpaceDE w:val="0"/>
              <w:autoSpaceDN w:val="0"/>
              <w:adjustRightInd w:val="0"/>
              <w:jc w:val="center"/>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商务、技术评分</w:t>
            </w:r>
          </w:p>
        </w:tc>
        <w:tc>
          <w:tcPr>
            <w:tcW w:w="1850" w:type="dxa"/>
            <w:noWrap w:val="0"/>
            <w:vAlign w:val="center"/>
          </w:tcPr>
          <w:p w14:paraId="00191EBA">
            <w:pPr>
              <w:autoSpaceDE w:val="0"/>
              <w:autoSpaceDN w:val="0"/>
              <w:adjustRightInd w:val="0"/>
              <w:ind w:left="15" w:leftChars="-51" w:hanging="123" w:hangingChars="51"/>
              <w:jc w:val="center"/>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价格评分</w:t>
            </w:r>
          </w:p>
        </w:tc>
        <w:tc>
          <w:tcPr>
            <w:tcW w:w="1600" w:type="dxa"/>
            <w:noWrap w:val="0"/>
            <w:vAlign w:val="center"/>
          </w:tcPr>
          <w:p w14:paraId="5BF6A999">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合  计</w:t>
            </w:r>
          </w:p>
        </w:tc>
      </w:tr>
      <w:tr w14:paraId="3E66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21" w:type="dxa"/>
            <w:noWrap w:val="0"/>
            <w:vAlign w:val="center"/>
          </w:tcPr>
          <w:p w14:paraId="13243559">
            <w:pPr>
              <w:autoSpaceDE w:val="0"/>
              <w:autoSpaceDN w:val="0"/>
              <w:adjustRightInd w:val="0"/>
              <w:jc w:val="center"/>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分值</w:t>
            </w:r>
          </w:p>
        </w:tc>
        <w:tc>
          <w:tcPr>
            <w:tcW w:w="2515" w:type="dxa"/>
            <w:noWrap w:val="0"/>
            <w:vAlign w:val="center"/>
          </w:tcPr>
          <w:p w14:paraId="3C014EE6">
            <w:pPr>
              <w:autoSpaceDE w:val="0"/>
              <w:autoSpaceDN w:val="0"/>
              <w:adjustRightInd w:val="0"/>
              <w:jc w:val="center"/>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lang w:val="en-US" w:eastAsia="zh-CN"/>
              </w:rPr>
              <w:t>90</w:t>
            </w:r>
            <w:r>
              <w:rPr>
                <w:rFonts w:hint="eastAsia" w:asciiTheme="minorEastAsia" w:hAnsiTheme="minorEastAsia" w:eastAsiaTheme="minorEastAsia" w:cstheme="minorEastAsia"/>
                <w:b/>
                <w:color w:val="auto"/>
                <w:kern w:val="0"/>
                <w:sz w:val="24"/>
                <w:szCs w:val="24"/>
              </w:rPr>
              <w:t>分</w:t>
            </w:r>
          </w:p>
        </w:tc>
        <w:tc>
          <w:tcPr>
            <w:tcW w:w="1850" w:type="dxa"/>
            <w:noWrap w:val="0"/>
            <w:vAlign w:val="center"/>
          </w:tcPr>
          <w:p w14:paraId="6DE20B91">
            <w:pPr>
              <w:autoSpaceDE w:val="0"/>
              <w:autoSpaceDN w:val="0"/>
              <w:adjustRightInd w:val="0"/>
              <w:jc w:val="center"/>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lang w:val="en-US" w:eastAsia="zh-CN"/>
              </w:rPr>
              <w:t>10</w:t>
            </w:r>
            <w:r>
              <w:rPr>
                <w:rFonts w:hint="eastAsia" w:asciiTheme="minorEastAsia" w:hAnsiTheme="minorEastAsia" w:eastAsiaTheme="minorEastAsia" w:cstheme="minorEastAsia"/>
                <w:b/>
                <w:color w:val="auto"/>
                <w:kern w:val="0"/>
                <w:sz w:val="24"/>
                <w:szCs w:val="24"/>
              </w:rPr>
              <w:t>分</w:t>
            </w:r>
          </w:p>
        </w:tc>
        <w:tc>
          <w:tcPr>
            <w:tcW w:w="1600" w:type="dxa"/>
            <w:noWrap w:val="0"/>
            <w:vAlign w:val="center"/>
          </w:tcPr>
          <w:p w14:paraId="068B009D">
            <w:pPr>
              <w:jc w:val="center"/>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100分</w:t>
            </w:r>
          </w:p>
        </w:tc>
      </w:tr>
    </w:tbl>
    <w:p w14:paraId="2581EB55">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具体打分标准如下：</w:t>
      </w:r>
    </w:p>
    <w:p w14:paraId="4F40B6DF">
      <w:pPr>
        <w:keepNext w:val="0"/>
        <w:keepLines w:val="0"/>
        <w:pageBreakBefore w:val="0"/>
        <w:widowControl w:val="0"/>
        <w:kinsoku/>
        <w:wordWrap/>
        <w:overflowPunct/>
        <w:topLinePunct w:val="0"/>
        <w:autoSpaceDE/>
        <w:autoSpaceDN/>
        <w:bidi w:val="0"/>
        <w:adjustRightInd/>
        <w:snapToGrid w:val="0"/>
        <w:spacing w:line="420" w:lineRule="exact"/>
        <w:ind w:firstLine="484" w:firstLineChars="200"/>
        <w:jc w:val="lef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w:t>
      </w:r>
      <w:r>
        <w:rPr>
          <w:rFonts w:hint="eastAsia" w:asciiTheme="minorEastAsia" w:hAnsiTheme="minorEastAsia" w:eastAsiaTheme="minorEastAsia" w:cstheme="minorEastAsia"/>
          <w:b/>
          <w:bCs/>
          <w:color w:val="auto"/>
          <w:sz w:val="24"/>
          <w:szCs w:val="24"/>
        </w:rPr>
        <w:t>商务、技术评分</w:t>
      </w:r>
    </w:p>
    <w:p w14:paraId="63EF56A6">
      <w:pPr>
        <w:keepNext w:val="0"/>
        <w:keepLines w:val="0"/>
        <w:pageBreakBefore w:val="0"/>
        <w:widowControl w:val="0"/>
        <w:kinsoku/>
        <w:wordWrap/>
        <w:overflowPunct/>
        <w:topLinePunct w:val="0"/>
        <w:autoSpaceDE/>
        <w:autoSpaceDN/>
        <w:bidi w:val="0"/>
        <w:adjustRightInd/>
        <w:snapToGrid w:val="0"/>
        <w:spacing w:line="42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磋商小组分别对各供应商的商务、技术响应文件中的各项内容进行评议比较，详细对比其商务、技术方案等各种因素方面是否满足磋商文件的要求。在商务、技术评审表的相应项各自记名打分。</w:t>
      </w:r>
    </w:p>
    <w:p w14:paraId="5BA1F6AC">
      <w:pPr>
        <w:keepNext w:val="0"/>
        <w:keepLines w:val="0"/>
        <w:pageBreakBefore w:val="0"/>
        <w:widowControl w:val="0"/>
        <w:kinsoku/>
        <w:wordWrap/>
        <w:overflowPunct/>
        <w:topLinePunct w:val="0"/>
        <w:autoSpaceDE/>
        <w:autoSpaceDN/>
        <w:bidi w:val="0"/>
        <w:adjustRightInd/>
        <w:snapToGrid w:val="0"/>
        <w:spacing w:line="420" w:lineRule="exact"/>
        <w:ind w:firstLine="484" w:firstLineChars="200"/>
        <w:jc w:val="lef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（2）商务、技术得分统计</w:t>
      </w:r>
    </w:p>
    <w:p w14:paraId="5817EAAD">
      <w:pPr>
        <w:keepNext w:val="0"/>
        <w:keepLines w:val="0"/>
        <w:pageBreakBefore w:val="0"/>
        <w:widowControl w:val="0"/>
        <w:kinsoku/>
        <w:wordWrap/>
        <w:overflowPunct/>
        <w:topLinePunct w:val="0"/>
        <w:autoSpaceDE/>
        <w:autoSpaceDN/>
        <w:bidi w:val="0"/>
        <w:adjustRightInd/>
        <w:spacing w:line="42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将所有磋商小组的商务、技术评分的算术平均值即为每个有效供应商的技术得分（四舍五入后，精确到0.01）。</w:t>
      </w:r>
    </w:p>
    <w:p w14:paraId="4CC6A816">
      <w:pPr>
        <w:keepNext w:val="0"/>
        <w:keepLines w:val="0"/>
        <w:pageBreakBefore w:val="0"/>
        <w:widowControl w:val="0"/>
        <w:kinsoku/>
        <w:wordWrap/>
        <w:overflowPunct/>
        <w:topLinePunct w:val="0"/>
        <w:autoSpaceDE/>
        <w:autoSpaceDN/>
        <w:bidi w:val="0"/>
        <w:adjustRightInd/>
        <w:spacing w:line="42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（3）价格核准和评分</w:t>
      </w:r>
    </w:p>
    <w:p w14:paraId="3467F9FF">
      <w:pPr>
        <w:pStyle w:val="36"/>
        <w:keepNext w:val="0"/>
        <w:keepLines w:val="0"/>
        <w:pageBreakBefore w:val="0"/>
        <w:widowControl w:val="0"/>
        <w:kinsoku/>
        <w:wordWrap/>
        <w:overflowPunct/>
        <w:topLinePunct w:val="0"/>
        <w:autoSpaceDE/>
        <w:autoSpaceDN/>
        <w:bidi w:val="0"/>
        <w:adjustRightInd/>
        <w:snapToGrid w:val="0"/>
        <w:spacing w:line="420" w:lineRule="exact"/>
        <w:ind w:firstLine="562"/>
        <w:jc w:val="lef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A</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rPr>
        <w:t>价格的核准</w:t>
      </w:r>
    </w:p>
    <w:p w14:paraId="07584508">
      <w:pPr>
        <w:keepNext w:val="0"/>
        <w:keepLines w:val="0"/>
        <w:pageBreakBefore w:val="0"/>
        <w:widowControl w:val="0"/>
        <w:kinsoku/>
        <w:wordWrap/>
        <w:overflowPunct/>
        <w:topLinePunct w:val="0"/>
        <w:autoSpaceDE/>
        <w:autoSpaceDN/>
        <w:bidi w:val="0"/>
        <w:adjustRightInd/>
        <w:snapToGrid w:val="0"/>
        <w:spacing w:line="420" w:lineRule="exact"/>
        <w:ind w:firstLine="473" w:firstLineChars="196"/>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不得以低于成本的报价竞争。如果磋商小组发现供应商的报价明显低于其他供应商的，使得其报价可能低于其个别成本的，将要求该供应商作书面说明并提供相关证明材料。供应商不能合理说明或不能提供相关证明材料的，磋商小组将认定该供应商以低于成本报价竞争</w:t>
      </w:r>
      <w:r>
        <w:rPr>
          <w:rFonts w:hint="eastAsia" w:asciiTheme="minorEastAsia" w:hAnsiTheme="minorEastAsia" w:eastAsiaTheme="minorEastAsia" w:cstheme="minorEastAsia"/>
          <w:color w:val="auto"/>
          <w:sz w:val="24"/>
          <w:szCs w:val="24"/>
          <w:lang w:eastAsia="zh-CN"/>
        </w:rPr>
        <w:t>，对</w:t>
      </w:r>
      <w:r>
        <w:rPr>
          <w:rFonts w:hint="eastAsia" w:asciiTheme="minorEastAsia" w:hAnsiTheme="minorEastAsia" w:eastAsiaTheme="minorEastAsia" w:cstheme="minorEastAsia"/>
          <w:color w:val="auto"/>
          <w:sz w:val="24"/>
          <w:szCs w:val="24"/>
        </w:rPr>
        <w:t>其响应文件作无效处理。</w:t>
      </w:r>
    </w:p>
    <w:p w14:paraId="0C3CC112">
      <w:pPr>
        <w:keepNext w:val="0"/>
        <w:keepLines w:val="0"/>
        <w:pageBreakBefore w:val="0"/>
        <w:widowControl w:val="0"/>
        <w:kinsoku/>
        <w:wordWrap/>
        <w:overflowPunct/>
        <w:topLinePunct w:val="0"/>
        <w:autoSpaceDE/>
        <w:autoSpaceDN/>
        <w:bidi w:val="0"/>
        <w:adjustRightInd/>
        <w:snapToGrid w:val="0"/>
        <w:spacing w:line="420" w:lineRule="exact"/>
        <w:ind w:firstLine="473" w:firstLineChars="196"/>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磋商小组先对入围供应商的最后报价进行复核，审查其是否有计算上的错误，修正错误的原则如下</w:t>
      </w:r>
    </w:p>
    <w:p w14:paraId="40F0DC0B">
      <w:pPr>
        <w:keepNext w:val="0"/>
        <w:keepLines w:val="0"/>
        <w:pageBreakBefore w:val="0"/>
        <w:widowControl w:val="0"/>
        <w:kinsoku/>
        <w:wordWrap/>
        <w:overflowPunct/>
        <w:topLinePunct w:val="0"/>
        <w:autoSpaceDE/>
        <w:autoSpaceDN/>
        <w:bidi w:val="0"/>
        <w:adjustRightInd/>
        <w:snapToGrid w:val="0"/>
        <w:spacing w:line="42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1942E72F">
      <w:pPr>
        <w:keepNext w:val="0"/>
        <w:keepLines w:val="0"/>
        <w:pageBreakBefore w:val="0"/>
        <w:widowControl w:val="0"/>
        <w:kinsoku/>
        <w:wordWrap/>
        <w:overflowPunct/>
        <w:topLinePunct w:val="0"/>
        <w:autoSpaceDE/>
        <w:autoSpaceDN/>
        <w:bidi w:val="0"/>
        <w:adjustRightInd/>
        <w:snapToGrid w:val="0"/>
        <w:spacing w:line="42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按上述修正错误的方法调整后的最后报价，对供应商具有约束力。如果供应商不接受修正后的价格，则其响应文件作无效处理。</w:t>
      </w:r>
    </w:p>
    <w:p w14:paraId="6A9BD732">
      <w:pPr>
        <w:pStyle w:val="36"/>
        <w:keepNext w:val="0"/>
        <w:keepLines w:val="0"/>
        <w:pageBreakBefore w:val="0"/>
        <w:widowControl w:val="0"/>
        <w:tabs>
          <w:tab w:val="left" w:pos="426"/>
        </w:tabs>
        <w:kinsoku/>
        <w:wordWrap/>
        <w:overflowPunct/>
        <w:topLinePunct w:val="0"/>
        <w:autoSpaceDE/>
        <w:autoSpaceDN/>
        <w:bidi w:val="0"/>
        <w:adjustRightInd/>
        <w:snapToGrid w:val="0"/>
        <w:spacing w:line="420" w:lineRule="exact"/>
        <w:ind w:left="-2" w:leftChars="-1" w:firstLine="427" w:firstLineChars="177"/>
        <w:jc w:val="lef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B</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rPr>
        <w:t>政策价格扣除</w:t>
      </w:r>
    </w:p>
    <w:p w14:paraId="15B30F64">
      <w:pPr>
        <w:keepNext w:val="0"/>
        <w:keepLines w:val="0"/>
        <w:pageBreakBefore w:val="0"/>
        <w:widowControl w:val="0"/>
        <w:tabs>
          <w:tab w:val="left" w:pos="1050"/>
        </w:tabs>
        <w:kinsoku/>
        <w:wordWrap/>
        <w:overflowPunct/>
        <w:topLinePunct w:val="0"/>
        <w:autoSpaceDE/>
        <w:autoSpaceDN/>
        <w:bidi w:val="0"/>
        <w:adjustRightInd/>
        <w:spacing w:line="42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1）小型和微型企业产品价格扣除</w:t>
      </w:r>
    </w:p>
    <w:p w14:paraId="31E3CED2">
      <w:pPr>
        <w:keepNext w:val="0"/>
        <w:keepLines w:val="0"/>
        <w:pageBreakBefore w:val="0"/>
        <w:widowControl w:val="0"/>
        <w:tabs>
          <w:tab w:val="left" w:pos="1050"/>
        </w:tabs>
        <w:kinsoku/>
        <w:wordWrap/>
        <w:overflowPunct/>
        <w:topLinePunct w:val="0"/>
        <w:autoSpaceDE/>
        <w:autoSpaceDN/>
        <w:bidi w:val="0"/>
        <w:adjustRightInd/>
        <w:spacing w:line="42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a）根据财务部、工业和信息化部印发的《政府采购促进中小企业发展暂行办法》（财库</w:t>
      </w:r>
      <w:r>
        <w:rPr>
          <w:rFonts w:hint="eastAsia" w:asciiTheme="minorEastAsia" w:hAnsiTheme="minorEastAsia" w:eastAsiaTheme="minorEastAsia" w:cstheme="minorEastAsia"/>
          <w:bCs/>
          <w:color w:val="auto"/>
          <w:sz w:val="24"/>
          <w:szCs w:val="24"/>
          <w:lang w:eastAsia="zh-CN"/>
        </w:rPr>
        <w:t>〔2011〕181号</w:t>
      </w:r>
      <w:r>
        <w:rPr>
          <w:rFonts w:hint="eastAsia" w:asciiTheme="minorEastAsia" w:hAnsiTheme="minorEastAsia" w:eastAsiaTheme="minorEastAsia" w:cstheme="minorEastAsia"/>
          <w:bCs/>
          <w:color w:val="auto"/>
          <w:sz w:val="24"/>
          <w:szCs w:val="24"/>
        </w:rPr>
        <w:t>）的规定，对小型和微型企业产品的价格给予</w:t>
      </w:r>
      <w:r>
        <w:rPr>
          <w:rFonts w:hint="eastAsia" w:asciiTheme="minorEastAsia" w:hAnsiTheme="minorEastAsia" w:eastAsiaTheme="minorEastAsia" w:cstheme="minorEastAsia"/>
          <w:bCs/>
          <w:color w:val="auto"/>
          <w:sz w:val="24"/>
          <w:szCs w:val="24"/>
          <w:lang w:val="en-US" w:eastAsia="zh-CN"/>
        </w:rPr>
        <w:t>10</w:t>
      </w:r>
      <w:r>
        <w:rPr>
          <w:rFonts w:hint="eastAsia" w:asciiTheme="minorEastAsia" w:hAnsiTheme="minorEastAsia" w:eastAsiaTheme="minorEastAsia" w:cstheme="minorEastAsia"/>
          <w:bCs/>
          <w:color w:val="auto"/>
          <w:sz w:val="24"/>
          <w:szCs w:val="24"/>
        </w:rPr>
        <w:t>%的扣除，联合体一方为小型、微型企业且小型、微型企业协议合同金额占联合体协议合同总金额30%以上的对联合体总金额扣除2%，用扣除后的价格参与评审；报价产品中仅有部分小型和微型企业产品的，则按所投小型和微型企业产品的价格予以扣除。</w:t>
      </w:r>
    </w:p>
    <w:p w14:paraId="094799F7">
      <w:pPr>
        <w:keepNext w:val="0"/>
        <w:keepLines w:val="0"/>
        <w:pageBreakBefore w:val="0"/>
        <w:widowControl w:val="0"/>
        <w:tabs>
          <w:tab w:val="left" w:pos="1050"/>
        </w:tabs>
        <w:kinsoku/>
        <w:wordWrap/>
        <w:overflowPunct/>
        <w:topLinePunct w:val="0"/>
        <w:autoSpaceDE/>
        <w:autoSpaceDN/>
        <w:bidi w:val="0"/>
        <w:adjustRightInd/>
        <w:spacing w:line="42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b）</w:t>
      </w:r>
      <w:r>
        <w:rPr>
          <w:rFonts w:hint="eastAsia" w:asciiTheme="minorEastAsia" w:hAnsiTheme="minorEastAsia" w:eastAsiaTheme="minorEastAsia" w:cstheme="minorEastAsia"/>
          <w:bCs/>
          <w:color w:val="auto"/>
          <w:sz w:val="24"/>
          <w:szCs w:val="24"/>
        </w:rPr>
        <w:t>《政府采购促进中小企业发展暂行办法》所称中小企业（含中型、小型、微型企业，下同）应当同时符合以下条件：</w:t>
      </w:r>
    </w:p>
    <w:p w14:paraId="4D97BAAF">
      <w:pPr>
        <w:keepNext w:val="0"/>
        <w:keepLines w:val="0"/>
        <w:pageBreakBefore w:val="0"/>
        <w:widowControl w:val="0"/>
        <w:kinsoku/>
        <w:wordWrap/>
        <w:overflowPunct/>
        <w:topLinePunct w:val="0"/>
        <w:autoSpaceDE/>
        <w:autoSpaceDN/>
        <w:bidi w:val="0"/>
        <w:adjustRightInd/>
        <w:spacing w:line="42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①符合中小企业划分标准；</w:t>
      </w:r>
    </w:p>
    <w:p w14:paraId="37F9FC9E">
      <w:pPr>
        <w:keepNext w:val="0"/>
        <w:keepLines w:val="0"/>
        <w:pageBreakBefore w:val="0"/>
        <w:widowControl w:val="0"/>
        <w:kinsoku/>
        <w:wordWrap/>
        <w:overflowPunct/>
        <w:topLinePunct w:val="0"/>
        <w:autoSpaceDE/>
        <w:autoSpaceDN/>
        <w:bidi w:val="0"/>
        <w:adjustRightInd/>
        <w:spacing w:line="42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②提供本企业制造的货物、承担的工程或者服务，或者提供其他中小企业制造的货物。本项所称货物不包括使用大型企业注册商标的货物。</w:t>
      </w:r>
    </w:p>
    <w:p w14:paraId="38F89872">
      <w:pPr>
        <w:keepNext w:val="0"/>
        <w:keepLines w:val="0"/>
        <w:pageBreakBefore w:val="0"/>
        <w:widowControl w:val="0"/>
        <w:kinsoku/>
        <w:wordWrap/>
        <w:overflowPunct/>
        <w:topLinePunct w:val="0"/>
        <w:autoSpaceDE/>
        <w:autoSpaceDN/>
        <w:bidi w:val="0"/>
        <w:adjustRightInd/>
        <w:spacing w:line="42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中小企业划分标准以《工业和信息化部、国家统计局、国家发展和改革委员会、财政部关于印发中小企业划型标准的通知》（工信部联企业</w:t>
      </w:r>
      <w:r>
        <w:rPr>
          <w:rFonts w:hint="eastAsia" w:asciiTheme="minorEastAsia" w:hAnsiTheme="minorEastAsia" w:eastAsiaTheme="minorEastAsia" w:cstheme="minorEastAsia"/>
          <w:bCs/>
          <w:color w:val="auto"/>
          <w:sz w:val="24"/>
          <w:szCs w:val="24"/>
          <w:lang w:eastAsia="zh-CN"/>
        </w:rPr>
        <w:t>〔2011〕300号</w:t>
      </w:r>
      <w:r>
        <w:rPr>
          <w:rFonts w:hint="eastAsia" w:asciiTheme="minorEastAsia" w:hAnsiTheme="minorEastAsia" w:eastAsiaTheme="minorEastAsia" w:cstheme="minorEastAsia"/>
          <w:bCs/>
          <w:color w:val="auto"/>
          <w:sz w:val="24"/>
          <w:szCs w:val="24"/>
        </w:rPr>
        <w:t>）规定的划分标准为准。小型、微型企业提供中型企业制造的货物的，视同为中型企业。</w:t>
      </w:r>
    </w:p>
    <w:p w14:paraId="0864B9DF">
      <w:pPr>
        <w:keepNext w:val="0"/>
        <w:keepLines w:val="0"/>
        <w:pageBreakBefore w:val="0"/>
        <w:widowControl w:val="0"/>
        <w:kinsoku/>
        <w:wordWrap/>
        <w:overflowPunct/>
        <w:topLinePunct w:val="0"/>
        <w:autoSpaceDE/>
        <w:autoSpaceDN/>
        <w:bidi w:val="0"/>
        <w:adjustRightInd/>
        <w:spacing w:line="42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③参加政府采购活动的中小企业应当提供《中小企业声明函》</w:t>
      </w:r>
    </w:p>
    <w:p w14:paraId="5E28A5FC">
      <w:pPr>
        <w:keepNext w:val="0"/>
        <w:keepLines w:val="0"/>
        <w:pageBreakBefore w:val="0"/>
        <w:widowControl w:val="0"/>
        <w:tabs>
          <w:tab w:val="left" w:pos="1050"/>
        </w:tabs>
        <w:kinsoku/>
        <w:wordWrap/>
        <w:overflowPunct/>
        <w:topLinePunct w:val="0"/>
        <w:autoSpaceDE/>
        <w:autoSpaceDN/>
        <w:bidi w:val="0"/>
        <w:adjustRightInd/>
        <w:spacing w:line="42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2）监狱企业产品价格扣除</w:t>
      </w:r>
    </w:p>
    <w:p w14:paraId="7256DB5E">
      <w:pPr>
        <w:keepNext w:val="0"/>
        <w:keepLines w:val="0"/>
        <w:pageBreakBefore w:val="0"/>
        <w:widowControl w:val="0"/>
        <w:tabs>
          <w:tab w:val="left" w:pos="1050"/>
        </w:tabs>
        <w:kinsoku/>
        <w:wordWrap/>
        <w:overflowPunct/>
        <w:topLinePunct w:val="0"/>
        <w:autoSpaceDE/>
        <w:autoSpaceDN/>
        <w:bidi w:val="0"/>
        <w:adjustRightInd/>
        <w:spacing w:line="42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a）监狱企业视同小型、微型企业，按上述1.的a</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条款享受评审中价格扣除。</w:t>
      </w:r>
    </w:p>
    <w:p w14:paraId="623AF3FA">
      <w:pPr>
        <w:keepNext w:val="0"/>
        <w:keepLines w:val="0"/>
        <w:pageBreakBefore w:val="0"/>
        <w:widowControl w:val="0"/>
        <w:tabs>
          <w:tab w:val="left" w:pos="1050"/>
        </w:tabs>
        <w:kinsoku/>
        <w:wordWrap/>
        <w:overflowPunct/>
        <w:topLinePunct w:val="0"/>
        <w:autoSpaceDE/>
        <w:autoSpaceDN/>
        <w:bidi w:val="0"/>
        <w:adjustRightInd/>
        <w:spacing w:line="42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b）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B5E77A5">
      <w:pPr>
        <w:keepNext w:val="0"/>
        <w:keepLines w:val="0"/>
        <w:pageBreakBefore w:val="0"/>
        <w:widowControl w:val="0"/>
        <w:tabs>
          <w:tab w:val="left" w:pos="1050"/>
        </w:tabs>
        <w:kinsoku/>
        <w:wordWrap/>
        <w:overflowPunct/>
        <w:topLinePunct w:val="0"/>
        <w:autoSpaceDE/>
        <w:autoSpaceDN/>
        <w:bidi w:val="0"/>
        <w:adjustRightInd/>
        <w:spacing w:line="42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c）监狱企业参加政府采购活动时，应当提供由省级以上监狱管理局、戒毒管理局（含新疆生产建设兵团）出具的属于监狱企业的证明文件，否则不予认可。</w:t>
      </w:r>
    </w:p>
    <w:p w14:paraId="363214F9">
      <w:pPr>
        <w:keepNext w:val="0"/>
        <w:keepLines w:val="0"/>
        <w:pageBreakBefore w:val="0"/>
        <w:widowControl w:val="0"/>
        <w:tabs>
          <w:tab w:val="left" w:pos="1050"/>
        </w:tabs>
        <w:kinsoku/>
        <w:wordWrap/>
        <w:overflowPunct/>
        <w:topLinePunct w:val="0"/>
        <w:autoSpaceDE/>
        <w:autoSpaceDN/>
        <w:bidi w:val="0"/>
        <w:adjustRightInd/>
        <w:spacing w:line="420" w:lineRule="exact"/>
        <w:ind w:firstLine="484"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Cs/>
          <w:color w:val="auto"/>
          <w:sz w:val="24"/>
          <w:szCs w:val="24"/>
        </w:rPr>
        <w:t>3）残疾人福利性单位产品价格扣除</w:t>
      </w:r>
    </w:p>
    <w:p w14:paraId="23A97591">
      <w:pPr>
        <w:keepNext w:val="0"/>
        <w:keepLines w:val="0"/>
        <w:pageBreakBefore w:val="0"/>
        <w:widowControl w:val="0"/>
        <w:tabs>
          <w:tab w:val="left" w:pos="1050"/>
        </w:tabs>
        <w:kinsoku/>
        <w:wordWrap/>
        <w:overflowPunct/>
        <w:topLinePunct w:val="0"/>
        <w:autoSpaceDE/>
        <w:autoSpaceDN/>
        <w:bidi w:val="0"/>
        <w:adjustRightInd/>
        <w:spacing w:line="42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a）残疾人福利性单位视同小型、微型企业，按上述1.的a</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条款享受评审中价格扣除。</w:t>
      </w:r>
    </w:p>
    <w:p w14:paraId="449E3ACB">
      <w:pPr>
        <w:keepNext w:val="0"/>
        <w:keepLines w:val="0"/>
        <w:pageBreakBefore w:val="0"/>
        <w:widowControl w:val="0"/>
        <w:tabs>
          <w:tab w:val="left" w:pos="1050"/>
        </w:tabs>
        <w:kinsoku/>
        <w:wordWrap/>
        <w:overflowPunct/>
        <w:topLinePunct w:val="0"/>
        <w:autoSpaceDE/>
        <w:autoSpaceDN/>
        <w:bidi w:val="0"/>
        <w:adjustRightInd/>
        <w:spacing w:line="42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b）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声明的真实性负责。一旦中标将在中标公告中公告其声明函，接受社会监督。供应商提供的《残疾人福利性单位声明函》与事实不符的，依照《</w:t>
      </w:r>
      <w:r>
        <w:rPr>
          <w:rFonts w:hint="eastAsia" w:asciiTheme="minorEastAsia" w:hAnsiTheme="minorEastAsia" w:eastAsiaTheme="minorEastAsia" w:cstheme="minorEastAsia"/>
          <w:bCs/>
          <w:color w:val="auto"/>
          <w:sz w:val="24"/>
          <w:szCs w:val="24"/>
          <w:lang w:eastAsia="zh-CN"/>
        </w:rPr>
        <w:t>中华人民共和国政府采购法</w:t>
      </w:r>
      <w:r>
        <w:rPr>
          <w:rFonts w:hint="eastAsia" w:asciiTheme="minorEastAsia" w:hAnsiTheme="minorEastAsia" w:eastAsiaTheme="minorEastAsia" w:cstheme="minorEastAsia"/>
          <w:bCs/>
          <w:color w:val="auto"/>
          <w:sz w:val="24"/>
          <w:szCs w:val="24"/>
        </w:rPr>
        <w:t>》第七十七条第一款的规定追究法律责任。</w:t>
      </w:r>
    </w:p>
    <w:p w14:paraId="2ADA9560">
      <w:pPr>
        <w:keepNext w:val="0"/>
        <w:keepLines w:val="0"/>
        <w:pageBreakBefore w:val="0"/>
        <w:widowControl w:val="0"/>
        <w:tabs>
          <w:tab w:val="left" w:pos="1050"/>
        </w:tabs>
        <w:kinsoku/>
        <w:wordWrap/>
        <w:overflowPunct/>
        <w:topLinePunct w:val="0"/>
        <w:autoSpaceDE/>
        <w:autoSpaceDN/>
        <w:bidi w:val="0"/>
        <w:adjustRightInd/>
        <w:spacing w:line="420" w:lineRule="exact"/>
        <w:ind w:firstLine="484"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4）供应商同时为小型、微型企业、监狱企业和残疾人福利性单位任两种或以上情况的</w:t>
      </w:r>
      <w:r>
        <w:rPr>
          <w:rFonts w:hint="eastAsia" w:asciiTheme="minorEastAsia" w:hAnsiTheme="minorEastAsia" w:eastAsiaTheme="minorEastAsia" w:cstheme="minorEastAsia"/>
          <w:bCs/>
          <w:color w:val="auto"/>
          <w:sz w:val="24"/>
          <w:szCs w:val="24"/>
          <w:lang w:eastAsia="zh-CN"/>
        </w:rPr>
        <w:t>，在</w:t>
      </w:r>
      <w:r>
        <w:rPr>
          <w:rFonts w:hint="eastAsia" w:asciiTheme="minorEastAsia" w:hAnsiTheme="minorEastAsia" w:eastAsiaTheme="minorEastAsia" w:cstheme="minorEastAsia"/>
          <w:bCs/>
          <w:color w:val="auto"/>
          <w:sz w:val="24"/>
          <w:szCs w:val="24"/>
        </w:rPr>
        <w:t>评审中只享受一次价格扣除。不重复进行价格扣除。</w:t>
      </w:r>
    </w:p>
    <w:p w14:paraId="5C40CE0A">
      <w:pPr>
        <w:pStyle w:val="36"/>
        <w:keepNext w:val="0"/>
        <w:keepLines w:val="0"/>
        <w:pageBreakBefore w:val="0"/>
        <w:widowControl w:val="0"/>
        <w:kinsoku/>
        <w:wordWrap/>
        <w:overflowPunct/>
        <w:topLinePunct w:val="0"/>
        <w:autoSpaceDE/>
        <w:autoSpaceDN/>
        <w:bidi w:val="0"/>
        <w:adjustRightInd/>
        <w:snapToGrid w:val="0"/>
        <w:spacing w:line="420" w:lineRule="exact"/>
        <w:ind w:firstLine="562"/>
        <w:jc w:val="lef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C</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rPr>
        <w:t>价格评分</w:t>
      </w:r>
    </w:p>
    <w:p w14:paraId="0A59B908">
      <w:pPr>
        <w:keepNext w:val="0"/>
        <w:keepLines w:val="0"/>
        <w:pageBreakBefore w:val="0"/>
        <w:widowControl w:val="0"/>
        <w:kinsoku/>
        <w:wordWrap/>
        <w:overflowPunct/>
        <w:topLinePunct w:val="0"/>
        <w:autoSpaceDE/>
        <w:autoSpaceDN/>
        <w:bidi w:val="0"/>
        <w:adjustRightInd/>
        <w:snapToGrid w:val="0"/>
        <w:spacing w:line="420" w:lineRule="exact"/>
        <w:ind w:firstLine="473" w:firstLineChars="196"/>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对入围的供应商的最后价格进行修正及价格扣除得出评审价。综合评分法中的价格分统一采用低价优先法计算，即满足磋商文件要求（通过资格、符合性审查）且价格最低的有效最后报价（指修正后的价格，下同）为磋商基准价，其价格分为满分。其他供应商的价格分统一按照下列公式计算：</w:t>
      </w:r>
    </w:p>
    <w:p w14:paraId="49AA3309">
      <w:pPr>
        <w:keepNext w:val="0"/>
        <w:keepLines w:val="0"/>
        <w:pageBreakBefore w:val="0"/>
        <w:widowControl w:val="0"/>
        <w:kinsoku/>
        <w:wordWrap/>
        <w:overflowPunct/>
        <w:topLinePunct w:val="0"/>
        <w:autoSpaceDE/>
        <w:autoSpaceDN/>
        <w:bidi w:val="0"/>
        <w:adjustRightInd/>
        <w:snapToGrid w:val="0"/>
        <w:spacing w:line="420" w:lineRule="exact"/>
        <w:ind w:firstLine="484" w:firstLineChars="200"/>
        <w:jc w:val="lef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磋商报价得分＝（磋商基准价／最终磋商报价）x 分值。</w:t>
      </w:r>
    </w:p>
    <w:p w14:paraId="61280E2E">
      <w:pPr>
        <w:snapToGrid w:val="0"/>
        <w:spacing w:line="360" w:lineRule="auto"/>
        <w:ind w:firstLine="484" w:firstLineChars="200"/>
        <w:jc w:val="left"/>
        <w:rPr>
          <w:rFonts w:hint="eastAsia" w:asciiTheme="minorEastAsia" w:hAnsiTheme="minorEastAsia" w:eastAsiaTheme="minorEastAsia" w:cstheme="minorEastAsia"/>
          <w:b/>
          <w:color w:val="auto"/>
          <w:sz w:val="24"/>
          <w:szCs w:val="24"/>
        </w:rPr>
      </w:pPr>
    </w:p>
    <w:p w14:paraId="7D55EEAA">
      <w:pPr>
        <w:bidi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z w:val="28"/>
          <w:szCs w:val="28"/>
        </w:rPr>
        <w:t>附表一：</w:t>
      </w:r>
    </w:p>
    <w:p w14:paraId="6461B5D8">
      <w:pPr>
        <w:bidi w:val="0"/>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资格性审查表</w:t>
      </w:r>
    </w:p>
    <w:tbl>
      <w:tblPr>
        <w:tblStyle w:val="2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8401"/>
      </w:tblGrid>
      <w:tr w14:paraId="1980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98" w:type="dxa"/>
            <w:noWrap w:val="0"/>
            <w:vAlign w:val="center"/>
          </w:tcPr>
          <w:p w14:paraId="2F45A769">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序号</w:t>
            </w:r>
          </w:p>
        </w:tc>
        <w:tc>
          <w:tcPr>
            <w:tcW w:w="8401" w:type="dxa"/>
            <w:noWrap w:val="0"/>
            <w:vAlign w:val="center"/>
          </w:tcPr>
          <w:p w14:paraId="350BE492">
            <w:pPr>
              <w:jc w:val="center"/>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资格性审查</w:t>
            </w:r>
          </w:p>
        </w:tc>
      </w:tr>
      <w:tr w14:paraId="3F07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98" w:type="dxa"/>
            <w:noWrap w:val="0"/>
            <w:vAlign w:val="center"/>
          </w:tcPr>
          <w:p w14:paraId="5C749F5C">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401" w:type="dxa"/>
            <w:noWrap w:val="0"/>
            <w:vAlign w:val="center"/>
          </w:tcPr>
          <w:p w14:paraId="27FFF716">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具有独立承担民事责任的能力</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供应商必须是在中华人民共和国境内注册，具有独立法人资格的企业；（提供有效的营业执照）</w:t>
            </w:r>
          </w:p>
        </w:tc>
      </w:tr>
      <w:tr w14:paraId="1BBA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98" w:type="dxa"/>
            <w:noWrap w:val="0"/>
            <w:vAlign w:val="center"/>
          </w:tcPr>
          <w:p w14:paraId="636A87FF">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8401" w:type="dxa"/>
            <w:noWrap w:val="0"/>
            <w:vAlign w:val="center"/>
          </w:tcPr>
          <w:p w14:paraId="7B5F9752">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具有良好的商业信誉和健全的财务会计制度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提供本单位202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度</w:t>
            </w:r>
            <w:r>
              <w:rPr>
                <w:rFonts w:hint="eastAsia" w:asciiTheme="minorEastAsia" w:hAnsiTheme="minorEastAsia" w:eastAsiaTheme="minorEastAsia" w:cstheme="minorEastAsia"/>
                <w:color w:val="auto"/>
                <w:sz w:val="24"/>
                <w:szCs w:val="24"/>
              </w:rPr>
              <w:t>的财务报告</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复印件，或银行出具的有效的资信证明。</w:t>
            </w:r>
          </w:p>
        </w:tc>
      </w:tr>
      <w:tr w14:paraId="7BD9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8" w:type="dxa"/>
            <w:noWrap w:val="0"/>
            <w:vAlign w:val="center"/>
          </w:tcPr>
          <w:p w14:paraId="69B2711F">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8401" w:type="dxa"/>
            <w:noWrap w:val="0"/>
            <w:vAlign w:val="center"/>
          </w:tcPr>
          <w:p w14:paraId="7631F1A1">
            <w:pPr>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具备履行合同所必需的设备和专业技术能力</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zh-CN" w:eastAsia="zh-CN"/>
              </w:rPr>
              <w:t>根据项目需求提供履行合同所必需的机构和人员资质及设备和专业技术能力的加盖单位公章的书面承诺函。</w:t>
            </w:r>
          </w:p>
        </w:tc>
      </w:tr>
      <w:tr w14:paraId="3181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98" w:type="dxa"/>
            <w:noWrap w:val="0"/>
            <w:vAlign w:val="center"/>
          </w:tcPr>
          <w:p w14:paraId="5F90D7E4">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8401" w:type="dxa"/>
            <w:noWrap w:val="0"/>
            <w:vAlign w:val="center"/>
          </w:tcPr>
          <w:p w14:paraId="0E51DDAD">
            <w:pPr>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有依法缴纳税收和社会保障资金的良好记录</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zh-CN" w:eastAsia="zh-CN"/>
              </w:rPr>
              <w:t>提供参加本次政府采购活动前近三个月的依法缴纳税收和社会保障资金的相关材料</w:t>
            </w:r>
            <w:r>
              <w:rPr>
                <w:rFonts w:hint="eastAsia" w:asciiTheme="minorEastAsia" w:hAnsiTheme="minorEastAsia" w:eastAsiaTheme="minorEastAsia" w:cstheme="minorEastAsia"/>
                <w:color w:val="auto"/>
                <w:sz w:val="24"/>
                <w:szCs w:val="24"/>
                <w:lang w:eastAsia="zh-CN"/>
              </w:rPr>
              <w:t>。</w:t>
            </w:r>
          </w:p>
        </w:tc>
      </w:tr>
      <w:tr w14:paraId="577F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jc w:val="center"/>
        </w:trPr>
        <w:tc>
          <w:tcPr>
            <w:tcW w:w="798" w:type="dxa"/>
            <w:noWrap w:val="0"/>
            <w:vAlign w:val="center"/>
          </w:tcPr>
          <w:p w14:paraId="79D84CC4">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8401" w:type="dxa"/>
            <w:noWrap w:val="0"/>
            <w:vAlign w:val="center"/>
          </w:tcPr>
          <w:p w14:paraId="47847285">
            <w:pPr>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参加政府采购活动前三年内，在经营活动中没有重大违法记录，新成立单位提供成立至今相关查询记录</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zh-CN" w:eastAsia="zh-CN"/>
              </w:rPr>
              <w:t>提供参加本次政府采购活动前3年内在经营活动中没有重大违法记录的书面承诺函并加盖单位公章。</w:t>
            </w:r>
          </w:p>
        </w:tc>
      </w:tr>
      <w:tr w14:paraId="6D98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98" w:type="dxa"/>
            <w:noWrap w:val="0"/>
            <w:vAlign w:val="center"/>
          </w:tcPr>
          <w:p w14:paraId="5BA0220D">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8401" w:type="dxa"/>
            <w:noWrap w:val="0"/>
            <w:vAlign w:val="center"/>
          </w:tcPr>
          <w:p w14:paraId="62437E81">
            <w:pPr>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提供法人身份证明或法定代表人授权委托书及被授权人身份证</w:t>
            </w:r>
            <w:r>
              <w:rPr>
                <w:rFonts w:hint="eastAsia" w:asciiTheme="minorEastAsia" w:hAnsiTheme="minorEastAsia" w:eastAsiaTheme="minorEastAsia" w:cstheme="minorEastAsia"/>
                <w:color w:val="auto"/>
                <w:sz w:val="24"/>
                <w:szCs w:val="24"/>
                <w:lang w:val="en-US" w:eastAsia="zh-CN"/>
              </w:rPr>
              <w:t>扫描件</w:t>
            </w:r>
            <w:r>
              <w:rPr>
                <w:rFonts w:hint="eastAsia" w:asciiTheme="minorEastAsia" w:hAnsiTheme="minorEastAsia" w:eastAsiaTheme="minorEastAsia" w:cstheme="minorEastAsia"/>
                <w:color w:val="auto"/>
                <w:sz w:val="24"/>
                <w:szCs w:val="24"/>
              </w:rPr>
              <w:t>；</w:t>
            </w:r>
          </w:p>
        </w:tc>
      </w:tr>
      <w:tr w14:paraId="1D1B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798" w:type="dxa"/>
            <w:noWrap w:val="0"/>
            <w:vAlign w:val="center"/>
          </w:tcPr>
          <w:p w14:paraId="02A0F751">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8401" w:type="dxa"/>
            <w:noWrap w:val="0"/>
            <w:vAlign w:val="center"/>
          </w:tcPr>
          <w:p w14:paraId="121FB201">
            <w:pPr>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企业信用信息查询：提供未被“信用中国”（www.creditchina.gov.cn）、中国政府采购网（www.ccgp.gov.cn）列入失信被执行人、重大税收违法案件当事人名单、政府采购严重违法失信行为记录名单截图。</w:t>
            </w:r>
          </w:p>
        </w:tc>
      </w:tr>
      <w:tr w14:paraId="4F6C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798" w:type="dxa"/>
            <w:noWrap w:val="0"/>
            <w:vAlign w:val="center"/>
          </w:tcPr>
          <w:p w14:paraId="3939D807">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8401" w:type="dxa"/>
            <w:noWrap w:val="0"/>
            <w:vAlign w:val="center"/>
          </w:tcPr>
          <w:p w14:paraId="3CE904E6">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具有《国土资源部关于印发〈矿业权评估管理办法（试行）〉的通知》（国土资发〔2008〕174号）要求的机构和人员资质。项目负责人具备相关专业高级职称证书资格证且持有有效矿业权评估师执业证书。</w:t>
            </w:r>
          </w:p>
        </w:tc>
      </w:tr>
      <w:tr w14:paraId="4927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798" w:type="dxa"/>
            <w:noWrap w:val="0"/>
            <w:vAlign w:val="center"/>
          </w:tcPr>
          <w:p w14:paraId="1B7EFBB0">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8401" w:type="dxa"/>
            <w:noWrap w:val="0"/>
            <w:vAlign w:val="center"/>
          </w:tcPr>
          <w:p w14:paraId="01598C1F">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保证金缴纳凭证：提供足额投标保证金缴纳凭证。</w:t>
            </w:r>
          </w:p>
        </w:tc>
      </w:tr>
      <w:tr w14:paraId="0C3F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98" w:type="dxa"/>
            <w:noWrap w:val="0"/>
            <w:vAlign w:val="center"/>
          </w:tcPr>
          <w:p w14:paraId="4A42D4A4">
            <w:pPr>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8401" w:type="dxa"/>
            <w:noWrap w:val="0"/>
            <w:vAlign w:val="center"/>
          </w:tcPr>
          <w:p w14:paraId="00C774C3">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提供中小企业声明函。</w:t>
            </w:r>
          </w:p>
        </w:tc>
      </w:tr>
    </w:tbl>
    <w:p w14:paraId="27DD3F1E">
      <w:pPr>
        <w:keepNext w:val="0"/>
        <w:keepLines w:val="0"/>
        <w:pageBreakBefore w:val="0"/>
        <w:widowControl/>
        <w:kinsoku w:val="0"/>
        <w:wordWrap/>
        <w:overflowPunct/>
        <w:topLinePunct w:val="0"/>
        <w:autoSpaceDE w:val="0"/>
        <w:autoSpaceDN w:val="0"/>
        <w:bidi w:val="0"/>
        <w:adjustRightInd w:val="0"/>
        <w:snapToGrid w:val="0"/>
        <w:spacing w:before="180" w:line="227" w:lineRule="auto"/>
        <w:jc w:val="left"/>
        <w:textAlignment w:val="baseline"/>
        <w:rPr>
          <w:rFonts w:hint="eastAsia" w:asciiTheme="minorEastAsia" w:hAnsiTheme="minorEastAsia" w:eastAsiaTheme="minorEastAsia" w:cstheme="minorEastAsia"/>
          <w:b/>
          <w:color w:val="auto"/>
          <w:sz w:val="28"/>
          <w:szCs w:val="28"/>
        </w:rPr>
      </w:pPr>
      <w:bookmarkStart w:id="106" w:name="_Toc13173"/>
      <w:bookmarkStart w:id="107" w:name="_Toc26085"/>
      <w:bookmarkStart w:id="108" w:name="_Toc6957"/>
      <w:r>
        <w:rPr>
          <w:rFonts w:hint="eastAsia" w:asciiTheme="minorEastAsia" w:hAnsiTheme="minorEastAsia" w:eastAsiaTheme="minorEastAsia" w:cstheme="minorEastAsia"/>
          <w:b/>
          <w:color w:val="auto"/>
          <w:sz w:val="28"/>
          <w:szCs w:val="28"/>
        </w:rPr>
        <w:t>备注：如有一项未通过，</w:t>
      </w:r>
      <w:r>
        <w:rPr>
          <w:rFonts w:hint="eastAsia" w:asciiTheme="minorEastAsia" w:hAnsiTheme="minorEastAsia" w:eastAsiaTheme="minorEastAsia" w:cstheme="minorEastAsia"/>
          <w:b/>
          <w:color w:val="auto"/>
          <w:sz w:val="28"/>
          <w:szCs w:val="28"/>
          <w:lang w:eastAsia="zh-CN"/>
        </w:rPr>
        <w:t>磋商小组</w:t>
      </w:r>
      <w:r>
        <w:rPr>
          <w:rFonts w:hint="eastAsia" w:asciiTheme="minorEastAsia" w:hAnsiTheme="minorEastAsia" w:eastAsiaTheme="minorEastAsia" w:cstheme="minorEastAsia"/>
          <w:b/>
          <w:color w:val="auto"/>
          <w:sz w:val="28"/>
          <w:szCs w:val="28"/>
        </w:rPr>
        <w:t>将认定整个</w:t>
      </w:r>
      <w:r>
        <w:rPr>
          <w:rFonts w:hint="eastAsia" w:asciiTheme="minorEastAsia" w:hAnsiTheme="minorEastAsia" w:eastAsiaTheme="minorEastAsia" w:cstheme="minorEastAsia"/>
          <w:b/>
          <w:color w:val="auto"/>
          <w:sz w:val="28"/>
          <w:szCs w:val="28"/>
          <w:lang w:val="en-US" w:eastAsia="zh-CN"/>
        </w:rPr>
        <w:t>响应</w:t>
      </w:r>
      <w:r>
        <w:rPr>
          <w:rFonts w:hint="eastAsia" w:asciiTheme="minorEastAsia" w:hAnsiTheme="minorEastAsia" w:eastAsiaTheme="minorEastAsia" w:cstheme="minorEastAsia"/>
          <w:b/>
          <w:color w:val="auto"/>
          <w:sz w:val="28"/>
          <w:szCs w:val="28"/>
        </w:rPr>
        <w:t>文件未响应</w:t>
      </w:r>
      <w:r>
        <w:rPr>
          <w:rFonts w:hint="eastAsia" w:asciiTheme="minorEastAsia" w:hAnsiTheme="minorEastAsia" w:eastAsiaTheme="minorEastAsia" w:cstheme="minorEastAsia"/>
          <w:b/>
          <w:color w:val="auto"/>
          <w:sz w:val="28"/>
          <w:szCs w:val="28"/>
          <w:lang w:val="en-US" w:eastAsia="zh-CN"/>
        </w:rPr>
        <w:t>竞争性磋商</w:t>
      </w:r>
      <w:r>
        <w:rPr>
          <w:rFonts w:hint="eastAsia" w:asciiTheme="minorEastAsia" w:hAnsiTheme="minorEastAsia" w:eastAsiaTheme="minorEastAsia" w:cstheme="minorEastAsia"/>
          <w:b/>
          <w:color w:val="auto"/>
          <w:sz w:val="28"/>
          <w:szCs w:val="28"/>
        </w:rPr>
        <w:t>文件而予以废标处理。</w:t>
      </w:r>
    </w:p>
    <w:p w14:paraId="67FD3FC5">
      <w:pPr>
        <w:keepNext w:val="0"/>
        <w:keepLines w:val="0"/>
        <w:pageBreakBefore w:val="0"/>
        <w:widowControl/>
        <w:kinsoku w:val="0"/>
        <w:wordWrap/>
        <w:overflowPunct/>
        <w:topLinePunct w:val="0"/>
        <w:autoSpaceDE w:val="0"/>
        <w:autoSpaceDN w:val="0"/>
        <w:bidi w:val="0"/>
        <w:adjustRightInd w:val="0"/>
        <w:snapToGrid w:val="0"/>
        <w:spacing w:before="180" w:line="227" w:lineRule="auto"/>
        <w:ind w:firstLine="282" w:firstLineChars="100"/>
        <w:jc w:val="left"/>
        <w:textAlignment w:val="baseline"/>
        <w:rPr>
          <w:rFonts w:hint="eastAsia" w:asciiTheme="minorEastAsia" w:hAnsiTheme="minorEastAsia" w:eastAsiaTheme="minorEastAsia" w:cstheme="minorEastAsia"/>
          <w:b/>
          <w:color w:val="auto"/>
          <w:sz w:val="28"/>
          <w:szCs w:val="28"/>
        </w:rPr>
      </w:pPr>
    </w:p>
    <w:p w14:paraId="5420F648">
      <w:pPr>
        <w:keepNext w:val="0"/>
        <w:keepLines w:val="0"/>
        <w:pageBreakBefore w:val="0"/>
        <w:widowControl/>
        <w:kinsoku w:val="0"/>
        <w:wordWrap/>
        <w:overflowPunct/>
        <w:topLinePunct w:val="0"/>
        <w:autoSpaceDE w:val="0"/>
        <w:autoSpaceDN w:val="0"/>
        <w:bidi w:val="0"/>
        <w:adjustRightInd w:val="0"/>
        <w:snapToGrid w:val="0"/>
        <w:spacing w:before="180" w:line="227" w:lineRule="auto"/>
        <w:ind w:firstLine="282" w:firstLineChars="100"/>
        <w:jc w:val="left"/>
        <w:textAlignment w:val="baseline"/>
        <w:rPr>
          <w:rFonts w:hint="eastAsia" w:asciiTheme="minorEastAsia" w:hAnsiTheme="minorEastAsia" w:eastAsiaTheme="minorEastAsia" w:cstheme="minorEastAsia"/>
          <w:b/>
          <w:color w:val="auto"/>
          <w:sz w:val="28"/>
          <w:szCs w:val="28"/>
        </w:rPr>
      </w:pPr>
    </w:p>
    <w:p w14:paraId="6CF7798E">
      <w:pPr>
        <w:keepNext w:val="0"/>
        <w:keepLines w:val="0"/>
        <w:pageBreakBefore w:val="0"/>
        <w:widowControl/>
        <w:kinsoku w:val="0"/>
        <w:wordWrap/>
        <w:overflowPunct/>
        <w:topLinePunct w:val="0"/>
        <w:autoSpaceDE w:val="0"/>
        <w:autoSpaceDN w:val="0"/>
        <w:bidi w:val="0"/>
        <w:adjustRightInd w:val="0"/>
        <w:snapToGrid w:val="0"/>
        <w:spacing w:before="180" w:line="227" w:lineRule="auto"/>
        <w:ind w:firstLine="282" w:firstLineChars="100"/>
        <w:jc w:val="left"/>
        <w:textAlignment w:val="baseline"/>
        <w:rPr>
          <w:rFonts w:hint="eastAsia" w:asciiTheme="minorEastAsia" w:hAnsiTheme="minorEastAsia" w:eastAsiaTheme="minorEastAsia" w:cstheme="minorEastAsia"/>
          <w:b/>
          <w:color w:val="auto"/>
          <w:sz w:val="28"/>
          <w:szCs w:val="28"/>
        </w:rPr>
      </w:pPr>
    </w:p>
    <w:p w14:paraId="2B05ADD1">
      <w:pPr>
        <w:keepNext w:val="0"/>
        <w:keepLines w:val="0"/>
        <w:pageBreakBefore w:val="0"/>
        <w:widowControl/>
        <w:kinsoku w:val="0"/>
        <w:wordWrap/>
        <w:overflowPunct/>
        <w:topLinePunct w:val="0"/>
        <w:autoSpaceDE w:val="0"/>
        <w:autoSpaceDN w:val="0"/>
        <w:bidi w:val="0"/>
        <w:adjustRightInd w:val="0"/>
        <w:snapToGrid w:val="0"/>
        <w:spacing w:before="180" w:line="227" w:lineRule="auto"/>
        <w:ind w:firstLine="282" w:firstLineChars="100"/>
        <w:jc w:val="left"/>
        <w:textAlignment w:val="baseline"/>
        <w:rPr>
          <w:rFonts w:hint="eastAsia" w:asciiTheme="minorEastAsia" w:hAnsiTheme="minorEastAsia" w:eastAsiaTheme="minorEastAsia" w:cstheme="minorEastAsia"/>
          <w:b/>
          <w:color w:val="auto"/>
          <w:sz w:val="28"/>
          <w:szCs w:val="28"/>
        </w:rPr>
      </w:pPr>
    </w:p>
    <w:p w14:paraId="344797B0">
      <w:pPr>
        <w:keepNext w:val="0"/>
        <w:keepLines w:val="0"/>
        <w:pageBreakBefore w:val="0"/>
        <w:widowControl/>
        <w:kinsoku w:val="0"/>
        <w:wordWrap/>
        <w:overflowPunct/>
        <w:topLinePunct w:val="0"/>
        <w:autoSpaceDE w:val="0"/>
        <w:autoSpaceDN w:val="0"/>
        <w:bidi w:val="0"/>
        <w:adjustRightInd w:val="0"/>
        <w:snapToGrid w:val="0"/>
        <w:spacing w:before="180" w:line="227" w:lineRule="auto"/>
        <w:ind w:firstLine="282" w:firstLineChars="100"/>
        <w:jc w:val="left"/>
        <w:textAlignment w:val="baseline"/>
        <w:rPr>
          <w:rFonts w:hint="eastAsia" w:asciiTheme="minorEastAsia" w:hAnsiTheme="minorEastAsia" w:eastAsiaTheme="minorEastAsia" w:cstheme="minorEastAsia"/>
          <w:b/>
          <w:color w:val="auto"/>
          <w:sz w:val="28"/>
          <w:szCs w:val="28"/>
        </w:rPr>
      </w:pPr>
    </w:p>
    <w:p w14:paraId="72416DF6">
      <w:pPr>
        <w:keepNext w:val="0"/>
        <w:keepLines w:val="0"/>
        <w:pageBreakBefore w:val="0"/>
        <w:widowControl/>
        <w:kinsoku w:val="0"/>
        <w:wordWrap/>
        <w:overflowPunct/>
        <w:topLinePunct w:val="0"/>
        <w:autoSpaceDE w:val="0"/>
        <w:autoSpaceDN w:val="0"/>
        <w:bidi w:val="0"/>
        <w:adjustRightInd w:val="0"/>
        <w:snapToGrid w:val="0"/>
        <w:spacing w:before="180" w:line="227" w:lineRule="auto"/>
        <w:ind w:firstLine="282" w:firstLineChars="100"/>
        <w:jc w:val="both"/>
        <w:textAlignment w:val="baseline"/>
        <w:rPr>
          <w:rFonts w:hint="eastAsia" w:asciiTheme="minorEastAsia" w:hAnsiTheme="minorEastAsia" w:eastAsiaTheme="minorEastAsia" w:cstheme="minorEastAsia"/>
          <w:b/>
          <w:color w:val="auto"/>
          <w:sz w:val="28"/>
          <w:szCs w:val="28"/>
        </w:rPr>
      </w:pPr>
    </w:p>
    <w:p w14:paraId="1E39AD21">
      <w:pPr>
        <w:bidi w:val="0"/>
        <w:rPr>
          <w:rFonts w:hint="eastAsia" w:asciiTheme="minorEastAsia" w:hAnsiTheme="minorEastAsia" w:eastAsiaTheme="minorEastAsia" w:cstheme="minorEastAsia"/>
          <w:b/>
          <w:bCs/>
          <w:color w:val="auto"/>
          <w:sz w:val="28"/>
          <w:szCs w:val="28"/>
        </w:rPr>
      </w:pPr>
    </w:p>
    <w:p w14:paraId="50CD839F">
      <w:pPr>
        <w:bidi w:val="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附表</w:t>
      </w:r>
      <w:r>
        <w:rPr>
          <w:rFonts w:hint="eastAsia" w:asciiTheme="minorEastAsia" w:hAnsiTheme="minorEastAsia" w:eastAsiaTheme="minorEastAsia" w:cstheme="minorEastAsia"/>
          <w:b/>
          <w:bCs/>
          <w:color w:val="auto"/>
          <w:sz w:val="28"/>
          <w:szCs w:val="28"/>
          <w:lang w:eastAsia="zh-CN"/>
        </w:rPr>
        <w:t>二</w:t>
      </w:r>
      <w:r>
        <w:rPr>
          <w:rFonts w:hint="eastAsia" w:asciiTheme="minorEastAsia" w:hAnsiTheme="minorEastAsia" w:eastAsiaTheme="minorEastAsia" w:cstheme="minorEastAsia"/>
          <w:b/>
          <w:bCs/>
          <w:color w:val="auto"/>
          <w:sz w:val="28"/>
          <w:szCs w:val="28"/>
        </w:rPr>
        <w:t>：</w:t>
      </w:r>
    </w:p>
    <w:p w14:paraId="105510A2">
      <w:pPr>
        <w:bidi w:val="0"/>
        <w:jc w:val="center"/>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符合性审查表</w:t>
      </w:r>
    </w:p>
    <w:tbl>
      <w:tblPr>
        <w:tblStyle w:val="24"/>
        <w:tblpPr w:leftFromText="180" w:rightFromText="180" w:vertAnchor="text" w:horzAnchor="page" w:tblpXSpec="center" w:tblpY="292"/>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417"/>
        <w:gridCol w:w="4987"/>
        <w:gridCol w:w="905"/>
      </w:tblGrid>
      <w:tr w14:paraId="6D24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669" w:type="dxa"/>
            <w:noWrap w:val="0"/>
            <w:vAlign w:val="center"/>
          </w:tcPr>
          <w:p w14:paraId="08220C36">
            <w:pPr>
              <w:spacing w:line="44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项目</w:t>
            </w:r>
          </w:p>
        </w:tc>
        <w:tc>
          <w:tcPr>
            <w:tcW w:w="2417" w:type="dxa"/>
            <w:noWrap w:val="0"/>
            <w:vAlign w:val="center"/>
          </w:tcPr>
          <w:p w14:paraId="3C6152D4">
            <w:pPr>
              <w:spacing w:line="44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评审因素</w:t>
            </w:r>
          </w:p>
        </w:tc>
        <w:tc>
          <w:tcPr>
            <w:tcW w:w="4987" w:type="dxa"/>
            <w:noWrap w:val="0"/>
            <w:vAlign w:val="center"/>
          </w:tcPr>
          <w:p w14:paraId="3518B0AE">
            <w:pPr>
              <w:spacing w:line="44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评审标准</w:t>
            </w:r>
          </w:p>
        </w:tc>
        <w:tc>
          <w:tcPr>
            <w:tcW w:w="905" w:type="dxa"/>
            <w:noWrap w:val="0"/>
            <w:vAlign w:val="center"/>
          </w:tcPr>
          <w:p w14:paraId="5A842B5D">
            <w:pPr>
              <w:spacing w:line="44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是否</w:t>
            </w:r>
          </w:p>
          <w:p w14:paraId="3D0EF5E7">
            <w:pPr>
              <w:spacing w:line="44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符合</w:t>
            </w:r>
          </w:p>
        </w:tc>
      </w:tr>
      <w:tr w14:paraId="192F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9" w:type="dxa"/>
            <w:vMerge w:val="restart"/>
            <w:noWrap w:val="0"/>
            <w:vAlign w:val="center"/>
          </w:tcPr>
          <w:p w14:paraId="3ED34201">
            <w:pPr>
              <w:spacing w:line="44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符合性审查</w:t>
            </w:r>
          </w:p>
        </w:tc>
        <w:tc>
          <w:tcPr>
            <w:tcW w:w="2417" w:type="dxa"/>
            <w:noWrap w:val="0"/>
            <w:vAlign w:val="center"/>
          </w:tcPr>
          <w:p w14:paraId="5511197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投标报价</w:t>
            </w:r>
          </w:p>
        </w:tc>
        <w:tc>
          <w:tcPr>
            <w:tcW w:w="4987" w:type="dxa"/>
            <w:noWrap w:val="0"/>
            <w:vAlign w:val="center"/>
          </w:tcPr>
          <w:p w14:paraId="34B7934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不得超过最高限价（报价唯一）</w:t>
            </w:r>
          </w:p>
        </w:tc>
        <w:tc>
          <w:tcPr>
            <w:tcW w:w="905" w:type="dxa"/>
            <w:noWrap w:val="0"/>
            <w:vAlign w:val="center"/>
          </w:tcPr>
          <w:p w14:paraId="60D33D24">
            <w:pPr>
              <w:jc w:val="center"/>
              <w:rPr>
                <w:rFonts w:hint="eastAsia" w:asciiTheme="minorEastAsia" w:hAnsiTheme="minorEastAsia" w:eastAsiaTheme="minorEastAsia" w:cstheme="minorEastAsia"/>
                <w:color w:val="auto"/>
                <w:sz w:val="24"/>
                <w:szCs w:val="24"/>
              </w:rPr>
            </w:pPr>
          </w:p>
        </w:tc>
      </w:tr>
      <w:tr w14:paraId="581C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9" w:type="dxa"/>
            <w:vMerge w:val="continue"/>
            <w:noWrap w:val="0"/>
            <w:vAlign w:val="center"/>
          </w:tcPr>
          <w:p w14:paraId="6604C32A">
            <w:pPr>
              <w:spacing w:line="440" w:lineRule="exact"/>
              <w:jc w:val="center"/>
              <w:rPr>
                <w:rFonts w:hint="eastAsia" w:asciiTheme="minorEastAsia" w:hAnsiTheme="minorEastAsia" w:eastAsiaTheme="minorEastAsia" w:cstheme="minorEastAsia"/>
                <w:color w:val="auto"/>
                <w:sz w:val="24"/>
                <w:szCs w:val="24"/>
              </w:rPr>
            </w:pPr>
          </w:p>
        </w:tc>
        <w:tc>
          <w:tcPr>
            <w:tcW w:w="2417" w:type="dxa"/>
            <w:noWrap w:val="0"/>
            <w:vAlign w:val="center"/>
          </w:tcPr>
          <w:p w14:paraId="1B8A8EE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合同履约期限</w:t>
            </w:r>
          </w:p>
        </w:tc>
        <w:tc>
          <w:tcPr>
            <w:tcW w:w="4987" w:type="dxa"/>
            <w:noWrap w:val="0"/>
            <w:vAlign w:val="center"/>
          </w:tcPr>
          <w:p w14:paraId="004127E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满足磋商文件要求</w:t>
            </w:r>
          </w:p>
        </w:tc>
        <w:tc>
          <w:tcPr>
            <w:tcW w:w="905" w:type="dxa"/>
            <w:noWrap w:val="0"/>
            <w:vAlign w:val="center"/>
          </w:tcPr>
          <w:p w14:paraId="48F594D3">
            <w:pPr>
              <w:jc w:val="center"/>
              <w:rPr>
                <w:rFonts w:hint="eastAsia" w:asciiTheme="minorEastAsia" w:hAnsiTheme="minorEastAsia" w:eastAsiaTheme="minorEastAsia" w:cstheme="minorEastAsia"/>
                <w:color w:val="auto"/>
                <w:sz w:val="24"/>
                <w:szCs w:val="24"/>
              </w:rPr>
            </w:pPr>
          </w:p>
        </w:tc>
      </w:tr>
      <w:tr w14:paraId="1025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69" w:type="dxa"/>
            <w:vMerge w:val="continue"/>
            <w:noWrap w:val="0"/>
            <w:vAlign w:val="center"/>
          </w:tcPr>
          <w:p w14:paraId="0D0E0AF8">
            <w:pPr>
              <w:spacing w:line="440" w:lineRule="exact"/>
              <w:jc w:val="center"/>
              <w:rPr>
                <w:rFonts w:hint="eastAsia" w:asciiTheme="minorEastAsia" w:hAnsiTheme="minorEastAsia" w:eastAsiaTheme="minorEastAsia" w:cstheme="minorEastAsia"/>
                <w:color w:val="auto"/>
                <w:sz w:val="24"/>
                <w:szCs w:val="24"/>
              </w:rPr>
            </w:pPr>
          </w:p>
        </w:tc>
        <w:tc>
          <w:tcPr>
            <w:tcW w:w="2417" w:type="dxa"/>
            <w:noWrap w:val="0"/>
            <w:vAlign w:val="center"/>
          </w:tcPr>
          <w:p w14:paraId="369C00B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签字或盖章</w:t>
            </w:r>
          </w:p>
        </w:tc>
        <w:tc>
          <w:tcPr>
            <w:tcW w:w="4987" w:type="dxa"/>
            <w:noWrap w:val="0"/>
            <w:vAlign w:val="center"/>
          </w:tcPr>
          <w:p w14:paraId="6C3EE6F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响应文件上签字或盖章符合磋商文件规定</w:t>
            </w:r>
          </w:p>
        </w:tc>
        <w:tc>
          <w:tcPr>
            <w:tcW w:w="905" w:type="dxa"/>
            <w:noWrap w:val="0"/>
            <w:vAlign w:val="center"/>
          </w:tcPr>
          <w:p w14:paraId="5F459ED6">
            <w:pPr>
              <w:jc w:val="center"/>
              <w:rPr>
                <w:rFonts w:hint="eastAsia" w:asciiTheme="minorEastAsia" w:hAnsiTheme="minorEastAsia" w:eastAsiaTheme="minorEastAsia" w:cstheme="minorEastAsia"/>
                <w:color w:val="auto"/>
                <w:sz w:val="24"/>
                <w:szCs w:val="24"/>
              </w:rPr>
            </w:pPr>
          </w:p>
        </w:tc>
      </w:tr>
      <w:tr w14:paraId="3505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669" w:type="dxa"/>
            <w:vMerge w:val="continue"/>
            <w:noWrap w:val="0"/>
            <w:vAlign w:val="center"/>
          </w:tcPr>
          <w:p w14:paraId="22BBF7EF">
            <w:pPr>
              <w:spacing w:line="440" w:lineRule="exact"/>
              <w:jc w:val="center"/>
              <w:rPr>
                <w:rFonts w:hint="eastAsia" w:asciiTheme="minorEastAsia" w:hAnsiTheme="minorEastAsia" w:eastAsiaTheme="minorEastAsia" w:cstheme="minorEastAsia"/>
                <w:color w:val="auto"/>
                <w:sz w:val="24"/>
                <w:szCs w:val="24"/>
              </w:rPr>
            </w:pPr>
          </w:p>
        </w:tc>
        <w:tc>
          <w:tcPr>
            <w:tcW w:w="2417" w:type="dxa"/>
            <w:noWrap w:val="0"/>
            <w:vAlign w:val="center"/>
          </w:tcPr>
          <w:p w14:paraId="1AA1984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响应文件</w:t>
            </w:r>
          </w:p>
        </w:tc>
        <w:tc>
          <w:tcPr>
            <w:tcW w:w="4987" w:type="dxa"/>
            <w:noWrap w:val="0"/>
            <w:vAlign w:val="center"/>
          </w:tcPr>
          <w:p w14:paraId="151E841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响应文件字迹清晰可辨</w:t>
            </w:r>
          </w:p>
        </w:tc>
        <w:tc>
          <w:tcPr>
            <w:tcW w:w="905" w:type="dxa"/>
            <w:noWrap w:val="0"/>
            <w:vAlign w:val="center"/>
          </w:tcPr>
          <w:p w14:paraId="3048C799">
            <w:pPr>
              <w:jc w:val="center"/>
              <w:rPr>
                <w:rFonts w:hint="eastAsia" w:asciiTheme="minorEastAsia" w:hAnsiTheme="minorEastAsia" w:eastAsiaTheme="minorEastAsia" w:cstheme="minorEastAsia"/>
                <w:color w:val="auto"/>
                <w:sz w:val="24"/>
                <w:szCs w:val="24"/>
              </w:rPr>
            </w:pPr>
          </w:p>
        </w:tc>
      </w:tr>
      <w:tr w14:paraId="218A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69" w:type="dxa"/>
            <w:vMerge w:val="continue"/>
            <w:noWrap w:val="0"/>
            <w:vAlign w:val="center"/>
          </w:tcPr>
          <w:p w14:paraId="2086164A">
            <w:pPr>
              <w:spacing w:line="440" w:lineRule="exact"/>
              <w:jc w:val="center"/>
              <w:rPr>
                <w:rFonts w:hint="eastAsia" w:asciiTheme="minorEastAsia" w:hAnsiTheme="minorEastAsia" w:eastAsiaTheme="minorEastAsia" w:cstheme="minorEastAsia"/>
                <w:color w:val="auto"/>
                <w:sz w:val="24"/>
                <w:szCs w:val="24"/>
              </w:rPr>
            </w:pPr>
          </w:p>
        </w:tc>
        <w:tc>
          <w:tcPr>
            <w:tcW w:w="2417" w:type="dxa"/>
            <w:noWrap w:val="0"/>
            <w:vAlign w:val="center"/>
          </w:tcPr>
          <w:p w14:paraId="1E9746D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其他</w:t>
            </w:r>
          </w:p>
        </w:tc>
        <w:tc>
          <w:tcPr>
            <w:tcW w:w="4987" w:type="dxa"/>
            <w:noWrap w:val="0"/>
            <w:vAlign w:val="center"/>
          </w:tcPr>
          <w:p w14:paraId="3BF0CFE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符合法律法规的规定</w:t>
            </w:r>
          </w:p>
        </w:tc>
        <w:tc>
          <w:tcPr>
            <w:tcW w:w="905" w:type="dxa"/>
            <w:noWrap w:val="0"/>
            <w:vAlign w:val="center"/>
          </w:tcPr>
          <w:p w14:paraId="0913615D">
            <w:pPr>
              <w:jc w:val="center"/>
              <w:rPr>
                <w:rFonts w:hint="eastAsia" w:asciiTheme="minorEastAsia" w:hAnsiTheme="minorEastAsia" w:eastAsiaTheme="minorEastAsia" w:cstheme="minorEastAsia"/>
                <w:color w:val="auto"/>
                <w:sz w:val="24"/>
                <w:szCs w:val="24"/>
              </w:rPr>
            </w:pPr>
          </w:p>
        </w:tc>
      </w:tr>
    </w:tbl>
    <w:p w14:paraId="29115F9B">
      <w:pPr>
        <w:bidi w:val="0"/>
        <w:jc w:val="center"/>
        <w:rPr>
          <w:rFonts w:hint="eastAsia" w:asciiTheme="minorEastAsia" w:hAnsiTheme="minorEastAsia" w:eastAsiaTheme="minorEastAsia" w:cstheme="minorEastAsia"/>
          <w:b/>
          <w:bCs/>
          <w:color w:val="auto"/>
          <w:sz w:val="28"/>
          <w:szCs w:val="28"/>
          <w:lang w:eastAsia="zh-CN"/>
        </w:rPr>
      </w:pPr>
    </w:p>
    <w:p w14:paraId="5C40F303">
      <w:pPr>
        <w:ind w:firstLine="564" w:firstLineChars="200"/>
        <w:jc w:val="left"/>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备注：如有一项未通过，</w:t>
      </w:r>
      <w:r>
        <w:rPr>
          <w:rFonts w:hint="eastAsia" w:asciiTheme="minorEastAsia" w:hAnsiTheme="minorEastAsia" w:eastAsiaTheme="minorEastAsia" w:cstheme="minorEastAsia"/>
          <w:b/>
          <w:color w:val="auto"/>
          <w:sz w:val="28"/>
          <w:szCs w:val="28"/>
          <w:lang w:eastAsia="zh-CN"/>
        </w:rPr>
        <w:t>磋商小组</w:t>
      </w:r>
      <w:r>
        <w:rPr>
          <w:rFonts w:hint="eastAsia" w:asciiTheme="minorEastAsia" w:hAnsiTheme="minorEastAsia" w:eastAsiaTheme="minorEastAsia" w:cstheme="minorEastAsia"/>
          <w:b/>
          <w:color w:val="auto"/>
          <w:sz w:val="28"/>
          <w:szCs w:val="28"/>
        </w:rPr>
        <w:t>将认定整个</w:t>
      </w:r>
      <w:r>
        <w:rPr>
          <w:rFonts w:hint="eastAsia" w:asciiTheme="minorEastAsia" w:hAnsiTheme="minorEastAsia" w:eastAsiaTheme="minorEastAsia" w:cstheme="minorEastAsia"/>
          <w:b/>
          <w:color w:val="auto"/>
          <w:sz w:val="28"/>
          <w:szCs w:val="28"/>
          <w:lang w:val="en-US" w:eastAsia="zh-CN"/>
        </w:rPr>
        <w:t>响应</w:t>
      </w:r>
      <w:r>
        <w:rPr>
          <w:rFonts w:hint="eastAsia" w:asciiTheme="minorEastAsia" w:hAnsiTheme="minorEastAsia" w:eastAsiaTheme="minorEastAsia" w:cstheme="minorEastAsia"/>
          <w:b/>
          <w:color w:val="auto"/>
          <w:sz w:val="28"/>
          <w:szCs w:val="28"/>
        </w:rPr>
        <w:t>文件未响应</w:t>
      </w:r>
      <w:r>
        <w:rPr>
          <w:rFonts w:hint="eastAsia" w:asciiTheme="minorEastAsia" w:hAnsiTheme="minorEastAsia" w:eastAsiaTheme="minorEastAsia" w:cstheme="minorEastAsia"/>
          <w:b/>
          <w:color w:val="auto"/>
          <w:sz w:val="28"/>
          <w:szCs w:val="28"/>
          <w:lang w:val="en-US" w:eastAsia="zh-CN"/>
        </w:rPr>
        <w:t>竞争性磋商</w:t>
      </w:r>
      <w:r>
        <w:rPr>
          <w:rFonts w:hint="eastAsia" w:asciiTheme="minorEastAsia" w:hAnsiTheme="minorEastAsia" w:eastAsiaTheme="minorEastAsia" w:cstheme="minorEastAsia"/>
          <w:b/>
          <w:color w:val="auto"/>
          <w:sz w:val="28"/>
          <w:szCs w:val="28"/>
        </w:rPr>
        <w:t>文件而予以废标处理。</w:t>
      </w:r>
    </w:p>
    <w:p w14:paraId="5367DD37">
      <w:pPr>
        <w:jc w:val="center"/>
        <w:rPr>
          <w:rFonts w:hint="eastAsia" w:asciiTheme="minorEastAsia" w:hAnsiTheme="minorEastAsia" w:eastAsiaTheme="minorEastAsia" w:cstheme="minorEastAsia"/>
          <w:b/>
          <w:color w:val="auto"/>
          <w:sz w:val="28"/>
          <w:szCs w:val="28"/>
        </w:rPr>
      </w:pPr>
    </w:p>
    <w:p w14:paraId="3AD3A5FA">
      <w:pPr>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br w:type="page"/>
      </w:r>
      <w:r>
        <w:rPr>
          <w:rFonts w:hint="eastAsia" w:asciiTheme="minorEastAsia" w:hAnsiTheme="minorEastAsia" w:eastAsiaTheme="minorEastAsia" w:cstheme="minorEastAsia"/>
          <w:b/>
          <w:bCs/>
          <w:color w:val="auto"/>
          <w:sz w:val="28"/>
          <w:szCs w:val="28"/>
        </w:rPr>
        <w:t>附表</w:t>
      </w:r>
      <w:r>
        <w:rPr>
          <w:rFonts w:hint="eastAsia" w:asciiTheme="minorEastAsia" w:hAnsiTheme="minorEastAsia" w:eastAsiaTheme="minorEastAsia" w:cstheme="minorEastAsia"/>
          <w:b/>
          <w:bCs/>
          <w:color w:val="auto"/>
          <w:sz w:val="28"/>
          <w:szCs w:val="28"/>
          <w:lang w:eastAsia="zh-CN"/>
        </w:rPr>
        <w:t>三</w:t>
      </w:r>
      <w:r>
        <w:rPr>
          <w:rFonts w:hint="eastAsia" w:asciiTheme="minorEastAsia" w:hAnsiTheme="minorEastAsia" w:eastAsiaTheme="minorEastAsia" w:cstheme="minorEastAsia"/>
          <w:b/>
          <w:bCs/>
          <w:color w:val="auto"/>
          <w:sz w:val="28"/>
          <w:szCs w:val="28"/>
        </w:rPr>
        <w:t>：</w:t>
      </w:r>
    </w:p>
    <w:p w14:paraId="7DB689F7">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详细评审标准：</w:t>
      </w:r>
    </w:p>
    <w:tbl>
      <w:tblPr>
        <w:tblStyle w:val="45"/>
        <w:tblW w:w="94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7"/>
        <w:gridCol w:w="1402"/>
        <w:gridCol w:w="6648"/>
        <w:gridCol w:w="763"/>
      </w:tblGrid>
      <w:tr w14:paraId="0610A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jc w:val="center"/>
        </w:trPr>
        <w:tc>
          <w:tcPr>
            <w:tcW w:w="9460" w:type="dxa"/>
            <w:gridSpan w:val="4"/>
            <w:vAlign w:val="center"/>
          </w:tcPr>
          <w:p w14:paraId="3815FD06">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报价评审</w:t>
            </w:r>
          </w:p>
        </w:tc>
      </w:tr>
      <w:tr w14:paraId="66695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647" w:type="dxa"/>
            <w:vAlign w:val="center"/>
          </w:tcPr>
          <w:p w14:paraId="2FE61FA3">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序号</w:t>
            </w:r>
          </w:p>
        </w:tc>
        <w:tc>
          <w:tcPr>
            <w:tcW w:w="1402" w:type="dxa"/>
            <w:vAlign w:val="center"/>
          </w:tcPr>
          <w:p w14:paraId="0D37808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评分项目</w:t>
            </w:r>
          </w:p>
        </w:tc>
        <w:tc>
          <w:tcPr>
            <w:tcW w:w="6648" w:type="dxa"/>
            <w:vAlign w:val="center"/>
          </w:tcPr>
          <w:p w14:paraId="5AB36B40">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评分因素</w:t>
            </w:r>
          </w:p>
        </w:tc>
        <w:tc>
          <w:tcPr>
            <w:tcW w:w="763" w:type="dxa"/>
            <w:vAlign w:val="center"/>
          </w:tcPr>
          <w:p w14:paraId="2E3385AC">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val="en-US" w:eastAsia="zh-CN"/>
              </w:rPr>
              <w:t>分值</w:t>
            </w:r>
          </w:p>
        </w:tc>
      </w:tr>
      <w:tr w14:paraId="68B5D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528" w:hRule="exact"/>
          <w:jc w:val="center"/>
        </w:trPr>
        <w:tc>
          <w:tcPr>
            <w:tcW w:w="647" w:type="dxa"/>
            <w:vAlign w:val="center"/>
          </w:tcPr>
          <w:p w14:paraId="441877D6">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color w:val="auto"/>
                <w:sz w:val="28"/>
                <w:szCs w:val="28"/>
              </w:rPr>
            </w:pPr>
          </w:p>
          <w:p w14:paraId="5784FF5B">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color w:val="auto"/>
                <w:sz w:val="28"/>
                <w:szCs w:val="28"/>
              </w:rPr>
            </w:pPr>
          </w:p>
          <w:p w14:paraId="50A97EF5">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 xml:space="preserve">         </w:t>
            </w:r>
          </w:p>
          <w:p w14:paraId="38692978">
            <w:pPr>
              <w:keepNext w:val="0"/>
              <w:keepLines w:val="0"/>
              <w:pageBreakBefore w:val="0"/>
              <w:widowControl/>
              <w:kinsoku w:val="0"/>
              <w:wordWrap/>
              <w:overflowPunct/>
              <w:topLinePunct w:val="0"/>
              <w:autoSpaceDE w:val="0"/>
              <w:autoSpaceDN w:val="0"/>
              <w:bidi w:val="0"/>
              <w:adjustRightInd w:val="0"/>
              <w:snapToGrid w:val="0"/>
              <w:ind w:firstLine="282" w:firstLineChars="100"/>
              <w:jc w:val="both"/>
              <w:textAlignment w:val="baseline"/>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w:t>
            </w:r>
          </w:p>
          <w:p w14:paraId="50E9AE7E">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color w:val="auto"/>
                <w:sz w:val="28"/>
                <w:szCs w:val="28"/>
              </w:rPr>
            </w:pPr>
          </w:p>
          <w:p w14:paraId="74A72515">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color w:val="auto"/>
                <w:sz w:val="28"/>
                <w:szCs w:val="28"/>
              </w:rPr>
            </w:pPr>
          </w:p>
          <w:p w14:paraId="5899645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color w:val="auto"/>
                <w:sz w:val="28"/>
                <w:szCs w:val="28"/>
              </w:rPr>
            </w:pPr>
          </w:p>
          <w:p w14:paraId="24DE9DD7">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color w:val="auto"/>
                <w:sz w:val="28"/>
                <w:szCs w:val="28"/>
              </w:rPr>
            </w:pPr>
          </w:p>
          <w:p w14:paraId="0498101D">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color w:val="auto"/>
                <w:sz w:val="28"/>
                <w:szCs w:val="28"/>
              </w:rPr>
            </w:pPr>
          </w:p>
          <w:p w14:paraId="09B1D009">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color w:val="auto"/>
                <w:sz w:val="28"/>
                <w:szCs w:val="28"/>
              </w:rPr>
            </w:pPr>
          </w:p>
        </w:tc>
        <w:tc>
          <w:tcPr>
            <w:tcW w:w="1402" w:type="dxa"/>
            <w:vAlign w:val="center"/>
          </w:tcPr>
          <w:p w14:paraId="2FBC4D1A">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磋商报价</w:t>
            </w:r>
          </w:p>
        </w:tc>
        <w:tc>
          <w:tcPr>
            <w:tcW w:w="6648" w:type="dxa"/>
            <w:vAlign w:val="center"/>
          </w:tcPr>
          <w:p w14:paraId="184A22F3">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评分办法：采用低价优先法计算，即满足</w:t>
            </w:r>
            <w:r>
              <w:rPr>
                <w:rFonts w:hint="eastAsia" w:asciiTheme="minorEastAsia" w:hAnsiTheme="minorEastAsia" w:eastAsiaTheme="minorEastAsia" w:cstheme="minorEastAsia"/>
                <w:color w:val="auto"/>
                <w:sz w:val="28"/>
                <w:szCs w:val="28"/>
                <w:lang w:eastAsia="zh-CN"/>
              </w:rPr>
              <w:t>招标文件</w:t>
            </w:r>
            <w:r>
              <w:rPr>
                <w:rFonts w:hint="eastAsia" w:asciiTheme="minorEastAsia" w:hAnsiTheme="minorEastAsia" w:eastAsiaTheme="minorEastAsia" w:cstheme="minorEastAsia"/>
                <w:color w:val="auto"/>
                <w:sz w:val="28"/>
                <w:szCs w:val="28"/>
              </w:rPr>
              <w:t>要求且价格最低的报价为评标基准价，其价格得分为满分。</w:t>
            </w:r>
          </w:p>
          <w:p w14:paraId="3319A06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价格得分=（</w:t>
            </w:r>
            <w:r>
              <w:rPr>
                <w:rFonts w:hint="eastAsia" w:asciiTheme="minorEastAsia" w:hAnsiTheme="minorEastAsia" w:eastAsiaTheme="minorEastAsia" w:cstheme="minorEastAsia"/>
                <w:color w:val="auto"/>
                <w:sz w:val="28"/>
                <w:szCs w:val="28"/>
                <w:lang w:eastAsia="zh-CN"/>
              </w:rPr>
              <w:t>投标</w:t>
            </w:r>
            <w:r>
              <w:rPr>
                <w:rFonts w:hint="eastAsia" w:asciiTheme="minorEastAsia" w:hAnsiTheme="minorEastAsia" w:eastAsiaTheme="minorEastAsia" w:cstheme="minorEastAsia"/>
                <w:color w:val="auto"/>
                <w:sz w:val="28"/>
                <w:szCs w:val="28"/>
              </w:rPr>
              <w:t>基准价/</w:t>
            </w:r>
            <w:r>
              <w:rPr>
                <w:rFonts w:hint="eastAsia" w:asciiTheme="minorEastAsia" w:hAnsiTheme="minorEastAsia" w:eastAsiaTheme="minorEastAsia" w:cstheme="minorEastAsia"/>
                <w:color w:val="auto"/>
                <w:sz w:val="28"/>
                <w:szCs w:val="28"/>
                <w:lang w:eastAsia="zh-CN"/>
              </w:rPr>
              <w:t>投标</w:t>
            </w:r>
            <w:r>
              <w:rPr>
                <w:rFonts w:hint="eastAsia" w:asciiTheme="minorEastAsia" w:hAnsiTheme="minorEastAsia" w:eastAsiaTheme="minorEastAsia" w:cstheme="minorEastAsia"/>
                <w:color w:val="auto"/>
                <w:sz w:val="28"/>
                <w:szCs w:val="28"/>
              </w:rPr>
              <w:t>报价）×价格权值，</w:t>
            </w:r>
            <w:r>
              <w:rPr>
                <w:rFonts w:hint="eastAsia" w:asciiTheme="minorEastAsia" w:hAnsiTheme="minorEastAsia" w:eastAsiaTheme="minorEastAsia" w:cstheme="minorEastAsia"/>
                <w:color w:val="auto"/>
                <w:sz w:val="28"/>
                <w:szCs w:val="28"/>
                <w:lang w:eastAsia="zh-CN"/>
              </w:rPr>
              <w:t>以此类推</w:t>
            </w:r>
            <w:r>
              <w:rPr>
                <w:rFonts w:hint="eastAsia" w:asciiTheme="minorEastAsia" w:hAnsiTheme="minorEastAsia" w:eastAsiaTheme="minorEastAsia" w:cstheme="minorEastAsia"/>
                <w:color w:val="auto"/>
                <w:sz w:val="28"/>
                <w:szCs w:val="28"/>
              </w:rPr>
              <w:t>，算出所有供应商的价格得分（政府采购计算办法）</w:t>
            </w:r>
          </w:p>
          <w:p w14:paraId="4F291512">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提示：本项目需进行多轮报价，第一次报价不为最终报价，请各供应商准备二次报价。</w:t>
            </w:r>
          </w:p>
        </w:tc>
        <w:tc>
          <w:tcPr>
            <w:tcW w:w="763" w:type="dxa"/>
            <w:vAlign w:val="center"/>
          </w:tcPr>
          <w:p w14:paraId="7849819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10</w:t>
            </w:r>
          </w:p>
        </w:tc>
      </w:tr>
      <w:tr w14:paraId="2CE5B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jc w:val="center"/>
        </w:trPr>
        <w:tc>
          <w:tcPr>
            <w:tcW w:w="9460" w:type="dxa"/>
            <w:gridSpan w:val="4"/>
            <w:vAlign w:val="center"/>
          </w:tcPr>
          <w:p w14:paraId="4C8C8266">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商务评审</w:t>
            </w:r>
          </w:p>
        </w:tc>
      </w:tr>
      <w:tr w14:paraId="5A25D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jc w:val="center"/>
        </w:trPr>
        <w:tc>
          <w:tcPr>
            <w:tcW w:w="647" w:type="dxa"/>
            <w:vAlign w:val="center"/>
          </w:tcPr>
          <w:p w14:paraId="684921B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序号</w:t>
            </w:r>
          </w:p>
        </w:tc>
        <w:tc>
          <w:tcPr>
            <w:tcW w:w="1402" w:type="dxa"/>
            <w:vAlign w:val="center"/>
          </w:tcPr>
          <w:p w14:paraId="1CF3A1C9">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评分项目</w:t>
            </w:r>
          </w:p>
        </w:tc>
        <w:tc>
          <w:tcPr>
            <w:tcW w:w="6648" w:type="dxa"/>
            <w:vAlign w:val="center"/>
          </w:tcPr>
          <w:p w14:paraId="3124F46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评分因素</w:t>
            </w:r>
          </w:p>
        </w:tc>
        <w:tc>
          <w:tcPr>
            <w:tcW w:w="763" w:type="dxa"/>
            <w:vAlign w:val="center"/>
          </w:tcPr>
          <w:p w14:paraId="2DCD8F93">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rPr>
              <w:t>分</w:t>
            </w:r>
            <w:r>
              <w:rPr>
                <w:rFonts w:hint="eastAsia" w:asciiTheme="minorEastAsia" w:hAnsiTheme="minorEastAsia" w:eastAsiaTheme="minorEastAsia" w:cstheme="minorEastAsia"/>
                <w:b/>
                <w:bCs/>
                <w:color w:val="auto"/>
                <w:sz w:val="28"/>
                <w:szCs w:val="28"/>
                <w:lang w:val="en-US" w:eastAsia="zh-CN"/>
              </w:rPr>
              <w:t>值</w:t>
            </w:r>
          </w:p>
        </w:tc>
      </w:tr>
      <w:tr w14:paraId="6FB45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647" w:type="dxa"/>
            <w:tcBorders>
              <w:bottom w:val="single" w:color="auto" w:sz="4" w:space="0"/>
            </w:tcBorders>
            <w:vAlign w:val="center"/>
          </w:tcPr>
          <w:p w14:paraId="617D1D93">
            <w:pPr>
              <w:keepNext w:val="0"/>
              <w:keepLines w:val="0"/>
              <w:pageBreakBefore w:val="0"/>
              <w:widowControl/>
              <w:kinsoku w:val="0"/>
              <w:wordWrap/>
              <w:overflowPunct/>
              <w:topLinePunct w:val="0"/>
              <w:autoSpaceDE w:val="0"/>
              <w:autoSpaceDN w:val="0"/>
              <w:bidi w:val="0"/>
              <w:adjustRightInd w:val="0"/>
              <w:snapToGrid w:val="0"/>
              <w:ind w:firstLine="282" w:firstLineChars="100"/>
              <w:jc w:val="both"/>
              <w:textAlignment w:val="baseline"/>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w:t>
            </w:r>
          </w:p>
        </w:tc>
        <w:tc>
          <w:tcPr>
            <w:tcW w:w="1402" w:type="dxa"/>
            <w:tcBorders>
              <w:bottom w:val="single" w:color="auto" w:sz="4" w:space="0"/>
            </w:tcBorders>
            <w:vAlign w:val="center"/>
          </w:tcPr>
          <w:p w14:paraId="0043FC3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企业业绩</w:t>
            </w:r>
          </w:p>
          <w:p w14:paraId="352F55A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auto"/>
                <w:sz w:val="28"/>
                <w:szCs w:val="28"/>
              </w:rPr>
            </w:pPr>
          </w:p>
        </w:tc>
        <w:tc>
          <w:tcPr>
            <w:tcW w:w="6648" w:type="dxa"/>
            <w:tcBorders>
              <w:bottom w:val="single" w:color="auto" w:sz="4" w:space="0"/>
            </w:tcBorders>
            <w:vAlign w:val="center"/>
          </w:tcPr>
          <w:p w14:paraId="37E3CB1F">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供应商近五年（</w:t>
            </w:r>
            <w:r>
              <w:rPr>
                <w:rFonts w:hint="eastAsia" w:asciiTheme="minorEastAsia" w:hAnsiTheme="minorEastAsia" w:eastAsiaTheme="minorEastAsia" w:cstheme="minorEastAsia"/>
                <w:color w:val="auto"/>
                <w:sz w:val="28"/>
                <w:szCs w:val="28"/>
                <w:lang w:eastAsia="zh-CN"/>
              </w:rPr>
              <w:t>2021年1月1日</w:t>
            </w:r>
            <w:r>
              <w:rPr>
                <w:rFonts w:hint="eastAsia" w:asciiTheme="minorEastAsia" w:hAnsiTheme="minorEastAsia" w:eastAsiaTheme="minorEastAsia" w:cstheme="minorEastAsia"/>
                <w:color w:val="auto"/>
                <w:sz w:val="28"/>
                <w:szCs w:val="28"/>
              </w:rPr>
              <w:t>至今）有关</w:t>
            </w:r>
            <w:r>
              <w:rPr>
                <w:rFonts w:hint="eastAsia" w:asciiTheme="minorEastAsia" w:hAnsiTheme="minorEastAsia" w:eastAsiaTheme="minorEastAsia" w:cstheme="minorEastAsia"/>
                <w:color w:val="auto"/>
                <w:sz w:val="28"/>
                <w:szCs w:val="28"/>
                <w:lang w:val="en-US" w:eastAsia="zh-CN"/>
              </w:rPr>
              <w:t>同类</w:t>
            </w:r>
            <w:r>
              <w:rPr>
                <w:rFonts w:hint="eastAsia" w:asciiTheme="minorEastAsia" w:hAnsiTheme="minorEastAsia" w:eastAsiaTheme="minorEastAsia" w:cstheme="minorEastAsia"/>
                <w:color w:val="auto"/>
                <w:sz w:val="28"/>
                <w:szCs w:val="28"/>
              </w:rPr>
              <w:t>项目业绩，每提供1个业绩得</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分，最高得</w:t>
            </w:r>
            <w:r>
              <w:rPr>
                <w:rFonts w:hint="eastAsia" w:asciiTheme="minorEastAsia" w:hAnsiTheme="minorEastAsia" w:eastAsia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rPr>
              <w:t>分。不提供不得分。（须提供中标通知书或项目合同）</w:t>
            </w:r>
          </w:p>
        </w:tc>
        <w:tc>
          <w:tcPr>
            <w:tcW w:w="763" w:type="dxa"/>
            <w:tcBorders>
              <w:bottom w:val="single" w:color="auto" w:sz="4" w:space="0"/>
            </w:tcBorders>
            <w:vAlign w:val="center"/>
          </w:tcPr>
          <w:p w14:paraId="56CBC79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12</w:t>
            </w:r>
          </w:p>
        </w:tc>
      </w:tr>
      <w:tr w14:paraId="3B2D2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jc w:val="center"/>
        </w:trPr>
        <w:tc>
          <w:tcPr>
            <w:tcW w:w="647" w:type="dxa"/>
            <w:tcBorders>
              <w:top w:val="single" w:color="auto" w:sz="4" w:space="0"/>
              <w:left w:val="single" w:color="auto" w:sz="4" w:space="0"/>
              <w:bottom w:val="single" w:color="auto" w:sz="4" w:space="0"/>
            </w:tcBorders>
            <w:vAlign w:val="center"/>
          </w:tcPr>
          <w:p w14:paraId="4B03509F">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color w:val="auto"/>
                <w:sz w:val="28"/>
                <w:szCs w:val="28"/>
              </w:rPr>
            </w:pPr>
          </w:p>
          <w:p w14:paraId="4AC09C7E">
            <w:pPr>
              <w:keepNext w:val="0"/>
              <w:keepLines w:val="0"/>
              <w:pageBreakBefore w:val="0"/>
              <w:widowControl/>
              <w:kinsoku w:val="0"/>
              <w:wordWrap/>
              <w:overflowPunct/>
              <w:topLinePunct w:val="0"/>
              <w:autoSpaceDE w:val="0"/>
              <w:autoSpaceDN w:val="0"/>
              <w:bidi w:val="0"/>
              <w:adjustRightInd w:val="0"/>
              <w:snapToGrid w:val="0"/>
              <w:ind w:firstLine="282" w:firstLineChars="1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p>
        </w:tc>
        <w:tc>
          <w:tcPr>
            <w:tcW w:w="1402" w:type="dxa"/>
            <w:tcBorders>
              <w:top w:val="single" w:color="auto" w:sz="4" w:space="0"/>
              <w:bottom w:val="single" w:color="auto" w:sz="4" w:space="0"/>
              <w:right w:val="single" w:color="auto" w:sz="4" w:space="0"/>
            </w:tcBorders>
            <w:vAlign w:val="center"/>
          </w:tcPr>
          <w:p w14:paraId="5CB8047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项目负责人</w:t>
            </w:r>
            <w:r>
              <w:rPr>
                <w:rFonts w:hint="eastAsia" w:asciiTheme="minorEastAsia" w:hAnsiTheme="minorEastAsia" w:eastAsiaTheme="minorEastAsia" w:cstheme="minorEastAsia"/>
                <w:color w:val="auto"/>
                <w:sz w:val="28"/>
                <w:szCs w:val="28"/>
                <w:lang w:val="en-US" w:eastAsia="zh-CN"/>
              </w:rPr>
              <w:t>业绩</w:t>
            </w:r>
          </w:p>
          <w:p w14:paraId="50B4E257">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auto"/>
                <w:sz w:val="28"/>
                <w:szCs w:val="28"/>
              </w:rPr>
            </w:pPr>
          </w:p>
        </w:tc>
        <w:tc>
          <w:tcPr>
            <w:tcW w:w="6648" w:type="dxa"/>
            <w:tcBorders>
              <w:top w:val="single" w:color="auto" w:sz="4" w:space="0"/>
              <w:left w:val="single" w:color="auto" w:sz="4" w:space="0"/>
            </w:tcBorders>
            <w:vAlign w:val="center"/>
          </w:tcPr>
          <w:p w14:paraId="74C79473">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项目负责人供应商近五年（</w:t>
            </w:r>
            <w:r>
              <w:rPr>
                <w:rFonts w:hint="eastAsia" w:asciiTheme="minorEastAsia" w:hAnsiTheme="minorEastAsia" w:eastAsiaTheme="minorEastAsia" w:cstheme="minorEastAsia"/>
                <w:color w:val="auto"/>
                <w:sz w:val="28"/>
                <w:szCs w:val="28"/>
                <w:lang w:eastAsia="zh-CN"/>
              </w:rPr>
              <w:t>2021年1月1日</w:t>
            </w:r>
            <w:r>
              <w:rPr>
                <w:rFonts w:hint="eastAsia" w:asciiTheme="minorEastAsia" w:hAnsiTheme="minorEastAsia" w:eastAsiaTheme="minorEastAsia" w:cstheme="minorEastAsia"/>
                <w:color w:val="auto"/>
                <w:sz w:val="28"/>
                <w:szCs w:val="28"/>
              </w:rPr>
              <w:t>至今）已完成对应技术相关业绩。一项计</w:t>
            </w:r>
            <w:r>
              <w:rPr>
                <w:rFonts w:hint="eastAsia" w:asciiTheme="minorEastAsia" w:hAnsiTheme="minorEastAsia" w:eastAsiaTheme="minorEastAsia" w:cstheme="minorEastAsia"/>
                <w:color w:val="auto"/>
                <w:sz w:val="28"/>
                <w:szCs w:val="28"/>
                <w:lang w:val="en-US" w:eastAsia="zh-CN"/>
              </w:rPr>
              <w:t>2.5</w:t>
            </w:r>
            <w:r>
              <w:rPr>
                <w:rFonts w:hint="eastAsia" w:asciiTheme="minorEastAsia" w:hAnsiTheme="minorEastAsia" w:eastAsiaTheme="minorEastAsia" w:cstheme="minorEastAsia"/>
                <w:color w:val="auto"/>
                <w:sz w:val="28"/>
                <w:szCs w:val="28"/>
              </w:rPr>
              <w:t>分；不提供不得分。</w:t>
            </w:r>
          </w:p>
          <w:p w14:paraId="00A918B2">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（须提供中标通知书或项目合同）</w:t>
            </w:r>
          </w:p>
        </w:tc>
        <w:tc>
          <w:tcPr>
            <w:tcW w:w="763" w:type="dxa"/>
            <w:tcBorders>
              <w:top w:val="single" w:color="auto" w:sz="4" w:space="0"/>
              <w:right w:val="single" w:color="auto" w:sz="4" w:space="0"/>
            </w:tcBorders>
            <w:vAlign w:val="center"/>
          </w:tcPr>
          <w:p w14:paraId="4CFA5D1C">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5</w:t>
            </w:r>
          </w:p>
        </w:tc>
      </w:tr>
      <w:tr w14:paraId="6E7D0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jc w:val="center"/>
        </w:trPr>
        <w:tc>
          <w:tcPr>
            <w:tcW w:w="647" w:type="dxa"/>
            <w:tcBorders>
              <w:top w:val="single" w:color="auto" w:sz="4" w:space="0"/>
              <w:left w:val="single" w:color="auto" w:sz="4" w:space="0"/>
              <w:bottom w:val="single" w:color="auto" w:sz="4" w:space="0"/>
            </w:tcBorders>
            <w:vAlign w:val="center"/>
          </w:tcPr>
          <w:p w14:paraId="31C7782D">
            <w:pPr>
              <w:keepNext w:val="0"/>
              <w:keepLines w:val="0"/>
              <w:pageBreakBefore w:val="0"/>
              <w:widowControl/>
              <w:kinsoku w:val="0"/>
              <w:wordWrap/>
              <w:overflowPunct/>
              <w:topLinePunct w:val="0"/>
              <w:autoSpaceDE w:val="0"/>
              <w:autoSpaceDN w:val="0"/>
              <w:bidi w:val="0"/>
              <w:adjustRightInd w:val="0"/>
              <w:snapToGrid w:val="0"/>
              <w:ind w:firstLine="282" w:firstLineChars="100"/>
              <w:jc w:val="both"/>
              <w:textAlignment w:val="baseline"/>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w:t>
            </w:r>
          </w:p>
        </w:tc>
        <w:tc>
          <w:tcPr>
            <w:tcW w:w="1402" w:type="dxa"/>
            <w:tcBorders>
              <w:top w:val="single" w:color="auto" w:sz="4" w:space="0"/>
              <w:bottom w:val="single" w:color="auto" w:sz="4" w:space="0"/>
            </w:tcBorders>
            <w:vAlign w:val="center"/>
          </w:tcPr>
          <w:p w14:paraId="1C3E094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拟派</w:t>
            </w:r>
            <w:r>
              <w:rPr>
                <w:rFonts w:hint="eastAsia" w:asciiTheme="minorEastAsia" w:hAnsiTheme="minorEastAsia" w:eastAsiaTheme="minorEastAsia" w:cstheme="minorEastAsia"/>
                <w:color w:val="auto"/>
                <w:sz w:val="28"/>
                <w:szCs w:val="28"/>
                <w:lang w:eastAsia="zh-CN"/>
              </w:rPr>
              <w:t>其他</w:t>
            </w:r>
            <w:r>
              <w:rPr>
                <w:rFonts w:hint="eastAsia" w:asciiTheme="minorEastAsia" w:hAnsiTheme="minorEastAsia" w:eastAsiaTheme="minorEastAsia" w:cstheme="minorEastAsia"/>
                <w:color w:val="auto"/>
                <w:sz w:val="28"/>
                <w:szCs w:val="28"/>
              </w:rPr>
              <w:t>专职技术人员配备</w:t>
            </w:r>
          </w:p>
        </w:tc>
        <w:tc>
          <w:tcPr>
            <w:tcW w:w="6648" w:type="dxa"/>
            <w:tcBorders>
              <w:bottom w:val="single" w:color="auto" w:sz="4" w:space="0"/>
            </w:tcBorders>
            <w:vAlign w:val="center"/>
          </w:tcPr>
          <w:p w14:paraId="47E27A14">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拟派人员的简历和业绩；从事相关工作且具备高级职称人员，每个拟派1人得2分；具备中级职称人员，每个拟派1人得1分。（须附职称证书</w:t>
            </w:r>
            <w:r>
              <w:rPr>
                <w:rFonts w:hint="eastAsia" w:asciiTheme="minorEastAsia" w:hAnsiTheme="minorEastAsia" w:eastAsiaTheme="minorEastAsia" w:cstheme="minorEastAsia"/>
                <w:color w:val="auto"/>
                <w:sz w:val="28"/>
                <w:szCs w:val="28"/>
                <w:lang w:eastAsia="zh-CN"/>
              </w:rPr>
              <w:t>且持有有效矿业权评估师执业证书</w:t>
            </w:r>
            <w:r>
              <w:rPr>
                <w:rFonts w:hint="eastAsia" w:asciiTheme="minorEastAsia" w:hAnsiTheme="minorEastAsia" w:eastAsiaTheme="minorEastAsia" w:cstheme="minorEastAsia"/>
                <w:color w:val="auto"/>
                <w:sz w:val="28"/>
                <w:szCs w:val="28"/>
              </w:rPr>
              <w:t>）。</w:t>
            </w:r>
          </w:p>
        </w:tc>
        <w:tc>
          <w:tcPr>
            <w:tcW w:w="763" w:type="dxa"/>
            <w:tcBorders>
              <w:bottom w:val="single" w:color="auto" w:sz="4" w:space="0"/>
              <w:right w:val="single" w:color="auto" w:sz="4" w:space="0"/>
            </w:tcBorders>
            <w:vAlign w:val="center"/>
          </w:tcPr>
          <w:p w14:paraId="1C8DFD9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8</w:t>
            </w:r>
          </w:p>
        </w:tc>
      </w:tr>
    </w:tbl>
    <w:p w14:paraId="33DF6870">
      <w:pPr>
        <w:bidi w:val="0"/>
        <w:rPr>
          <w:rFonts w:hint="eastAsia" w:asciiTheme="minorEastAsia" w:hAnsiTheme="minorEastAsia" w:eastAsiaTheme="minorEastAsia" w:cstheme="minorEastAsia"/>
          <w:color w:val="auto"/>
          <w:sz w:val="24"/>
          <w:szCs w:val="24"/>
        </w:rPr>
      </w:pPr>
    </w:p>
    <w:p w14:paraId="44358DA7">
      <w:pPr>
        <w:bidi w:val="0"/>
        <w:rPr>
          <w:rFonts w:hint="eastAsia" w:asciiTheme="minorEastAsia" w:hAnsiTheme="minorEastAsia" w:eastAsiaTheme="minorEastAsia" w:cstheme="minorEastAsia"/>
          <w:color w:val="auto"/>
          <w:sz w:val="24"/>
          <w:szCs w:val="24"/>
        </w:rPr>
      </w:pPr>
    </w:p>
    <w:p w14:paraId="33C9D2B3">
      <w:pPr>
        <w:bidi w:val="0"/>
        <w:rPr>
          <w:rFonts w:hint="eastAsia" w:asciiTheme="minorEastAsia" w:hAnsiTheme="minorEastAsia" w:eastAsiaTheme="minorEastAsia" w:cstheme="minorEastAsia"/>
          <w:color w:val="auto"/>
          <w:sz w:val="24"/>
          <w:szCs w:val="24"/>
        </w:rPr>
      </w:pPr>
    </w:p>
    <w:p w14:paraId="2B3B2DFA">
      <w:pPr>
        <w:bidi w:val="0"/>
        <w:rPr>
          <w:rFonts w:hint="eastAsia" w:asciiTheme="minorEastAsia" w:hAnsiTheme="minorEastAsia" w:eastAsiaTheme="minorEastAsia" w:cstheme="minorEastAsia"/>
          <w:color w:val="auto"/>
          <w:sz w:val="24"/>
          <w:szCs w:val="24"/>
        </w:rPr>
      </w:pPr>
    </w:p>
    <w:p w14:paraId="5B05D950">
      <w:pPr>
        <w:bidi w:val="0"/>
        <w:rPr>
          <w:rFonts w:hint="eastAsia" w:asciiTheme="minorEastAsia" w:hAnsiTheme="minorEastAsia" w:eastAsiaTheme="minorEastAsia" w:cstheme="minorEastAsia"/>
          <w:color w:val="auto"/>
          <w:sz w:val="24"/>
          <w:szCs w:val="24"/>
        </w:rPr>
      </w:pPr>
    </w:p>
    <w:p w14:paraId="2C1C00E6">
      <w:pPr>
        <w:bidi w:val="0"/>
        <w:rPr>
          <w:rFonts w:hint="eastAsia" w:asciiTheme="minorEastAsia" w:hAnsiTheme="minorEastAsia" w:eastAsiaTheme="minorEastAsia" w:cstheme="minorEastAsia"/>
          <w:color w:val="auto"/>
          <w:sz w:val="24"/>
          <w:szCs w:val="24"/>
        </w:rPr>
      </w:pPr>
    </w:p>
    <w:p w14:paraId="7FD324D9">
      <w:pPr>
        <w:bidi w:val="0"/>
        <w:rPr>
          <w:rFonts w:hint="eastAsia" w:asciiTheme="minorEastAsia" w:hAnsiTheme="minorEastAsia" w:eastAsiaTheme="minorEastAsia" w:cstheme="minorEastAsia"/>
          <w:color w:val="auto"/>
          <w:sz w:val="24"/>
          <w:szCs w:val="24"/>
        </w:rPr>
      </w:pPr>
    </w:p>
    <w:tbl>
      <w:tblPr>
        <w:tblStyle w:val="45"/>
        <w:tblW w:w="94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7"/>
        <w:gridCol w:w="1361"/>
        <w:gridCol w:w="6759"/>
        <w:gridCol w:w="650"/>
      </w:tblGrid>
      <w:tr w14:paraId="07B6C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9437" w:type="dxa"/>
            <w:gridSpan w:val="4"/>
            <w:vAlign w:val="center"/>
          </w:tcPr>
          <w:p w14:paraId="674C6970">
            <w:pPr>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技术评审</w:t>
            </w:r>
          </w:p>
        </w:tc>
      </w:tr>
      <w:tr w14:paraId="025F2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667" w:type="dxa"/>
            <w:tcBorders>
              <w:bottom w:val="single" w:color="auto" w:sz="4" w:space="0"/>
            </w:tcBorders>
            <w:vAlign w:val="center"/>
          </w:tcPr>
          <w:p w14:paraId="54BEC082">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361" w:type="dxa"/>
            <w:tcBorders>
              <w:bottom w:val="single" w:color="auto" w:sz="4" w:space="0"/>
            </w:tcBorders>
            <w:vAlign w:val="center"/>
          </w:tcPr>
          <w:p w14:paraId="1489C40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评分项目</w:t>
            </w:r>
          </w:p>
        </w:tc>
        <w:tc>
          <w:tcPr>
            <w:tcW w:w="6759" w:type="dxa"/>
            <w:vAlign w:val="center"/>
          </w:tcPr>
          <w:p w14:paraId="4B3FA19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评分因素</w:t>
            </w:r>
          </w:p>
        </w:tc>
        <w:tc>
          <w:tcPr>
            <w:tcW w:w="650" w:type="dxa"/>
            <w:vAlign w:val="center"/>
          </w:tcPr>
          <w:p w14:paraId="4D3A823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分值</w:t>
            </w:r>
          </w:p>
        </w:tc>
      </w:tr>
      <w:tr w14:paraId="72A57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667" w:type="dxa"/>
            <w:vMerge w:val="restart"/>
            <w:tcBorders>
              <w:top w:val="single" w:color="auto" w:sz="4" w:space="0"/>
              <w:left w:val="single" w:color="auto" w:sz="4" w:space="0"/>
              <w:bottom w:val="single" w:color="auto" w:sz="4" w:space="0"/>
            </w:tcBorders>
            <w:vAlign w:val="center"/>
          </w:tcPr>
          <w:p w14:paraId="18A1333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w:t>
            </w:r>
          </w:p>
        </w:tc>
        <w:tc>
          <w:tcPr>
            <w:tcW w:w="1361" w:type="dxa"/>
            <w:vMerge w:val="restart"/>
            <w:tcBorders>
              <w:top w:val="single" w:color="auto" w:sz="4" w:space="0"/>
              <w:bottom w:val="single" w:color="auto" w:sz="4" w:space="0"/>
              <w:right w:val="single" w:color="auto" w:sz="4" w:space="0"/>
            </w:tcBorders>
            <w:vAlign w:val="center"/>
          </w:tcPr>
          <w:p w14:paraId="5869706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项目实施</w:t>
            </w:r>
          </w:p>
          <w:p w14:paraId="3B694454">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方案</w:t>
            </w:r>
          </w:p>
        </w:tc>
        <w:tc>
          <w:tcPr>
            <w:tcW w:w="6759" w:type="dxa"/>
            <w:tcBorders>
              <w:left w:val="single" w:color="auto" w:sz="4" w:space="0"/>
            </w:tcBorders>
            <w:vAlign w:val="center"/>
          </w:tcPr>
          <w:p w14:paraId="6A60EBA6">
            <w:pPr>
              <w:bidi w:val="0"/>
              <w:ind w:firstLine="242"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1.投标人对本项目实施工作范围清晰，任务目标明确的得</w:t>
            </w: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分；</w:t>
            </w:r>
          </w:p>
          <w:p w14:paraId="3220F82E">
            <w:pPr>
              <w:bidi w:val="0"/>
              <w:ind w:firstLine="242"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2.对项目实施工作范围较为清晰，任务目标相对明确的得</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分；</w:t>
            </w:r>
          </w:p>
          <w:p w14:paraId="68D8EE39">
            <w:pPr>
              <w:bidi w:val="0"/>
              <w:ind w:firstLine="242"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3.对项目实施工作范围不清楚，任务目标不明确的得</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w:t>
            </w:r>
          </w:p>
          <w:p w14:paraId="4EC7CEBA">
            <w:pPr>
              <w:bidi w:val="0"/>
              <w:ind w:firstLine="242"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不提供不得分。</w:t>
            </w:r>
          </w:p>
        </w:tc>
        <w:tc>
          <w:tcPr>
            <w:tcW w:w="650" w:type="dxa"/>
            <w:vAlign w:val="center"/>
          </w:tcPr>
          <w:p w14:paraId="510C1E9F">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r>
      <w:tr w14:paraId="50286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jc w:val="center"/>
        </w:trPr>
        <w:tc>
          <w:tcPr>
            <w:tcW w:w="667" w:type="dxa"/>
            <w:vMerge w:val="continue"/>
            <w:tcBorders>
              <w:top w:val="single" w:color="auto" w:sz="4" w:space="0"/>
              <w:left w:val="single" w:color="auto" w:sz="4" w:space="0"/>
              <w:bottom w:val="single" w:color="auto" w:sz="4" w:space="0"/>
            </w:tcBorders>
            <w:vAlign w:val="center"/>
          </w:tcPr>
          <w:p w14:paraId="69EF357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4"/>
                <w:szCs w:val="24"/>
              </w:rPr>
            </w:pPr>
          </w:p>
        </w:tc>
        <w:tc>
          <w:tcPr>
            <w:tcW w:w="1361" w:type="dxa"/>
            <w:vMerge w:val="continue"/>
            <w:tcBorders>
              <w:top w:val="single" w:color="auto" w:sz="4" w:space="0"/>
              <w:bottom w:val="single" w:color="auto" w:sz="4" w:space="0"/>
              <w:right w:val="single" w:color="auto" w:sz="4" w:space="0"/>
            </w:tcBorders>
            <w:vAlign w:val="center"/>
          </w:tcPr>
          <w:p w14:paraId="09DB12B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4"/>
                <w:szCs w:val="24"/>
              </w:rPr>
            </w:pPr>
          </w:p>
        </w:tc>
        <w:tc>
          <w:tcPr>
            <w:tcW w:w="6759" w:type="dxa"/>
            <w:tcBorders>
              <w:left w:val="single" w:color="auto" w:sz="4" w:space="0"/>
            </w:tcBorders>
            <w:vAlign w:val="center"/>
          </w:tcPr>
          <w:p w14:paraId="2D66FFB6">
            <w:pPr>
              <w:bidi w:val="0"/>
              <w:ind w:firstLine="242"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1.投标人的实施方案科学合理，工作流程清晰，时间及人员安排满足总体计划要求、可行性高得</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分；</w:t>
            </w:r>
          </w:p>
          <w:p w14:paraId="13734390">
            <w:pPr>
              <w:bidi w:val="0"/>
              <w:ind w:firstLine="242"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2.投标人的实施方案较为科学合理，工作流程较清晰，可行性较好得</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分；</w:t>
            </w:r>
          </w:p>
          <w:p w14:paraId="2FB3D695">
            <w:pPr>
              <w:bidi w:val="0"/>
              <w:ind w:firstLine="242"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3.投标人的实施方案不全面，工作流程不清晰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可行性一般得</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分。</w:t>
            </w:r>
          </w:p>
          <w:p w14:paraId="5EBC2156">
            <w:pPr>
              <w:bidi w:val="0"/>
              <w:ind w:firstLine="242"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不提供不得分。</w:t>
            </w:r>
          </w:p>
        </w:tc>
        <w:tc>
          <w:tcPr>
            <w:tcW w:w="650" w:type="dxa"/>
            <w:vAlign w:val="center"/>
          </w:tcPr>
          <w:p w14:paraId="3F6E332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4"/>
                <w:szCs w:val="24"/>
              </w:rPr>
            </w:pPr>
          </w:p>
          <w:p w14:paraId="1394531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r>
      <w:tr w14:paraId="72D12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jc w:val="center"/>
        </w:trPr>
        <w:tc>
          <w:tcPr>
            <w:tcW w:w="667" w:type="dxa"/>
            <w:vMerge w:val="continue"/>
            <w:tcBorders>
              <w:top w:val="single" w:color="auto" w:sz="4" w:space="0"/>
              <w:left w:val="single" w:color="auto" w:sz="4" w:space="0"/>
              <w:bottom w:val="single" w:color="auto" w:sz="4" w:space="0"/>
            </w:tcBorders>
            <w:vAlign w:val="center"/>
          </w:tcPr>
          <w:p w14:paraId="02442179">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4"/>
                <w:szCs w:val="24"/>
              </w:rPr>
            </w:pPr>
          </w:p>
        </w:tc>
        <w:tc>
          <w:tcPr>
            <w:tcW w:w="1361" w:type="dxa"/>
            <w:vMerge w:val="continue"/>
            <w:tcBorders>
              <w:top w:val="single" w:color="auto" w:sz="4" w:space="0"/>
              <w:bottom w:val="single" w:color="auto" w:sz="4" w:space="0"/>
              <w:right w:val="single" w:color="auto" w:sz="4" w:space="0"/>
            </w:tcBorders>
            <w:vAlign w:val="center"/>
          </w:tcPr>
          <w:p w14:paraId="5BEF0854">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4"/>
                <w:szCs w:val="24"/>
              </w:rPr>
            </w:pPr>
          </w:p>
        </w:tc>
        <w:tc>
          <w:tcPr>
            <w:tcW w:w="6759" w:type="dxa"/>
            <w:tcBorders>
              <w:left w:val="single" w:color="auto" w:sz="4" w:space="0"/>
            </w:tcBorders>
            <w:vAlign w:val="center"/>
          </w:tcPr>
          <w:p w14:paraId="06C89C29">
            <w:pPr>
              <w:bidi w:val="0"/>
              <w:ind w:firstLine="242"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1.项目实施进度计划安排全面、合理，项目组织实施体系详尽，切实可行的得</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分。</w:t>
            </w:r>
          </w:p>
          <w:p w14:paraId="56899A92">
            <w:pPr>
              <w:bidi w:val="0"/>
              <w:ind w:firstLine="242"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2.项目实施进度计划安排较为全面</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合理，项目组织实施体系相对详尽的得</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分。</w:t>
            </w:r>
          </w:p>
          <w:p w14:paraId="42E7310D">
            <w:pPr>
              <w:bidi w:val="0"/>
              <w:ind w:firstLine="242"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3.项目实施进度计划安排不全面、不合理得</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分。</w:t>
            </w:r>
          </w:p>
          <w:p w14:paraId="3D5849F0">
            <w:pPr>
              <w:bidi w:val="0"/>
              <w:ind w:firstLine="242"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不提供不得分</w:t>
            </w:r>
          </w:p>
        </w:tc>
        <w:tc>
          <w:tcPr>
            <w:tcW w:w="650" w:type="dxa"/>
            <w:vAlign w:val="center"/>
          </w:tcPr>
          <w:p w14:paraId="05510EB4">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0</w:t>
            </w:r>
          </w:p>
        </w:tc>
      </w:tr>
      <w:tr w14:paraId="39522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jc w:val="center"/>
        </w:trPr>
        <w:tc>
          <w:tcPr>
            <w:tcW w:w="667" w:type="dxa"/>
            <w:vMerge w:val="continue"/>
            <w:tcBorders>
              <w:top w:val="single" w:color="auto" w:sz="4" w:space="0"/>
              <w:left w:val="single" w:color="auto" w:sz="4" w:space="0"/>
              <w:bottom w:val="single" w:color="auto" w:sz="4" w:space="0"/>
            </w:tcBorders>
            <w:vAlign w:val="center"/>
          </w:tcPr>
          <w:p w14:paraId="137CBAA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4"/>
                <w:szCs w:val="24"/>
              </w:rPr>
            </w:pPr>
          </w:p>
        </w:tc>
        <w:tc>
          <w:tcPr>
            <w:tcW w:w="1361" w:type="dxa"/>
            <w:vMerge w:val="continue"/>
            <w:tcBorders>
              <w:top w:val="single" w:color="auto" w:sz="4" w:space="0"/>
              <w:bottom w:val="single" w:color="auto" w:sz="4" w:space="0"/>
              <w:right w:val="single" w:color="auto" w:sz="4" w:space="0"/>
            </w:tcBorders>
            <w:vAlign w:val="center"/>
          </w:tcPr>
          <w:p w14:paraId="5D83A6F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4"/>
                <w:szCs w:val="24"/>
              </w:rPr>
            </w:pPr>
          </w:p>
        </w:tc>
        <w:tc>
          <w:tcPr>
            <w:tcW w:w="6759" w:type="dxa"/>
            <w:tcBorders>
              <w:left w:val="single" w:color="auto" w:sz="4" w:space="0"/>
            </w:tcBorders>
            <w:vAlign w:val="center"/>
          </w:tcPr>
          <w:p w14:paraId="37B6B646">
            <w:pPr>
              <w:bidi w:val="0"/>
              <w:ind w:firstLine="242"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1.对投标项目的保证措施齐全，如质量保证措施、安全保证措施、保密措施完备性较好的得10分。</w:t>
            </w:r>
          </w:p>
          <w:p w14:paraId="2D207F3E">
            <w:pPr>
              <w:bidi w:val="0"/>
              <w:ind w:firstLine="242"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2.对投标项目的保证措施齐全，如质量保证措施、安全保证措施、保密措施，完备性一般6分。</w:t>
            </w:r>
          </w:p>
          <w:p w14:paraId="3F00278C">
            <w:pPr>
              <w:bidi w:val="0"/>
              <w:ind w:firstLine="242"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3.对投标项目的保证措施齐全，如质量保证措施、安全保证措施、保密措施，完备性较差3分。</w:t>
            </w:r>
          </w:p>
          <w:p w14:paraId="450E335D">
            <w:pPr>
              <w:bidi w:val="0"/>
              <w:ind w:firstLine="242"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不提供不得分。</w:t>
            </w:r>
          </w:p>
        </w:tc>
        <w:tc>
          <w:tcPr>
            <w:tcW w:w="650" w:type="dxa"/>
            <w:vAlign w:val="center"/>
          </w:tcPr>
          <w:p w14:paraId="6B85D3B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r>
      <w:tr w14:paraId="374B8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jc w:val="center"/>
        </w:trPr>
        <w:tc>
          <w:tcPr>
            <w:tcW w:w="667" w:type="dxa"/>
            <w:vMerge w:val="continue"/>
            <w:tcBorders>
              <w:top w:val="single" w:color="auto" w:sz="4" w:space="0"/>
              <w:left w:val="single" w:color="auto" w:sz="4" w:space="0"/>
              <w:bottom w:val="single" w:color="auto" w:sz="4" w:space="0"/>
            </w:tcBorders>
            <w:vAlign w:val="center"/>
          </w:tcPr>
          <w:p w14:paraId="59533213">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4"/>
                <w:szCs w:val="24"/>
              </w:rPr>
            </w:pPr>
          </w:p>
        </w:tc>
        <w:tc>
          <w:tcPr>
            <w:tcW w:w="1361" w:type="dxa"/>
            <w:vMerge w:val="continue"/>
            <w:tcBorders>
              <w:top w:val="single" w:color="auto" w:sz="4" w:space="0"/>
              <w:bottom w:val="single" w:color="auto" w:sz="4" w:space="0"/>
              <w:right w:val="single" w:color="auto" w:sz="4" w:space="0"/>
            </w:tcBorders>
            <w:vAlign w:val="center"/>
          </w:tcPr>
          <w:p w14:paraId="4D4BA24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4"/>
                <w:szCs w:val="24"/>
              </w:rPr>
            </w:pPr>
          </w:p>
        </w:tc>
        <w:tc>
          <w:tcPr>
            <w:tcW w:w="6759" w:type="dxa"/>
            <w:tcBorders>
              <w:left w:val="single" w:color="auto" w:sz="4" w:space="0"/>
            </w:tcBorders>
            <w:vAlign w:val="center"/>
          </w:tcPr>
          <w:p w14:paraId="28B675A1">
            <w:pPr>
              <w:bidi w:val="0"/>
              <w:ind w:firstLine="242"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1.投标人对项目的售后服务方案</w:t>
            </w:r>
            <w:r>
              <w:rPr>
                <w:rFonts w:hint="eastAsia" w:asciiTheme="minorEastAsia" w:hAnsiTheme="minorEastAsia" w:eastAsiaTheme="minorEastAsia" w:cstheme="minorEastAsia"/>
                <w:color w:val="auto"/>
                <w:sz w:val="24"/>
                <w:szCs w:val="24"/>
                <w:lang w:val="en-US" w:eastAsia="zh-CN"/>
              </w:rPr>
              <w:t>措施</w:t>
            </w:r>
            <w:r>
              <w:rPr>
                <w:rFonts w:hint="eastAsia" w:asciiTheme="minorEastAsia" w:hAnsiTheme="minorEastAsia" w:eastAsiaTheme="minorEastAsia" w:cstheme="minorEastAsia"/>
                <w:color w:val="auto"/>
                <w:sz w:val="24"/>
                <w:szCs w:val="24"/>
              </w:rPr>
              <w:t>可行性高、满足售后要求的，得10分；</w:t>
            </w:r>
          </w:p>
          <w:p w14:paraId="749BD76B">
            <w:pPr>
              <w:bidi w:val="0"/>
              <w:ind w:firstLine="242"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2.投标人对项目的售后服务方案措施基本可行、基本满足售后要求的</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得6分；</w:t>
            </w:r>
          </w:p>
          <w:p w14:paraId="2B98AE16">
            <w:pPr>
              <w:bidi w:val="0"/>
              <w:ind w:firstLine="242"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3.投标人对项目的售后服务方案措施不可行、不能满足售后要求的</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得3分；</w:t>
            </w:r>
          </w:p>
          <w:p w14:paraId="728AA2B4">
            <w:pPr>
              <w:bidi w:val="0"/>
              <w:ind w:firstLine="242"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不提供不得分</w:t>
            </w:r>
          </w:p>
        </w:tc>
        <w:tc>
          <w:tcPr>
            <w:tcW w:w="650" w:type="dxa"/>
            <w:vAlign w:val="center"/>
          </w:tcPr>
          <w:p w14:paraId="167034D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r>
      <w:tr w14:paraId="5BC59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67" w:type="dxa"/>
            <w:tcBorders>
              <w:top w:val="single" w:color="auto" w:sz="4" w:space="0"/>
              <w:left w:val="single" w:color="auto" w:sz="4" w:space="0"/>
              <w:bottom w:val="single" w:color="auto" w:sz="4" w:space="0"/>
            </w:tcBorders>
            <w:shd w:val="clear" w:color="auto" w:fill="auto"/>
            <w:vAlign w:val="center"/>
          </w:tcPr>
          <w:p w14:paraId="781FBEA9">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4"/>
                <w:szCs w:val="24"/>
              </w:rPr>
            </w:pPr>
          </w:p>
          <w:p w14:paraId="5EF3280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4"/>
                <w:szCs w:val="24"/>
              </w:rPr>
            </w:pPr>
          </w:p>
          <w:p w14:paraId="740CE39F">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4"/>
                <w:szCs w:val="24"/>
                <w:lang w:val="en-US" w:eastAsia="en-US"/>
              </w:rPr>
            </w:pPr>
            <w:r>
              <w:rPr>
                <w:rFonts w:hint="eastAsia" w:asciiTheme="minorEastAsia" w:hAnsiTheme="minorEastAsia" w:eastAsiaTheme="minorEastAsia" w:cstheme="minorEastAsia"/>
                <w:color w:val="auto"/>
                <w:sz w:val="24"/>
                <w:szCs w:val="24"/>
              </w:rPr>
              <w:t>2</w:t>
            </w:r>
          </w:p>
        </w:tc>
        <w:tc>
          <w:tcPr>
            <w:tcW w:w="1361" w:type="dxa"/>
            <w:tcBorders>
              <w:top w:val="single" w:color="auto" w:sz="4" w:space="0"/>
              <w:bottom w:val="single" w:color="auto" w:sz="4" w:space="0"/>
              <w:right w:val="single" w:color="auto" w:sz="4" w:space="0"/>
            </w:tcBorders>
            <w:shd w:val="clear" w:color="auto" w:fill="auto"/>
            <w:vAlign w:val="center"/>
          </w:tcPr>
          <w:p w14:paraId="435222C3">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项目</w:t>
            </w:r>
            <w:r>
              <w:rPr>
                <w:rFonts w:hint="eastAsia" w:asciiTheme="minorEastAsia" w:hAnsiTheme="minorEastAsia" w:eastAsiaTheme="minorEastAsia" w:cstheme="minorEastAsia"/>
                <w:b/>
                <w:bCs/>
                <w:color w:val="auto"/>
                <w:sz w:val="24"/>
                <w:szCs w:val="24"/>
              </w:rPr>
              <w:t>档案</w:t>
            </w:r>
          </w:p>
          <w:p w14:paraId="5733B750">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color w:val="auto"/>
                <w:sz w:val="24"/>
                <w:szCs w:val="24"/>
                <w:lang w:val="en-US" w:eastAsia="en-US"/>
              </w:rPr>
            </w:pPr>
            <w:r>
              <w:rPr>
                <w:rFonts w:hint="eastAsia" w:asciiTheme="minorEastAsia" w:hAnsiTheme="minorEastAsia" w:eastAsiaTheme="minorEastAsia" w:cstheme="minorEastAsia"/>
                <w:b/>
                <w:bCs/>
                <w:color w:val="auto"/>
                <w:sz w:val="24"/>
                <w:szCs w:val="24"/>
              </w:rPr>
              <w:t>管理方案</w:t>
            </w:r>
          </w:p>
        </w:tc>
        <w:tc>
          <w:tcPr>
            <w:tcW w:w="6759" w:type="dxa"/>
            <w:tcBorders>
              <w:left w:val="single" w:color="auto" w:sz="4" w:space="0"/>
            </w:tcBorders>
            <w:shd w:val="clear" w:color="auto" w:fill="auto"/>
            <w:vAlign w:val="center"/>
          </w:tcPr>
          <w:p w14:paraId="3E7EB875">
            <w:pPr>
              <w:keepNext w:val="0"/>
              <w:keepLines w:val="0"/>
              <w:pageBreakBefore w:val="0"/>
              <w:widowControl/>
              <w:kinsoku w:val="0"/>
              <w:wordWrap/>
              <w:overflowPunct/>
              <w:topLinePunct w:val="0"/>
              <w:autoSpaceDE w:val="0"/>
              <w:autoSpaceDN w:val="0"/>
              <w:bidi w:val="0"/>
              <w:adjustRightInd w:val="0"/>
              <w:snapToGrid w:val="0"/>
              <w:spacing w:line="320" w:lineRule="exact"/>
              <w:ind w:firstLine="242" w:firstLineChars="100"/>
              <w:jc w:val="both"/>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有完善的项目档案管理方案，项目工作完成后资料归档计划，明确归档方式，递交档案时间及档案保存等相关内容，要求档案完整、内容清晰</w:t>
            </w:r>
            <w:r>
              <w:rPr>
                <w:rFonts w:hint="eastAsia" w:asciiTheme="minorEastAsia" w:hAnsiTheme="minorEastAsia" w:eastAsiaTheme="minorEastAsia" w:cstheme="minorEastAsia"/>
                <w:color w:val="auto"/>
                <w:sz w:val="24"/>
                <w:szCs w:val="24"/>
                <w:lang w:eastAsia="zh-CN"/>
              </w:rPr>
              <w:t>。</w:t>
            </w:r>
          </w:p>
        </w:tc>
        <w:tc>
          <w:tcPr>
            <w:tcW w:w="650" w:type="dxa"/>
            <w:vAlign w:val="center"/>
          </w:tcPr>
          <w:p w14:paraId="200070A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r>
      <w:tr w14:paraId="09ECC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jc w:val="center"/>
        </w:trPr>
        <w:tc>
          <w:tcPr>
            <w:tcW w:w="667" w:type="dxa"/>
            <w:tcBorders>
              <w:top w:val="single" w:color="auto" w:sz="4" w:space="0"/>
              <w:left w:val="single" w:color="auto" w:sz="4" w:space="0"/>
              <w:bottom w:val="single" w:color="auto" w:sz="4" w:space="0"/>
            </w:tcBorders>
            <w:shd w:val="clear" w:color="auto" w:fill="auto"/>
            <w:vAlign w:val="center"/>
          </w:tcPr>
          <w:p w14:paraId="0862E13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4"/>
                <w:szCs w:val="24"/>
                <w:lang w:val="en-US" w:eastAsia="en-US"/>
              </w:rPr>
            </w:pPr>
            <w:r>
              <w:rPr>
                <w:rFonts w:hint="eastAsia" w:asciiTheme="minorEastAsia" w:hAnsiTheme="minorEastAsia" w:eastAsiaTheme="minorEastAsia" w:cstheme="minorEastAsia"/>
                <w:color w:val="auto"/>
                <w:sz w:val="24"/>
                <w:szCs w:val="24"/>
              </w:rPr>
              <w:t>3</w:t>
            </w:r>
          </w:p>
        </w:tc>
        <w:tc>
          <w:tcPr>
            <w:tcW w:w="1361" w:type="dxa"/>
            <w:tcBorders>
              <w:top w:val="single" w:color="auto" w:sz="4" w:space="0"/>
              <w:bottom w:val="single" w:color="auto" w:sz="4" w:space="0"/>
              <w:right w:val="single" w:color="auto" w:sz="4" w:space="0"/>
            </w:tcBorders>
            <w:shd w:val="clear" w:color="auto" w:fill="auto"/>
            <w:vAlign w:val="center"/>
          </w:tcPr>
          <w:p w14:paraId="59FEC2A9">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rPr>
              <w:t>后续服务方案合理化建议、服务承诺和承接本项目的优势</w:t>
            </w:r>
          </w:p>
        </w:tc>
        <w:tc>
          <w:tcPr>
            <w:tcW w:w="6759" w:type="dxa"/>
            <w:tcBorders>
              <w:left w:val="single" w:color="auto" w:sz="4" w:space="0"/>
            </w:tcBorders>
            <w:shd w:val="clear" w:color="auto" w:fill="auto"/>
            <w:vAlign w:val="center"/>
          </w:tcPr>
          <w:p w14:paraId="77E76BE5">
            <w:pPr>
              <w:keepNext w:val="0"/>
              <w:keepLines w:val="0"/>
              <w:pageBreakBefore w:val="0"/>
              <w:widowControl/>
              <w:kinsoku w:val="0"/>
              <w:wordWrap/>
              <w:overflowPunct/>
              <w:topLinePunct w:val="0"/>
              <w:autoSpaceDE w:val="0"/>
              <w:autoSpaceDN w:val="0"/>
              <w:bidi w:val="0"/>
              <w:adjustRightInd w:val="0"/>
              <w:snapToGrid w:val="0"/>
              <w:spacing w:line="320" w:lineRule="exact"/>
              <w:ind w:firstLine="242" w:firstLineChars="100"/>
              <w:jc w:val="both"/>
              <w:textAlignment w:val="baseline"/>
              <w:rPr>
                <w:rFonts w:hint="eastAsia" w:asciiTheme="minorEastAsia" w:hAnsiTheme="minorEastAsia" w:eastAsiaTheme="minorEastAsia" w:cstheme="minorEastAsia"/>
                <w:color w:val="auto"/>
                <w:sz w:val="24"/>
                <w:szCs w:val="24"/>
                <w:lang w:val="en-US" w:eastAsia="en-US"/>
              </w:rPr>
            </w:pPr>
            <w:r>
              <w:rPr>
                <w:rFonts w:hint="eastAsia" w:asciiTheme="minorEastAsia" w:hAnsiTheme="minorEastAsia" w:eastAsiaTheme="minorEastAsia" w:cstheme="minorEastAsia"/>
                <w:color w:val="auto"/>
                <w:sz w:val="24"/>
                <w:szCs w:val="24"/>
              </w:rPr>
              <w:t>供应商提供的后续服务方案详细、完整、合理化建议合理可行、服务承诺详细、符合项目需求、承接本项目的优势突出得 5 分，评标小组根据各供应商提供的投标文件进行对比后综合评定每有一处缺陷或不足之处减 1 分，减完为止，缺项不得分。</w:t>
            </w:r>
          </w:p>
        </w:tc>
        <w:tc>
          <w:tcPr>
            <w:tcW w:w="650" w:type="dxa"/>
            <w:shd w:val="clear" w:color="auto" w:fill="auto"/>
            <w:vAlign w:val="center"/>
          </w:tcPr>
          <w:p w14:paraId="12583D0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4"/>
                <w:szCs w:val="24"/>
                <w:lang w:val="en-US" w:eastAsia="en-US"/>
              </w:rPr>
            </w:pPr>
            <w:r>
              <w:rPr>
                <w:rFonts w:hint="eastAsia" w:asciiTheme="minorEastAsia" w:hAnsiTheme="minorEastAsia" w:eastAsiaTheme="minorEastAsia" w:cstheme="minorEastAsia"/>
                <w:color w:val="auto"/>
                <w:sz w:val="24"/>
                <w:szCs w:val="24"/>
                <w:lang w:val="en-US" w:eastAsia="zh-CN"/>
              </w:rPr>
              <w:t>5</w:t>
            </w:r>
          </w:p>
        </w:tc>
      </w:tr>
      <w:tr w14:paraId="080D8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667" w:type="dxa"/>
            <w:tcBorders>
              <w:top w:val="single" w:color="auto" w:sz="4" w:space="0"/>
              <w:left w:val="single" w:color="auto" w:sz="4" w:space="0"/>
              <w:bottom w:val="single" w:color="auto" w:sz="4" w:space="0"/>
            </w:tcBorders>
            <w:shd w:val="clear" w:color="auto" w:fill="auto"/>
            <w:vAlign w:val="center"/>
          </w:tcPr>
          <w:p w14:paraId="6824489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4"/>
                <w:szCs w:val="24"/>
                <w:lang w:val="en-US" w:eastAsia="en-US"/>
              </w:rPr>
            </w:pPr>
            <w:r>
              <w:rPr>
                <w:rFonts w:hint="eastAsia" w:asciiTheme="minorEastAsia" w:hAnsiTheme="minorEastAsia" w:eastAsiaTheme="minorEastAsia" w:cstheme="minorEastAsia"/>
                <w:color w:val="auto"/>
                <w:sz w:val="24"/>
                <w:szCs w:val="24"/>
              </w:rPr>
              <w:t>4</w:t>
            </w:r>
          </w:p>
        </w:tc>
        <w:tc>
          <w:tcPr>
            <w:tcW w:w="1361" w:type="dxa"/>
            <w:tcBorders>
              <w:top w:val="single" w:color="auto" w:sz="4" w:space="0"/>
              <w:bottom w:val="single" w:color="auto" w:sz="4" w:space="0"/>
              <w:right w:val="single" w:color="auto" w:sz="4" w:space="0"/>
            </w:tcBorders>
            <w:shd w:val="clear" w:color="auto" w:fill="auto"/>
            <w:vAlign w:val="center"/>
          </w:tcPr>
          <w:p w14:paraId="5FC1775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rPr>
              <w:t>标函质量</w:t>
            </w:r>
          </w:p>
        </w:tc>
        <w:tc>
          <w:tcPr>
            <w:tcW w:w="6759" w:type="dxa"/>
            <w:tcBorders>
              <w:left w:val="single" w:color="auto" w:sz="4" w:space="0"/>
            </w:tcBorders>
            <w:shd w:val="clear" w:color="auto" w:fill="auto"/>
            <w:vAlign w:val="center"/>
          </w:tcPr>
          <w:p w14:paraId="687C8155">
            <w:pPr>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rPr>
                <w:rFonts w:hint="eastAsia" w:asciiTheme="minorEastAsia" w:hAnsiTheme="minorEastAsia" w:eastAsiaTheme="minorEastAsia" w:cstheme="minorEastAsia"/>
                <w:color w:val="auto"/>
                <w:sz w:val="24"/>
                <w:szCs w:val="24"/>
                <w:lang w:val="en-US" w:eastAsia="en-US"/>
              </w:rPr>
            </w:pPr>
            <w:r>
              <w:rPr>
                <w:rFonts w:hint="eastAsia" w:asciiTheme="minorEastAsia" w:hAnsiTheme="minorEastAsia" w:eastAsiaTheme="minorEastAsia" w:cstheme="minorEastAsia"/>
                <w:color w:val="auto"/>
                <w:sz w:val="24"/>
                <w:szCs w:val="24"/>
              </w:rPr>
              <w:t>标书编制整齐、严谨、清晰，排版无错漏。</w:t>
            </w:r>
          </w:p>
        </w:tc>
        <w:tc>
          <w:tcPr>
            <w:tcW w:w="650" w:type="dxa"/>
            <w:shd w:val="clear" w:color="auto" w:fill="auto"/>
            <w:vAlign w:val="center"/>
          </w:tcPr>
          <w:p w14:paraId="4DCDE85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r>
      <w:bookmarkEnd w:id="106"/>
      <w:bookmarkEnd w:id="107"/>
      <w:bookmarkEnd w:id="108"/>
    </w:tbl>
    <w:p w14:paraId="2BB971D8">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 xml:space="preserve"> 供应商在评标过程中，所进行的力图影响评标结果的不符合招标规则的活动，可能导致其被取消中标资格。</w:t>
      </w:r>
    </w:p>
    <w:p w14:paraId="666DD092">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 xml:space="preserve"> 与</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有重大偏离的</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将被拒绝。</w:t>
      </w:r>
    </w:p>
    <w:p w14:paraId="4981FACE">
      <w:p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w:t>
      </w:r>
      <w:r>
        <w:rPr>
          <w:rFonts w:hint="eastAsia" w:asciiTheme="minorEastAsia" w:hAnsiTheme="minorEastAsia" w:eastAsiaTheme="minorEastAsia" w:cstheme="minorEastAsia"/>
          <w:b/>
          <w:bCs/>
          <w:color w:val="auto"/>
          <w:sz w:val="24"/>
          <w:szCs w:val="24"/>
          <w:lang w:val="en-US" w:eastAsia="zh-CN"/>
        </w:rPr>
        <w:t>6</w:t>
      </w:r>
      <w:r>
        <w:rPr>
          <w:rFonts w:hint="eastAsia" w:asciiTheme="minorEastAsia" w:hAnsiTheme="minorEastAsia" w:eastAsiaTheme="minorEastAsia" w:cstheme="minorEastAsia"/>
          <w:b/>
          <w:bCs/>
          <w:color w:val="auto"/>
          <w:sz w:val="24"/>
          <w:szCs w:val="24"/>
        </w:rPr>
        <w:t xml:space="preserve"> 中标供应商的确认</w:t>
      </w:r>
    </w:p>
    <w:bookmarkEnd w:id="105"/>
    <w:p w14:paraId="19B9BAAC">
      <w:pPr>
        <w:bidi w:val="0"/>
        <w:spacing w:line="360" w:lineRule="auto"/>
        <w:ind w:firstLine="484" w:firstLineChars="200"/>
        <w:rPr>
          <w:rFonts w:hint="eastAsia" w:asciiTheme="minorEastAsia" w:hAnsiTheme="minorEastAsia" w:eastAsiaTheme="minorEastAsia" w:cstheme="minorEastAsia"/>
          <w:color w:val="auto"/>
          <w:sz w:val="24"/>
          <w:szCs w:val="24"/>
        </w:rPr>
      </w:pPr>
      <w:bookmarkStart w:id="109" w:name="_Toc9748"/>
      <w:bookmarkStart w:id="110" w:name="_Toc20139"/>
      <w:bookmarkStart w:id="111" w:name="_Toc18253"/>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 xml:space="preserve">.1 </w:t>
      </w:r>
      <w:r>
        <w:rPr>
          <w:rFonts w:hint="eastAsia" w:asciiTheme="minorEastAsia" w:hAnsiTheme="minorEastAsia" w:eastAsiaTheme="minorEastAsia" w:cstheme="minorEastAsia"/>
          <w:color w:val="auto"/>
          <w:sz w:val="24"/>
          <w:szCs w:val="24"/>
          <w:lang w:eastAsia="zh-CN"/>
        </w:rPr>
        <w:t>磋商小组</w:t>
      </w:r>
      <w:r>
        <w:rPr>
          <w:rFonts w:hint="eastAsia" w:asciiTheme="minorEastAsia" w:hAnsiTheme="minorEastAsia" w:eastAsiaTheme="minorEastAsia" w:cstheme="minorEastAsia"/>
          <w:color w:val="auto"/>
          <w:sz w:val="24"/>
          <w:szCs w:val="24"/>
        </w:rPr>
        <w:t>推荐得分最高的为第一中标候选人。采购人应当接受</w:t>
      </w:r>
      <w:r>
        <w:rPr>
          <w:rFonts w:hint="eastAsia" w:asciiTheme="minorEastAsia" w:hAnsiTheme="minorEastAsia" w:eastAsiaTheme="minorEastAsia" w:cstheme="minorEastAsia"/>
          <w:color w:val="auto"/>
          <w:sz w:val="24"/>
          <w:szCs w:val="24"/>
          <w:lang w:eastAsia="zh-CN"/>
        </w:rPr>
        <w:t>磋商小组</w:t>
      </w:r>
      <w:r>
        <w:rPr>
          <w:rFonts w:hint="eastAsia" w:asciiTheme="minorEastAsia" w:hAnsiTheme="minorEastAsia" w:eastAsiaTheme="minorEastAsia" w:cstheme="minorEastAsia"/>
          <w:color w:val="auto"/>
          <w:sz w:val="24"/>
          <w:szCs w:val="24"/>
        </w:rPr>
        <w:t>推荐的中标候选人，不得在</w:t>
      </w:r>
      <w:r>
        <w:rPr>
          <w:rFonts w:hint="eastAsia" w:asciiTheme="minorEastAsia" w:hAnsiTheme="minorEastAsia" w:eastAsiaTheme="minorEastAsia" w:cstheme="minorEastAsia"/>
          <w:color w:val="auto"/>
          <w:sz w:val="24"/>
          <w:szCs w:val="24"/>
          <w:lang w:eastAsia="zh-CN"/>
        </w:rPr>
        <w:t>磋商小组</w:t>
      </w:r>
      <w:r>
        <w:rPr>
          <w:rFonts w:hint="eastAsia" w:asciiTheme="minorEastAsia" w:hAnsiTheme="minorEastAsia" w:eastAsiaTheme="minorEastAsia" w:cstheme="minorEastAsia"/>
          <w:color w:val="auto"/>
          <w:sz w:val="24"/>
          <w:szCs w:val="24"/>
        </w:rPr>
        <w:t>推荐的中标候选人之外确定中标人。</w:t>
      </w:r>
      <w:r>
        <w:rPr>
          <w:rFonts w:hint="eastAsia" w:asciiTheme="minorEastAsia" w:hAnsiTheme="minorEastAsia" w:eastAsiaTheme="minorEastAsia" w:cstheme="minorEastAsia"/>
          <w:color w:val="auto"/>
          <w:sz w:val="24"/>
          <w:szCs w:val="24"/>
          <w:lang w:eastAsia="zh-CN"/>
        </w:rPr>
        <w:t>磋商小组</w:t>
      </w:r>
      <w:r>
        <w:rPr>
          <w:rFonts w:hint="eastAsia" w:asciiTheme="minorEastAsia" w:hAnsiTheme="minorEastAsia" w:eastAsiaTheme="minorEastAsia" w:cstheme="minorEastAsia"/>
          <w:color w:val="auto"/>
          <w:sz w:val="24"/>
          <w:szCs w:val="24"/>
        </w:rPr>
        <w:t>无义务向供应商进行任何有关评标的解释工作。</w:t>
      </w:r>
    </w:p>
    <w:p w14:paraId="0D47FB2D">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.2 采购人应当确定排名第一的中标候选人为中标供应商。排名第一的中标候选人放弃中标、因不可抗力提出不能履行合同，或者</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规定应当提交履约保证金而在规定的期限内未能提交的，采购人可以确定排名第二的中标候选人为中标供应商。</w:t>
      </w:r>
    </w:p>
    <w:p w14:paraId="6B34CAE1">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.3 在确定中标供应商前，采购人不得与投标供应商就投标价格、投标方案等实质性内容进行谈判。</w:t>
      </w:r>
    </w:p>
    <w:p w14:paraId="417CBB24">
      <w:p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w:t>
      </w:r>
      <w:r>
        <w:rPr>
          <w:rFonts w:hint="eastAsia" w:asciiTheme="minorEastAsia" w:hAnsiTheme="minorEastAsia" w:eastAsiaTheme="minorEastAsia" w:cstheme="minorEastAsia"/>
          <w:b/>
          <w:bCs/>
          <w:color w:val="auto"/>
          <w:sz w:val="24"/>
          <w:szCs w:val="24"/>
          <w:lang w:val="en-US" w:eastAsia="zh-CN"/>
        </w:rPr>
        <w:t>7</w:t>
      </w:r>
      <w:r>
        <w:rPr>
          <w:rFonts w:hint="eastAsia" w:asciiTheme="minorEastAsia" w:hAnsiTheme="minorEastAsia" w:eastAsiaTheme="minorEastAsia" w:cstheme="minorEastAsia"/>
          <w:b/>
          <w:bCs/>
          <w:color w:val="auto"/>
          <w:sz w:val="24"/>
          <w:szCs w:val="24"/>
        </w:rPr>
        <w:t xml:space="preserve"> 中标通知</w:t>
      </w:r>
    </w:p>
    <w:p w14:paraId="294A5841">
      <w:pPr>
        <w:bidi w:val="0"/>
        <w:spacing w:line="360" w:lineRule="auto"/>
        <w:ind w:firstLine="484" w:firstLineChars="200"/>
        <w:rPr>
          <w:rFonts w:hint="eastAsia" w:asciiTheme="minorEastAsia" w:hAnsiTheme="minorEastAsia" w:eastAsiaTheme="minorEastAsia" w:cstheme="minorEastAsia"/>
          <w:color w:val="auto"/>
          <w:sz w:val="24"/>
          <w:szCs w:val="24"/>
          <w:highlight w:val="none"/>
          <w:lang w:eastAsia="zh-CN"/>
        </w:rPr>
      </w:pPr>
      <w:bookmarkStart w:id="112" w:name="_Toc16205"/>
      <w:bookmarkStart w:id="113" w:name="_Toc13637"/>
      <w:bookmarkStart w:id="114" w:name="_Toc30172"/>
      <w:bookmarkStart w:id="115" w:name="_Toc3169"/>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 采购人或者采购代理机构应当自中标供应商确定之日起2个工作日内，发出中标通知书，并在省级以上人民政府财政部门指定的媒体上公告中标结果</w:t>
      </w:r>
      <w:r>
        <w:rPr>
          <w:rFonts w:hint="eastAsia" w:asciiTheme="minorEastAsia" w:hAnsiTheme="minorEastAsia" w:eastAsiaTheme="minorEastAsia" w:cstheme="minorEastAsia"/>
          <w:color w:val="auto"/>
          <w:sz w:val="24"/>
          <w:szCs w:val="24"/>
          <w:highlight w:val="none"/>
          <w:lang w:eastAsia="zh-CN"/>
        </w:rPr>
        <w:t>。</w:t>
      </w:r>
    </w:p>
    <w:p w14:paraId="3998AD50">
      <w:pPr>
        <w:bidi w:val="0"/>
        <w:spacing w:line="360" w:lineRule="auto"/>
        <w:ind w:firstLine="484"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w:t>
      </w:r>
      <w:r>
        <w:rPr>
          <w:rFonts w:hint="eastAsia" w:asciiTheme="minorEastAsia" w:hAnsiTheme="minorEastAsia" w:eastAsiaTheme="minorEastAsia" w:cstheme="minorEastAsia"/>
          <w:b w:val="0"/>
          <w:bCs w:val="0"/>
          <w:color w:val="auto"/>
          <w:sz w:val="24"/>
          <w:szCs w:val="24"/>
          <w:highlight w:val="none"/>
          <w:lang w:val="en-US" w:eastAsia="zh-CN"/>
        </w:rPr>
        <w:t>7</w:t>
      </w:r>
      <w:r>
        <w:rPr>
          <w:rFonts w:hint="eastAsia" w:asciiTheme="minorEastAsia" w:hAnsiTheme="minorEastAsia" w:eastAsiaTheme="minorEastAsia" w:cstheme="minorEastAsia"/>
          <w:b w:val="0"/>
          <w:bCs w:val="0"/>
          <w:color w:val="auto"/>
          <w:sz w:val="24"/>
          <w:szCs w:val="24"/>
          <w:highlight w:val="none"/>
        </w:rPr>
        <w:t>.2</w:t>
      </w:r>
      <w:r>
        <w:rPr>
          <w:rFonts w:hint="eastAsia" w:asciiTheme="minorEastAsia" w:hAnsiTheme="minorEastAsia" w:eastAsiaTheme="minorEastAsia" w:cstheme="minorEastAsia"/>
          <w:b/>
          <w:bCs/>
          <w:color w:val="auto"/>
          <w:sz w:val="24"/>
          <w:szCs w:val="24"/>
          <w:highlight w:val="none"/>
        </w:rPr>
        <w:t xml:space="preserve"> </w:t>
      </w:r>
      <w:bookmarkEnd w:id="112"/>
      <w:bookmarkEnd w:id="113"/>
      <w:bookmarkEnd w:id="114"/>
      <w:bookmarkEnd w:id="115"/>
      <w:r>
        <w:rPr>
          <w:rFonts w:hint="eastAsia" w:asciiTheme="minorEastAsia" w:hAnsiTheme="minorEastAsia" w:eastAsiaTheme="minorEastAsia" w:cstheme="minorEastAsia"/>
          <w:color w:val="auto"/>
          <w:sz w:val="24"/>
          <w:szCs w:val="24"/>
          <w:highlight w:val="none"/>
        </w:rPr>
        <w:t>中标通知书对采购人和中标供应商均具有法律效力。中标通知书发出后，采购人改变中标结果的，或者中标供应商放弃中标项目的，应当依法承担法律责任。</w:t>
      </w:r>
    </w:p>
    <w:p w14:paraId="5EF05C42">
      <w:p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w:t>
      </w:r>
      <w:r>
        <w:rPr>
          <w:rFonts w:hint="eastAsia" w:asciiTheme="minorEastAsia" w:hAnsiTheme="minorEastAsia" w:eastAsiaTheme="minorEastAsia" w:cstheme="minorEastAsia"/>
          <w:b/>
          <w:bCs/>
          <w:color w:val="auto"/>
          <w:sz w:val="24"/>
          <w:szCs w:val="24"/>
          <w:lang w:val="en-US" w:eastAsia="zh-CN"/>
        </w:rPr>
        <w:t>8</w:t>
      </w:r>
      <w:r>
        <w:rPr>
          <w:rFonts w:hint="eastAsia" w:asciiTheme="minorEastAsia" w:hAnsiTheme="minorEastAsia" w:eastAsiaTheme="minorEastAsia" w:cstheme="minorEastAsia"/>
          <w:b/>
          <w:bCs/>
          <w:color w:val="auto"/>
          <w:sz w:val="24"/>
          <w:szCs w:val="24"/>
        </w:rPr>
        <w:t xml:space="preserve"> 拒绝投标的</w:t>
      </w:r>
      <w:r>
        <w:rPr>
          <w:rFonts w:hint="eastAsia" w:asciiTheme="minorEastAsia" w:hAnsiTheme="minorEastAsia" w:eastAsiaTheme="minorEastAsia" w:cstheme="minorEastAsia"/>
          <w:b/>
          <w:bCs/>
          <w:color w:val="auto"/>
          <w:sz w:val="24"/>
          <w:szCs w:val="24"/>
          <w:lang w:eastAsia="zh-CN"/>
        </w:rPr>
        <w:t>权利</w:t>
      </w:r>
    </w:p>
    <w:p w14:paraId="2F8E6148">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采购人有权在定标前拒绝任何有不正当行为或扰乱正常采购工作的供应商，由此对供应商造成的损失不负任何责任，同时对此也不做任何解释。</w:t>
      </w:r>
    </w:p>
    <w:p w14:paraId="1BCBEFD2">
      <w:pPr>
        <w:bidi w:val="0"/>
        <w:spacing w:line="360" w:lineRule="auto"/>
        <w:jc w:val="center"/>
        <w:rPr>
          <w:rFonts w:hint="eastAsia" w:asciiTheme="minorEastAsia" w:hAnsiTheme="minorEastAsia" w:eastAsiaTheme="minorEastAsia" w:cstheme="minorEastAsia"/>
          <w:b/>
          <w:bCs/>
          <w:color w:val="auto"/>
          <w:sz w:val="24"/>
          <w:szCs w:val="24"/>
        </w:rPr>
      </w:pPr>
    </w:p>
    <w:p w14:paraId="7A6DA619">
      <w:pPr>
        <w:bidi w:val="0"/>
        <w:spacing w:line="360" w:lineRule="auto"/>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七、 授予合同</w:t>
      </w:r>
      <w:bookmarkEnd w:id="109"/>
      <w:bookmarkEnd w:id="110"/>
      <w:bookmarkEnd w:id="111"/>
    </w:p>
    <w:p w14:paraId="02F31D68">
      <w:p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29</w:t>
      </w:r>
      <w:r>
        <w:rPr>
          <w:rFonts w:hint="eastAsia" w:asciiTheme="minorEastAsia" w:hAnsiTheme="minorEastAsia" w:eastAsiaTheme="minorEastAsia" w:cstheme="minorEastAsia"/>
          <w:b/>
          <w:bCs/>
          <w:color w:val="auto"/>
          <w:sz w:val="24"/>
          <w:szCs w:val="24"/>
        </w:rPr>
        <w:t xml:space="preserve">  签订商务合同</w:t>
      </w:r>
    </w:p>
    <w:p w14:paraId="143E59D9">
      <w:pPr>
        <w:bidi w:val="0"/>
        <w:spacing w:line="360" w:lineRule="auto"/>
        <w:ind w:firstLine="484"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lang w:val="en-US" w:eastAsia="zh-CN"/>
        </w:rPr>
        <w:t>29</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highlight w:val="none"/>
        </w:rPr>
        <w:t xml:space="preserve"> 采购人与中标供应商应当在中标通知书发出之日起30日内，按照</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确定的事项签订政府采购合同。</w:t>
      </w:r>
    </w:p>
    <w:p w14:paraId="0D48EBA6">
      <w:pPr>
        <w:bidi w:val="0"/>
        <w:spacing w:line="360" w:lineRule="auto"/>
        <w:ind w:firstLine="484"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z w:val="24"/>
          <w:szCs w:val="24"/>
          <w:highlight w:val="none"/>
        </w:rPr>
        <w:t>.2 中标合同不得转让。</w:t>
      </w:r>
      <w:r>
        <w:rPr>
          <w:rFonts w:hint="eastAsia" w:asciiTheme="minorEastAsia" w:hAnsiTheme="minorEastAsia" w:eastAsiaTheme="minorEastAsia" w:cstheme="minorEastAsia"/>
          <w:color w:val="auto"/>
          <w:sz w:val="24"/>
          <w:szCs w:val="24"/>
          <w:highlight w:val="none"/>
          <w:lang w:val="en-US" w:eastAsia="zh-CN"/>
        </w:rPr>
        <w:t>经采购人同意，中标供应商可以依法采取分包方式履行合同。政府采购合同分包履行的，中标供应商就采购项目和分包项目向采购人负责，分包供应商就分包项目承担责任。</w:t>
      </w:r>
    </w:p>
    <w:p w14:paraId="50E334A8">
      <w:pPr>
        <w:bidi w:val="0"/>
        <w:spacing w:line="360" w:lineRule="auto"/>
        <w:ind w:firstLine="484"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z w:val="24"/>
          <w:szCs w:val="24"/>
          <w:highlight w:val="none"/>
        </w:rPr>
        <w:t xml:space="preserve">.3 </w:t>
      </w:r>
      <w:r>
        <w:rPr>
          <w:rFonts w:hint="eastAsia" w:asciiTheme="minorEastAsia" w:hAnsiTheme="minorEastAsia" w:eastAsiaTheme="minorEastAsia" w:cstheme="minorEastAsia"/>
          <w:color w:val="auto"/>
          <w:sz w:val="24"/>
          <w:szCs w:val="24"/>
          <w:highlight w:val="none"/>
          <w:lang w:val="en-US" w:eastAsia="zh-CN"/>
        </w:rPr>
        <w:t>竞争性磋商文件</w:t>
      </w:r>
      <w:r>
        <w:rPr>
          <w:rFonts w:hint="eastAsia" w:asciiTheme="minorEastAsia" w:hAnsiTheme="minorEastAsia" w:eastAsiaTheme="minorEastAsia" w:cstheme="minorEastAsia"/>
          <w:color w:val="auto"/>
          <w:sz w:val="24"/>
          <w:szCs w:val="24"/>
          <w:highlight w:val="none"/>
        </w:rPr>
        <w:t>要求中标或者成交供应商提交履约保证金的，供应商应当以支票、汇票、本票或者金融机构、担保机构出具的保函等非现金形式提交。履约保证金的数额不得超过政府采购合同金额的10%。</w:t>
      </w:r>
    </w:p>
    <w:p w14:paraId="19638FFE">
      <w:pPr>
        <w:bidi w:val="0"/>
        <w:spacing w:line="360" w:lineRule="auto"/>
        <w:ind w:firstLine="484"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z w:val="24"/>
          <w:szCs w:val="24"/>
          <w:highlight w:val="none"/>
        </w:rPr>
        <w:t>.4 中标供应商拒绝与采购人签订合同的，采购人可以按照评审报告推荐的中标候选人名单排序，确定下一候选人为中标供应商，也可以重新开展政府采购活动。</w:t>
      </w:r>
    </w:p>
    <w:p w14:paraId="2BE22056">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29</w:t>
      </w:r>
      <w:r>
        <w:rPr>
          <w:rFonts w:hint="eastAsia" w:asciiTheme="minorEastAsia" w:hAnsiTheme="minorEastAsia" w:eastAsiaTheme="minorEastAsia" w:cstheme="minorEastAsia"/>
          <w:color w:val="auto"/>
          <w:sz w:val="24"/>
          <w:szCs w:val="24"/>
        </w:rPr>
        <w:t>.5 政府采购合同的双方当事人不得擅自变更、中止或者终止合同。</w:t>
      </w:r>
    </w:p>
    <w:p w14:paraId="0078F2A4">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政府采购合同继续履行将损害国家利益和社会公共利益的，双方当事人应当变更、中止或者终止合同。有过错的一方应当承担赔偿责任，双方都有过错的，各自承担相应的责任。</w:t>
      </w:r>
    </w:p>
    <w:p w14:paraId="743A7EEB">
      <w:p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w:t>
      </w:r>
      <w:r>
        <w:rPr>
          <w:rFonts w:hint="eastAsia" w:asciiTheme="minorEastAsia" w:hAnsiTheme="minorEastAsia" w:eastAsiaTheme="minorEastAsia" w:cstheme="minorEastAsia"/>
          <w:b/>
          <w:bCs/>
          <w:color w:val="auto"/>
          <w:sz w:val="24"/>
          <w:szCs w:val="24"/>
          <w:lang w:val="en-US" w:eastAsia="zh-CN"/>
        </w:rPr>
        <w:t>0</w:t>
      </w:r>
      <w:r>
        <w:rPr>
          <w:rFonts w:hint="eastAsia" w:asciiTheme="minorEastAsia" w:hAnsiTheme="minorEastAsia" w:eastAsiaTheme="minorEastAsia" w:cstheme="minorEastAsia"/>
          <w:b/>
          <w:bCs/>
          <w:color w:val="auto"/>
          <w:sz w:val="24"/>
          <w:szCs w:val="24"/>
        </w:rPr>
        <w:t xml:space="preserve">  商务合同的组成</w:t>
      </w:r>
    </w:p>
    <w:p w14:paraId="34A1CE7A">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.1 下列文件均为商务合同不可分割的组成部分：</w:t>
      </w:r>
    </w:p>
    <w:p w14:paraId="21E6652D">
      <w:pPr>
        <w:bidi w:val="0"/>
        <w:spacing w:line="360" w:lineRule="auto"/>
        <w:ind w:firstLine="484"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.1.1 中标通知书；</w:t>
      </w:r>
    </w:p>
    <w:p w14:paraId="58FFDF27">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.1.2 中标供应商的</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w:t>
      </w:r>
    </w:p>
    <w:p w14:paraId="7E9DB8D1">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.1.3 供应商澄清、说明或补正文件；</w:t>
      </w:r>
    </w:p>
    <w:p w14:paraId="6DB3F73D">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 xml:space="preserve">.1.4 </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w:t>
      </w:r>
    </w:p>
    <w:p w14:paraId="16094A30">
      <w:pPr>
        <w:bidi w:val="0"/>
        <w:spacing w:line="360" w:lineRule="auto"/>
        <w:ind w:firstLine="484" w:firstLineChars="200"/>
        <w:rPr>
          <w:rFonts w:hint="eastAsia" w:asciiTheme="minorEastAsia" w:hAnsiTheme="minorEastAsia" w:eastAsiaTheme="minorEastAsia" w:cstheme="minorEastAsia"/>
          <w:color w:val="auto"/>
          <w:sz w:val="24"/>
          <w:szCs w:val="24"/>
        </w:rPr>
      </w:pPr>
    </w:p>
    <w:p w14:paraId="0A598694">
      <w:pPr>
        <w:bidi w:val="0"/>
        <w:spacing w:line="360" w:lineRule="auto"/>
        <w:jc w:val="center"/>
        <w:rPr>
          <w:rFonts w:hint="eastAsia" w:asciiTheme="minorEastAsia" w:hAnsiTheme="minorEastAsia" w:eastAsiaTheme="minorEastAsia" w:cstheme="minorEastAsia"/>
          <w:b/>
          <w:bCs/>
          <w:color w:val="auto"/>
          <w:sz w:val="28"/>
          <w:szCs w:val="28"/>
        </w:rPr>
      </w:pPr>
      <w:bookmarkStart w:id="116" w:name="_Toc23890"/>
      <w:bookmarkStart w:id="117" w:name="_Toc7458"/>
      <w:bookmarkStart w:id="118" w:name="_Toc9177"/>
      <w:bookmarkStart w:id="119" w:name="_Toc10488"/>
      <w:bookmarkStart w:id="120" w:name="_Toc26655"/>
      <w:bookmarkStart w:id="121" w:name="_Toc21514"/>
      <w:bookmarkStart w:id="122" w:name="_Toc3090"/>
      <w:bookmarkStart w:id="123" w:name="_Toc17298"/>
      <w:bookmarkStart w:id="124" w:name="_Toc26147"/>
      <w:bookmarkStart w:id="125" w:name="_Toc24734"/>
      <w:r>
        <w:rPr>
          <w:rFonts w:hint="eastAsia" w:asciiTheme="minorEastAsia" w:hAnsiTheme="minorEastAsia" w:eastAsiaTheme="minorEastAsia" w:cstheme="minorEastAsia"/>
          <w:b/>
          <w:bCs/>
          <w:color w:val="auto"/>
          <w:sz w:val="28"/>
          <w:szCs w:val="28"/>
        </w:rPr>
        <w:t>八、</w:t>
      </w:r>
      <w:bookmarkEnd w:id="116"/>
      <w:bookmarkEnd w:id="117"/>
      <w:bookmarkEnd w:id="118"/>
      <w:bookmarkEnd w:id="119"/>
      <w:bookmarkEnd w:id="120"/>
      <w:bookmarkEnd w:id="121"/>
      <w:bookmarkEnd w:id="122"/>
      <w:bookmarkEnd w:id="123"/>
      <w:bookmarkEnd w:id="124"/>
      <w:bookmarkEnd w:id="125"/>
      <w:r>
        <w:rPr>
          <w:rFonts w:hint="eastAsia" w:asciiTheme="minorEastAsia" w:hAnsiTheme="minorEastAsia" w:eastAsiaTheme="minorEastAsia" w:cstheme="minorEastAsia"/>
          <w:b/>
          <w:bCs/>
          <w:color w:val="auto"/>
          <w:sz w:val="28"/>
          <w:szCs w:val="28"/>
        </w:rPr>
        <w:t>采购人更改货物、工程或者服务的权利</w:t>
      </w:r>
    </w:p>
    <w:p w14:paraId="2505E319">
      <w:pPr>
        <w:bidi w:val="0"/>
        <w:spacing w:line="360" w:lineRule="auto"/>
        <w:jc w:val="both"/>
        <w:rPr>
          <w:rFonts w:hint="eastAsia" w:asciiTheme="minorEastAsia" w:hAnsiTheme="minorEastAsia" w:eastAsiaTheme="minorEastAsia" w:cstheme="minorEastAsia"/>
          <w:b w:val="0"/>
          <w:bCs w:val="0"/>
          <w:color w:val="auto"/>
          <w:sz w:val="24"/>
          <w:szCs w:val="24"/>
        </w:rPr>
      </w:pPr>
      <w:bookmarkStart w:id="126" w:name="_Toc27177"/>
      <w:bookmarkStart w:id="127" w:name="_Toc31555"/>
      <w:bookmarkStart w:id="128" w:name="_Toc23616"/>
      <w:bookmarkStart w:id="129" w:name="_Toc16744"/>
      <w:bookmarkStart w:id="130" w:name="_Toc13025"/>
      <w:bookmarkStart w:id="131" w:name="_Toc23715"/>
      <w:bookmarkStart w:id="132" w:name="_Toc31334"/>
      <w:bookmarkStart w:id="133" w:name="_Toc13678"/>
      <w:bookmarkStart w:id="134" w:name="_Toc31453"/>
      <w:bookmarkStart w:id="135" w:name="_Toc2769"/>
      <w:r>
        <w:rPr>
          <w:rFonts w:hint="eastAsia" w:asciiTheme="minorEastAsia" w:hAnsiTheme="minorEastAsia" w:eastAsiaTheme="minorEastAsia" w:cstheme="minorEastAsia"/>
          <w:b w:val="0"/>
          <w:bCs w:val="0"/>
          <w:color w:val="auto"/>
          <w:sz w:val="24"/>
          <w:szCs w:val="24"/>
          <w:lang w:val="en-US" w:eastAsia="zh-CN"/>
        </w:rPr>
        <w:t xml:space="preserve">31  </w:t>
      </w:r>
      <w:r>
        <w:rPr>
          <w:rFonts w:hint="eastAsia" w:asciiTheme="minorEastAsia" w:hAnsiTheme="minorEastAsia" w:eastAsiaTheme="minorEastAsia" w:cstheme="minorEastAsia"/>
          <w:b w:val="0"/>
          <w:bCs w:val="0"/>
          <w:color w:val="auto"/>
          <w:sz w:val="24"/>
          <w:szCs w:val="24"/>
        </w:rPr>
        <w:t>政府采购合同履行中，采购人需追加与合同标的相同的货物、工程或者服务的，在不改变合同其他条款的前提下，可以与供应商协商签订补充合同，但所有补充合同的采购金额不得超过原合同采购金额的</w:t>
      </w:r>
      <w:r>
        <w:rPr>
          <w:rFonts w:hint="eastAsia" w:asciiTheme="minorEastAsia" w:hAnsiTheme="minorEastAsia" w:eastAsiaTheme="minorEastAsia" w:cstheme="minorEastAsia"/>
          <w:b w:val="0"/>
          <w:bCs w:val="0"/>
          <w:color w:val="auto"/>
          <w:sz w:val="24"/>
          <w:szCs w:val="24"/>
          <w:lang w:eastAsia="zh-CN"/>
        </w:rPr>
        <w:t>10%</w:t>
      </w:r>
      <w:r>
        <w:rPr>
          <w:rFonts w:hint="eastAsia" w:asciiTheme="minorEastAsia" w:hAnsiTheme="minorEastAsia" w:eastAsiaTheme="minorEastAsia" w:cstheme="minorEastAsia"/>
          <w:b w:val="0"/>
          <w:bCs w:val="0"/>
          <w:color w:val="auto"/>
          <w:sz w:val="24"/>
          <w:szCs w:val="24"/>
        </w:rPr>
        <w:t>。</w:t>
      </w:r>
    </w:p>
    <w:p w14:paraId="5C7680A1">
      <w:pPr>
        <w:bidi w:val="0"/>
        <w:spacing w:line="360" w:lineRule="auto"/>
        <w:jc w:val="both"/>
        <w:rPr>
          <w:rFonts w:hint="eastAsia" w:asciiTheme="minorEastAsia" w:hAnsiTheme="minorEastAsia" w:eastAsiaTheme="minorEastAsia" w:cstheme="minorEastAsia"/>
          <w:b w:val="0"/>
          <w:bCs w:val="0"/>
          <w:color w:val="auto"/>
          <w:sz w:val="24"/>
          <w:szCs w:val="24"/>
        </w:rPr>
      </w:pPr>
    </w:p>
    <w:p w14:paraId="7CDD2C92">
      <w:pPr>
        <w:bidi w:val="0"/>
        <w:spacing w:line="360" w:lineRule="auto"/>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九、其他事项</w:t>
      </w:r>
      <w:bookmarkEnd w:id="126"/>
      <w:bookmarkEnd w:id="127"/>
      <w:bookmarkEnd w:id="128"/>
      <w:bookmarkEnd w:id="129"/>
      <w:bookmarkEnd w:id="130"/>
      <w:bookmarkEnd w:id="131"/>
      <w:bookmarkEnd w:id="132"/>
      <w:bookmarkEnd w:id="133"/>
      <w:bookmarkEnd w:id="134"/>
      <w:bookmarkEnd w:id="135"/>
    </w:p>
    <w:p w14:paraId="7EC8F1F4">
      <w:pPr>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 xml:space="preserve">  采购代理服务费</w:t>
      </w:r>
    </w:p>
    <w:p w14:paraId="022F26CA">
      <w:pPr>
        <w:bidi w:val="0"/>
        <w:spacing w:line="360" w:lineRule="auto"/>
        <w:ind w:firstLine="484" w:firstLineChars="20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由中标单位支付，</w:t>
      </w:r>
      <w:r>
        <w:rPr>
          <w:rFonts w:hint="eastAsia" w:asciiTheme="minorEastAsia" w:hAnsiTheme="minorEastAsia" w:eastAsiaTheme="minorEastAsia" w:cstheme="minorEastAsia"/>
          <w:b w:val="0"/>
          <w:bCs w:val="0"/>
          <w:color w:val="auto"/>
          <w:sz w:val="24"/>
          <w:szCs w:val="24"/>
        </w:rPr>
        <w:t>收取标准参照国计委计价格</w:t>
      </w:r>
      <w:r>
        <w:rPr>
          <w:rFonts w:hint="eastAsia" w:asciiTheme="minorEastAsia" w:hAnsiTheme="minorEastAsia" w:eastAsiaTheme="minorEastAsia" w:cstheme="minorEastAsia"/>
          <w:b w:val="0"/>
          <w:bCs w:val="0"/>
          <w:color w:val="auto"/>
          <w:sz w:val="24"/>
          <w:szCs w:val="24"/>
          <w:lang w:eastAsia="zh-CN"/>
        </w:rPr>
        <w:t>〔2002〕1980号</w:t>
      </w:r>
      <w:r>
        <w:rPr>
          <w:rFonts w:hint="eastAsia" w:asciiTheme="minorEastAsia" w:hAnsiTheme="minorEastAsia" w:eastAsiaTheme="minorEastAsia" w:cstheme="minorEastAsia"/>
          <w:b w:val="0"/>
          <w:bCs w:val="0"/>
          <w:color w:val="auto"/>
          <w:sz w:val="24"/>
          <w:szCs w:val="24"/>
        </w:rPr>
        <w:t>文执行。</w:t>
      </w:r>
    </w:p>
    <w:p w14:paraId="3CD877E8">
      <w:pPr>
        <w:bidi w:val="0"/>
        <w:spacing w:line="360"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.2 采购代理服务费的计算基数是</w:t>
      </w:r>
      <w:r>
        <w:rPr>
          <w:rFonts w:hint="eastAsia" w:asciiTheme="minorEastAsia" w:hAnsiTheme="minorEastAsia" w:eastAsiaTheme="minorEastAsia" w:cstheme="minorEastAsia"/>
          <w:b/>
          <w:bCs/>
          <w:color w:val="auto"/>
          <w:sz w:val="24"/>
          <w:szCs w:val="24"/>
          <w:u w:val="single"/>
        </w:rPr>
        <w:t>中标通知书中载明的中标总金额</w:t>
      </w:r>
      <w:r>
        <w:rPr>
          <w:rFonts w:hint="eastAsia" w:asciiTheme="minorEastAsia" w:hAnsiTheme="minorEastAsia" w:eastAsiaTheme="minorEastAsia" w:cstheme="minorEastAsia"/>
          <w:color w:val="auto"/>
          <w:sz w:val="24"/>
          <w:szCs w:val="24"/>
        </w:rPr>
        <w:t>。</w:t>
      </w:r>
    </w:p>
    <w:p w14:paraId="29020198">
      <w:pPr>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 xml:space="preserve">  本</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是根据《中华人民共和国政府采购法</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中华人民共和国政府采购法实施条例》的规定编制，解释权</w:t>
      </w:r>
      <w:r>
        <w:rPr>
          <w:rFonts w:hint="eastAsia" w:asciiTheme="minorEastAsia" w:hAnsiTheme="minorEastAsia" w:eastAsiaTheme="minorEastAsia" w:cstheme="minorEastAsia"/>
          <w:color w:val="auto"/>
          <w:sz w:val="24"/>
          <w:szCs w:val="24"/>
          <w:lang w:eastAsia="zh-CN"/>
        </w:rPr>
        <w:t>属于采购代理机构</w:t>
      </w:r>
      <w:r>
        <w:rPr>
          <w:rFonts w:hint="eastAsia" w:asciiTheme="minorEastAsia" w:hAnsiTheme="minorEastAsia" w:eastAsiaTheme="minorEastAsia" w:cstheme="minorEastAsia"/>
          <w:color w:val="auto"/>
          <w:sz w:val="24"/>
          <w:szCs w:val="24"/>
        </w:rPr>
        <w:t>。</w:t>
      </w:r>
    </w:p>
    <w:p w14:paraId="29185AF9">
      <w:pPr>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 xml:space="preserve">  参与本次采购的供应商应当有商务、技术人员对</w:t>
      </w:r>
      <w:r>
        <w:rPr>
          <w:rFonts w:hint="eastAsia" w:asciiTheme="minorEastAsia" w:hAnsiTheme="minorEastAsia" w:eastAsiaTheme="minorEastAsia" w:cstheme="minorEastAsia"/>
          <w:color w:val="auto"/>
          <w:sz w:val="24"/>
          <w:szCs w:val="24"/>
          <w:lang w:eastAsia="zh-CN"/>
        </w:rPr>
        <w:t>磋商小组</w:t>
      </w:r>
      <w:r>
        <w:rPr>
          <w:rFonts w:hint="eastAsia" w:asciiTheme="minorEastAsia" w:hAnsiTheme="minorEastAsia" w:eastAsiaTheme="minorEastAsia" w:cstheme="minorEastAsia"/>
          <w:color w:val="auto"/>
          <w:sz w:val="24"/>
          <w:szCs w:val="24"/>
        </w:rPr>
        <w:t>提出的商务、技术问题进行答疑。</w:t>
      </w:r>
      <w:bookmarkStart w:id="136" w:name="_Toc19116"/>
      <w:bookmarkStart w:id="137" w:name="_Toc16938559"/>
      <w:bookmarkStart w:id="138" w:name="_Toc20823315"/>
      <w:bookmarkStart w:id="139" w:name="_Toc22740"/>
      <w:bookmarkStart w:id="140" w:name="_Toc27564"/>
      <w:bookmarkStart w:id="141" w:name="_Toc21863"/>
      <w:bookmarkStart w:id="142" w:name="_Toc5864"/>
      <w:bookmarkStart w:id="143" w:name="_Toc513029243"/>
    </w:p>
    <w:p w14:paraId="15F9BB13">
      <w:pPr>
        <w:pStyle w:val="16"/>
        <w:rPr>
          <w:rFonts w:hint="eastAsia" w:asciiTheme="minorEastAsia" w:hAnsiTheme="minorEastAsia" w:eastAsiaTheme="minorEastAsia" w:cstheme="minorEastAsia"/>
          <w:color w:val="auto"/>
          <w:sz w:val="24"/>
          <w:szCs w:val="24"/>
        </w:rPr>
        <w:sectPr>
          <w:headerReference r:id="rId11" w:type="first"/>
          <w:footerReference r:id="rId13" w:type="first"/>
          <w:headerReference r:id="rId10" w:type="default"/>
          <w:footerReference r:id="rId12" w:type="default"/>
          <w:pgSz w:w="11906" w:h="16838"/>
          <w:pgMar w:top="1417" w:right="1417" w:bottom="1417" w:left="1417" w:header="851" w:footer="850" w:gutter="0"/>
          <w:pgNumType w:fmt="decimal"/>
          <w:cols w:space="720" w:num="1"/>
          <w:titlePg/>
          <w:docGrid w:type="linesAndChars" w:linePitch="312" w:charSpace="530"/>
        </w:sectPr>
      </w:pPr>
    </w:p>
    <w:p w14:paraId="7BA96D82">
      <w:pPr>
        <w:pStyle w:val="2"/>
        <w:numPr>
          <w:ilvl w:val="0"/>
          <w:numId w:val="0"/>
        </w:numPr>
        <w:bidi w:val="0"/>
        <w:jc w:val="center"/>
        <w:rPr>
          <w:rStyle w:val="37"/>
          <w:rFonts w:hint="eastAsia" w:asciiTheme="minorEastAsia" w:hAnsiTheme="minorEastAsia" w:eastAsiaTheme="minorEastAsia" w:cstheme="minorEastAsia"/>
          <w:b/>
          <w:bCs/>
          <w:color w:val="auto"/>
          <w:sz w:val="36"/>
          <w:szCs w:val="36"/>
          <w:lang w:eastAsia="zh-CN"/>
        </w:rPr>
      </w:pPr>
      <w:bookmarkStart w:id="144" w:name="_Toc30169"/>
      <w:bookmarkStart w:id="145" w:name="_Toc9376"/>
    </w:p>
    <w:p w14:paraId="6B97FA2E">
      <w:pPr>
        <w:pStyle w:val="2"/>
        <w:numPr>
          <w:ilvl w:val="0"/>
          <w:numId w:val="0"/>
        </w:numPr>
        <w:bidi w:val="0"/>
        <w:jc w:val="center"/>
        <w:rPr>
          <w:rStyle w:val="37"/>
          <w:rFonts w:hint="eastAsia" w:asciiTheme="minorEastAsia" w:hAnsiTheme="minorEastAsia" w:eastAsiaTheme="minorEastAsia" w:cstheme="minorEastAsia"/>
          <w:b/>
          <w:bCs/>
          <w:color w:val="auto"/>
          <w:sz w:val="36"/>
          <w:szCs w:val="36"/>
          <w:lang w:eastAsia="zh-CN"/>
        </w:rPr>
      </w:pPr>
      <w:r>
        <w:rPr>
          <w:rStyle w:val="37"/>
          <w:rFonts w:hint="eastAsia" w:asciiTheme="minorEastAsia" w:hAnsiTheme="minorEastAsia" w:eastAsiaTheme="minorEastAsia" w:cstheme="minorEastAsia"/>
          <w:b/>
          <w:bCs/>
          <w:color w:val="auto"/>
          <w:sz w:val="36"/>
          <w:szCs w:val="36"/>
          <w:lang w:eastAsia="zh-CN"/>
        </w:rPr>
        <w:t>第三章</w:t>
      </w:r>
      <w:r>
        <w:rPr>
          <w:rStyle w:val="37"/>
          <w:rFonts w:hint="eastAsia" w:asciiTheme="minorEastAsia" w:hAnsiTheme="minorEastAsia" w:eastAsiaTheme="minorEastAsia" w:cstheme="minorEastAsia"/>
          <w:b/>
          <w:bCs/>
          <w:color w:val="auto"/>
          <w:sz w:val="36"/>
          <w:szCs w:val="36"/>
          <w:lang w:val="en-US" w:eastAsia="zh-CN"/>
        </w:rPr>
        <w:t xml:space="preserve"> </w:t>
      </w:r>
      <w:r>
        <w:rPr>
          <w:rStyle w:val="37"/>
          <w:rFonts w:hint="eastAsia" w:asciiTheme="minorEastAsia" w:hAnsiTheme="minorEastAsia" w:eastAsiaTheme="minorEastAsia" w:cstheme="minorEastAsia"/>
          <w:b/>
          <w:bCs/>
          <w:color w:val="auto"/>
          <w:sz w:val="36"/>
          <w:szCs w:val="36"/>
          <w:lang w:eastAsia="zh-CN"/>
        </w:rPr>
        <w:t>采购内容及技术要求</w:t>
      </w:r>
      <w:bookmarkEnd w:id="136"/>
      <w:bookmarkEnd w:id="137"/>
      <w:bookmarkEnd w:id="138"/>
      <w:bookmarkEnd w:id="139"/>
      <w:bookmarkEnd w:id="140"/>
      <w:bookmarkEnd w:id="141"/>
      <w:bookmarkEnd w:id="142"/>
      <w:bookmarkEnd w:id="143"/>
      <w:bookmarkEnd w:id="144"/>
      <w:bookmarkEnd w:id="145"/>
      <w:bookmarkStart w:id="146" w:name="_Toc28012"/>
      <w:bookmarkStart w:id="147" w:name="_Toc24433"/>
      <w:bookmarkStart w:id="148" w:name="_Toc28246"/>
      <w:bookmarkStart w:id="149" w:name="_Toc16272"/>
      <w:bookmarkStart w:id="150" w:name="_Toc32575"/>
      <w:bookmarkStart w:id="151" w:name="_Toc16706"/>
      <w:bookmarkStart w:id="152" w:name="_Toc20911"/>
    </w:p>
    <w:p w14:paraId="35691CD1">
      <w:pPr>
        <w:keepNext w:val="0"/>
        <w:keepLines w:val="0"/>
        <w:pageBreakBefore w:val="0"/>
        <w:widowControl w:val="0"/>
        <w:kinsoku/>
        <w:wordWrap/>
        <w:overflowPunct/>
        <w:topLinePunct w:val="0"/>
        <w:autoSpaceDE/>
        <w:autoSpaceDN/>
        <w:bidi w:val="0"/>
        <w:adjustRightInd/>
        <w:snapToGrid/>
        <w:spacing w:line="360" w:lineRule="auto"/>
        <w:ind w:firstLine="574" w:firstLineChars="200"/>
        <w:jc w:val="both"/>
        <w:textAlignment w:val="auto"/>
        <w:rPr>
          <w:rFonts w:hint="eastAsia" w:asciiTheme="minorEastAsia" w:hAnsiTheme="minorEastAsia" w:eastAsiaTheme="minorEastAsia" w:cstheme="minorEastAsia"/>
          <w:b/>
          <w:bCs/>
          <w:color w:val="auto"/>
          <w:spacing w:val="3"/>
          <w:sz w:val="28"/>
          <w:szCs w:val="28"/>
        </w:rPr>
      </w:pPr>
    </w:p>
    <w:p w14:paraId="62A0F2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3"/>
          <w:sz w:val="28"/>
          <w:szCs w:val="28"/>
        </w:rPr>
        <w:t>一、项目概况</w:t>
      </w:r>
    </w:p>
    <w:p w14:paraId="7156D7D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项目名称： 三塘湖至淖毛湖至骆驿铁路建设项目等三个重点项目26个配套砂石矿矿业权出让收益评估报告编制</w:t>
      </w:r>
    </w:p>
    <w:p w14:paraId="5D2F407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项目编号：HMFYZFCGCS-2026-002</w:t>
      </w:r>
    </w:p>
    <w:p w14:paraId="213D3E3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采购方式：竞争性磋商</w:t>
      </w:r>
    </w:p>
    <w:p w14:paraId="7CA7FE6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预算金额（人民币）：520000.00（伍拾贰万元整）</w:t>
      </w:r>
    </w:p>
    <w:p w14:paraId="25B543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2"/>
          <w:sz w:val="28"/>
          <w:szCs w:val="28"/>
        </w:rPr>
        <w:t>二、服务内容</w:t>
      </w:r>
    </w:p>
    <w:p w14:paraId="257D6A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采购需求目标：伊吾县自然资源局通过购买第三方技术服务，由具备专业能力的第三方机构组织开展三塘湖至淖毛湖至骆驿铁路建设项目等三个重点项目26个配套砂石矿矿业权出让收益评估报告编制工作，推进三塘湖至淖毛湖至骆驿铁路建设项目、G335线诺木托拉依至下马崖乡公路建设项目、新疆铁路梧桐水至淖毛湖线建设项目等三个自治区重点项目配套砂石料场矿业权手续办理。</w:t>
      </w:r>
    </w:p>
    <w:p w14:paraId="1BB07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3"/>
          <w:sz w:val="28"/>
          <w:szCs w:val="28"/>
        </w:rPr>
        <w:t>三、合同履约期限</w:t>
      </w:r>
    </w:p>
    <w:p w14:paraId="1DC60C55">
      <w:pPr>
        <w:keepNext w:val="0"/>
        <w:keepLines w:val="0"/>
        <w:pageBreakBefore w:val="0"/>
        <w:widowControl/>
        <w:kinsoku/>
        <w:wordWrap/>
        <w:overflowPunct/>
        <w:topLinePunct w:val="0"/>
        <w:bidi w:val="0"/>
        <w:adjustRightInd w:val="0"/>
        <w:snapToGrid w:val="0"/>
        <w:spacing w:line="520" w:lineRule="exact"/>
        <w:ind w:firstLine="56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8"/>
          <w:szCs w:val="28"/>
          <w:lang w:val="en-US" w:eastAsia="zh-CN"/>
        </w:rPr>
        <w:t>自签订合同并正式移交普查报告之日起15日内完成，具体以签订合同为准</w:t>
      </w:r>
      <w:r>
        <w:rPr>
          <w:rFonts w:hint="eastAsia" w:asciiTheme="minorEastAsia" w:hAnsiTheme="minorEastAsia" w:eastAsiaTheme="minorEastAsia" w:cstheme="minorEastAsia"/>
          <w:color w:val="auto"/>
          <w:sz w:val="24"/>
          <w:szCs w:val="24"/>
          <w:highlight w:val="none"/>
          <w:lang w:val="en-US" w:eastAsia="zh-CN"/>
        </w:rPr>
        <w:t>。</w:t>
      </w:r>
    </w:p>
    <w:p w14:paraId="5EBD128A">
      <w:pPr>
        <w:numPr>
          <w:ilvl w:val="0"/>
          <w:numId w:val="0"/>
        </w:numPr>
        <w:bidi w:val="0"/>
        <w:spacing w:line="360" w:lineRule="auto"/>
        <w:ind w:firstLine="480" w:firstLineChars="200"/>
        <w:jc w:val="both"/>
        <w:rPr>
          <w:rFonts w:hint="eastAsia" w:asciiTheme="minorEastAsia" w:hAnsiTheme="minorEastAsia" w:eastAsiaTheme="minorEastAsia" w:cstheme="minorEastAsia"/>
          <w:b w:val="0"/>
          <w:bCs w:val="0"/>
          <w:color w:val="auto"/>
          <w:sz w:val="24"/>
          <w:szCs w:val="24"/>
          <w:lang w:val="en-US" w:eastAsia="zh-CN"/>
        </w:rPr>
      </w:pPr>
    </w:p>
    <w:p w14:paraId="42355CA1">
      <w:pPr>
        <w:numPr>
          <w:ilvl w:val="0"/>
          <w:numId w:val="0"/>
        </w:numPr>
        <w:bidi w:val="0"/>
        <w:spacing w:line="360" w:lineRule="auto"/>
        <w:ind w:firstLine="480" w:firstLineChars="200"/>
        <w:jc w:val="both"/>
        <w:rPr>
          <w:rFonts w:hint="eastAsia" w:asciiTheme="minorEastAsia" w:hAnsiTheme="minorEastAsia" w:eastAsiaTheme="minorEastAsia" w:cstheme="minorEastAsia"/>
          <w:b w:val="0"/>
          <w:bCs w:val="0"/>
          <w:color w:val="auto"/>
          <w:sz w:val="24"/>
          <w:szCs w:val="24"/>
          <w:lang w:val="en-US" w:eastAsia="zh-CN"/>
        </w:rPr>
      </w:pPr>
    </w:p>
    <w:p w14:paraId="69C2AF18">
      <w:pPr>
        <w:numPr>
          <w:ilvl w:val="0"/>
          <w:numId w:val="0"/>
        </w:numPr>
        <w:bidi w:val="0"/>
        <w:spacing w:line="360" w:lineRule="auto"/>
        <w:ind w:firstLine="480" w:firstLineChars="200"/>
        <w:jc w:val="both"/>
        <w:rPr>
          <w:rFonts w:hint="eastAsia" w:asciiTheme="minorEastAsia" w:hAnsiTheme="minorEastAsia" w:eastAsiaTheme="minorEastAsia" w:cstheme="minorEastAsia"/>
          <w:b w:val="0"/>
          <w:bCs w:val="0"/>
          <w:color w:val="auto"/>
          <w:sz w:val="24"/>
          <w:szCs w:val="24"/>
          <w:lang w:val="en-US" w:eastAsia="zh-CN"/>
        </w:rPr>
      </w:pPr>
    </w:p>
    <w:p w14:paraId="38EB882C">
      <w:pPr>
        <w:numPr>
          <w:ilvl w:val="0"/>
          <w:numId w:val="0"/>
        </w:numPr>
        <w:bidi w:val="0"/>
        <w:spacing w:line="360" w:lineRule="auto"/>
        <w:ind w:firstLine="480" w:firstLineChars="200"/>
        <w:jc w:val="both"/>
        <w:rPr>
          <w:rFonts w:hint="eastAsia" w:asciiTheme="minorEastAsia" w:hAnsiTheme="minorEastAsia" w:eastAsiaTheme="minorEastAsia" w:cstheme="minorEastAsia"/>
          <w:b w:val="0"/>
          <w:bCs w:val="0"/>
          <w:color w:val="auto"/>
          <w:sz w:val="24"/>
          <w:szCs w:val="24"/>
          <w:lang w:val="en-US" w:eastAsia="zh-CN"/>
        </w:rPr>
      </w:pPr>
    </w:p>
    <w:p w14:paraId="7AEB30FA">
      <w:pPr>
        <w:numPr>
          <w:ilvl w:val="0"/>
          <w:numId w:val="0"/>
        </w:numPr>
        <w:bidi w:val="0"/>
        <w:spacing w:line="360" w:lineRule="auto"/>
        <w:ind w:firstLine="480" w:firstLineChars="200"/>
        <w:jc w:val="both"/>
        <w:rPr>
          <w:rFonts w:hint="eastAsia" w:asciiTheme="minorEastAsia" w:hAnsiTheme="minorEastAsia" w:eastAsiaTheme="minorEastAsia" w:cstheme="minorEastAsia"/>
          <w:b w:val="0"/>
          <w:bCs w:val="0"/>
          <w:color w:val="auto"/>
          <w:sz w:val="24"/>
          <w:szCs w:val="24"/>
          <w:lang w:val="en-US" w:eastAsia="zh-CN"/>
        </w:rPr>
      </w:pPr>
    </w:p>
    <w:p w14:paraId="60F0E360">
      <w:pPr>
        <w:numPr>
          <w:ilvl w:val="0"/>
          <w:numId w:val="0"/>
        </w:numPr>
        <w:bidi w:val="0"/>
        <w:spacing w:line="360" w:lineRule="auto"/>
        <w:ind w:firstLine="480" w:firstLineChars="200"/>
        <w:jc w:val="both"/>
        <w:rPr>
          <w:rFonts w:hint="eastAsia" w:asciiTheme="minorEastAsia" w:hAnsiTheme="minorEastAsia" w:eastAsiaTheme="minorEastAsia" w:cstheme="minorEastAsia"/>
          <w:b w:val="0"/>
          <w:bCs w:val="0"/>
          <w:color w:val="auto"/>
          <w:sz w:val="24"/>
          <w:szCs w:val="24"/>
          <w:lang w:val="en-US" w:eastAsia="zh-CN"/>
        </w:rPr>
      </w:pPr>
    </w:p>
    <w:p w14:paraId="03CDB6E7">
      <w:pPr>
        <w:numPr>
          <w:ilvl w:val="0"/>
          <w:numId w:val="0"/>
        </w:numPr>
        <w:bidi w:val="0"/>
        <w:spacing w:line="360" w:lineRule="auto"/>
        <w:ind w:firstLine="480" w:firstLineChars="200"/>
        <w:jc w:val="both"/>
        <w:rPr>
          <w:rFonts w:hint="eastAsia" w:asciiTheme="minorEastAsia" w:hAnsiTheme="minorEastAsia" w:eastAsiaTheme="minorEastAsia" w:cstheme="minorEastAsia"/>
          <w:b w:val="0"/>
          <w:bCs w:val="0"/>
          <w:color w:val="auto"/>
          <w:sz w:val="24"/>
          <w:szCs w:val="24"/>
          <w:lang w:val="en-US" w:eastAsia="zh-CN"/>
        </w:rPr>
      </w:pPr>
    </w:p>
    <w:p w14:paraId="78226D2A">
      <w:pPr>
        <w:numPr>
          <w:ilvl w:val="0"/>
          <w:numId w:val="0"/>
        </w:numPr>
        <w:bidi w:val="0"/>
        <w:spacing w:line="360" w:lineRule="auto"/>
        <w:ind w:firstLine="480" w:firstLineChars="200"/>
        <w:jc w:val="both"/>
        <w:rPr>
          <w:rFonts w:hint="eastAsia" w:asciiTheme="minorEastAsia" w:hAnsiTheme="minorEastAsia" w:eastAsiaTheme="minorEastAsia" w:cstheme="minorEastAsia"/>
          <w:b w:val="0"/>
          <w:bCs w:val="0"/>
          <w:color w:val="auto"/>
          <w:sz w:val="24"/>
          <w:szCs w:val="24"/>
          <w:lang w:val="en-US" w:eastAsia="zh-CN"/>
        </w:rPr>
      </w:pPr>
    </w:p>
    <w:p w14:paraId="7E75410D">
      <w:pPr>
        <w:numPr>
          <w:ilvl w:val="0"/>
          <w:numId w:val="0"/>
        </w:numPr>
        <w:bidi w:val="0"/>
        <w:spacing w:line="360" w:lineRule="auto"/>
        <w:ind w:firstLine="480" w:firstLineChars="200"/>
        <w:jc w:val="both"/>
        <w:rPr>
          <w:rFonts w:hint="eastAsia" w:asciiTheme="minorEastAsia" w:hAnsiTheme="minorEastAsia" w:eastAsiaTheme="minorEastAsia" w:cstheme="minorEastAsia"/>
          <w:b w:val="0"/>
          <w:bCs w:val="0"/>
          <w:color w:val="auto"/>
          <w:sz w:val="24"/>
          <w:szCs w:val="24"/>
          <w:lang w:val="en-US" w:eastAsia="zh-CN"/>
        </w:rPr>
      </w:pPr>
    </w:p>
    <w:p w14:paraId="62BEAB1F">
      <w:pPr>
        <w:pStyle w:val="8"/>
        <w:keepNext w:val="0"/>
        <w:keepLines w:val="0"/>
        <w:pageBreakBefore w:val="0"/>
        <w:widowControl w:val="0"/>
        <w:tabs>
          <w:tab w:val="left" w:pos="0"/>
        </w:tabs>
        <w:kinsoku/>
        <w:wordWrap/>
        <w:overflowPunct/>
        <w:topLinePunct w:val="0"/>
        <w:autoSpaceDE/>
        <w:autoSpaceDN/>
        <w:bidi w:val="0"/>
        <w:adjustRightInd w:val="0"/>
        <w:snapToGrid w:val="0"/>
        <w:spacing w:after="0" w:line="360" w:lineRule="auto"/>
        <w:ind w:left="0" w:leftChars="0" w:firstLine="0" w:firstLineChars="0"/>
        <w:jc w:val="center"/>
        <w:textAlignment w:val="auto"/>
        <w:outlineLvl w:val="0"/>
        <w:rPr>
          <w:rFonts w:hint="eastAsia" w:asciiTheme="minorEastAsia" w:hAnsiTheme="minorEastAsia" w:eastAsiaTheme="minorEastAsia" w:cstheme="minorEastAsia"/>
          <w:b/>
          <w:color w:val="auto"/>
          <w:sz w:val="44"/>
          <w:szCs w:val="44"/>
          <w:highlight w:val="none"/>
        </w:rPr>
      </w:pPr>
      <w:r>
        <w:rPr>
          <w:rStyle w:val="48"/>
          <w:rFonts w:hint="eastAsia" w:asciiTheme="minorEastAsia" w:hAnsiTheme="minorEastAsia" w:eastAsiaTheme="minorEastAsia" w:cstheme="minorEastAsia"/>
          <w:color w:val="auto"/>
          <w:sz w:val="44"/>
          <w:szCs w:val="44"/>
          <w:highlight w:val="none"/>
          <w:lang w:val="en-US" w:eastAsia="zh-CN"/>
        </w:rPr>
        <w:t xml:space="preserve">第四章  </w:t>
      </w:r>
      <w:r>
        <w:rPr>
          <w:rStyle w:val="48"/>
          <w:rFonts w:hint="eastAsia" w:asciiTheme="minorEastAsia" w:hAnsiTheme="minorEastAsia" w:eastAsiaTheme="minorEastAsia" w:cstheme="minorEastAsia"/>
          <w:color w:val="auto"/>
          <w:sz w:val="44"/>
          <w:szCs w:val="44"/>
          <w:highlight w:val="none"/>
        </w:rPr>
        <w:t>合同文件</w:t>
      </w:r>
    </w:p>
    <w:p w14:paraId="087C0659">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jc w:val="center"/>
        <w:textAlignment w:val="auto"/>
        <w:outlineLvl w:val="0"/>
        <w:rPr>
          <w:rFonts w:hint="eastAsia" w:asciiTheme="minorEastAsia" w:hAnsiTheme="minorEastAsia" w:eastAsiaTheme="minorEastAsia" w:cstheme="minorEastAsia"/>
          <w:color w:val="auto"/>
          <w:sz w:val="32"/>
          <w:szCs w:val="32"/>
          <w:highlight w:val="none"/>
        </w:rPr>
      </w:pPr>
      <w:bookmarkStart w:id="153" w:name="_Toc17956"/>
      <w:bookmarkStart w:id="154" w:name="EB835308aa585640bcbdb7859c5d572516"/>
      <w:r>
        <w:rPr>
          <w:rFonts w:hint="eastAsia" w:asciiTheme="minorEastAsia" w:hAnsiTheme="minorEastAsia" w:eastAsiaTheme="minorEastAsia" w:cstheme="minorEastAsia"/>
          <w:b/>
          <w:bCs/>
          <w:color w:val="auto"/>
          <w:spacing w:val="5"/>
          <w:sz w:val="32"/>
          <w:szCs w:val="32"/>
          <w:highlight w:val="none"/>
        </w:rPr>
        <w:t>政府采购合同</w:t>
      </w:r>
      <w:bookmarkEnd w:id="153"/>
    </w:p>
    <w:p w14:paraId="6DC138D2">
      <w:pPr>
        <w:pStyle w:val="49"/>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Theme="minorEastAsia" w:hAnsiTheme="minorEastAsia" w:eastAsiaTheme="minorEastAsia" w:cstheme="minorEastAsia"/>
          <w:color w:val="auto"/>
          <w:sz w:val="32"/>
          <w:szCs w:val="32"/>
          <w:highlight w:val="none"/>
        </w:rPr>
      </w:pPr>
      <w:bookmarkStart w:id="155" w:name="_Toc28778_WPSOffice_Level2"/>
      <w:bookmarkStart w:id="156" w:name="_Toc323"/>
      <w:bookmarkStart w:id="157" w:name="_Toc17025_WPSOffice_Level2"/>
      <w:bookmarkStart w:id="158" w:name="_Toc23011_WPSOffice_Level2"/>
      <w:bookmarkStart w:id="159" w:name="_Toc952"/>
      <w:r>
        <w:rPr>
          <w:rFonts w:hint="eastAsia" w:asciiTheme="minorEastAsia" w:hAnsiTheme="minorEastAsia" w:eastAsiaTheme="minorEastAsia" w:cstheme="minorEastAsia"/>
          <w:b/>
          <w:bCs/>
          <w:color w:val="auto"/>
          <w:sz w:val="32"/>
          <w:szCs w:val="32"/>
          <w:highlight w:val="none"/>
        </w:rPr>
        <w:t>（本合同仅</w:t>
      </w:r>
      <w:r>
        <w:rPr>
          <w:rFonts w:hint="eastAsia" w:asciiTheme="minorEastAsia" w:hAnsiTheme="minorEastAsia" w:eastAsiaTheme="minorEastAsia" w:cstheme="minorEastAsia"/>
          <w:b/>
          <w:bCs/>
          <w:color w:val="auto"/>
          <w:sz w:val="32"/>
          <w:szCs w:val="32"/>
          <w:highlight w:val="none"/>
          <w:lang w:eastAsia="zh-CN"/>
        </w:rPr>
        <w:t>作</w:t>
      </w:r>
      <w:r>
        <w:rPr>
          <w:rFonts w:hint="eastAsia" w:asciiTheme="minorEastAsia" w:hAnsiTheme="minorEastAsia" w:eastAsiaTheme="minorEastAsia" w:cstheme="minorEastAsia"/>
          <w:b/>
          <w:bCs/>
          <w:color w:val="auto"/>
          <w:sz w:val="32"/>
          <w:szCs w:val="32"/>
          <w:highlight w:val="none"/>
        </w:rPr>
        <w:t>参考，具体条款以实际签订的合同为准）</w:t>
      </w:r>
      <w:bookmarkEnd w:id="155"/>
      <w:bookmarkEnd w:id="156"/>
      <w:bookmarkEnd w:id="157"/>
      <w:bookmarkEnd w:id="158"/>
      <w:bookmarkEnd w:id="159"/>
    </w:p>
    <w:p w14:paraId="083626A9">
      <w:pPr>
        <w:spacing w:line="360" w:lineRule="auto"/>
        <w:ind w:firstLine="480" w:firstLineChars="200"/>
        <w:rPr>
          <w:rFonts w:hint="eastAsia" w:asciiTheme="minorEastAsia" w:hAnsiTheme="minorEastAsia" w:eastAsiaTheme="minorEastAsia" w:cstheme="minorEastAsia"/>
          <w:color w:val="auto"/>
          <w:sz w:val="24"/>
          <w:highlight w:val="none"/>
        </w:rPr>
      </w:pPr>
    </w:p>
    <w:p w14:paraId="31411D5B">
      <w:pPr>
        <w:spacing w:line="360" w:lineRule="auto"/>
        <w:ind w:firstLine="640" w:firstLine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合同编号：           </w:t>
      </w:r>
    </w:p>
    <w:p w14:paraId="1DD0DB2B">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14:paraId="3C1098CC">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bookmarkStart w:id="160" w:name="_Toc9584_WPSOffice_Level1"/>
      <w:r>
        <w:rPr>
          <w:rFonts w:hint="eastAsia" w:asciiTheme="minorEastAsia" w:hAnsiTheme="minorEastAsia" w:eastAsiaTheme="minorEastAsia" w:cstheme="minorEastAsia"/>
          <w:color w:val="auto"/>
          <w:sz w:val="32"/>
          <w:szCs w:val="32"/>
          <w:highlight w:val="none"/>
        </w:rPr>
        <w:t>政府采购合同参考范本</w:t>
      </w:r>
      <w:bookmarkEnd w:id="160"/>
    </w:p>
    <w:p w14:paraId="0C455563">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bookmarkStart w:id="161" w:name="_Toc12301_WPSOffice_Level2"/>
      <w:r>
        <w:rPr>
          <w:rFonts w:hint="eastAsia" w:asciiTheme="minorEastAsia" w:hAnsiTheme="minorEastAsia" w:eastAsiaTheme="minorEastAsia" w:cstheme="minorEastAsia"/>
          <w:color w:val="auto"/>
          <w:sz w:val="32"/>
          <w:szCs w:val="32"/>
          <w:highlight w:val="none"/>
        </w:rPr>
        <w:t>（服务类）</w:t>
      </w:r>
      <w:bookmarkEnd w:id="161"/>
    </w:p>
    <w:p w14:paraId="766CF629">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bookmarkStart w:id="162" w:name="_Toc26793"/>
      <w:bookmarkStart w:id="163" w:name="_Toc6256"/>
      <w:bookmarkStart w:id="164" w:name="_Toc20936_WPSOffice_Level1"/>
      <w:bookmarkStart w:id="165" w:name="_Toc1720"/>
      <w:bookmarkStart w:id="166" w:name="_Toc7496"/>
    </w:p>
    <w:p w14:paraId="33F8836A">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14:paraId="1488B382">
      <w:pPr>
        <w:pStyle w:val="17"/>
        <w:rPr>
          <w:rFonts w:hint="eastAsia" w:asciiTheme="minorEastAsia" w:hAnsiTheme="minorEastAsia" w:eastAsiaTheme="minorEastAsia" w:cstheme="minorEastAsia"/>
          <w:color w:val="auto"/>
          <w:highlight w:val="none"/>
        </w:rPr>
      </w:pPr>
    </w:p>
    <w:p w14:paraId="312998C5">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第一部分 合同书</w:t>
      </w:r>
      <w:bookmarkEnd w:id="162"/>
      <w:bookmarkEnd w:id="163"/>
      <w:bookmarkEnd w:id="164"/>
      <w:bookmarkEnd w:id="165"/>
      <w:bookmarkEnd w:id="166"/>
    </w:p>
    <w:p w14:paraId="1710FD59">
      <w:pPr>
        <w:spacing w:line="360" w:lineRule="auto"/>
        <w:rPr>
          <w:rFonts w:hint="eastAsia" w:asciiTheme="minorEastAsia" w:hAnsiTheme="minorEastAsia" w:eastAsiaTheme="minorEastAsia" w:cstheme="minorEastAsia"/>
          <w:color w:val="auto"/>
          <w:sz w:val="32"/>
          <w:szCs w:val="32"/>
          <w:highlight w:val="none"/>
        </w:rPr>
      </w:pPr>
    </w:p>
    <w:p w14:paraId="7E501816">
      <w:pPr>
        <w:pStyle w:val="17"/>
        <w:rPr>
          <w:rFonts w:hint="eastAsia" w:asciiTheme="minorEastAsia" w:hAnsiTheme="minorEastAsia" w:eastAsiaTheme="minorEastAsia" w:cstheme="minorEastAsia"/>
          <w:color w:val="auto"/>
          <w:highlight w:val="none"/>
        </w:rPr>
      </w:pPr>
    </w:p>
    <w:p w14:paraId="230A8C51">
      <w:pPr>
        <w:spacing w:line="360" w:lineRule="auto"/>
        <w:ind w:firstLine="640" w:firstLineChars="200"/>
        <w:rPr>
          <w:rFonts w:hint="eastAsia" w:asciiTheme="minorEastAsia" w:hAnsiTheme="minorEastAsia" w:eastAsiaTheme="minorEastAsia" w:cstheme="minorEastAsia"/>
          <w:color w:val="auto"/>
          <w:sz w:val="32"/>
          <w:szCs w:val="32"/>
          <w:highlight w:val="none"/>
        </w:rPr>
      </w:pPr>
    </w:p>
    <w:p w14:paraId="4A6A12A2">
      <w:pPr>
        <w:spacing w:line="360" w:lineRule="auto"/>
        <w:ind w:firstLine="640" w:firstLine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项目名称：                                   </w:t>
      </w:r>
    </w:p>
    <w:p w14:paraId="5F01257E">
      <w:pPr>
        <w:spacing w:line="360" w:lineRule="auto"/>
        <w:ind w:firstLine="640" w:firstLine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甲方：                                       </w:t>
      </w:r>
    </w:p>
    <w:p w14:paraId="404F2384">
      <w:pPr>
        <w:spacing w:line="360" w:lineRule="auto"/>
        <w:ind w:firstLine="640" w:firstLine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乙方：                                       </w:t>
      </w:r>
    </w:p>
    <w:p w14:paraId="04329859">
      <w:pPr>
        <w:spacing w:line="360" w:lineRule="auto"/>
        <w:ind w:firstLine="640" w:firstLine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签订地：                                     </w:t>
      </w:r>
    </w:p>
    <w:p w14:paraId="33DF1998">
      <w:pPr>
        <w:spacing w:line="360" w:lineRule="auto"/>
        <w:ind w:firstLine="640" w:firstLine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签订日期：         年       月       日</w:t>
      </w:r>
    </w:p>
    <w:p w14:paraId="19D5F373">
      <w:pPr>
        <w:widowControl/>
        <w:spacing w:line="360" w:lineRule="auto"/>
        <w:jc w:val="left"/>
        <w:rPr>
          <w:rFonts w:hint="eastAsia" w:asciiTheme="minorEastAsia" w:hAnsiTheme="minorEastAsia" w:eastAsiaTheme="minorEastAsia" w:cstheme="minorEastAsia"/>
          <w:color w:val="auto"/>
          <w:sz w:val="32"/>
          <w:szCs w:val="32"/>
          <w:highlight w:val="none"/>
        </w:rPr>
        <w:sectPr>
          <w:pgSz w:w="11911" w:h="16838"/>
          <w:pgMar w:top="1440" w:right="1803" w:bottom="1440" w:left="1803" w:header="0" w:footer="714" w:gutter="0"/>
          <w:pgNumType w:fmt="decimal"/>
          <w:cols w:space="720" w:num="1"/>
          <w:rtlGutter w:val="0"/>
          <w:docGrid w:linePitch="0" w:charSpace="0"/>
        </w:sectPr>
      </w:pPr>
    </w:p>
    <w:p w14:paraId="6ACBEBCF">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8"/>
          <w:szCs w:val="28"/>
          <w:highlight w:val="none"/>
          <w:lang w:val="zh-CN"/>
        </w:rPr>
        <w:t xml:space="preserve"> </w:t>
      </w:r>
      <w:r>
        <w:rPr>
          <w:rFonts w:hint="eastAsia" w:asciiTheme="minorEastAsia" w:hAnsiTheme="minorEastAsia" w:eastAsiaTheme="minorEastAsia" w:cstheme="minorEastAsia"/>
          <w:color w:val="auto"/>
          <w:sz w:val="24"/>
          <w:szCs w:val="24"/>
          <w:highlight w:val="none"/>
          <w:lang w:val="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年</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月</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日</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（采购人名称）  </w:t>
      </w:r>
      <w:r>
        <w:rPr>
          <w:rFonts w:hint="eastAsia" w:asciiTheme="minorEastAsia" w:hAnsiTheme="minorEastAsia" w:eastAsiaTheme="minorEastAsia" w:cstheme="minorEastAsia"/>
          <w:color w:val="auto"/>
          <w:sz w:val="24"/>
          <w:szCs w:val="24"/>
          <w:highlight w:val="none"/>
        </w:rPr>
        <w:t xml:space="preserve"> 以</w:t>
      </w:r>
      <w:r>
        <w:rPr>
          <w:rFonts w:hint="eastAsia" w:asciiTheme="minorEastAsia" w:hAnsiTheme="minorEastAsia" w:eastAsiaTheme="minorEastAsia" w:cstheme="minorEastAsia"/>
          <w:color w:val="auto"/>
          <w:sz w:val="24"/>
          <w:szCs w:val="24"/>
          <w:highlight w:val="none"/>
          <w:u w:val="single"/>
        </w:rPr>
        <w:t xml:space="preserve">  （政府采购方式）  </w:t>
      </w:r>
      <w:r>
        <w:rPr>
          <w:rFonts w:hint="eastAsia" w:asciiTheme="minorEastAsia" w:hAnsiTheme="minorEastAsia" w:eastAsiaTheme="minorEastAsia" w:cstheme="minorEastAsia"/>
          <w:color w:val="auto"/>
          <w:sz w:val="24"/>
          <w:szCs w:val="24"/>
          <w:highlight w:val="none"/>
        </w:rPr>
        <w:t xml:space="preserve">对   </w:t>
      </w:r>
      <w:r>
        <w:rPr>
          <w:rFonts w:hint="eastAsia" w:asciiTheme="minorEastAsia" w:hAnsiTheme="minorEastAsia" w:eastAsiaTheme="minorEastAsia" w:cstheme="minorEastAsia"/>
          <w:color w:val="auto"/>
          <w:sz w:val="24"/>
          <w:szCs w:val="24"/>
          <w:highlight w:val="none"/>
          <w:u w:val="single"/>
        </w:rPr>
        <w:t xml:space="preserve">（同前页项目名称）   </w:t>
      </w:r>
      <w:r>
        <w:rPr>
          <w:rFonts w:hint="eastAsia" w:asciiTheme="minorEastAsia" w:hAnsiTheme="minorEastAsia" w:eastAsiaTheme="minorEastAsia" w:cstheme="minorEastAsia"/>
          <w:color w:val="auto"/>
          <w:sz w:val="24"/>
          <w:szCs w:val="24"/>
          <w:highlight w:val="none"/>
        </w:rPr>
        <w:t>项目进行了采购。经</w:t>
      </w:r>
      <w:r>
        <w:rPr>
          <w:rFonts w:hint="eastAsia" w:asciiTheme="minorEastAsia" w:hAnsiTheme="minorEastAsia" w:eastAsiaTheme="minorEastAsia" w:cstheme="minorEastAsia"/>
          <w:color w:val="auto"/>
          <w:sz w:val="24"/>
          <w:szCs w:val="24"/>
          <w:highlight w:val="none"/>
          <w:u w:val="single"/>
        </w:rPr>
        <w:t xml:space="preserve">   （相关评定主体名称）</w:t>
      </w:r>
      <w:r>
        <w:rPr>
          <w:rFonts w:hint="eastAsia" w:asciiTheme="minorEastAsia" w:hAnsiTheme="minorEastAsia" w:eastAsiaTheme="minorEastAsia" w:cstheme="minorEastAsia"/>
          <w:color w:val="auto"/>
          <w:sz w:val="24"/>
          <w:szCs w:val="24"/>
          <w:highlight w:val="none"/>
        </w:rPr>
        <w:t>评定，</w:t>
      </w:r>
      <w:r>
        <w:rPr>
          <w:rFonts w:hint="eastAsia" w:asciiTheme="minorEastAsia" w:hAnsiTheme="minorEastAsia" w:eastAsiaTheme="minorEastAsia" w:cstheme="minorEastAsia"/>
          <w:color w:val="auto"/>
          <w:sz w:val="24"/>
          <w:szCs w:val="24"/>
          <w:highlight w:val="none"/>
          <w:u w:val="single"/>
        </w:rPr>
        <w:t>（成交供应商名称）</w:t>
      </w:r>
      <w:r>
        <w:rPr>
          <w:rFonts w:hint="eastAsia" w:asciiTheme="minorEastAsia" w:hAnsiTheme="minorEastAsia" w:eastAsiaTheme="minorEastAsia" w:cstheme="minorEastAsia"/>
          <w:color w:val="auto"/>
          <w:sz w:val="24"/>
          <w:szCs w:val="24"/>
          <w:highlight w:val="none"/>
        </w:rPr>
        <w:t>为该项目成交供应商。现于成交通知书发出之日起三十日内，按照采购文件确定的事项签订本合同。</w:t>
      </w:r>
    </w:p>
    <w:p w14:paraId="498297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根据《中华人民共和国</w:t>
      </w:r>
      <w:r>
        <w:rPr>
          <w:rFonts w:hint="eastAsia" w:asciiTheme="minorEastAsia" w:hAnsiTheme="minorEastAsia" w:eastAsiaTheme="minorEastAsia" w:cstheme="minorEastAsia"/>
          <w:color w:val="auto"/>
          <w:sz w:val="24"/>
          <w:szCs w:val="24"/>
          <w:highlight w:val="none"/>
          <w:lang w:val="en-US" w:eastAsia="zh-CN"/>
        </w:rPr>
        <w:t>民法典</w:t>
      </w:r>
      <w:r>
        <w:rPr>
          <w:rFonts w:hint="eastAsia" w:asciiTheme="minorEastAsia" w:hAnsiTheme="minorEastAsia" w:eastAsiaTheme="minorEastAsia" w:cstheme="minorEastAsia"/>
          <w:color w:val="auto"/>
          <w:sz w:val="24"/>
          <w:szCs w:val="24"/>
          <w:highlight w:val="none"/>
          <w:lang w:val="zh-CN"/>
        </w:rPr>
        <w:t>》《中华人民共和国政府采购法》等相关法律法规之规定，按照平等、自愿、公平和诚实信用的原则，经</w:t>
      </w:r>
      <w:r>
        <w:rPr>
          <w:rFonts w:hint="eastAsia" w:asciiTheme="minorEastAsia" w:hAnsiTheme="minorEastAsia" w:eastAsiaTheme="minorEastAsia" w:cstheme="minorEastAsia"/>
          <w:color w:val="auto"/>
          <w:sz w:val="24"/>
          <w:szCs w:val="24"/>
          <w:highlight w:val="none"/>
          <w:u w:val="single"/>
        </w:rPr>
        <w:t xml:space="preserve"> （采购人名称）   </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lang w:val="zh-CN"/>
        </w:rPr>
        <w:t>以下简称：甲方）</w:t>
      </w:r>
      <w:r>
        <w:rPr>
          <w:rFonts w:hint="eastAsia" w:asciiTheme="minorEastAsia" w:hAnsiTheme="minorEastAsia" w:eastAsiaTheme="minorEastAsia" w:cstheme="minorEastAsia"/>
          <w:color w:val="auto"/>
          <w:sz w:val="24"/>
          <w:szCs w:val="24"/>
          <w:highlight w:val="none"/>
          <w:lang w:val="zh-CN"/>
        </w:rPr>
        <w:t>和</w:t>
      </w:r>
      <w:r>
        <w:rPr>
          <w:rFonts w:hint="eastAsia" w:asciiTheme="minorEastAsia" w:hAnsiTheme="minorEastAsia" w:eastAsiaTheme="minorEastAsia" w:cstheme="minorEastAsia"/>
          <w:color w:val="auto"/>
          <w:sz w:val="24"/>
          <w:szCs w:val="24"/>
          <w:highlight w:val="none"/>
          <w:u w:val="single"/>
        </w:rPr>
        <w:t xml:space="preserve">   （成交供应商名称）</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lang w:val="zh-CN"/>
        </w:rPr>
        <w:t>以下简称：乙方）</w:t>
      </w:r>
      <w:r>
        <w:rPr>
          <w:rFonts w:hint="eastAsia" w:asciiTheme="minorEastAsia" w:hAnsiTheme="minorEastAsia" w:eastAsiaTheme="minorEastAsia" w:cstheme="minorEastAsia"/>
          <w:color w:val="auto"/>
          <w:sz w:val="24"/>
          <w:szCs w:val="24"/>
          <w:highlight w:val="none"/>
          <w:lang w:val="zh-CN"/>
        </w:rPr>
        <w:t>协商一致，约定以下合同</w:t>
      </w:r>
      <w:r>
        <w:rPr>
          <w:rFonts w:hint="eastAsia" w:asciiTheme="minorEastAsia" w:hAnsiTheme="minorEastAsia" w:eastAsiaTheme="minorEastAsia" w:cstheme="minorEastAsia"/>
          <w:color w:val="auto"/>
          <w:sz w:val="24"/>
          <w:szCs w:val="24"/>
          <w:highlight w:val="none"/>
        </w:rPr>
        <w:t>条款，以兹共同遵守、全面履行。</w:t>
      </w:r>
    </w:p>
    <w:p w14:paraId="533A3D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167" w:name="_Toc893"/>
      <w:bookmarkStart w:id="168" w:name="_Toc5083"/>
      <w:bookmarkStart w:id="169" w:name="_Toc6067"/>
      <w:bookmarkStart w:id="170" w:name="_Toc24059"/>
      <w:bookmarkStart w:id="171" w:name="_Toc3029"/>
      <w:bookmarkStart w:id="172" w:name="_Toc2232"/>
      <w:bookmarkStart w:id="173" w:name="_Toc533_WPSOffice_Level2"/>
      <w:r>
        <w:rPr>
          <w:rFonts w:hint="eastAsia" w:asciiTheme="minorEastAsia" w:hAnsiTheme="minorEastAsia" w:eastAsiaTheme="minorEastAsia" w:cstheme="minorEastAsia"/>
          <w:color w:val="auto"/>
          <w:sz w:val="24"/>
          <w:szCs w:val="24"/>
          <w:highlight w:val="none"/>
        </w:rPr>
        <w:t>1.1 合同组成部分</w:t>
      </w:r>
      <w:bookmarkEnd w:id="167"/>
      <w:bookmarkEnd w:id="168"/>
      <w:bookmarkEnd w:id="169"/>
      <w:bookmarkEnd w:id="170"/>
      <w:bookmarkEnd w:id="171"/>
      <w:bookmarkEnd w:id="172"/>
      <w:bookmarkEnd w:id="173"/>
    </w:p>
    <w:p w14:paraId="1B5457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Theme="minorEastAsia" w:hAnsiTheme="minorEastAsia" w:eastAsiaTheme="minorEastAsia" w:cstheme="minorEastAsia"/>
          <w:color w:val="auto"/>
          <w:sz w:val="24"/>
          <w:szCs w:val="24"/>
          <w:highlight w:val="none"/>
          <w:lang w:eastAsia="zh-CN"/>
        </w:rPr>
        <w:t>份文件</w:t>
      </w:r>
      <w:r>
        <w:rPr>
          <w:rFonts w:hint="eastAsia" w:asciiTheme="minorEastAsia" w:hAnsiTheme="minorEastAsia" w:eastAsiaTheme="minorEastAsia" w:cstheme="minorEastAsia"/>
          <w:color w:val="auto"/>
          <w:sz w:val="24"/>
          <w:szCs w:val="24"/>
          <w:highlight w:val="none"/>
        </w:rPr>
        <w:t>的优先适用顺序如下：</w:t>
      </w:r>
    </w:p>
    <w:p w14:paraId="71C20A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 本合同及其补充合同、变更协议；</w:t>
      </w:r>
    </w:p>
    <w:p w14:paraId="609F2D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 成交通知书；</w:t>
      </w:r>
    </w:p>
    <w:p w14:paraId="0B15D7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 响应文件（含澄清或者说明文件）；</w:t>
      </w:r>
    </w:p>
    <w:p w14:paraId="2145B82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 磋商文件（含澄清或者修改文件）；</w:t>
      </w:r>
    </w:p>
    <w:p w14:paraId="444774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 其他相关采购文件。</w:t>
      </w:r>
    </w:p>
    <w:p w14:paraId="39154E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174" w:name="_Toc24300"/>
      <w:bookmarkStart w:id="175" w:name="_Toc18094"/>
      <w:bookmarkStart w:id="176" w:name="_Toc21295"/>
      <w:bookmarkStart w:id="177" w:name="_Toc25124_WPSOffice_Level2"/>
      <w:bookmarkStart w:id="178" w:name="_Toc27126"/>
      <w:bookmarkStart w:id="179" w:name="_Toc21966"/>
      <w:bookmarkStart w:id="180" w:name="_Toc4996"/>
      <w:r>
        <w:rPr>
          <w:rFonts w:hint="eastAsia" w:asciiTheme="minorEastAsia" w:hAnsiTheme="minorEastAsia" w:eastAsiaTheme="minorEastAsia" w:cstheme="minorEastAsia"/>
          <w:color w:val="auto"/>
          <w:sz w:val="24"/>
          <w:szCs w:val="24"/>
          <w:highlight w:val="none"/>
        </w:rPr>
        <w:t>1.2 服务</w:t>
      </w:r>
      <w:bookmarkEnd w:id="174"/>
      <w:bookmarkEnd w:id="175"/>
      <w:bookmarkEnd w:id="176"/>
      <w:bookmarkEnd w:id="177"/>
      <w:bookmarkEnd w:id="178"/>
      <w:bookmarkEnd w:id="179"/>
      <w:bookmarkEnd w:id="180"/>
    </w:p>
    <w:p w14:paraId="7700B3A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 服务名称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2F070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 服务数量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272832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 服务</w:t>
      </w:r>
      <w:r>
        <w:rPr>
          <w:rFonts w:hint="eastAsia" w:asciiTheme="minorEastAsia" w:hAnsiTheme="minorEastAsia" w:eastAsiaTheme="minorEastAsia" w:cstheme="minorEastAsia"/>
          <w:color w:val="auto"/>
          <w:sz w:val="24"/>
          <w:szCs w:val="24"/>
          <w:highlight w:val="none"/>
          <w:lang w:val="en-US" w:eastAsia="zh-CN"/>
        </w:rPr>
        <w:t>标准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0B4A9D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181" w:name="_Toc7340"/>
      <w:bookmarkStart w:id="182" w:name="_Toc23292"/>
      <w:bookmarkStart w:id="183" w:name="_Toc21551"/>
      <w:bookmarkStart w:id="184" w:name="_Toc6851_WPSOffice_Level2"/>
      <w:bookmarkStart w:id="185" w:name="_Toc31267"/>
      <w:bookmarkStart w:id="186" w:name="_Toc21631"/>
      <w:bookmarkStart w:id="187" w:name="_Toc4815"/>
      <w:r>
        <w:rPr>
          <w:rFonts w:hint="eastAsia" w:asciiTheme="minorEastAsia" w:hAnsiTheme="minorEastAsia" w:eastAsiaTheme="minorEastAsia" w:cstheme="minorEastAsia"/>
          <w:color w:val="auto"/>
          <w:sz w:val="24"/>
          <w:szCs w:val="24"/>
          <w:highlight w:val="none"/>
        </w:rPr>
        <w:t>1.3 价款</w:t>
      </w:r>
      <w:bookmarkEnd w:id="181"/>
      <w:bookmarkEnd w:id="182"/>
      <w:bookmarkEnd w:id="183"/>
      <w:bookmarkEnd w:id="184"/>
      <w:bookmarkEnd w:id="185"/>
      <w:bookmarkEnd w:id="186"/>
      <w:bookmarkEnd w:id="187"/>
    </w:p>
    <w:p w14:paraId="338362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本合同总价为</w:t>
      </w:r>
      <w:r>
        <w:rPr>
          <w:rFonts w:hint="eastAsia" w:asciiTheme="minorEastAsia" w:hAnsiTheme="minorEastAsia" w:eastAsiaTheme="minorEastAsia" w:cstheme="minorEastAsia"/>
          <w:color w:val="auto"/>
          <w:sz w:val="24"/>
          <w:szCs w:val="24"/>
          <w:highlight w:val="none"/>
          <w:u w:val="single"/>
        </w:rPr>
        <w:t>：￥       元（大写：        元人民币）</w:t>
      </w:r>
      <w:r>
        <w:rPr>
          <w:rFonts w:hint="eastAsia" w:asciiTheme="minorEastAsia" w:hAnsiTheme="minorEastAsia" w:eastAsiaTheme="minorEastAsia" w:cstheme="minorEastAsia"/>
          <w:color w:val="auto"/>
          <w:sz w:val="24"/>
          <w:szCs w:val="24"/>
          <w:highlight w:val="none"/>
        </w:rPr>
        <w:t>。</w:t>
      </w:r>
    </w:p>
    <w:p w14:paraId="1FEA2AB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188" w:name="_Toc6076"/>
      <w:bookmarkStart w:id="189" w:name="_Toc1814"/>
      <w:bookmarkStart w:id="190" w:name="_Toc28198"/>
      <w:bookmarkStart w:id="191" w:name="_Toc28728"/>
      <w:bookmarkStart w:id="192" w:name="_Toc10340"/>
      <w:bookmarkStart w:id="193" w:name="_Toc9077_WPSOffice_Level2"/>
      <w:bookmarkStart w:id="194" w:name="_Toc22618"/>
      <w:r>
        <w:rPr>
          <w:rFonts w:hint="eastAsia" w:asciiTheme="minorEastAsia" w:hAnsiTheme="minorEastAsia" w:eastAsiaTheme="minorEastAsia" w:cstheme="minorEastAsia"/>
          <w:color w:val="auto"/>
          <w:sz w:val="24"/>
          <w:szCs w:val="24"/>
          <w:highlight w:val="none"/>
        </w:rPr>
        <w:t>1.4 付款方式和发票开具方式</w:t>
      </w:r>
      <w:bookmarkEnd w:id="188"/>
      <w:bookmarkEnd w:id="189"/>
      <w:bookmarkEnd w:id="190"/>
      <w:bookmarkEnd w:id="191"/>
      <w:bookmarkEnd w:id="192"/>
      <w:bookmarkEnd w:id="193"/>
      <w:bookmarkEnd w:id="194"/>
    </w:p>
    <w:p w14:paraId="6028E6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rPr>
        <w:t xml:space="preserve">1.4.1 </w:t>
      </w:r>
      <w:r>
        <w:rPr>
          <w:rFonts w:hint="eastAsia" w:asciiTheme="minorEastAsia" w:hAnsiTheme="minorEastAsia" w:eastAsiaTheme="minorEastAsia" w:cstheme="minorEastAsia"/>
          <w:color w:val="auto"/>
          <w:sz w:val="24"/>
          <w:szCs w:val="24"/>
          <w:highlight w:val="none"/>
          <w:shd w:val="clear" w:color="auto" w:fill="auto"/>
        </w:rPr>
        <w:t>付款方式：</w:t>
      </w:r>
      <w:r>
        <w:rPr>
          <w:rFonts w:hint="eastAsia" w:asciiTheme="minorEastAsia" w:hAnsiTheme="minorEastAsia" w:eastAsiaTheme="minorEastAsia" w:cstheme="minorEastAsia"/>
          <w:color w:val="auto"/>
          <w:sz w:val="24"/>
          <w:szCs w:val="24"/>
          <w:highlight w:val="none"/>
          <w:u w:val="single"/>
          <w:shd w:val="clear" w:color="auto" w:fill="auto"/>
          <w:lang w:val="en-US" w:eastAsia="zh-CN"/>
        </w:rPr>
        <w:t>按服务进度付款：</w:t>
      </w:r>
      <w:r>
        <w:rPr>
          <w:rFonts w:hint="eastAsia" w:asciiTheme="minorEastAsia" w:hAnsiTheme="minorEastAsia" w:eastAsiaTheme="minorEastAsia" w:cstheme="minorEastAsia"/>
          <w:color w:val="auto"/>
          <w:sz w:val="24"/>
          <w:szCs w:val="24"/>
          <w:highlight w:val="none"/>
          <w:u w:val="single"/>
          <w:shd w:val="clear" w:color="auto" w:fill="auto"/>
        </w:rPr>
        <w:t xml:space="preserve">                  ；</w:t>
      </w:r>
    </w:p>
    <w:p w14:paraId="719861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 发票开具方式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5B3E0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195" w:name="_Toc32071"/>
      <w:bookmarkStart w:id="196" w:name="_Toc31453_WPSOffice_Level2"/>
      <w:bookmarkStart w:id="197" w:name="_Toc19304"/>
      <w:bookmarkStart w:id="198" w:name="_Toc31787"/>
      <w:bookmarkStart w:id="199" w:name="_Toc1510"/>
      <w:bookmarkStart w:id="200" w:name="_Toc2846"/>
      <w:bookmarkStart w:id="201" w:name="_Toc5663"/>
      <w:r>
        <w:rPr>
          <w:rFonts w:hint="eastAsia" w:asciiTheme="minorEastAsia" w:hAnsiTheme="minorEastAsia" w:eastAsiaTheme="minorEastAsia" w:cstheme="minorEastAsia"/>
          <w:color w:val="auto"/>
          <w:sz w:val="24"/>
          <w:szCs w:val="24"/>
          <w:highlight w:val="none"/>
        </w:rPr>
        <w:t>1.5 服务交付期限、地点和方式</w:t>
      </w:r>
      <w:bookmarkEnd w:id="195"/>
      <w:bookmarkEnd w:id="196"/>
      <w:bookmarkEnd w:id="197"/>
      <w:bookmarkEnd w:id="198"/>
      <w:bookmarkEnd w:id="199"/>
      <w:bookmarkEnd w:id="200"/>
      <w:bookmarkEnd w:id="201"/>
    </w:p>
    <w:p w14:paraId="2B5D6D6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1.5.1 交付期限：</w:t>
      </w:r>
      <w:r>
        <w:rPr>
          <w:rFonts w:hint="eastAsia" w:asciiTheme="minorEastAsia" w:hAnsiTheme="minorEastAsia" w:eastAsiaTheme="minorEastAsia" w:cstheme="minorEastAsia"/>
          <w:color w:val="auto"/>
          <w:sz w:val="24"/>
          <w:szCs w:val="24"/>
          <w:highlight w:val="none"/>
          <w:u w:val="single"/>
        </w:rPr>
        <w:t xml:space="preserve">                             ；</w:t>
      </w:r>
    </w:p>
    <w:p w14:paraId="4AEFF2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 交付地点</w:t>
      </w:r>
      <w:r>
        <w:rPr>
          <w:rFonts w:hint="eastAsia" w:asciiTheme="minorEastAsia" w:hAnsiTheme="minorEastAsia" w:eastAsiaTheme="minorEastAsia" w:cstheme="minorEastAsia"/>
          <w:color w:val="auto"/>
          <w:sz w:val="24"/>
          <w:szCs w:val="24"/>
          <w:highlight w:val="none"/>
          <w:u w:val="single"/>
        </w:rPr>
        <w:t>：                             ；</w:t>
      </w:r>
    </w:p>
    <w:p w14:paraId="6C4B75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1.5.3 交付方式</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23ADFA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202" w:name="_Toc21423"/>
      <w:bookmarkStart w:id="203" w:name="_Toc22576"/>
      <w:bookmarkStart w:id="204" w:name="_Toc17563_WPSOffice_Level2"/>
      <w:bookmarkStart w:id="205" w:name="_Toc12013"/>
      <w:bookmarkStart w:id="206" w:name="_Toc19554"/>
      <w:bookmarkStart w:id="207" w:name="_Toc27250"/>
      <w:bookmarkStart w:id="208" w:name="_Toc14728"/>
      <w:r>
        <w:rPr>
          <w:rFonts w:hint="eastAsia" w:asciiTheme="minorEastAsia" w:hAnsiTheme="minorEastAsia" w:eastAsiaTheme="minorEastAsia" w:cstheme="minorEastAsia"/>
          <w:color w:val="auto"/>
          <w:sz w:val="24"/>
          <w:szCs w:val="24"/>
          <w:highlight w:val="none"/>
        </w:rPr>
        <w:t>1.6 违约责任</w:t>
      </w:r>
      <w:bookmarkEnd w:id="202"/>
      <w:bookmarkEnd w:id="203"/>
      <w:bookmarkEnd w:id="204"/>
      <w:bookmarkEnd w:id="205"/>
      <w:bookmarkEnd w:id="206"/>
      <w:bookmarkEnd w:id="207"/>
      <w:bookmarkEnd w:id="208"/>
    </w:p>
    <w:p w14:paraId="1CF6F6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1.6.1 除不可抗力外，如果乙方没有按照本合同约定的期限、地点和方式交付服务，那么甲方可要求乙方支付违约金，违约金按每迟延交付服务一日的应交付而未交付服务价格的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计算，最高限额为本合同总价的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；迟延交付服务的违约金计算数额达到前述最高限额之日起，甲方有权在要求乙方支付违约金的同时，书面通知乙方解除本合同；</w:t>
      </w:r>
    </w:p>
    <w:p w14:paraId="26CFDC7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14:paraId="77B311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FF1112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5BA22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DAE2A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14:paraId="00D312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209" w:name="_Toc2407"/>
      <w:bookmarkStart w:id="210" w:name="_Toc16021"/>
      <w:bookmarkStart w:id="211" w:name="_Toc15583"/>
      <w:bookmarkStart w:id="212" w:name="_Toc18995_WPSOffice_Level2"/>
      <w:bookmarkStart w:id="213" w:name="_Toc27472"/>
      <w:bookmarkStart w:id="214" w:name="_Toc30335"/>
      <w:r>
        <w:rPr>
          <w:rFonts w:hint="eastAsia" w:asciiTheme="minorEastAsia" w:hAnsiTheme="minorEastAsia" w:eastAsiaTheme="minorEastAsia" w:cstheme="minorEastAsia"/>
          <w:color w:val="auto"/>
          <w:sz w:val="24"/>
          <w:szCs w:val="24"/>
          <w:highlight w:val="none"/>
        </w:rPr>
        <w:t>1.7 合同争议的解决</w:t>
      </w:r>
      <w:bookmarkEnd w:id="209"/>
      <w:bookmarkEnd w:id="210"/>
      <w:bookmarkEnd w:id="211"/>
      <w:bookmarkEnd w:id="212"/>
      <w:bookmarkEnd w:id="213"/>
      <w:bookmarkEnd w:id="214"/>
    </w:p>
    <w:p w14:paraId="4EA308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种方式解决：</w:t>
      </w:r>
    </w:p>
    <w:p w14:paraId="4DF44C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1.7.1 将争议提交</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仲裁委员会依申请仲裁时其现行有效的仲裁规则裁决；</w:t>
      </w:r>
    </w:p>
    <w:p w14:paraId="7560CE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1.7.2 向 </w:t>
      </w:r>
      <w:r>
        <w:rPr>
          <w:rFonts w:hint="eastAsia" w:asciiTheme="minorEastAsia" w:hAnsiTheme="minorEastAsia" w:eastAsiaTheme="minorEastAsia" w:cstheme="minorEastAsia"/>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Theme="minorEastAsia" w:hAnsiTheme="minorEastAsia" w:eastAsiaTheme="minorEastAsia" w:cstheme="minorEastAsia"/>
          <w:color w:val="auto"/>
          <w:sz w:val="24"/>
          <w:szCs w:val="24"/>
          <w:highlight w:val="none"/>
        </w:rPr>
        <w:t>人民法院起诉。</w:t>
      </w:r>
      <w:bookmarkStart w:id="215" w:name="_Toc17966"/>
      <w:bookmarkStart w:id="216" w:name="_Toc11173"/>
      <w:bookmarkStart w:id="217" w:name="_Toc7245"/>
      <w:bookmarkStart w:id="218" w:name="_Toc22758_WPSOffice_Level2"/>
      <w:bookmarkStart w:id="219" w:name="_Toc22902"/>
      <w:bookmarkStart w:id="220" w:name="_Toc15322"/>
      <w:bookmarkStart w:id="221" w:name="_Toc12251"/>
    </w:p>
    <w:p w14:paraId="7516CC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 合同生效</w:t>
      </w:r>
      <w:bookmarkEnd w:id="215"/>
      <w:bookmarkEnd w:id="216"/>
      <w:bookmarkEnd w:id="217"/>
      <w:bookmarkEnd w:id="218"/>
      <w:bookmarkEnd w:id="219"/>
      <w:bookmarkEnd w:id="220"/>
      <w:bookmarkEnd w:id="221"/>
    </w:p>
    <w:p w14:paraId="0ABA28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本合同自双方当事人盖章或者签字时生效。</w:t>
      </w:r>
    </w:p>
    <w:p w14:paraId="351C52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甲方：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zh-CN"/>
        </w:rPr>
        <w:t xml:space="preserve"> 乙方：</w:t>
      </w:r>
    </w:p>
    <w:p w14:paraId="268FA7E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统一社会信用代码：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zh-CN"/>
        </w:rPr>
        <w:t xml:space="preserve"> 统一社会信用代码：</w:t>
      </w:r>
    </w:p>
    <w:p w14:paraId="7BF3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住所：                               住所：</w:t>
      </w:r>
    </w:p>
    <w:p w14:paraId="161F35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法定代表人</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lang w:val="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zh-CN"/>
        </w:rPr>
        <w:t>法定代表人或</w:t>
      </w:r>
    </w:p>
    <w:p w14:paraId="35B24D7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授权代表（签字）：                   授权代表（签字）： </w:t>
      </w:r>
    </w:p>
    <w:p w14:paraId="237512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联系人：                             联系人：</w:t>
      </w:r>
    </w:p>
    <w:p w14:paraId="2AEEEC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约定送达地址：                       约定送达地址：</w:t>
      </w:r>
    </w:p>
    <w:p w14:paraId="70F8A7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邮政编码：                           邮政编码：</w:t>
      </w:r>
    </w:p>
    <w:p w14:paraId="65E70D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电话：                               电话： </w:t>
      </w:r>
    </w:p>
    <w:p w14:paraId="39825B4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传真：                               传真：</w:t>
      </w:r>
    </w:p>
    <w:p w14:paraId="43BF09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电子邮箱：                           电子邮箱：</w:t>
      </w:r>
    </w:p>
    <w:p w14:paraId="7A9646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开户银行：                           开户银行： </w:t>
      </w:r>
    </w:p>
    <w:p w14:paraId="77DD40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开户名称：                           开户名称： </w:t>
      </w:r>
    </w:p>
    <w:p w14:paraId="43792BDE">
      <w:pPr>
        <w:pStyle w:val="7"/>
        <w:keepNext w:val="0"/>
        <w:keepLines w:val="0"/>
        <w:pageBreakBefore w:val="0"/>
        <w:widowControl w:val="0"/>
        <w:kinsoku/>
        <w:wordWrap/>
        <w:overflowPunct/>
        <w:topLinePunct w:val="0"/>
        <w:autoSpaceDE/>
        <w:autoSpaceDN/>
        <w:bidi w:val="0"/>
        <w:adjustRightInd w:val="0"/>
        <w:snapToGrid w:val="0"/>
        <w:spacing w:after="0" w:line="440" w:lineRule="exact"/>
        <w:ind w:lef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开户账号：</w:t>
      </w:r>
      <w:r>
        <w:rPr>
          <w:rFonts w:hint="eastAsia" w:asciiTheme="minorEastAsia" w:hAnsiTheme="minorEastAsia" w:eastAsiaTheme="minorEastAsia" w:cstheme="minorEastAsia"/>
          <w:color w:val="auto"/>
          <w:sz w:val="24"/>
          <w:szCs w:val="24"/>
          <w:highlight w:val="none"/>
          <w:lang w:val="zh-CN"/>
        </w:rPr>
        <w:t xml:space="preserve">                           </w:t>
      </w:r>
      <w:r>
        <w:rPr>
          <w:rFonts w:hint="eastAsia" w:asciiTheme="minorEastAsia" w:hAnsiTheme="minorEastAsia" w:eastAsiaTheme="minorEastAsia" w:cstheme="minorEastAsia"/>
          <w:color w:val="auto"/>
          <w:sz w:val="24"/>
          <w:szCs w:val="24"/>
          <w:highlight w:val="none"/>
        </w:rPr>
        <w:t>开户账号：</w:t>
      </w:r>
    </w:p>
    <w:bookmarkEnd w:id="154"/>
    <w:p w14:paraId="77025C7B">
      <w:pPr>
        <w:numPr>
          <w:ilvl w:val="0"/>
          <w:numId w:val="0"/>
        </w:numPr>
        <w:bidi w:val="0"/>
        <w:spacing w:line="360" w:lineRule="auto"/>
        <w:ind w:firstLine="562" w:firstLineChars="200"/>
        <w:jc w:val="both"/>
        <w:rPr>
          <w:rFonts w:hint="eastAsia" w:asciiTheme="minorEastAsia" w:hAnsiTheme="minorEastAsia" w:eastAsiaTheme="minorEastAsia" w:cstheme="minorEastAsia"/>
          <w:b w:val="0"/>
          <w:bCs w:val="0"/>
          <w:color w:val="auto"/>
          <w:sz w:val="24"/>
          <w:szCs w:val="24"/>
          <w:lang w:val="en-US" w:eastAsia="zh-CN"/>
        </w:rPr>
        <w:sectPr>
          <w:footerReference r:id="rId14" w:type="default"/>
          <w:pgSz w:w="11907" w:h="16840"/>
          <w:pgMar w:top="1431" w:right="964" w:bottom="1039" w:left="1673" w:header="0" w:footer="874" w:gutter="0"/>
          <w:pgNumType w:fmt="decimal"/>
          <w:cols w:space="720" w:num="1"/>
        </w:sectPr>
      </w:pPr>
      <w:r>
        <w:rPr>
          <w:rFonts w:hint="eastAsia" w:asciiTheme="minorEastAsia" w:hAnsiTheme="minorEastAsia" w:eastAsiaTheme="minorEastAsia" w:cstheme="minorEastAsia"/>
          <w:b/>
          <w:color w:val="auto"/>
          <w:sz w:val="28"/>
          <w:szCs w:val="28"/>
          <w:highlight w:val="none"/>
        </w:rPr>
        <w:br w:type="page"/>
      </w:r>
    </w:p>
    <w:p w14:paraId="3690B26F">
      <w:pPr>
        <w:bidi w:val="0"/>
        <w:spacing w:line="360" w:lineRule="auto"/>
        <w:jc w:val="center"/>
        <w:rPr>
          <w:rStyle w:val="37"/>
          <w:rFonts w:hint="eastAsia" w:asciiTheme="minorEastAsia" w:hAnsiTheme="minorEastAsia" w:eastAsiaTheme="minorEastAsia" w:cstheme="minorEastAsia"/>
          <w:b/>
          <w:bCs/>
          <w:color w:val="auto"/>
          <w:sz w:val="32"/>
          <w:szCs w:val="32"/>
        </w:rPr>
      </w:pPr>
      <w:r>
        <w:rPr>
          <w:rStyle w:val="37"/>
          <w:rFonts w:hint="eastAsia" w:asciiTheme="minorEastAsia" w:hAnsiTheme="minorEastAsia" w:eastAsiaTheme="minorEastAsia" w:cstheme="minorEastAsia"/>
          <w:b/>
          <w:bCs/>
          <w:color w:val="auto"/>
          <w:sz w:val="32"/>
          <w:szCs w:val="32"/>
          <w:lang w:val="en-US" w:eastAsia="zh-CN"/>
        </w:rPr>
        <w:t xml:space="preserve">第五章 </w:t>
      </w:r>
      <w:r>
        <w:rPr>
          <w:rStyle w:val="37"/>
          <w:rFonts w:hint="eastAsia" w:asciiTheme="minorEastAsia" w:hAnsiTheme="minorEastAsia" w:eastAsiaTheme="minorEastAsia" w:cstheme="minorEastAsia"/>
          <w:b/>
          <w:bCs/>
          <w:color w:val="auto"/>
          <w:sz w:val="32"/>
          <w:szCs w:val="32"/>
        </w:rPr>
        <w:t>主要</w:t>
      </w:r>
      <w:r>
        <w:rPr>
          <w:rStyle w:val="37"/>
          <w:rFonts w:hint="eastAsia" w:asciiTheme="minorEastAsia" w:hAnsiTheme="minorEastAsia" w:eastAsiaTheme="minorEastAsia" w:cstheme="minorEastAsia"/>
          <w:b/>
          <w:bCs/>
          <w:color w:val="auto"/>
          <w:sz w:val="32"/>
          <w:szCs w:val="32"/>
          <w:lang w:eastAsia="zh-CN"/>
        </w:rPr>
        <w:t>响应文件</w:t>
      </w:r>
      <w:r>
        <w:rPr>
          <w:rStyle w:val="37"/>
          <w:rFonts w:hint="eastAsia" w:asciiTheme="minorEastAsia" w:hAnsiTheme="minorEastAsia" w:eastAsiaTheme="minorEastAsia" w:cstheme="minorEastAsia"/>
          <w:b/>
          <w:bCs/>
          <w:color w:val="auto"/>
          <w:sz w:val="32"/>
          <w:szCs w:val="32"/>
        </w:rPr>
        <w:t>的格式及其内容</w:t>
      </w:r>
      <w:bookmarkEnd w:id="146"/>
      <w:bookmarkEnd w:id="147"/>
    </w:p>
    <w:p w14:paraId="4811EB5D">
      <w:pPr>
        <w:bidi w:val="0"/>
        <w:jc w:val="center"/>
        <w:rPr>
          <w:rFonts w:hint="eastAsia" w:asciiTheme="minorEastAsia" w:hAnsiTheme="minorEastAsia" w:eastAsiaTheme="minorEastAsia" w:cstheme="minorEastAsia"/>
          <w:color w:val="auto"/>
          <w:sz w:val="72"/>
          <w:szCs w:val="72"/>
          <w:lang w:eastAsia="zh-CN"/>
        </w:rPr>
      </w:pPr>
    </w:p>
    <w:p w14:paraId="1D372CF6">
      <w:pPr>
        <w:bidi w:val="0"/>
        <w:jc w:val="center"/>
        <w:rPr>
          <w:rFonts w:hint="eastAsia" w:asciiTheme="minorEastAsia" w:hAnsiTheme="minorEastAsia" w:eastAsiaTheme="minorEastAsia" w:cstheme="minorEastAsia"/>
          <w:color w:val="auto"/>
          <w:sz w:val="72"/>
          <w:szCs w:val="72"/>
          <w:lang w:eastAsia="zh-CN"/>
        </w:rPr>
      </w:pPr>
      <w:r>
        <w:rPr>
          <w:rFonts w:hint="eastAsia" w:asciiTheme="minorEastAsia" w:hAnsiTheme="minorEastAsia" w:eastAsiaTheme="minorEastAsia" w:cstheme="minorEastAsia"/>
          <w:color w:val="auto"/>
          <w:sz w:val="72"/>
          <w:szCs w:val="72"/>
          <w:lang w:eastAsia="zh-CN"/>
        </w:rPr>
        <w:t>响应文件</w:t>
      </w:r>
    </w:p>
    <w:p w14:paraId="6276BF07">
      <w:pPr>
        <w:pStyle w:val="16"/>
        <w:rPr>
          <w:rFonts w:hint="eastAsia" w:asciiTheme="minorEastAsia" w:hAnsiTheme="minorEastAsia" w:eastAsiaTheme="minorEastAsia" w:cstheme="minorEastAsia"/>
          <w:color w:val="auto"/>
          <w:sz w:val="72"/>
          <w:szCs w:val="72"/>
          <w:lang w:eastAsia="zh-CN"/>
        </w:rPr>
      </w:pPr>
    </w:p>
    <w:p w14:paraId="2DA31251">
      <w:pPr>
        <w:rPr>
          <w:rFonts w:hint="eastAsia" w:asciiTheme="minorEastAsia" w:hAnsiTheme="minorEastAsia" w:eastAsiaTheme="minorEastAsia" w:cstheme="minorEastAsia"/>
          <w:color w:val="auto"/>
          <w:sz w:val="72"/>
          <w:szCs w:val="72"/>
          <w:lang w:eastAsia="zh-CN"/>
        </w:rPr>
      </w:pPr>
    </w:p>
    <w:p w14:paraId="7A3A0F7B">
      <w:pPr>
        <w:pStyle w:val="16"/>
        <w:rPr>
          <w:rFonts w:hint="eastAsia" w:asciiTheme="minorEastAsia" w:hAnsiTheme="minorEastAsia" w:eastAsiaTheme="minorEastAsia" w:cstheme="minorEastAsia"/>
          <w:color w:val="auto"/>
          <w:lang w:eastAsia="zh-CN"/>
        </w:rPr>
      </w:pPr>
    </w:p>
    <w:p w14:paraId="3689E36F">
      <w:pPr>
        <w:pStyle w:val="16"/>
        <w:numPr>
          <w:ilvl w:val="0"/>
          <w:numId w:val="0"/>
        </w:numPr>
        <w:wordWrap w:val="0"/>
        <w:spacing w:after="60"/>
        <w:jc w:val="center"/>
        <w:rPr>
          <w:rFonts w:hint="eastAsia" w:asciiTheme="minorEastAsia" w:hAnsiTheme="minorEastAsia" w:eastAsiaTheme="minorEastAsia" w:cstheme="minorEastAsia"/>
          <w:color w:val="auto"/>
          <w:lang w:val="en-US" w:eastAsia="zh-CN"/>
        </w:rPr>
      </w:pPr>
    </w:p>
    <w:p w14:paraId="36CE976C">
      <w:pPr>
        <w:rPr>
          <w:rFonts w:hint="eastAsia" w:asciiTheme="minorEastAsia" w:hAnsiTheme="minorEastAsia" w:eastAsiaTheme="minorEastAsia" w:cstheme="minorEastAsia"/>
          <w:color w:val="auto"/>
          <w:lang w:val="en-US" w:eastAsia="zh-CN"/>
        </w:rPr>
      </w:pPr>
    </w:p>
    <w:bookmarkEnd w:id="148"/>
    <w:bookmarkEnd w:id="149"/>
    <w:bookmarkEnd w:id="150"/>
    <w:bookmarkEnd w:id="151"/>
    <w:bookmarkEnd w:id="152"/>
    <w:p w14:paraId="42712F74">
      <w:pPr>
        <w:bidi w:val="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项目名称：三塘湖至淖毛湖至骆驿铁路建设项目等三个重点项目26个配套砂石矿矿业权出让收益评估报告编制</w:t>
      </w:r>
    </w:p>
    <w:p w14:paraId="73E2883A">
      <w:pPr>
        <w:bidi w:val="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项目编号：HMFYZFCGCS-2026-002</w:t>
      </w:r>
    </w:p>
    <w:p w14:paraId="4A522848">
      <w:pPr>
        <w:pStyle w:val="23"/>
        <w:rPr>
          <w:rFonts w:hint="eastAsia" w:asciiTheme="minorEastAsia" w:hAnsiTheme="minorEastAsia" w:eastAsiaTheme="minorEastAsia" w:cstheme="minorEastAsia"/>
          <w:color w:val="auto"/>
          <w:lang w:val="en-US" w:eastAsia="zh-CN"/>
        </w:rPr>
      </w:pPr>
    </w:p>
    <w:p w14:paraId="6F3F3967">
      <w:pPr>
        <w:pStyle w:val="33"/>
        <w:spacing w:line="360" w:lineRule="auto"/>
        <w:jc w:val="center"/>
        <w:rPr>
          <w:rFonts w:hint="eastAsia" w:asciiTheme="minorEastAsia" w:hAnsiTheme="minorEastAsia" w:eastAsiaTheme="minorEastAsia" w:cstheme="minorEastAsia"/>
          <w:b/>
          <w:bCs/>
          <w:color w:val="auto"/>
          <w:sz w:val="32"/>
          <w:szCs w:val="32"/>
          <w:lang w:val="en-US" w:eastAsia="zh-CN"/>
        </w:rPr>
      </w:pPr>
    </w:p>
    <w:p w14:paraId="5A30BF19">
      <w:pPr>
        <w:pStyle w:val="33"/>
        <w:spacing w:line="480" w:lineRule="exact"/>
        <w:jc w:val="both"/>
        <w:rPr>
          <w:rFonts w:hint="eastAsia" w:asciiTheme="minorEastAsia" w:hAnsiTheme="minorEastAsia" w:eastAsiaTheme="minorEastAsia" w:cstheme="minorEastAsia"/>
          <w:color w:val="auto"/>
          <w:sz w:val="28"/>
          <w:szCs w:val="28"/>
        </w:rPr>
      </w:pPr>
    </w:p>
    <w:p w14:paraId="28C20765">
      <w:pPr>
        <w:pStyle w:val="33"/>
        <w:spacing w:line="480" w:lineRule="exact"/>
        <w:ind w:firstLine="567"/>
        <w:jc w:val="both"/>
        <w:rPr>
          <w:rFonts w:hint="eastAsia" w:asciiTheme="minorEastAsia" w:hAnsiTheme="minorEastAsia" w:eastAsiaTheme="minorEastAsia" w:cstheme="minorEastAsia"/>
          <w:color w:val="auto"/>
          <w:sz w:val="28"/>
          <w:szCs w:val="28"/>
        </w:rPr>
      </w:pPr>
    </w:p>
    <w:p w14:paraId="5FBF2681">
      <w:pPr>
        <w:pStyle w:val="33"/>
        <w:spacing w:line="480" w:lineRule="exact"/>
        <w:jc w:val="both"/>
        <w:rPr>
          <w:rFonts w:hint="eastAsia" w:asciiTheme="minorEastAsia" w:hAnsiTheme="minorEastAsia" w:eastAsiaTheme="minorEastAsia" w:cstheme="minorEastAsia"/>
          <w:color w:val="auto"/>
          <w:sz w:val="24"/>
          <w:szCs w:val="24"/>
        </w:rPr>
      </w:pPr>
    </w:p>
    <w:p w14:paraId="1B5FF02A">
      <w:pPr>
        <w:bidi w:val="0"/>
        <w:rPr>
          <w:rFonts w:hint="eastAsia" w:asciiTheme="minorEastAsia" w:hAnsiTheme="minorEastAsia" w:eastAsiaTheme="minorEastAsia" w:cstheme="minorEastAsia"/>
          <w:color w:val="auto"/>
          <w:sz w:val="24"/>
          <w:szCs w:val="24"/>
        </w:rPr>
      </w:pPr>
      <w:bookmarkStart w:id="222" w:name="_Toc29140"/>
      <w:bookmarkStart w:id="223" w:name="_Toc10223"/>
      <w:r>
        <w:rPr>
          <w:rFonts w:hint="eastAsia" w:asciiTheme="minorEastAsia" w:hAnsiTheme="minorEastAsia" w:eastAsiaTheme="minorEastAsia" w:cstheme="minorEastAsia"/>
          <w:color w:val="auto"/>
          <w:sz w:val="24"/>
          <w:szCs w:val="24"/>
        </w:rPr>
        <w:t>供应商名称（盖章）：</w:t>
      </w:r>
    </w:p>
    <w:p w14:paraId="2304D54B">
      <w:pPr>
        <w:pStyle w:val="33"/>
        <w:spacing w:line="360" w:lineRule="auto"/>
        <w:ind w:firstLine="567"/>
        <w:jc w:val="both"/>
        <w:rPr>
          <w:rFonts w:hint="eastAsia" w:asciiTheme="minorEastAsia" w:hAnsiTheme="minorEastAsia" w:eastAsiaTheme="minorEastAsia" w:cstheme="minorEastAsia"/>
          <w:b/>
          <w:bCs/>
          <w:color w:val="auto"/>
          <w:sz w:val="24"/>
          <w:szCs w:val="24"/>
        </w:rPr>
      </w:pPr>
    </w:p>
    <w:p w14:paraId="6B16A6DB">
      <w:pPr>
        <w:bidi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法定代表人或委托代理人（签字或盖章）：</w:t>
      </w:r>
    </w:p>
    <w:p w14:paraId="2AAD71E3">
      <w:pPr>
        <w:pStyle w:val="33"/>
        <w:spacing w:line="360" w:lineRule="auto"/>
        <w:ind w:firstLine="567"/>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                                </w:t>
      </w:r>
    </w:p>
    <w:p w14:paraId="0EC0D31B">
      <w:pPr>
        <w:bidi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     年   月   日</w:t>
      </w:r>
      <w:bookmarkStart w:id="224" w:name="_Toc6629"/>
    </w:p>
    <w:p w14:paraId="6E930620">
      <w:pPr>
        <w:pStyle w:val="16"/>
        <w:rPr>
          <w:rFonts w:hint="eastAsia" w:asciiTheme="minorEastAsia" w:hAnsiTheme="minorEastAsia" w:eastAsiaTheme="minorEastAsia" w:cstheme="minorEastAsia"/>
          <w:color w:val="auto"/>
        </w:rPr>
      </w:pPr>
    </w:p>
    <w:p w14:paraId="6F2307A7">
      <w:pPr>
        <w:rPr>
          <w:rFonts w:hint="eastAsia" w:asciiTheme="minorEastAsia" w:hAnsiTheme="minorEastAsia" w:eastAsiaTheme="minorEastAsia" w:cstheme="minorEastAsia"/>
          <w:color w:val="auto"/>
        </w:rPr>
      </w:pPr>
    </w:p>
    <w:p w14:paraId="0C8B6A8D">
      <w:pPr>
        <w:rPr>
          <w:rFonts w:hint="eastAsia" w:asciiTheme="minorEastAsia" w:hAnsiTheme="minorEastAsia" w:eastAsiaTheme="minorEastAsia" w:cstheme="minorEastAsia"/>
          <w:color w:val="auto"/>
        </w:rPr>
      </w:pPr>
    </w:p>
    <w:p w14:paraId="7E41C070">
      <w:pPr>
        <w:rPr>
          <w:rFonts w:hint="eastAsia" w:asciiTheme="minorEastAsia" w:hAnsiTheme="minorEastAsia" w:eastAsiaTheme="minorEastAsia" w:cstheme="minorEastAsia"/>
          <w:color w:val="auto"/>
        </w:rPr>
      </w:pPr>
    </w:p>
    <w:p w14:paraId="01984961">
      <w:pPr>
        <w:rPr>
          <w:rFonts w:hint="eastAsia" w:asciiTheme="minorEastAsia" w:hAnsiTheme="minorEastAsia" w:eastAsiaTheme="minorEastAsia" w:cstheme="minorEastAsia"/>
          <w:color w:val="auto"/>
        </w:rPr>
      </w:pPr>
    </w:p>
    <w:p w14:paraId="6C692211">
      <w:pPr>
        <w:rPr>
          <w:rFonts w:hint="eastAsia" w:asciiTheme="minorEastAsia" w:hAnsiTheme="minorEastAsia" w:eastAsiaTheme="minorEastAsia" w:cstheme="minorEastAsia"/>
          <w:color w:val="auto"/>
        </w:rPr>
      </w:pPr>
    </w:p>
    <w:p w14:paraId="52892FB0">
      <w:pPr>
        <w:bidi w:val="0"/>
        <w:rPr>
          <w:rFonts w:hint="eastAsia" w:asciiTheme="minorEastAsia" w:hAnsiTheme="minorEastAsia" w:eastAsiaTheme="minorEastAsia" w:cstheme="minorEastAsia"/>
          <w:b/>
          <w:bCs/>
          <w:color w:val="auto"/>
          <w:kern w:val="2"/>
          <w:sz w:val="32"/>
          <w:szCs w:val="32"/>
          <w:lang w:val="en-US" w:eastAsia="zh-CN"/>
        </w:rPr>
      </w:pPr>
      <w:r>
        <w:rPr>
          <w:rFonts w:hint="eastAsia" w:asciiTheme="minorEastAsia" w:hAnsiTheme="minorEastAsia" w:eastAsiaTheme="minorEastAsia" w:cstheme="minorEastAsia"/>
          <w:b/>
          <w:bCs/>
          <w:color w:val="auto"/>
          <w:kern w:val="2"/>
          <w:sz w:val="32"/>
          <w:szCs w:val="32"/>
          <w:lang w:val="en-US" w:eastAsia="zh-CN"/>
        </w:rPr>
        <w:t>附件1</w:t>
      </w:r>
      <w:bookmarkEnd w:id="222"/>
      <w:bookmarkEnd w:id="223"/>
      <w:r>
        <w:rPr>
          <w:rFonts w:hint="eastAsia" w:asciiTheme="minorEastAsia" w:hAnsiTheme="minorEastAsia" w:eastAsiaTheme="minorEastAsia" w:cstheme="minorEastAsia"/>
          <w:b/>
          <w:bCs/>
          <w:color w:val="auto"/>
          <w:kern w:val="2"/>
          <w:sz w:val="32"/>
          <w:szCs w:val="32"/>
          <w:lang w:val="en-US" w:eastAsia="zh-CN"/>
        </w:rPr>
        <w:t>:</w:t>
      </w:r>
      <w:bookmarkEnd w:id="224"/>
    </w:p>
    <w:p w14:paraId="1AC190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32"/>
          <w:szCs w:val="32"/>
          <w:u w:val="none"/>
          <w:lang w:val="en-US" w:eastAsia="zh-CN"/>
        </w:rPr>
      </w:pPr>
      <w:bookmarkStart w:id="225" w:name="_Toc18361"/>
      <w:r>
        <w:rPr>
          <w:rFonts w:hint="eastAsia" w:asciiTheme="minorEastAsia" w:hAnsiTheme="minorEastAsia" w:eastAsiaTheme="minorEastAsia" w:cstheme="minorEastAsia"/>
          <w:b/>
          <w:bCs/>
          <w:color w:val="auto"/>
          <w:sz w:val="32"/>
          <w:szCs w:val="32"/>
          <w:u w:val="none"/>
          <w:lang w:val="en-US" w:eastAsia="zh-CN"/>
        </w:rPr>
        <w:t>投 标 函</w:t>
      </w:r>
      <w:bookmarkEnd w:id="225"/>
    </w:p>
    <w:p w14:paraId="1DCF897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none"/>
          <w:lang w:val="zh-CN"/>
        </w:rPr>
        <w:t>致：</w:t>
      </w:r>
      <w:r>
        <w:rPr>
          <w:rFonts w:hint="eastAsia" w:asciiTheme="minorEastAsia" w:hAnsiTheme="minorEastAsia" w:eastAsiaTheme="minorEastAsia" w:cstheme="minorEastAsia"/>
          <w:color w:val="auto"/>
          <w:sz w:val="24"/>
          <w:szCs w:val="24"/>
          <w:u w:val="none"/>
          <w:lang w:val="en-US" w:eastAsia="zh-CN"/>
        </w:rPr>
        <w:t>哈密丰远造价咨询有限责任公司</w:t>
      </w:r>
      <w:r>
        <w:rPr>
          <w:rFonts w:hint="eastAsia" w:asciiTheme="minorEastAsia" w:hAnsiTheme="minorEastAsia" w:eastAsiaTheme="minorEastAsia" w:cstheme="minorEastAsia"/>
          <w:color w:val="auto"/>
          <w:sz w:val="24"/>
          <w:szCs w:val="24"/>
          <w:u w:val="none"/>
          <w:lang w:val="zh-CN"/>
        </w:rPr>
        <w:t> </w:t>
      </w:r>
      <w:r>
        <w:rPr>
          <w:rFonts w:hint="eastAsia" w:asciiTheme="minorEastAsia" w:hAnsiTheme="minorEastAsia" w:eastAsiaTheme="minorEastAsia" w:cstheme="minorEastAsia"/>
          <w:color w:val="auto"/>
          <w:sz w:val="24"/>
          <w:szCs w:val="24"/>
          <w:u w:val="none"/>
        </w:rPr>
        <w:t xml:space="preserve"> </w:t>
      </w:r>
    </w:p>
    <w:p w14:paraId="4ED3DEBC">
      <w:pPr>
        <w:keepNext w:val="0"/>
        <w:keepLines w:val="0"/>
        <w:pageBreakBefore w:val="0"/>
        <w:widowControl w:val="0"/>
        <w:kinsoku/>
        <w:wordWrap/>
        <w:overflowPunct/>
        <w:topLinePunct w:val="0"/>
        <w:autoSpaceDE/>
        <w:autoSpaceDN/>
        <w:bidi w:val="0"/>
        <w:adjustRightInd/>
        <w:snapToGrid/>
        <w:spacing w:line="44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我公司收到</w:t>
      </w:r>
      <w:r>
        <w:rPr>
          <w:rFonts w:hint="eastAsia" w:asciiTheme="minorEastAsia" w:hAnsiTheme="minorEastAsia" w:eastAsiaTheme="minorEastAsia" w:cstheme="minorEastAsia"/>
          <w:color w:val="auto"/>
          <w:sz w:val="24"/>
          <w:szCs w:val="24"/>
          <w:u w:val="single"/>
        </w:rPr>
        <w:t xml:space="preserve">   （项目名称）  </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，经认真研究，我们决定参加本项目投标。</w:t>
      </w:r>
    </w:p>
    <w:p w14:paraId="426988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按照</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中的一切要求，我方完全接受</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的规定和要求</w:t>
      </w:r>
      <w:r>
        <w:rPr>
          <w:rFonts w:hint="eastAsia" w:asciiTheme="minorEastAsia" w:hAnsiTheme="minorEastAsia" w:eastAsiaTheme="minorEastAsia" w:cstheme="minorEastAsia"/>
          <w:color w:val="auto"/>
          <w:sz w:val="24"/>
          <w:szCs w:val="24"/>
          <w:lang w:eastAsia="zh-CN"/>
        </w:rPr>
        <w:t>愿</w:t>
      </w:r>
      <w:r>
        <w:rPr>
          <w:rFonts w:hint="eastAsia" w:asciiTheme="minorEastAsia" w:hAnsiTheme="minorEastAsia" w:eastAsiaTheme="minorEastAsia" w:cstheme="minorEastAsia"/>
          <w:color w:val="auto"/>
          <w:sz w:val="24"/>
          <w:szCs w:val="24"/>
        </w:rPr>
        <w:t>以</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，服务期限</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rPr>
        <w:t>完成上述项目的所有工作。</w:t>
      </w:r>
    </w:p>
    <w:p w14:paraId="5496406E">
      <w:pPr>
        <w:keepNext w:val="0"/>
        <w:keepLines w:val="0"/>
        <w:pageBreakBefore w:val="0"/>
        <w:widowControl w:val="0"/>
        <w:kinsoku/>
        <w:wordWrap/>
        <w:overflowPunct/>
        <w:topLinePunct w:val="0"/>
        <w:autoSpaceDE/>
        <w:autoSpaceDN/>
        <w:bidi w:val="0"/>
        <w:adjustRightInd/>
        <w:snapToGrid/>
        <w:spacing w:line="44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如果我们的</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被接受，我们将履行</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中规定的每一项要求，按期、按质、按量完成交货和完工任务。</w:t>
      </w:r>
    </w:p>
    <w:p w14:paraId="0B805C2B">
      <w:pPr>
        <w:keepNext w:val="0"/>
        <w:keepLines w:val="0"/>
        <w:pageBreakBefore w:val="0"/>
        <w:widowControl w:val="0"/>
        <w:kinsoku/>
        <w:wordWrap/>
        <w:overflowPunct/>
        <w:topLinePunct w:val="0"/>
        <w:autoSpaceDE/>
        <w:autoSpaceDN/>
        <w:bidi w:val="0"/>
        <w:adjustRightInd/>
        <w:snapToGrid/>
        <w:spacing w:line="44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我们同意按</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的规定，本</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的有效期为投标截止时间后</w:t>
      </w:r>
      <w:r>
        <w:rPr>
          <w:rFonts w:hint="eastAsia" w:asciiTheme="minorEastAsia" w:hAnsiTheme="minorEastAsia" w:eastAsiaTheme="minorEastAsia" w:cstheme="minorEastAsia"/>
          <w:color w:val="auto"/>
          <w:sz w:val="24"/>
          <w:szCs w:val="24"/>
          <w:u w:val="single"/>
        </w:rPr>
        <w:t xml:space="preserve"> 90 </w:t>
      </w:r>
      <w:r>
        <w:rPr>
          <w:rFonts w:hint="eastAsia" w:asciiTheme="minorEastAsia" w:hAnsiTheme="minorEastAsia" w:eastAsiaTheme="minorEastAsia" w:cstheme="minorEastAsia"/>
          <w:color w:val="auto"/>
          <w:sz w:val="24"/>
          <w:szCs w:val="24"/>
        </w:rPr>
        <w:t>天。</w:t>
      </w:r>
    </w:p>
    <w:p w14:paraId="05173C3B">
      <w:pPr>
        <w:keepNext w:val="0"/>
        <w:keepLines w:val="0"/>
        <w:pageBreakBefore w:val="0"/>
        <w:widowControl w:val="0"/>
        <w:kinsoku/>
        <w:wordWrap/>
        <w:overflowPunct/>
        <w:topLinePunct w:val="0"/>
        <w:autoSpaceDE/>
        <w:autoSpaceDN/>
        <w:bidi w:val="0"/>
        <w:adjustRightInd/>
        <w:snapToGrid/>
        <w:spacing w:line="44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我们愿意提供采购人在</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中要求的所有资料。</w:t>
      </w:r>
    </w:p>
    <w:p w14:paraId="562B02FF">
      <w:pPr>
        <w:keepNext w:val="0"/>
        <w:keepLines w:val="0"/>
        <w:pageBreakBefore w:val="0"/>
        <w:widowControl w:val="0"/>
        <w:kinsoku/>
        <w:wordWrap/>
        <w:overflowPunct/>
        <w:topLinePunct w:val="0"/>
        <w:autoSpaceDE/>
        <w:autoSpaceDN/>
        <w:bidi w:val="0"/>
        <w:adjustRightInd/>
        <w:snapToGrid/>
        <w:spacing w:line="44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我们认为采购人有选择或拒绝任何供应商中标的</w:t>
      </w:r>
      <w:r>
        <w:rPr>
          <w:rFonts w:hint="eastAsia" w:asciiTheme="minorEastAsia" w:hAnsiTheme="minorEastAsia" w:eastAsiaTheme="minorEastAsia" w:cstheme="minorEastAsia"/>
          <w:color w:val="auto"/>
          <w:sz w:val="24"/>
          <w:szCs w:val="24"/>
          <w:lang w:eastAsia="zh-CN"/>
        </w:rPr>
        <w:t>权利</w:t>
      </w:r>
      <w:r>
        <w:rPr>
          <w:rFonts w:hint="eastAsia" w:asciiTheme="minorEastAsia" w:hAnsiTheme="minorEastAsia" w:eastAsiaTheme="minorEastAsia" w:cstheme="minorEastAsia"/>
          <w:color w:val="auto"/>
          <w:sz w:val="24"/>
          <w:szCs w:val="24"/>
        </w:rPr>
        <w:t>。我们理解，最低报价不是中标的唯一条件。</w:t>
      </w:r>
    </w:p>
    <w:p w14:paraId="40E4839F">
      <w:pPr>
        <w:keepNext w:val="0"/>
        <w:keepLines w:val="0"/>
        <w:pageBreakBefore w:val="0"/>
        <w:widowControl w:val="0"/>
        <w:kinsoku/>
        <w:wordWrap/>
        <w:overflowPunct/>
        <w:topLinePunct w:val="0"/>
        <w:autoSpaceDE/>
        <w:autoSpaceDN/>
        <w:bidi w:val="0"/>
        <w:adjustRightInd/>
        <w:snapToGrid/>
        <w:spacing w:line="44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我们愿按</w:t>
      </w:r>
      <w:r>
        <w:rPr>
          <w:rFonts w:hint="eastAsia" w:asciiTheme="minorEastAsia" w:hAnsiTheme="minorEastAsia" w:eastAsiaTheme="minorEastAsia" w:cstheme="minorEastAsia"/>
          <w:color w:val="auto"/>
          <w:sz w:val="24"/>
          <w:szCs w:val="24"/>
          <w:lang w:val="en-US" w:eastAsia="zh-CN"/>
        </w:rPr>
        <w:t>民法典</w:t>
      </w:r>
      <w:r>
        <w:rPr>
          <w:rFonts w:hint="eastAsia" w:asciiTheme="minorEastAsia" w:hAnsiTheme="minorEastAsia" w:eastAsiaTheme="minorEastAsia" w:cstheme="minorEastAsia"/>
          <w:color w:val="auto"/>
          <w:sz w:val="24"/>
          <w:szCs w:val="24"/>
        </w:rPr>
        <w:t>履行自己的全部责任。</w:t>
      </w:r>
    </w:p>
    <w:p w14:paraId="6D3C0913">
      <w:pPr>
        <w:keepNext w:val="0"/>
        <w:keepLines w:val="0"/>
        <w:pageBreakBefore w:val="0"/>
        <w:widowControl w:val="0"/>
        <w:kinsoku/>
        <w:wordWrap/>
        <w:overflowPunct/>
        <w:topLinePunct w:val="0"/>
        <w:autoSpaceDE/>
        <w:autoSpaceDN/>
        <w:bidi w:val="0"/>
        <w:adjustRightInd/>
        <w:snapToGrid/>
        <w:spacing w:line="44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我方愿意遵守</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中规定的收费标准，承付采购代理服务费。</w:t>
      </w:r>
    </w:p>
    <w:p w14:paraId="24401D37">
      <w:pPr>
        <w:keepNext w:val="0"/>
        <w:keepLines w:val="0"/>
        <w:pageBreakBefore w:val="0"/>
        <w:widowControl w:val="0"/>
        <w:kinsoku/>
        <w:wordWrap/>
        <w:overflowPunct/>
        <w:topLinePunct w:val="0"/>
        <w:autoSpaceDE/>
        <w:autoSpaceDN/>
        <w:bidi w:val="0"/>
        <w:adjustRightInd/>
        <w:snapToGrid/>
        <w:spacing w:line="44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该项投标在投标截止时间后的投标有效期内保持有效，不作任何更改和变动。</w:t>
      </w:r>
    </w:p>
    <w:p w14:paraId="42E24851">
      <w:pPr>
        <w:keepNext w:val="0"/>
        <w:keepLines w:val="0"/>
        <w:pageBreakBefore w:val="0"/>
        <w:widowControl w:val="0"/>
        <w:kinsoku/>
        <w:wordWrap/>
        <w:overflowPunct/>
        <w:topLinePunct w:val="0"/>
        <w:autoSpaceDE/>
        <w:autoSpaceDN/>
        <w:bidi w:val="0"/>
        <w:adjustRightInd/>
        <w:snapToGrid/>
        <w:spacing w:line="44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我们同意按</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规定，交纳</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）的投标保证金。</w:t>
      </w:r>
    </w:p>
    <w:p w14:paraId="6477FF81">
      <w:pPr>
        <w:keepNext w:val="0"/>
        <w:keepLines w:val="0"/>
        <w:pageBreakBefore w:val="0"/>
        <w:widowControl w:val="0"/>
        <w:kinsoku/>
        <w:wordWrap/>
        <w:overflowPunct/>
        <w:topLinePunct w:val="0"/>
        <w:autoSpaceDE/>
        <w:autoSpaceDN/>
        <w:bidi w:val="0"/>
        <w:adjustRightInd/>
        <w:snapToGrid/>
        <w:spacing w:line="44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所有有关本</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的函电，请按下列地址联系：</w:t>
      </w:r>
    </w:p>
    <w:p w14:paraId="2F0A151E">
      <w:pPr>
        <w:keepNext w:val="0"/>
        <w:keepLines w:val="0"/>
        <w:pageBreakBefore w:val="0"/>
        <w:widowControl w:val="0"/>
        <w:kinsoku/>
        <w:wordWrap/>
        <w:overflowPunct/>
        <w:topLinePunct w:val="0"/>
        <w:autoSpaceDE/>
        <w:autoSpaceDN/>
        <w:bidi w:val="0"/>
        <w:adjustRightInd/>
        <w:snapToGrid/>
        <w:spacing w:line="44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单位名称：</w:t>
      </w:r>
    </w:p>
    <w:p w14:paraId="2443027E">
      <w:pPr>
        <w:keepNext w:val="0"/>
        <w:keepLines w:val="0"/>
        <w:pageBreakBefore w:val="0"/>
        <w:widowControl w:val="0"/>
        <w:kinsoku/>
        <w:wordWrap/>
        <w:overflowPunct/>
        <w:topLinePunct w:val="0"/>
        <w:autoSpaceDE/>
        <w:autoSpaceDN/>
        <w:bidi w:val="0"/>
        <w:adjustRightInd/>
        <w:snapToGrid/>
        <w:spacing w:line="44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    址：</w:t>
      </w:r>
    </w:p>
    <w:p w14:paraId="4466710A">
      <w:pPr>
        <w:keepNext w:val="0"/>
        <w:keepLines w:val="0"/>
        <w:pageBreakBefore w:val="0"/>
        <w:widowControl w:val="0"/>
        <w:kinsoku/>
        <w:wordWrap/>
        <w:overflowPunct/>
        <w:topLinePunct w:val="0"/>
        <w:autoSpaceDE/>
        <w:autoSpaceDN/>
        <w:bidi w:val="0"/>
        <w:adjustRightInd/>
        <w:snapToGrid/>
        <w:spacing w:line="44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邮政编码：</w:t>
      </w:r>
    </w:p>
    <w:p w14:paraId="5FD5AB07">
      <w:pPr>
        <w:keepNext w:val="0"/>
        <w:keepLines w:val="0"/>
        <w:pageBreakBefore w:val="0"/>
        <w:widowControl w:val="0"/>
        <w:kinsoku/>
        <w:wordWrap/>
        <w:overflowPunct/>
        <w:topLinePunct w:val="0"/>
        <w:autoSpaceDE/>
        <w:autoSpaceDN/>
        <w:bidi w:val="0"/>
        <w:adjustRightInd/>
        <w:snapToGrid/>
        <w:spacing w:line="44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 系 人：</w:t>
      </w:r>
    </w:p>
    <w:p w14:paraId="17014EA8">
      <w:pPr>
        <w:keepNext w:val="0"/>
        <w:keepLines w:val="0"/>
        <w:pageBreakBefore w:val="0"/>
        <w:widowControl w:val="0"/>
        <w:kinsoku/>
        <w:wordWrap/>
        <w:overflowPunct/>
        <w:topLinePunct w:val="0"/>
        <w:autoSpaceDE/>
        <w:autoSpaceDN/>
        <w:bidi w:val="0"/>
        <w:adjustRightInd/>
        <w:snapToGrid/>
        <w:spacing w:line="44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    话：</w:t>
      </w:r>
    </w:p>
    <w:p w14:paraId="499724CF">
      <w:pPr>
        <w:keepNext w:val="0"/>
        <w:keepLines w:val="0"/>
        <w:pageBreakBefore w:val="0"/>
        <w:widowControl w:val="0"/>
        <w:kinsoku/>
        <w:wordWrap/>
        <w:overflowPunct/>
        <w:topLinePunct w:val="0"/>
        <w:autoSpaceDE/>
        <w:autoSpaceDN/>
        <w:bidi w:val="0"/>
        <w:adjustRightInd/>
        <w:snapToGrid/>
        <w:spacing w:line="440" w:lineRule="exact"/>
        <w:ind w:firstLine="48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电子邮箱：</w:t>
      </w:r>
    </w:p>
    <w:p w14:paraId="697DAA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供应商名称（盖章）：</w:t>
      </w:r>
    </w:p>
    <w:p w14:paraId="232332F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法定代表人或委托代理人（签字或盖章）：</w:t>
      </w:r>
    </w:p>
    <w:p w14:paraId="263CA1E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日期：     年   月   日</w:t>
      </w:r>
    </w:p>
    <w:p w14:paraId="37A70E7A">
      <w:pPr>
        <w:bidi w:val="0"/>
        <w:rPr>
          <w:rFonts w:hint="eastAsia" w:asciiTheme="minorEastAsia" w:hAnsiTheme="minorEastAsia" w:eastAsiaTheme="minorEastAsia" w:cstheme="minorEastAsia"/>
          <w:b/>
          <w:bCs/>
          <w:color w:val="auto"/>
          <w:kern w:val="2"/>
          <w:sz w:val="32"/>
          <w:szCs w:val="21"/>
          <w:lang w:val="en-US" w:eastAsia="zh-CN"/>
        </w:rPr>
      </w:pPr>
      <w:bookmarkStart w:id="226" w:name="_Toc4872"/>
      <w:bookmarkStart w:id="227" w:name="_Toc4412"/>
      <w:bookmarkStart w:id="228" w:name="_Toc18057"/>
      <w:r>
        <w:rPr>
          <w:rFonts w:hint="eastAsia" w:asciiTheme="minorEastAsia" w:hAnsiTheme="minorEastAsia" w:eastAsiaTheme="minorEastAsia" w:cstheme="minorEastAsia"/>
          <w:b/>
          <w:bCs/>
          <w:color w:val="auto"/>
          <w:kern w:val="2"/>
          <w:sz w:val="24"/>
          <w:szCs w:val="24"/>
          <w:lang w:val="en-US" w:eastAsia="zh-CN"/>
        </w:rPr>
        <w:br w:type="page"/>
      </w:r>
      <w:r>
        <w:rPr>
          <w:rFonts w:hint="eastAsia" w:asciiTheme="minorEastAsia" w:hAnsiTheme="minorEastAsia" w:eastAsiaTheme="minorEastAsia" w:cstheme="minorEastAsia"/>
          <w:b/>
          <w:bCs/>
          <w:color w:val="auto"/>
          <w:kern w:val="2"/>
          <w:sz w:val="32"/>
          <w:szCs w:val="32"/>
          <w:lang w:val="en-US" w:eastAsia="zh-CN"/>
        </w:rPr>
        <w:t>附件2</w:t>
      </w:r>
      <w:bookmarkEnd w:id="226"/>
      <w:bookmarkEnd w:id="227"/>
      <w:r>
        <w:rPr>
          <w:rFonts w:hint="eastAsia" w:asciiTheme="minorEastAsia" w:hAnsiTheme="minorEastAsia" w:eastAsiaTheme="minorEastAsia" w:cstheme="minorEastAsia"/>
          <w:b/>
          <w:color w:val="auto"/>
          <w:sz w:val="32"/>
          <w:szCs w:val="32"/>
          <w:lang w:val="en-US" w:eastAsia="zh-CN"/>
        </w:rPr>
        <w:t>:</w:t>
      </w:r>
      <w:bookmarkEnd w:id="228"/>
    </w:p>
    <w:p w14:paraId="3EF32A55">
      <w:pPr>
        <w:bidi w:val="0"/>
        <w:jc w:val="center"/>
        <w:rPr>
          <w:rFonts w:hint="eastAsia" w:asciiTheme="minorEastAsia" w:hAnsiTheme="minorEastAsia" w:eastAsiaTheme="minorEastAsia" w:cstheme="minorEastAsia"/>
          <w:b/>
          <w:bCs/>
          <w:color w:val="auto"/>
          <w:kern w:val="2"/>
          <w:sz w:val="32"/>
          <w:szCs w:val="21"/>
          <w:lang w:val="en-US" w:eastAsia="zh-CN"/>
        </w:rPr>
      </w:pPr>
      <w:bookmarkStart w:id="229" w:name="_Toc8165"/>
      <w:r>
        <w:rPr>
          <w:rFonts w:hint="eastAsia" w:asciiTheme="minorEastAsia" w:hAnsiTheme="minorEastAsia" w:eastAsiaTheme="minorEastAsia" w:cstheme="minorEastAsia"/>
          <w:b/>
          <w:bCs/>
          <w:color w:val="auto"/>
          <w:kern w:val="2"/>
          <w:sz w:val="32"/>
          <w:szCs w:val="21"/>
          <w:lang w:val="en-US" w:eastAsia="zh-CN"/>
        </w:rPr>
        <w:t>法定代表人</w:t>
      </w:r>
      <w:bookmarkEnd w:id="229"/>
      <w:r>
        <w:rPr>
          <w:rFonts w:hint="eastAsia" w:asciiTheme="minorEastAsia" w:hAnsiTheme="minorEastAsia" w:eastAsiaTheme="minorEastAsia" w:cstheme="minorEastAsia"/>
          <w:b/>
          <w:bCs/>
          <w:color w:val="auto"/>
          <w:kern w:val="0"/>
          <w:sz w:val="30"/>
          <w:szCs w:val="30"/>
        </w:rPr>
        <w:t>身份证明书</w:t>
      </w:r>
    </w:p>
    <w:p w14:paraId="3CE4583D">
      <w:pPr>
        <w:bidi w:val="0"/>
        <w:spacing w:line="360" w:lineRule="auto"/>
        <w:jc w:val="left"/>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rPr>
        <w:t>单位名称：</w:t>
      </w:r>
      <w:r>
        <w:rPr>
          <w:rFonts w:hint="eastAsia" w:asciiTheme="minorEastAsia" w:hAnsiTheme="minorEastAsia" w:eastAsiaTheme="minorEastAsia" w:cstheme="minorEastAsia"/>
          <w:color w:val="auto"/>
          <w:sz w:val="24"/>
          <w:szCs w:val="24"/>
          <w:u w:val="none"/>
        </w:rPr>
        <w:t xml:space="preserve">                                            </w:t>
      </w:r>
    </w:p>
    <w:p w14:paraId="3636006D">
      <w:pPr>
        <w:bidi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地    址：            </w:t>
      </w:r>
    </w:p>
    <w:p w14:paraId="149FAA78">
      <w:pPr>
        <w:bidi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姓    名：        性别：      年龄：       职务：                            </w:t>
      </w:r>
    </w:p>
    <w:p w14:paraId="15432EAD">
      <w:pPr>
        <w:bidi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系</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的法定代表人。</w:t>
      </w:r>
    </w:p>
    <w:p w14:paraId="4DCC4B44">
      <w:pPr>
        <w:bidi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特此证明。</w:t>
      </w:r>
    </w:p>
    <w:tbl>
      <w:tblPr>
        <w:tblStyle w:val="24"/>
        <w:tblW w:w="7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9"/>
        <w:gridCol w:w="3820"/>
      </w:tblGrid>
      <w:tr w14:paraId="5536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jc w:val="center"/>
        </w:trPr>
        <w:tc>
          <w:tcPr>
            <w:tcW w:w="3779" w:type="dxa"/>
            <w:noWrap w:val="0"/>
            <w:vAlign w:val="center"/>
          </w:tcPr>
          <w:p w14:paraId="2B3E619B">
            <w:pPr>
              <w:bidi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法定代表人身份证（正面）</w:t>
            </w:r>
          </w:p>
        </w:tc>
        <w:tc>
          <w:tcPr>
            <w:tcW w:w="3820" w:type="dxa"/>
            <w:noWrap w:val="0"/>
            <w:vAlign w:val="center"/>
          </w:tcPr>
          <w:p w14:paraId="0B606951">
            <w:pPr>
              <w:bidi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w:t>
            </w:r>
            <w:r>
              <w:rPr>
                <w:rFonts w:hint="eastAsia" w:asciiTheme="minorEastAsia" w:hAnsiTheme="minorEastAsia" w:eastAsiaTheme="minorEastAsia" w:cstheme="minorEastAsia"/>
                <w:color w:val="auto"/>
                <w:sz w:val="24"/>
                <w:szCs w:val="24"/>
                <w:lang w:val="en-US" w:eastAsia="zh-CN"/>
              </w:rPr>
              <w:t>定代表人身份证（背面）</w:t>
            </w:r>
          </w:p>
        </w:tc>
      </w:tr>
    </w:tbl>
    <w:p w14:paraId="15092287">
      <w:pPr>
        <w:pStyle w:val="17"/>
        <w:spacing w:line="312" w:lineRule="auto"/>
        <w:ind w:left="0" w:firstLine="0" w:firstLineChars="0"/>
        <w:rPr>
          <w:rFonts w:hint="eastAsia" w:asciiTheme="minorEastAsia" w:hAnsiTheme="minorEastAsia" w:eastAsiaTheme="minorEastAsia" w:cstheme="minorEastAsia"/>
          <w:color w:val="auto"/>
          <w:sz w:val="24"/>
          <w:szCs w:val="24"/>
        </w:rPr>
      </w:pPr>
    </w:p>
    <w:p w14:paraId="4DCE4E75">
      <w:pPr>
        <w:pStyle w:val="17"/>
        <w:spacing w:line="312" w:lineRule="auto"/>
        <w:ind w:left="0" w:firstLine="0" w:firstLineChars="0"/>
        <w:rPr>
          <w:rFonts w:hint="eastAsia" w:asciiTheme="minorEastAsia" w:hAnsiTheme="minorEastAsia" w:eastAsiaTheme="minorEastAsia" w:cstheme="minorEastAsia"/>
          <w:color w:val="auto"/>
          <w:sz w:val="24"/>
          <w:szCs w:val="24"/>
        </w:rPr>
      </w:pPr>
    </w:p>
    <w:p w14:paraId="3655EA1C">
      <w:pPr>
        <w:pStyle w:val="17"/>
        <w:spacing w:line="312" w:lineRule="auto"/>
        <w:ind w:left="0" w:firstLine="0" w:firstLineChars="0"/>
        <w:rPr>
          <w:rFonts w:hint="eastAsia" w:asciiTheme="minorEastAsia" w:hAnsiTheme="minorEastAsia" w:eastAsiaTheme="minorEastAsia" w:cstheme="minorEastAsia"/>
          <w:color w:val="auto"/>
          <w:sz w:val="24"/>
          <w:szCs w:val="24"/>
        </w:rPr>
      </w:pPr>
    </w:p>
    <w:p w14:paraId="42BC249C">
      <w:pPr>
        <w:pStyle w:val="17"/>
        <w:spacing w:line="312" w:lineRule="auto"/>
        <w:ind w:left="0" w:firstLine="0" w:firstLineChars="0"/>
        <w:rPr>
          <w:rFonts w:hint="eastAsia" w:asciiTheme="minorEastAsia" w:hAnsiTheme="minorEastAsia" w:eastAsiaTheme="minorEastAsia" w:cstheme="minorEastAsia"/>
          <w:color w:val="auto"/>
          <w:sz w:val="24"/>
          <w:szCs w:val="24"/>
        </w:rPr>
      </w:pPr>
    </w:p>
    <w:p w14:paraId="0AE29F91">
      <w:pPr>
        <w:pStyle w:val="17"/>
        <w:spacing w:line="312" w:lineRule="auto"/>
        <w:ind w:left="0" w:firstLine="0" w:firstLineChars="0"/>
        <w:rPr>
          <w:rFonts w:hint="eastAsia" w:asciiTheme="minorEastAsia" w:hAnsiTheme="minorEastAsia" w:eastAsiaTheme="minorEastAsia" w:cstheme="minorEastAsia"/>
          <w:color w:val="auto"/>
          <w:sz w:val="24"/>
          <w:szCs w:val="24"/>
        </w:rPr>
      </w:pPr>
    </w:p>
    <w:p w14:paraId="12F96081">
      <w:pPr>
        <w:pStyle w:val="10"/>
        <w:ind w:left="838" w:firstLine="484"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供应商名称（盖章）：</w:t>
      </w:r>
    </w:p>
    <w:p w14:paraId="16D1A920">
      <w:pPr>
        <w:pStyle w:val="10"/>
        <w:ind w:left="838" w:firstLine="484" w:firstLineChars="200"/>
        <w:jc w:val="right"/>
        <w:rPr>
          <w:rFonts w:hint="eastAsia" w:asciiTheme="minorEastAsia" w:hAnsiTheme="minorEastAsia" w:eastAsiaTheme="minorEastAsia" w:cstheme="minorEastAsia"/>
          <w:bCs/>
          <w:color w:val="auto"/>
          <w:sz w:val="24"/>
          <w:szCs w:val="24"/>
        </w:rPr>
      </w:pPr>
    </w:p>
    <w:p w14:paraId="0E4D5931">
      <w:pPr>
        <w:pStyle w:val="33"/>
        <w:wordWrap w:val="0"/>
        <w:spacing w:line="360" w:lineRule="auto"/>
        <w:ind w:firstLine="56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786E5405">
      <w:pPr>
        <w:pStyle w:val="33"/>
        <w:wordWrap w:val="0"/>
        <w:spacing w:line="360" w:lineRule="auto"/>
        <w:ind w:firstLine="567"/>
        <w:jc w:val="righ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 xml:space="preserve"> 日期：     年   月   日</w:t>
      </w:r>
    </w:p>
    <w:p w14:paraId="0358B7E6">
      <w:pPr>
        <w:pStyle w:val="39"/>
        <w:spacing w:line="312" w:lineRule="auto"/>
        <w:jc w:val="right"/>
        <w:rPr>
          <w:rFonts w:hint="eastAsia" w:asciiTheme="minorEastAsia" w:hAnsiTheme="minorEastAsia" w:eastAsiaTheme="minorEastAsia" w:cstheme="minorEastAsia"/>
          <w:color w:val="auto"/>
          <w:sz w:val="24"/>
          <w:szCs w:val="24"/>
        </w:rPr>
      </w:pPr>
    </w:p>
    <w:p w14:paraId="44A47C39">
      <w:pPr>
        <w:bidi w:val="0"/>
        <w:jc w:val="center"/>
        <w:rPr>
          <w:rFonts w:hint="eastAsia" w:asciiTheme="minorEastAsia" w:hAnsiTheme="minorEastAsia" w:eastAsiaTheme="minorEastAsia" w:cstheme="minorEastAsia"/>
          <w:color w:val="auto"/>
          <w:sz w:val="30"/>
          <w:szCs w:val="30"/>
          <w:lang w:val="en-US" w:eastAsia="zh-CN"/>
        </w:rPr>
      </w:pPr>
      <w:bookmarkStart w:id="230" w:name="_Toc1629"/>
      <w:r>
        <w:rPr>
          <w:rStyle w:val="37"/>
          <w:rFonts w:hint="eastAsia" w:asciiTheme="minorEastAsia" w:hAnsiTheme="minorEastAsia" w:eastAsiaTheme="minorEastAsia" w:cstheme="minorEastAsia"/>
          <w:color w:val="auto"/>
          <w:sz w:val="32"/>
          <w:szCs w:val="28"/>
          <w:lang w:val="en-US" w:eastAsia="zh-CN"/>
        </w:rPr>
        <w:br w:type="page"/>
      </w:r>
      <w:bookmarkStart w:id="231" w:name="_Toc29989"/>
      <w:bookmarkStart w:id="232" w:name="_Toc17467"/>
      <w:r>
        <w:rPr>
          <w:rStyle w:val="37"/>
          <w:rFonts w:hint="eastAsia" w:asciiTheme="minorEastAsia" w:hAnsiTheme="minorEastAsia" w:eastAsiaTheme="minorEastAsia" w:cstheme="minorEastAsia"/>
          <w:color w:val="auto"/>
          <w:sz w:val="32"/>
          <w:szCs w:val="28"/>
          <w:lang w:val="en-US" w:eastAsia="zh-CN"/>
        </w:rPr>
        <w:t>授权委托书</w:t>
      </w:r>
      <w:bookmarkEnd w:id="230"/>
      <w:bookmarkEnd w:id="231"/>
      <w:bookmarkEnd w:id="232"/>
    </w:p>
    <w:p w14:paraId="11E47719">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本授权委托书声明：我</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（姓名）</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系</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（供应商名称）</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的法定代表人，现授权委托</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（供应商名称）</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 xml:space="preserve">的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（姓名、身份证号）</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我</w:t>
      </w:r>
      <w:r>
        <w:rPr>
          <w:rFonts w:hint="eastAsia" w:asciiTheme="minorEastAsia" w:hAnsiTheme="minorEastAsia" w:eastAsiaTheme="minorEastAsia" w:cstheme="minorEastAsia"/>
          <w:color w:val="auto"/>
          <w:sz w:val="24"/>
          <w:szCs w:val="24"/>
          <w:lang w:val="en-US" w:eastAsia="zh-CN"/>
        </w:rPr>
        <w:t>公司</w:t>
      </w:r>
      <w:r>
        <w:rPr>
          <w:rFonts w:hint="eastAsia" w:asciiTheme="minorEastAsia" w:hAnsiTheme="minorEastAsia" w:eastAsiaTheme="minorEastAsia" w:cstheme="minorEastAsia"/>
          <w:color w:val="auto"/>
          <w:sz w:val="24"/>
          <w:szCs w:val="24"/>
        </w:rPr>
        <w:t>代理人，以本</w:t>
      </w:r>
      <w:r>
        <w:rPr>
          <w:rFonts w:hint="eastAsia" w:asciiTheme="minorEastAsia" w:hAnsiTheme="minorEastAsia" w:eastAsiaTheme="minorEastAsia" w:cstheme="minorEastAsia"/>
          <w:color w:val="auto"/>
          <w:sz w:val="24"/>
          <w:szCs w:val="24"/>
          <w:lang w:val="en-US" w:eastAsia="zh-CN"/>
        </w:rPr>
        <w:t>公司</w:t>
      </w:r>
      <w:r>
        <w:rPr>
          <w:rFonts w:hint="eastAsia" w:asciiTheme="minorEastAsia" w:hAnsiTheme="minorEastAsia" w:eastAsiaTheme="minorEastAsia" w:cstheme="minorEastAsia"/>
          <w:color w:val="auto"/>
          <w:sz w:val="24"/>
          <w:szCs w:val="24"/>
        </w:rPr>
        <w:t>的名义参加</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（项目名称）</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的投标活动。</w:t>
      </w:r>
    </w:p>
    <w:p w14:paraId="24F7F2C8">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代理人在处理投标的过程中所签署的一切文件和处理与之有关的一切事务，我均予以承认。</w:t>
      </w:r>
    </w:p>
    <w:p w14:paraId="40226F0B">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授权期限</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日至</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日</w:t>
      </w:r>
    </w:p>
    <w:p w14:paraId="3B079AE8">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rPr>
      </w:pPr>
      <w:bookmarkStart w:id="233" w:name="_Toc23318"/>
      <w:bookmarkStart w:id="234" w:name="_Toc6017"/>
      <w:r>
        <w:rPr>
          <w:rFonts w:hint="eastAsia" w:asciiTheme="minorEastAsia" w:hAnsiTheme="minorEastAsia" w:eastAsiaTheme="minorEastAsia" w:cstheme="minorEastAsia"/>
          <w:color w:val="auto"/>
          <w:sz w:val="24"/>
          <w:szCs w:val="24"/>
        </w:rPr>
        <w:t>委托代理人无转委权。特此委托。</w:t>
      </w:r>
    </w:p>
    <w:p w14:paraId="1C5BB8BA">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委托代理人：            性  别：</w:t>
      </w:r>
    </w:p>
    <w:p w14:paraId="3FDB2B9E">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身份证号码：            电  话：</w:t>
      </w:r>
    </w:p>
    <w:p w14:paraId="5D604AF4">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部  门：                职  务： </w:t>
      </w:r>
    </w:p>
    <w:tbl>
      <w:tblPr>
        <w:tblStyle w:val="24"/>
        <w:tblW w:w="6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3402"/>
      </w:tblGrid>
      <w:tr w14:paraId="7785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3402" w:type="dxa"/>
            <w:noWrap w:val="0"/>
            <w:vAlign w:val="center"/>
          </w:tcPr>
          <w:p w14:paraId="4D320238">
            <w:pPr>
              <w:bidi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法定代表人身份证（正面）</w:t>
            </w:r>
          </w:p>
        </w:tc>
        <w:tc>
          <w:tcPr>
            <w:tcW w:w="3402" w:type="dxa"/>
            <w:noWrap w:val="0"/>
            <w:vAlign w:val="center"/>
          </w:tcPr>
          <w:p w14:paraId="0AE28A14">
            <w:pPr>
              <w:bidi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法定代表人身份证（背面）</w:t>
            </w:r>
          </w:p>
        </w:tc>
      </w:tr>
      <w:tr w14:paraId="44F3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3402" w:type="dxa"/>
            <w:noWrap w:val="0"/>
            <w:vAlign w:val="center"/>
          </w:tcPr>
          <w:p w14:paraId="443A66E3">
            <w:pPr>
              <w:bidi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委托代理人身份证（正面）</w:t>
            </w:r>
          </w:p>
        </w:tc>
        <w:tc>
          <w:tcPr>
            <w:tcW w:w="3402" w:type="dxa"/>
            <w:noWrap w:val="0"/>
            <w:vAlign w:val="center"/>
          </w:tcPr>
          <w:p w14:paraId="73FC2AAD">
            <w:pPr>
              <w:bidi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委托代理人身份证（背面）</w:t>
            </w:r>
          </w:p>
        </w:tc>
      </w:tr>
    </w:tbl>
    <w:p w14:paraId="302C98CA">
      <w:pPr>
        <w:bidi w:val="0"/>
        <w:spacing w:line="60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7982E24">
      <w:pPr>
        <w:bidi w:val="0"/>
        <w:spacing w:line="6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供应商名称（盖章）：</w:t>
      </w:r>
    </w:p>
    <w:p w14:paraId="4B933BC4">
      <w:pPr>
        <w:bidi w:val="0"/>
        <w:spacing w:line="60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法定代表人（签字或盖章）：</w:t>
      </w:r>
    </w:p>
    <w:p w14:paraId="557EEE9F">
      <w:pPr>
        <w:bidi w:val="0"/>
        <w:spacing w:line="60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委托代理人（签字或盖章）：</w:t>
      </w:r>
    </w:p>
    <w:p w14:paraId="00214B7F">
      <w:pPr>
        <w:bidi w:val="0"/>
        <w:spacing w:line="60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     年   月   日</w:t>
      </w:r>
      <w:bookmarkStart w:id="235" w:name="_Toc24450"/>
    </w:p>
    <w:p w14:paraId="7E59337C">
      <w:pPr>
        <w:bidi w:val="0"/>
        <w:rPr>
          <w:rStyle w:val="37"/>
          <w:rFonts w:hint="eastAsia" w:asciiTheme="minorEastAsia" w:hAnsiTheme="minorEastAsia" w:eastAsiaTheme="minorEastAsia" w:cstheme="minorEastAsia"/>
          <w:color w:val="auto"/>
          <w:szCs w:val="28"/>
          <w:lang w:val="en-US" w:eastAsia="zh-CN"/>
        </w:rPr>
      </w:pPr>
      <w:r>
        <w:rPr>
          <w:rFonts w:hint="eastAsia" w:asciiTheme="minorEastAsia" w:hAnsiTheme="minorEastAsia" w:eastAsiaTheme="minorEastAsia" w:cstheme="minorEastAsia"/>
          <w:color w:val="auto"/>
          <w:sz w:val="28"/>
          <w:szCs w:val="28"/>
        </w:rPr>
        <w:br w:type="page"/>
      </w:r>
      <w:bookmarkStart w:id="236" w:name="_Toc23108"/>
      <w:bookmarkStart w:id="237" w:name="_Toc2020"/>
      <w:r>
        <w:rPr>
          <w:rStyle w:val="37"/>
          <w:rFonts w:hint="eastAsia" w:asciiTheme="minorEastAsia" w:hAnsiTheme="minorEastAsia" w:eastAsiaTheme="minorEastAsia" w:cstheme="minorEastAsia"/>
          <w:b/>
          <w:bCs/>
          <w:color w:val="auto"/>
          <w:szCs w:val="28"/>
          <w:lang w:val="en-US" w:eastAsia="zh-CN"/>
        </w:rPr>
        <w:t>附件3</w:t>
      </w:r>
      <w:bookmarkEnd w:id="233"/>
      <w:bookmarkEnd w:id="234"/>
      <w:bookmarkEnd w:id="236"/>
      <w:bookmarkEnd w:id="237"/>
      <w:r>
        <w:rPr>
          <w:rFonts w:hint="eastAsia" w:asciiTheme="minorEastAsia" w:hAnsiTheme="minorEastAsia" w:eastAsiaTheme="minorEastAsia" w:cstheme="minorEastAsia"/>
          <w:b/>
          <w:bCs/>
          <w:color w:val="auto"/>
          <w:szCs w:val="28"/>
          <w:lang w:val="en-US" w:eastAsia="zh-CN"/>
        </w:rPr>
        <w:t>:</w:t>
      </w:r>
      <w:bookmarkEnd w:id="235"/>
    </w:p>
    <w:p w14:paraId="35150434">
      <w:pPr>
        <w:bidi w:val="0"/>
        <w:jc w:val="center"/>
        <w:rPr>
          <w:rStyle w:val="37"/>
          <w:rFonts w:hint="eastAsia" w:asciiTheme="minorEastAsia" w:hAnsiTheme="minorEastAsia" w:eastAsiaTheme="minorEastAsia" w:cstheme="minorEastAsia"/>
          <w:color w:val="auto"/>
          <w:sz w:val="32"/>
          <w:szCs w:val="28"/>
          <w:lang w:val="en-US" w:eastAsia="zh-CN"/>
        </w:rPr>
      </w:pPr>
      <w:bookmarkStart w:id="238" w:name="_Toc16855"/>
      <w:bookmarkStart w:id="239" w:name="_Toc8853"/>
      <w:bookmarkStart w:id="240" w:name="_Toc3617"/>
      <w:r>
        <w:rPr>
          <w:rStyle w:val="37"/>
          <w:rFonts w:hint="eastAsia" w:asciiTheme="minorEastAsia" w:hAnsiTheme="minorEastAsia" w:eastAsiaTheme="minorEastAsia" w:cstheme="minorEastAsia"/>
          <w:color w:val="auto"/>
          <w:sz w:val="32"/>
          <w:szCs w:val="28"/>
          <w:lang w:val="en-US" w:eastAsia="zh-CN"/>
        </w:rPr>
        <w:t>报价一览表</w:t>
      </w:r>
      <w:bookmarkEnd w:id="238"/>
    </w:p>
    <w:bookmarkEnd w:id="239"/>
    <w:bookmarkEnd w:id="240"/>
    <w:tbl>
      <w:tblPr>
        <w:tblStyle w:val="24"/>
        <w:tblW w:w="8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493"/>
      </w:tblGrid>
      <w:tr w14:paraId="7FF6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tcBorders>
              <w:bottom w:val="single" w:color="auto" w:sz="4" w:space="0"/>
            </w:tcBorders>
            <w:noWrap w:val="0"/>
            <w:vAlign w:val="center"/>
          </w:tcPr>
          <w:p w14:paraId="77922046">
            <w:pPr>
              <w:bidi w:val="0"/>
              <w:jc w:val="center"/>
              <w:rPr>
                <w:rFonts w:hint="eastAsia" w:asciiTheme="minorEastAsia" w:hAnsiTheme="minorEastAsia" w:eastAsiaTheme="minorEastAsia" w:cstheme="minorEastAsia"/>
                <w:color w:val="auto"/>
                <w:sz w:val="24"/>
                <w:szCs w:val="24"/>
              </w:rPr>
            </w:pPr>
            <w:bookmarkStart w:id="241" w:name="_Toc3980"/>
            <w:bookmarkStart w:id="242" w:name="_Toc14063"/>
            <w:r>
              <w:rPr>
                <w:rFonts w:hint="eastAsia" w:asciiTheme="minorEastAsia" w:hAnsiTheme="minorEastAsia" w:eastAsiaTheme="minorEastAsia" w:cstheme="minorEastAsia"/>
                <w:color w:val="auto"/>
                <w:sz w:val="24"/>
                <w:szCs w:val="24"/>
              </w:rPr>
              <w:t>供应商名称</w:t>
            </w:r>
          </w:p>
        </w:tc>
        <w:tc>
          <w:tcPr>
            <w:tcW w:w="6493" w:type="dxa"/>
            <w:tcBorders>
              <w:bottom w:val="single" w:color="auto" w:sz="4" w:space="0"/>
            </w:tcBorders>
            <w:noWrap w:val="0"/>
            <w:vAlign w:val="center"/>
          </w:tcPr>
          <w:p w14:paraId="61EE4C02">
            <w:pPr>
              <w:bidi w:val="0"/>
              <w:rPr>
                <w:rFonts w:hint="eastAsia" w:asciiTheme="minorEastAsia" w:hAnsiTheme="minorEastAsia" w:eastAsiaTheme="minorEastAsia" w:cstheme="minorEastAsia"/>
                <w:color w:val="auto"/>
                <w:sz w:val="24"/>
                <w:szCs w:val="24"/>
              </w:rPr>
            </w:pPr>
          </w:p>
        </w:tc>
      </w:tr>
      <w:tr w14:paraId="1758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tcBorders>
              <w:bottom w:val="single" w:color="auto" w:sz="4" w:space="0"/>
            </w:tcBorders>
            <w:noWrap w:val="0"/>
            <w:vAlign w:val="center"/>
          </w:tcPr>
          <w:p w14:paraId="2E1669F6">
            <w:pPr>
              <w:bidi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c>
        <w:tc>
          <w:tcPr>
            <w:tcW w:w="6493" w:type="dxa"/>
            <w:tcBorders>
              <w:bottom w:val="single" w:color="auto" w:sz="4" w:space="0"/>
            </w:tcBorders>
            <w:noWrap w:val="0"/>
            <w:vAlign w:val="center"/>
          </w:tcPr>
          <w:p w14:paraId="16A33B56">
            <w:pPr>
              <w:bidi w:val="0"/>
              <w:rPr>
                <w:rFonts w:hint="eastAsia" w:asciiTheme="minorEastAsia" w:hAnsiTheme="minorEastAsia" w:eastAsiaTheme="minorEastAsia" w:cstheme="minorEastAsia"/>
                <w:color w:val="auto"/>
                <w:sz w:val="24"/>
                <w:szCs w:val="24"/>
              </w:rPr>
            </w:pPr>
          </w:p>
        </w:tc>
      </w:tr>
      <w:tr w14:paraId="1AC9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noWrap w:val="0"/>
            <w:vAlign w:val="center"/>
          </w:tcPr>
          <w:p w14:paraId="1AC728B7">
            <w:pPr>
              <w:bidi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w:t>
            </w:r>
            <w:r>
              <w:rPr>
                <w:rFonts w:hint="eastAsia" w:asciiTheme="minorEastAsia" w:hAnsiTheme="minorEastAsia" w:eastAsiaTheme="minorEastAsia" w:cstheme="minorEastAsia"/>
                <w:color w:val="auto"/>
                <w:sz w:val="24"/>
                <w:szCs w:val="24"/>
                <w:lang w:eastAsia="zh-CN"/>
              </w:rPr>
              <w:t>总</w:t>
            </w:r>
            <w:r>
              <w:rPr>
                <w:rFonts w:hint="eastAsia" w:asciiTheme="minorEastAsia" w:hAnsiTheme="minorEastAsia" w:eastAsiaTheme="minorEastAsia" w:cstheme="minorEastAsia"/>
                <w:color w:val="auto"/>
                <w:sz w:val="24"/>
                <w:szCs w:val="24"/>
              </w:rPr>
              <w:t>报价</w:t>
            </w:r>
          </w:p>
          <w:p w14:paraId="134EDE30">
            <w:pPr>
              <w:bidi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（元）</w:t>
            </w:r>
          </w:p>
        </w:tc>
        <w:tc>
          <w:tcPr>
            <w:tcW w:w="6493" w:type="dxa"/>
            <w:noWrap w:val="0"/>
            <w:vAlign w:val="center"/>
          </w:tcPr>
          <w:p w14:paraId="3C442D1A">
            <w:pPr>
              <w:bidi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小写：</w:t>
            </w:r>
          </w:p>
          <w:p w14:paraId="0D244C7E">
            <w:pPr>
              <w:bidi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大写：</w:t>
            </w:r>
          </w:p>
        </w:tc>
      </w:tr>
      <w:tr w14:paraId="4FDD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noWrap w:val="0"/>
            <w:vAlign w:val="center"/>
          </w:tcPr>
          <w:p w14:paraId="26C13F2A">
            <w:pPr>
              <w:bidi w:val="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项目负责人</w:t>
            </w:r>
          </w:p>
        </w:tc>
        <w:tc>
          <w:tcPr>
            <w:tcW w:w="6493" w:type="dxa"/>
            <w:noWrap w:val="0"/>
            <w:vAlign w:val="center"/>
          </w:tcPr>
          <w:p w14:paraId="05327A57">
            <w:pPr>
              <w:bidi w:val="0"/>
              <w:rPr>
                <w:rFonts w:hint="eastAsia" w:asciiTheme="minorEastAsia" w:hAnsiTheme="minorEastAsia" w:eastAsiaTheme="minorEastAsia" w:cstheme="minorEastAsia"/>
                <w:color w:val="auto"/>
                <w:sz w:val="24"/>
                <w:szCs w:val="24"/>
              </w:rPr>
            </w:pPr>
          </w:p>
        </w:tc>
      </w:tr>
      <w:tr w14:paraId="1B99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noWrap w:val="0"/>
            <w:vAlign w:val="center"/>
          </w:tcPr>
          <w:p w14:paraId="455B6AE8">
            <w:pPr>
              <w:bidi w:val="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合同履行</w:t>
            </w:r>
            <w:r>
              <w:rPr>
                <w:rFonts w:hint="eastAsia" w:asciiTheme="minorEastAsia" w:hAnsiTheme="minorEastAsia" w:eastAsiaTheme="minorEastAsia" w:cstheme="minorEastAsia"/>
                <w:color w:val="auto"/>
                <w:sz w:val="24"/>
                <w:szCs w:val="24"/>
                <w:lang w:eastAsia="zh-CN"/>
              </w:rPr>
              <w:t>期限</w:t>
            </w:r>
          </w:p>
        </w:tc>
        <w:tc>
          <w:tcPr>
            <w:tcW w:w="6493" w:type="dxa"/>
            <w:noWrap w:val="0"/>
            <w:vAlign w:val="center"/>
          </w:tcPr>
          <w:p w14:paraId="7D71E42A">
            <w:pPr>
              <w:bidi w:val="0"/>
              <w:rPr>
                <w:rFonts w:hint="eastAsia" w:asciiTheme="minorEastAsia" w:hAnsiTheme="minorEastAsia" w:eastAsiaTheme="minorEastAsia" w:cstheme="minorEastAsia"/>
                <w:color w:val="auto"/>
                <w:sz w:val="24"/>
                <w:szCs w:val="24"/>
              </w:rPr>
            </w:pPr>
          </w:p>
        </w:tc>
      </w:tr>
      <w:tr w14:paraId="3BC9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noWrap w:val="0"/>
            <w:vAlign w:val="center"/>
          </w:tcPr>
          <w:p w14:paraId="7D8F405F">
            <w:pPr>
              <w:bidi w:val="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备注</w:t>
            </w:r>
          </w:p>
        </w:tc>
        <w:tc>
          <w:tcPr>
            <w:tcW w:w="6493" w:type="dxa"/>
            <w:noWrap w:val="0"/>
            <w:vAlign w:val="center"/>
          </w:tcPr>
          <w:p w14:paraId="33E2EA5C">
            <w:pPr>
              <w:bidi w:val="0"/>
              <w:rPr>
                <w:rFonts w:hint="eastAsia" w:asciiTheme="minorEastAsia" w:hAnsiTheme="minorEastAsia" w:eastAsiaTheme="minorEastAsia" w:cstheme="minorEastAsia"/>
                <w:color w:val="auto"/>
                <w:sz w:val="24"/>
                <w:szCs w:val="24"/>
              </w:rPr>
            </w:pPr>
          </w:p>
        </w:tc>
      </w:tr>
    </w:tbl>
    <w:p w14:paraId="3597BFFC">
      <w:pPr>
        <w:jc w:val="left"/>
        <w:rPr>
          <w:rFonts w:hint="eastAsia" w:asciiTheme="minorEastAsia" w:hAnsiTheme="minorEastAsia" w:eastAsiaTheme="minorEastAsia" w:cstheme="minorEastAsia"/>
          <w:b/>
          <w:bCs/>
          <w:color w:val="auto"/>
          <w:sz w:val="24"/>
          <w:szCs w:val="24"/>
        </w:rPr>
      </w:pPr>
    </w:p>
    <w:p w14:paraId="48877356">
      <w:pPr>
        <w:bidi w:val="0"/>
        <w:spacing w:line="6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 xml:space="preserve">  </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 xml:space="preserve">  </w:t>
      </w:r>
      <w:r>
        <w:rPr>
          <w:rFonts w:hint="eastAsia" w:asciiTheme="minorEastAsia" w:hAnsiTheme="minorEastAsia" w:eastAsiaTheme="minorEastAsia" w:cstheme="minorEastAsia"/>
          <w:color w:val="auto"/>
          <w:sz w:val="24"/>
          <w:szCs w:val="24"/>
        </w:rPr>
        <w:t>供应商名称（盖章）：</w:t>
      </w:r>
    </w:p>
    <w:p w14:paraId="60BD3FDD">
      <w:pPr>
        <w:bidi w:val="0"/>
        <w:spacing w:line="60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法定代表人或委托代理人（签字或盖章）：</w:t>
      </w:r>
    </w:p>
    <w:p w14:paraId="5B862E91">
      <w:pPr>
        <w:bidi w:val="0"/>
        <w:spacing w:line="60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     年   月   日</w:t>
      </w:r>
    </w:p>
    <w:p w14:paraId="094F9940">
      <w:pPr>
        <w:pStyle w:val="6"/>
        <w:ind w:firstLine="0"/>
        <w:jc w:val="right"/>
        <w:rPr>
          <w:rFonts w:hint="eastAsia" w:asciiTheme="minorEastAsia" w:hAnsiTheme="minorEastAsia" w:eastAsiaTheme="minorEastAsia" w:cstheme="minorEastAsia"/>
          <w:color w:val="auto"/>
          <w:sz w:val="24"/>
          <w:szCs w:val="24"/>
        </w:rPr>
      </w:pPr>
    </w:p>
    <w:bookmarkEnd w:id="241"/>
    <w:bookmarkEnd w:id="242"/>
    <w:p w14:paraId="7ACF7CA9">
      <w:pPr>
        <w:bidi w:val="0"/>
        <w:spacing w:line="600" w:lineRule="auto"/>
        <w:jc w:val="both"/>
        <w:rPr>
          <w:rFonts w:hint="eastAsia" w:asciiTheme="minorEastAsia" w:hAnsiTheme="minorEastAsia" w:eastAsiaTheme="minorEastAsia" w:cstheme="minorEastAsia"/>
          <w:color w:val="auto"/>
          <w:sz w:val="24"/>
          <w:szCs w:val="24"/>
        </w:rPr>
      </w:pPr>
      <w:bookmarkStart w:id="243" w:name="_Toc8623"/>
      <w:bookmarkStart w:id="244" w:name="_Toc10628"/>
      <w:bookmarkStart w:id="245" w:name="_Toc22472"/>
      <w:bookmarkStart w:id="246" w:name="_Toc7675"/>
      <w:bookmarkStart w:id="247" w:name="_Toc21598"/>
    </w:p>
    <w:p w14:paraId="78900C31">
      <w:pPr>
        <w:pStyle w:val="6"/>
        <w:ind w:firstLine="0"/>
        <w:jc w:val="right"/>
        <w:rPr>
          <w:rFonts w:hint="eastAsia" w:asciiTheme="minorEastAsia" w:hAnsiTheme="minorEastAsia" w:eastAsiaTheme="minorEastAsia" w:cstheme="minorEastAsia"/>
          <w:color w:val="auto"/>
          <w:sz w:val="28"/>
          <w:szCs w:val="28"/>
        </w:rPr>
      </w:pPr>
    </w:p>
    <w:p w14:paraId="47C9C118">
      <w:pPr>
        <w:pStyle w:val="3"/>
        <w:keepNext w:val="0"/>
        <w:numPr>
          <w:ilvl w:val="0"/>
          <w:numId w:val="0"/>
        </w:numPr>
        <w:jc w:val="left"/>
        <w:outlineLvl w:val="9"/>
        <w:rPr>
          <w:rFonts w:hint="eastAsia" w:asciiTheme="minorEastAsia" w:hAnsiTheme="minorEastAsia" w:eastAsiaTheme="minorEastAsia" w:cstheme="minorEastAsia"/>
          <w:color w:val="auto"/>
          <w:sz w:val="28"/>
          <w:szCs w:val="28"/>
        </w:rPr>
        <w:sectPr>
          <w:footerReference r:id="rId16" w:type="first"/>
          <w:footerReference r:id="rId15" w:type="default"/>
          <w:pgSz w:w="11906" w:h="16838"/>
          <w:pgMar w:top="1417" w:right="1417" w:bottom="1417" w:left="1417" w:header="851" w:footer="850" w:gutter="0"/>
          <w:pgNumType w:fmt="decimal"/>
          <w:cols w:space="720" w:num="1"/>
          <w:titlePg/>
          <w:docGrid w:type="linesAndChars" w:linePitch="312" w:charSpace="530"/>
        </w:sectPr>
      </w:pPr>
    </w:p>
    <w:bookmarkEnd w:id="243"/>
    <w:bookmarkEnd w:id="244"/>
    <w:bookmarkEnd w:id="245"/>
    <w:p w14:paraId="1619EC4C">
      <w:pPr>
        <w:bidi w:val="0"/>
        <w:rPr>
          <w:rStyle w:val="37"/>
          <w:rFonts w:hint="eastAsia" w:asciiTheme="minorEastAsia" w:hAnsiTheme="minorEastAsia" w:eastAsiaTheme="minorEastAsia" w:cstheme="minorEastAsia"/>
          <w:color w:val="auto"/>
          <w:sz w:val="32"/>
          <w:szCs w:val="28"/>
          <w:lang w:val="en-US" w:eastAsia="zh-CN"/>
        </w:rPr>
      </w:pPr>
      <w:bookmarkStart w:id="248" w:name="_Toc3317"/>
      <w:bookmarkStart w:id="249" w:name="_Toc24465"/>
      <w:bookmarkStart w:id="250" w:name="_Toc30133"/>
      <w:bookmarkStart w:id="251" w:name="_Toc1805"/>
      <w:bookmarkStart w:id="252" w:name="_Toc10159"/>
      <w:r>
        <w:rPr>
          <w:rStyle w:val="37"/>
          <w:rFonts w:hint="eastAsia" w:asciiTheme="minorEastAsia" w:hAnsiTheme="minorEastAsia" w:eastAsiaTheme="minorEastAsia" w:cstheme="minorEastAsia"/>
          <w:color w:val="auto"/>
          <w:sz w:val="32"/>
          <w:szCs w:val="28"/>
          <w:lang w:val="en-US" w:eastAsia="zh-CN"/>
        </w:rPr>
        <w:t>附件4：</w:t>
      </w:r>
      <w:bookmarkEnd w:id="248"/>
      <w:bookmarkEnd w:id="249"/>
      <w:bookmarkEnd w:id="250"/>
      <w:r>
        <w:rPr>
          <w:rStyle w:val="37"/>
          <w:rFonts w:hint="eastAsia" w:asciiTheme="minorEastAsia" w:hAnsiTheme="minorEastAsia" w:eastAsiaTheme="minorEastAsia" w:cstheme="minorEastAsia"/>
          <w:color w:val="auto"/>
          <w:sz w:val="32"/>
          <w:szCs w:val="28"/>
          <w:lang w:val="en-US" w:eastAsia="zh-CN"/>
        </w:rPr>
        <w:t>技术支持及服务承诺书（格式自拟）</w:t>
      </w:r>
    </w:p>
    <w:bookmarkEnd w:id="251"/>
    <w:bookmarkEnd w:id="252"/>
    <w:p w14:paraId="67E66E2D">
      <w:pPr>
        <w:pStyle w:val="23"/>
        <w:tabs>
          <w:tab w:val="left" w:pos="615"/>
        </w:tabs>
        <w:ind w:firstLine="0" w:firstLineChars="0"/>
        <w:rPr>
          <w:rFonts w:hint="eastAsia" w:asciiTheme="minorEastAsia" w:hAnsiTheme="minorEastAsia" w:eastAsiaTheme="minorEastAsia" w:cstheme="minorEastAsia"/>
          <w:color w:val="auto"/>
          <w:kern w:val="2"/>
          <w:sz w:val="21"/>
          <w:szCs w:val="21"/>
        </w:rPr>
      </w:pPr>
    </w:p>
    <w:p w14:paraId="010A2415">
      <w:pPr>
        <w:rPr>
          <w:rStyle w:val="37"/>
          <w:rFonts w:hint="eastAsia" w:asciiTheme="minorEastAsia" w:hAnsiTheme="minorEastAsia" w:eastAsiaTheme="minorEastAsia" w:cstheme="minorEastAsia"/>
          <w:color w:val="auto"/>
          <w:sz w:val="32"/>
          <w:szCs w:val="28"/>
          <w:lang w:val="en-US" w:eastAsia="zh-CN"/>
        </w:rPr>
      </w:pPr>
    </w:p>
    <w:p w14:paraId="7064F3AA">
      <w:pPr>
        <w:pStyle w:val="42"/>
        <w:widowControl w:val="0"/>
        <w:numPr>
          <w:ilvl w:val="0"/>
          <w:numId w:val="0"/>
        </w:numPr>
        <w:spacing w:line="360" w:lineRule="auto"/>
        <w:jc w:val="both"/>
        <w:rPr>
          <w:rFonts w:hint="eastAsia" w:asciiTheme="minorEastAsia" w:hAnsiTheme="minorEastAsia" w:eastAsiaTheme="minorEastAsia" w:cstheme="minorEastAsia"/>
          <w:color w:val="auto"/>
          <w:lang w:val="en-US" w:eastAsia="zh-CN"/>
        </w:rPr>
      </w:pPr>
    </w:p>
    <w:p w14:paraId="6E8CC7D0">
      <w:pPr>
        <w:keepNext w:val="0"/>
        <w:keepLines w:val="0"/>
        <w:pageBreakBefore w:val="0"/>
        <w:widowControl w:val="0"/>
        <w:kinsoku/>
        <w:wordWrap/>
        <w:overflowPunct/>
        <w:topLinePunct w:val="0"/>
        <w:autoSpaceDE/>
        <w:autoSpaceDN/>
        <w:bidi w:val="0"/>
        <w:adjustRightInd/>
        <w:snapToGrid/>
        <w:spacing w:line="360" w:lineRule="auto"/>
        <w:ind w:firstLine="644" w:firstLineChars="200"/>
        <w:jc w:val="center"/>
        <w:textAlignment w:val="auto"/>
        <w:rPr>
          <w:rStyle w:val="37"/>
          <w:rFonts w:hint="eastAsia" w:asciiTheme="minorEastAsia" w:hAnsiTheme="minorEastAsia" w:eastAsiaTheme="minorEastAsia" w:cstheme="minorEastAsia"/>
          <w:b/>
          <w:color w:val="auto"/>
          <w:kern w:val="2"/>
          <w:sz w:val="32"/>
          <w:szCs w:val="28"/>
          <w:lang w:val="en-US" w:eastAsia="zh-CN" w:bidi="ar-SA"/>
        </w:rPr>
      </w:pPr>
    </w:p>
    <w:p w14:paraId="77EDB34E">
      <w:pPr>
        <w:keepNext w:val="0"/>
        <w:keepLines w:val="0"/>
        <w:pageBreakBefore w:val="0"/>
        <w:widowControl w:val="0"/>
        <w:kinsoku/>
        <w:wordWrap/>
        <w:overflowPunct/>
        <w:topLinePunct w:val="0"/>
        <w:autoSpaceDE/>
        <w:autoSpaceDN/>
        <w:bidi w:val="0"/>
        <w:adjustRightInd/>
        <w:snapToGrid/>
        <w:spacing w:line="360" w:lineRule="auto"/>
        <w:ind w:firstLine="644" w:firstLineChars="200"/>
        <w:jc w:val="center"/>
        <w:textAlignment w:val="auto"/>
        <w:rPr>
          <w:rStyle w:val="37"/>
          <w:rFonts w:hint="eastAsia" w:asciiTheme="minorEastAsia" w:hAnsiTheme="minorEastAsia" w:eastAsiaTheme="minorEastAsia" w:cstheme="minorEastAsia"/>
          <w:b/>
          <w:color w:val="auto"/>
          <w:kern w:val="2"/>
          <w:sz w:val="32"/>
          <w:szCs w:val="28"/>
          <w:lang w:val="en-US" w:eastAsia="zh-CN" w:bidi="ar-SA"/>
        </w:rPr>
      </w:pPr>
    </w:p>
    <w:p w14:paraId="696417E9">
      <w:pPr>
        <w:keepNext w:val="0"/>
        <w:keepLines w:val="0"/>
        <w:pageBreakBefore w:val="0"/>
        <w:widowControl w:val="0"/>
        <w:kinsoku/>
        <w:wordWrap/>
        <w:overflowPunct/>
        <w:topLinePunct w:val="0"/>
        <w:autoSpaceDE/>
        <w:autoSpaceDN/>
        <w:bidi w:val="0"/>
        <w:adjustRightInd/>
        <w:snapToGrid/>
        <w:spacing w:line="360" w:lineRule="auto"/>
        <w:ind w:firstLine="644" w:firstLineChars="200"/>
        <w:jc w:val="center"/>
        <w:textAlignment w:val="auto"/>
        <w:rPr>
          <w:rStyle w:val="37"/>
          <w:rFonts w:hint="eastAsia" w:asciiTheme="minorEastAsia" w:hAnsiTheme="minorEastAsia" w:eastAsiaTheme="minorEastAsia" w:cstheme="minorEastAsia"/>
          <w:b/>
          <w:color w:val="auto"/>
          <w:kern w:val="2"/>
          <w:sz w:val="32"/>
          <w:szCs w:val="28"/>
          <w:lang w:val="en-US" w:eastAsia="zh-CN" w:bidi="ar-SA"/>
        </w:rPr>
      </w:pPr>
    </w:p>
    <w:p w14:paraId="07E7252D">
      <w:pPr>
        <w:keepNext w:val="0"/>
        <w:keepLines w:val="0"/>
        <w:pageBreakBefore w:val="0"/>
        <w:widowControl w:val="0"/>
        <w:kinsoku/>
        <w:wordWrap/>
        <w:overflowPunct/>
        <w:topLinePunct w:val="0"/>
        <w:autoSpaceDE/>
        <w:autoSpaceDN/>
        <w:bidi w:val="0"/>
        <w:adjustRightInd/>
        <w:snapToGrid/>
        <w:spacing w:line="360" w:lineRule="auto"/>
        <w:ind w:firstLine="644" w:firstLineChars="200"/>
        <w:jc w:val="center"/>
        <w:textAlignment w:val="auto"/>
        <w:rPr>
          <w:rStyle w:val="37"/>
          <w:rFonts w:hint="eastAsia" w:asciiTheme="minorEastAsia" w:hAnsiTheme="minorEastAsia" w:eastAsiaTheme="minorEastAsia" w:cstheme="minorEastAsia"/>
          <w:b/>
          <w:color w:val="auto"/>
          <w:kern w:val="2"/>
          <w:sz w:val="32"/>
          <w:szCs w:val="28"/>
          <w:lang w:val="en-US" w:eastAsia="zh-CN" w:bidi="ar-SA"/>
        </w:rPr>
      </w:pPr>
    </w:p>
    <w:p w14:paraId="354C3FE6">
      <w:pPr>
        <w:keepNext w:val="0"/>
        <w:keepLines w:val="0"/>
        <w:pageBreakBefore w:val="0"/>
        <w:widowControl w:val="0"/>
        <w:kinsoku/>
        <w:wordWrap/>
        <w:overflowPunct/>
        <w:topLinePunct w:val="0"/>
        <w:autoSpaceDE/>
        <w:autoSpaceDN/>
        <w:bidi w:val="0"/>
        <w:adjustRightInd/>
        <w:snapToGrid/>
        <w:spacing w:line="360" w:lineRule="auto"/>
        <w:ind w:firstLine="644" w:firstLineChars="200"/>
        <w:jc w:val="center"/>
        <w:textAlignment w:val="auto"/>
        <w:rPr>
          <w:rStyle w:val="37"/>
          <w:rFonts w:hint="eastAsia" w:asciiTheme="minorEastAsia" w:hAnsiTheme="minorEastAsia" w:eastAsiaTheme="minorEastAsia" w:cstheme="minorEastAsia"/>
          <w:b/>
          <w:color w:val="auto"/>
          <w:kern w:val="2"/>
          <w:sz w:val="32"/>
          <w:szCs w:val="28"/>
          <w:lang w:val="en-US" w:eastAsia="zh-CN" w:bidi="ar-SA"/>
        </w:rPr>
      </w:pPr>
    </w:p>
    <w:p w14:paraId="6C265D90">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37"/>
          <w:rFonts w:hint="eastAsia" w:asciiTheme="minorEastAsia" w:hAnsiTheme="minorEastAsia" w:eastAsiaTheme="minorEastAsia" w:cstheme="minorEastAsia"/>
          <w:b/>
          <w:color w:val="auto"/>
          <w:kern w:val="2"/>
          <w:sz w:val="32"/>
          <w:szCs w:val="28"/>
          <w:lang w:val="en-US" w:eastAsia="zh-CN" w:bidi="ar-SA"/>
        </w:rPr>
      </w:pPr>
    </w:p>
    <w:p w14:paraId="572FF6BF">
      <w:pPr>
        <w:pStyle w:val="34"/>
        <w:rPr>
          <w:rStyle w:val="37"/>
          <w:rFonts w:hint="eastAsia" w:asciiTheme="minorEastAsia" w:hAnsiTheme="minorEastAsia" w:eastAsiaTheme="minorEastAsia" w:cstheme="minorEastAsia"/>
          <w:b/>
          <w:color w:val="auto"/>
          <w:kern w:val="2"/>
          <w:sz w:val="32"/>
          <w:szCs w:val="28"/>
          <w:lang w:val="en-US" w:eastAsia="zh-CN" w:bidi="ar-SA"/>
        </w:rPr>
      </w:pPr>
    </w:p>
    <w:p w14:paraId="680968A3">
      <w:pPr>
        <w:pStyle w:val="34"/>
        <w:rPr>
          <w:rStyle w:val="37"/>
          <w:rFonts w:hint="eastAsia" w:asciiTheme="minorEastAsia" w:hAnsiTheme="minorEastAsia" w:eastAsiaTheme="minorEastAsia" w:cstheme="minorEastAsia"/>
          <w:b/>
          <w:color w:val="auto"/>
          <w:kern w:val="2"/>
          <w:sz w:val="32"/>
          <w:szCs w:val="28"/>
          <w:lang w:val="en-US" w:eastAsia="zh-CN" w:bidi="ar-SA"/>
        </w:rPr>
      </w:pPr>
    </w:p>
    <w:p w14:paraId="22B566CC">
      <w:pPr>
        <w:pStyle w:val="34"/>
        <w:rPr>
          <w:rStyle w:val="37"/>
          <w:rFonts w:hint="eastAsia" w:asciiTheme="minorEastAsia" w:hAnsiTheme="minorEastAsia" w:eastAsiaTheme="minorEastAsia" w:cstheme="minorEastAsia"/>
          <w:b/>
          <w:color w:val="auto"/>
          <w:kern w:val="2"/>
          <w:sz w:val="32"/>
          <w:szCs w:val="28"/>
          <w:lang w:val="en-US" w:eastAsia="zh-CN" w:bidi="ar-SA"/>
        </w:rPr>
      </w:pPr>
    </w:p>
    <w:p w14:paraId="688C109C">
      <w:pPr>
        <w:pStyle w:val="34"/>
        <w:rPr>
          <w:rStyle w:val="37"/>
          <w:rFonts w:hint="eastAsia" w:asciiTheme="minorEastAsia" w:hAnsiTheme="minorEastAsia" w:eastAsiaTheme="minorEastAsia" w:cstheme="minorEastAsia"/>
          <w:b/>
          <w:color w:val="auto"/>
          <w:kern w:val="2"/>
          <w:sz w:val="32"/>
          <w:szCs w:val="28"/>
          <w:lang w:val="en-US" w:eastAsia="zh-CN" w:bidi="ar-SA"/>
        </w:rPr>
      </w:pPr>
    </w:p>
    <w:p w14:paraId="13436093">
      <w:pPr>
        <w:pStyle w:val="34"/>
        <w:rPr>
          <w:rStyle w:val="37"/>
          <w:rFonts w:hint="eastAsia" w:asciiTheme="minorEastAsia" w:hAnsiTheme="minorEastAsia" w:eastAsiaTheme="minorEastAsia" w:cstheme="minorEastAsia"/>
          <w:b/>
          <w:color w:val="auto"/>
          <w:kern w:val="2"/>
          <w:sz w:val="32"/>
          <w:szCs w:val="28"/>
          <w:lang w:val="en-US" w:eastAsia="zh-CN" w:bidi="ar-SA"/>
        </w:rPr>
      </w:pPr>
    </w:p>
    <w:p w14:paraId="2FC5E6C4">
      <w:pPr>
        <w:bidi w:val="0"/>
        <w:spacing w:line="600" w:lineRule="auto"/>
        <w:jc w:val="both"/>
        <w:rPr>
          <w:rStyle w:val="37"/>
          <w:rFonts w:hint="eastAsia" w:asciiTheme="minorEastAsia" w:hAnsiTheme="minorEastAsia" w:eastAsiaTheme="minorEastAsia" w:cstheme="minorEastAsia"/>
          <w:b/>
          <w:bCs/>
          <w:color w:val="auto"/>
          <w:sz w:val="32"/>
          <w:szCs w:val="28"/>
          <w:lang w:val="en-US" w:eastAsia="zh-CN"/>
        </w:rPr>
      </w:pPr>
    </w:p>
    <w:p w14:paraId="730A8688">
      <w:pPr>
        <w:bidi w:val="0"/>
        <w:spacing w:line="600" w:lineRule="auto"/>
        <w:jc w:val="both"/>
        <w:rPr>
          <w:rStyle w:val="37"/>
          <w:rFonts w:hint="eastAsia" w:asciiTheme="minorEastAsia" w:hAnsiTheme="minorEastAsia" w:eastAsiaTheme="minorEastAsia" w:cstheme="minorEastAsia"/>
          <w:b/>
          <w:bCs/>
          <w:color w:val="auto"/>
          <w:sz w:val="32"/>
          <w:szCs w:val="28"/>
          <w:lang w:val="en-US" w:eastAsia="zh-CN"/>
        </w:rPr>
      </w:pPr>
    </w:p>
    <w:p w14:paraId="64C19891">
      <w:pPr>
        <w:bidi w:val="0"/>
        <w:spacing w:line="600" w:lineRule="auto"/>
        <w:jc w:val="both"/>
        <w:rPr>
          <w:rStyle w:val="37"/>
          <w:rFonts w:hint="eastAsia" w:asciiTheme="minorEastAsia" w:hAnsiTheme="minorEastAsia" w:eastAsiaTheme="minorEastAsia" w:cstheme="minorEastAsia"/>
          <w:b/>
          <w:bCs/>
          <w:color w:val="auto"/>
          <w:sz w:val="32"/>
          <w:szCs w:val="28"/>
          <w:lang w:val="en-US" w:eastAsia="zh-CN"/>
        </w:rPr>
      </w:pPr>
    </w:p>
    <w:p w14:paraId="629256C6">
      <w:pPr>
        <w:bidi w:val="0"/>
        <w:spacing w:line="600" w:lineRule="auto"/>
        <w:jc w:val="both"/>
        <w:rPr>
          <w:rStyle w:val="37"/>
          <w:rFonts w:hint="eastAsia" w:asciiTheme="minorEastAsia" w:hAnsiTheme="minorEastAsia" w:eastAsiaTheme="minorEastAsia" w:cstheme="minorEastAsia"/>
          <w:b/>
          <w:bCs/>
          <w:color w:val="auto"/>
          <w:sz w:val="32"/>
          <w:szCs w:val="28"/>
          <w:lang w:val="en-US" w:eastAsia="zh-CN"/>
        </w:rPr>
      </w:pPr>
    </w:p>
    <w:p w14:paraId="20624D2D">
      <w:pPr>
        <w:bidi w:val="0"/>
        <w:spacing w:line="600" w:lineRule="auto"/>
        <w:jc w:val="both"/>
        <w:rPr>
          <w:rStyle w:val="37"/>
          <w:rFonts w:hint="eastAsia" w:asciiTheme="minorEastAsia" w:hAnsiTheme="minorEastAsia" w:eastAsiaTheme="minorEastAsia" w:cstheme="minorEastAsia"/>
          <w:b/>
          <w:bCs/>
          <w:color w:val="auto"/>
          <w:sz w:val="32"/>
          <w:szCs w:val="28"/>
          <w:lang w:val="en-US" w:eastAsia="zh-CN"/>
        </w:rPr>
      </w:pPr>
    </w:p>
    <w:p w14:paraId="6183238C">
      <w:pPr>
        <w:bidi w:val="0"/>
        <w:spacing w:line="600" w:lineRule="auto"/>
        <w:jc w:val="both"/>
        <w:rPr>
          <w:rStyle w:val="37"/>
          <w:rFonts w:hint="eastAsia" w:asciiTheme="minorEastAsia" w:hAnsiTheme="minorEastAsia" w:eastAsiaTheme="minorEastAsia" w:cstheme="minorEastAsia"/>
          <w:b/>
          <w:bCs/>
          <w:color w:val="auto"/>
          <w:sz w:val="32"/>
          <w:szCs w:val="28"/>
          <w:lang w:val="en-US" w:eastAsia="zh-CN"/>
        </w:rPr>
      </w:pPr>
    </w:p>
    <w:p w14:paraId="1B29C60A">
      <w:pPr>
        <w:bidi w:val="0"/>
        <w:spacing w:line="600" w:lineRule="auto"/>
        <w:jc w:val="both"/>
        <w:rPr>
          <w:rStyle w:val="37"/>
          <w:rFonts w:hint="eastAsia" w:asciiTheme="minorEastAsia" w:hAnsiTheme="minorEastAsia" w:eastAsiaTheme="minorEastAsia" w:cstheme="minorEastAsia"/>
          <w:b/>
          <w:bCs/>
          <w:color w:val="auto"/>
          <w:sz w:val="32"/>
          <w:szCs w:val="28"/>
          <w:lang w:val="en-US" w:eastAsia="zh-CN"/>
        </w:rPr>
      </w:pPr>
      <w:bookmarkStart w:id="253" w:name="_Toc25648"/>
      <w:bookmarkStart w:id="254" w:name="_Toc17995"/>
      <w:r>
        <w:rPr>
          <w:rStyle w:val="37"/>
          <w:rFonts w:hint="eastAsia" w:asciiTheme="minorEastAsia" w:hAnsiTheme="minorEastAsia" w:eastAsiaTheme="minorEastAsia" w:cstheme="minorEastAsia"/>
          <w:b/>
          <w:bCs/>
          <w:color w:val="auto"/>
          <w:sz w:val="32"/>
          <w:szCs w:val="28"/>
          <w:lang w:val="en-US" w:eastAsia="zh-CN"/>
        </w:rPr>
        <w:t>附件5:</w:t>
      </w:r>
    </w:p>
    <w:bookmarkEnd w:id="253"/>
    <w:bookmarkEnd w:id="254"/>
    <w:p w14:paraId="4F3BF3A4">
      <w:pPr>
        <w:keepNext w:val="0"/>
        <w:keepLines w:val="0"/>
        <w:pageBreakBefore w:val="0"/>
        <w:widowControl w:val="0"/>
        <w:kinsoku/>
        <w:wordWrap/>
        <w:overflowPunct/>
        <w:topLinePunct w:val="0"/>
        <w:autoSpaceDE/>
        <w:autoSpaceDN/>
        <w:bidi w:val="0"/>
        <w:adjustRightInd/>
        <w:snapToGrid/>
        <w:spacing w:line="360" w:lineRule="auto"/>
        <w:ind w:firstLine="644" w:firstLineChars="200"/>
        <w:jc w:val="center"/>
        <w:textAlignment w:val="auto"/>
        <w:rPr>
          <w:rStyle w:val="37"/>
          <w:rFonts w:hint="eastAsia" w:asciiTheme="minorEastAsia" w:hAnsiTheme="minorEastAsia" w:eastAsiaTheme="minorEastAsia" w:cstheme="minorEastAsia"/>
          <w:b/>
          <w:color w:val="auto"/>
          <w:kern w:val="2"/>
          <w:sz w:val="32"/>
          <w:szCs w:val="28"/>
          <w:lang w:val="en-US" w:eastAsia="zh-CN" w:bidi="ar-SA"/>
        </w:rPr>
      </w:pPr>
    </w:p>
    <w:p w14:paraId="64F8FA36">
      <w:pPr>
        <w:bidi w:val="0"/>
        <w:jc w:val="center"/>
        <w:rPr>
          <w:rFonts w:hint="eastAsia" w:asciiTheme="minorEastAsia" w:hAnsiTheme="minorEastAsia" w:eastAsiaTheme="minorEastAsia" w:cstheme="minorEastAsia"/>
          <w:b/>
          <w:color w:val="auto"/>
          <w:spacing w:val="20"/>
          <w:kern w:val="0"/>
          <w:sz w:val="24"/>
          <w:szCs w:val="24"/>
        </w:rPr>
      </w:pPr>
      <w:bookmarkStart w:id="255" w:name="_Toc9408"/>
      <w:bookmarkStart w:id="256" w:name="_Toc6250"/>
      <w:r>
        <w:rPr>
          <w:rStyle w:val="37"/>
          <w:rFonts w:hint="eastAsia" w:asciiTheme="minorEastAsia" w:hAnsiTheme="minorEastAsia" w:eastAsiaTheme="minorEastAsia" w:cstheme="minorEastAsia"/>
          <w:b/>
          <w:color w:val="auto"/>
          <w:kern w:val="2"/>
          <w:sz w:val="32"/>
          <w:szCs w:val="28"/>
          <w:lang w:val="en-US" w:eastAsia="zh-CN" w:bidi="ar-SA"/>
        </w:rPr>
        <w:t>投标方（投标方）反商业贿赂承诺书</w:t>
      </w:r>
      <w:bookmarkEnd w:id="255"/>
      <w:bookmarkEnd w:id="256"/>
    </w:p>
    <w:p w14:paraId="3C826665">
      <w:pPr>
        <w:keepNext w:val="0"/>
        <w:keepLines w:val="0"/>
        <w:pageBreakBefore w:val="0"/>
        <w:widowControl w:val="0"/>
        <w:kinsoku/>
        <w:wordWrap/>
        <w:overflowPunct/>
        <w:topLinePunct w:val="0"/>
        <w:autoSpaceDE/>
        <w:autoSpaceDN/>
        <w:bidi w:val="0"/>
        <w:adjustRightInd/>
        <w:snapToGrid/>
        <w:spacing w:line="480" w:lineRule="auto"/>
        <w:ind w:firstLine="564" w:firstLineChars="200"/>
        <w:textAlignment w:val="auto"/>
        <w:rPr>
          <w:rFonts w:hint="eastAsia" w:asciiTheme="minorEastAsia" w:hAnsiTheme="minorEastAsia" w:eastAsiaTheme="minorEastAsia" w:cstheme="minorEastAsia"/>
          <w:color w:val="auto"/>
          <w:spacing w:val="20"/>
          <w:kern w:val="0"/>
          <w:sz w:val="24"/>
          <w:szCs w:val="24"/>
        </w:rPr>
      </w:pPr>
      <w:r>
        <w:rPr>
          <w:rFonts w:hint="eastAsia" w:asciiTheme="minorEastAsia" w:hAnsiTheme="minorEastAsia" w:eastAsiaTheme="minorEastAsia" w:cstheme="minorEastAsia"/>
          <w:color w:val="auto"/>
          <w:spacing w:val="20"/>
          <w:kern w:val="0"/>
          <w:sz w:val="24"/>
          <w:szCs w:val="24"/>
        </w:rPr>
        <w:t>我公司承诺在</w:t>
      </w:r>
      <w:r>
        <w:rPr>
          <w:rFonts w:hint="eastAsia" w:asciiTheme="minorEastAsia" w:hAnsiTheme="minorEastAsia" w:eastAsiaTheme="minorEastAsia" w:cstheme="minorEastAsia"/>
          <w:color w:val="auto"/>
          <w:spacing w:val="20"/>
          <w:kern w:val="0"/>
          <w:sz w:val="24"/>
          <w:szCs w:val="24"/>
          <w:u w:val="single"/>
        </w:rPr>
        <w:t>（项目编号，项目名称</w:t>
      </w:r>
      <w:r>
        <w:rPr>
          <w:rFonts w:hint="eastAsia" w:asciiTheme="minorEastAsia" w:hAnsiTheme="minorEastAsia" w:eastAsiaTheme="minorEastAsia" w:cstheme="minorEastAsia"/>
          <w:color w:val="auto"/>
          <w:spacing w:val="20"/>
          <w:kern w:val="0"/>
          <w:sz w:val="24"/>
          <w:szCs w:val="24"/>
          <w:u w:val="single"/>
          <w:lang w:eastAsia="zh-CN"/>
        </w:rPr>
        <w:t>）</w:t>
      </w:r>
      <w:r>
        <w:rPr>
          <w:rFonts w:hint="eastAsia" w:asciiTheme="minorEastAsia" w:hAnsiTheme="minorEastAsia" w:eastAsiaTheme="minorEastAsia" w:cstheme="minorEastAsia"/>
          <w:color w:val="auto"/>
          <w:spacing w:val="20"/>
          <w:kern w:val="0"/>
          <w:sz w:val="24"/>
          <w:szCs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w:t>
      </w:r>
      <w:r>
        <w:rPr>
          <w:rFonts w:hint="eastAsia" w:asciiTheme="minorEastAsia" w:hAnsiTheme="minorEastAsia" w:eastAsiaTheme="minorEastAsia" w:cstheme="minorEastAsia"/>
          <w:color w:val="auto"/>
          <w:spacing w:val="20"/>
          <w:kern w:val="0"/>
          <w:sz w:val="24"/>
          <w:szCs w:val="24"/>
          <w:lang w:eastAsia="zh-CN"/>
        </w:rPr>
        <w:t>中华人民共和国反不正当竞争法</w:t>
      </w:r>
      <w:r>
        <w:rPr>
          <w:rFonts w:hint="eastAsia" w:asciiTheme="minorEastAsia" w:hAnsiTheme="minorEastAsia" w:eastAsiaTheme="minorEastAsia" w:cstheme="minorEastAsia"/>
          <w:color w:val="auto"/>
          <w:spacing w:val="20"/>
          <w:kern w:val="0"/>
          <w:sz w:val="24"/>
          <w:szCs w:val="24"/>
        </w:rPr>
        <w:t>》的有关规定接受处罚。</w:t>
      </w:r>
    </w:p>
    <w:p w14:paraId="63DF4274">
      <w:pPr>
        <w:keepNext w:val="0"/>
        <w:keepLines w:val="0"/>
        <w:pageBreakBefore w:val="0"/>
        <w:widowControl w:val="0"/>
        <w:kinsoku/>
        <w:wordWrap/>
        <w:overflowPunct/>
        <w:topLinePunct w:val="0"/>
        <w:autoSpaceDE/>
        <w:autoSpaceDN/>
        <w:bidi w:val="0"/>
        <w:adjustRightInd/>
        <w:snapToGrid/>
        <w:spacing w:line="480" w:lineRule="auto"/>
        <w:ind w:firstLine="564" w:firstLineChars="200"/>
        <w:textAlignment w:val="auto"/>
        <w:rPr>
          <w:rFonts w:hint="eastAsia" w:asciiTheme="minorEastAsia" w:hAnsiTheme="minorEastAsia" w:eastAsiaTheme="minorEastAsia" w:cstheme="minorEastAsia"/>
          <w:color w:val="auto"/>
          <w:spacing w:val="20"/>
          <w:kern w:val="0"/>
          <w:sz w:val="24"/>
          <w:szCs w:val="24"/>
        </w:rPr>
      </w:pPr>
    </w:p>
    <w:p w14:paraId="22194CFA">
      <w:pPr>
        <w:bidi w:val="0"/>
        <w:spacing w:line="60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供应商名称（盖章）：</w:t>
      </w:r>
    </w:p>
    <w:p w14:paraId="7B2141F5">
      <w:pPr>
        <w:bidi w:val="0"/>
        <w:spacing w:line="60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法定代表人或委托代理人（签字或盖章）：</w:t>
      </w:r>
    </w:p>
    <w:p w14:paraId="5784F349">
      <w:pPr>
        <w:bidi w:val="0"/>
        <w:spacing w:line="60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     年   月   日</w:t>
      </w:r>
    </w:p>
    <w:p w14:paraId="14094114">
      <w:pPr>
        <w:keepNext w:val="0"/>
        <w:keepLines w:val="0"/>
        <w:pageBreakBefore w:val="0"/>
        <w:widowControl w:val="0"/>
        <w:kinsoku/>
        <w:wordWrap/>
        <w:overflowPunct/>
        <w:topLinePunct w:val="0"/>
        <w:autoSpaceDE/>
        <w:autoSpaceDN/>
        <w:bidi w:val="0"/>
        <w:adjustRightInd/>
        <w:snapToGrid/>
        <w:spacing w:line="480" w:lineRule="auto"/>
        <w:ind w:firstLine="564" w:firstLineChars="200"/>
        <w:jc w:val="right"/>
        <w:textAlignment w:val="auto"/>
        <w:rPr>
          <w:rFonts w:hint="eastAsia" w:asciiTheme="minorEastAsia" w:hAnsiTheme="minorEastAsia" w:eastAsiaTheme="minorEastAsia" w:cstheme="minorEastAsia"/>
          <w:color w:val="auto"/>
          <w:spacing w:val="20"/>
          <w:kern w:val="0"/>
          <w:sz w:val="24"/>
          <w:szCs w:val="24"/>
        </w:rPr>
      </w:pPr>
    </w:p>
    <w:p w14:paraId="60935ADE">
      <w:pPr>
        <w:keepNext w:val="0"/>
        <w:keepLines w:val="0"/>
        <w:pageBreakBefore w:val="0"/>
        <w:widowControl w:val="0"/>
        <w:kinsoku/>
        <w:wordWrap/>
        <w:overflowPunct/>
        <w:topLinePunct w:val="0"/>
        <w:autoSpaceDE/>
        <w:autoSpaceDN/>
        <w:bidi w:val="0"/>
        <w:adjustRightInd/>
        <w:snapToGrid/>
        <w:spacing w:line="480" w:lineRule="auto"/>
        <w:ind w:firstLine="564" w:firstLineChars="200"/>
        <w:jc w:val="right"/>
        <w:textAlignment w:val="auto"/>
        <w:rPr>
          <w:rFonts w:hint="eastAsia" w:asciiTheme="minorEastAsia" w:hAnsiTheme="minorEastAsia" w:eastAsiaTheme="minorEastAsia" w:cstheme="minorEastAsia"/>
          <w:color w:val="auto"/>
          <w:spacing w:val="20"/>
          <w:sz w:val="24"/>
          <w:szCs w:val="24"/>
        </w:rPr>
      </w:pPr>
    </w:p>
    <w:bookmarkEnd w:id="246"/>
    <w:bookmarkEnd w:id="247"/>
    <w:p w14:paraId="35B8F7A3">
      <w:pPr>
        <w:keepNext w:val="0"/>
        <w:keepLines w:val="0"/>
        <w:pageBreakBefore w:val="0"/>
        <w:widowControl w:val="0"/>
        <w:kinsoku/>
        <w:wordWrap w:val="0"/>
        <w:overflowPunct/>
        <w:topLinePunct w:val="0"/>
        <w:autoSpaceDE/>
        <w:autoSpaceDN/>
        <w:bidi w:val="0"/>
        <w:adjustRightInd/>
        <w:snapToGrid/>
        <w:spacing w:line="480" w:lineRule="auto"/>
        <w:jc w:val="right"/>
        <w:textAlignment w:val="auto"/>
        <w:rPr>
          <w:rFonts w:hint="eastAsia" w:asciiTheme="minorEastAsia" w:hAnsiTheme="minorEastAsia" w:eastAsiaTheme="minorEastAsia" w:cstheme="minorEastAsia"/>
          <w:color w:val="auto"/>
          <w:sz w:val="24"/>
          <w:szCs w:val="24"/>
          <w:lang w:val="en-US" w:eastAsia="zh-CN"/>
        </w:rPr>
        <w:sectPr>
          <w:pgSz w:w="11906" w:h="16838"/>
          <w:pgMar w:top="1417" w:right="1417" w:bottom="1417" w:left="1417" w:header="851" w:footer="850" w:gutter="0"/>
          <w:pgNumType w:fmt="decimal"/>
          <w:cols w:space="720" w:num="1"/>
          <w:titlePg/>
          <w:docGrid w:type="linesAndChars" w:linePitch="312" w:charSpace="530"/>
        </w:sectPr>
      </w:pPr>
      <w:bookmarkStart w:id="257" w:name="_Toc22473"/>
      <w:bookmarkStart w:id="258" w:name="_Toc15866"/>
      <w:bookmarkStart w:id="259" w:name="_Toc5939"/>
    </w:p>
    <w:bookmarkEnd w:id="257"/>
    <w:bookmarkEnd w:id="258"/>
    <w:bookmarkEnd w:id="259"/>
    <w:p w14:paraId="7319C93E">
      <w:pPr>
        <w:bidi w:val="0"/>
        <w:spacing w:line="600" w:lineRule="auto"/>
        <w:rPr>
          <w:rStyle w:val="37"/>
          <w:rFonts w:hint="eastAsia" w:asciiTheme="minorEastAsia" w:hAnsiTheme="minorEastAsia" w:eastAsiaTheme="minorEastAsia" w:cstheme="minorEastAsia"/>
          <w:color w:val="auto"/>
          <w:sz w:val="32"/>
          <w:szCs w:val="28"/>
          <w:lang w:val="en-US" w:eastAsia="zh-CN"/>
        </w:rPr>
      </w:pPr>
      <w:bookmarkStart w:id="260" w:name="_Toc12584"/>
      <w:bookmarkStart w:id="261" w:name="_Toc3096"/>
      <w:bookmarkStart w:id="262" w:name="_Toc13267"/>
      <w:bookmarkStart w:id="263" w:name="_Toc6467"/>
      <w:bookmarkStart w:id="264" w:name="_Toc4526"/>
      <w:r>
        <w:rPr>
          <w:rStyle w:val="37"/>
          <w:rFonts w:hint="eastAsia" w:asciiTheme="minorEastAsia" w:hAnsiTheme="minorEastAsia" w:eastAsiaTheme="minorEastAsia" w:cstheme="minorEastAsia"/>
          <w:b/>
          <w:bCs/>
          <w:color w:val="auto"/>
          <w:sz w:val="32"/>
          <w:szCs w:val="28"/>
          <w:lang w:val="en-US" w:eastAsia="zh-CN"/>
        </w:rPr>
        <w:t>附件6:</w:t>
      </w:r>
    </w:p>
    <w:bookmarkEnd w:id="260"/>
    <w:bookmarkEnd w:id="261"/>
    <w:p w14:paraId="7300D9B6">
      <w:pPr>
        <w:bidi w:val="0"/>
        <w:jc w:val="center"/>
        <w:rPr>
          <w:rStyle w:val="37"/>
          <w:rFonts w:hint="eastAsia" w:asciiTheme="minorEastAsia" w:hAnsiTheme="minorEastAsia" w:eastAsiaTheme="minorEastAsia" w:cstheme="minorEastAsia"/>
          <w:color w:val="auto"/>
          <w:sz w:val="32"/>
          <w:szCs w:val="28"/>
          <w:lang w:val="en-US" w:eastAsia="zh-CN"/>
        </w:rPr>
      </w:pPr>
      <w:bookmarkStart w:id="265" w:name="_Toc2085"/>
      <w:bookmarkStart w:id="266" w:name="_Toc11979"/>
      <w:r>
        <w:rPr>
          <w:rStyle w:val="37"/>
          <w:rFonts w:hint="eastAsia" w:asciiTheme="minorEastAsia" w:hAnsiTheme="minorEastAsia" w:eastAsiaTheme="minorEastAsia" w:cstheme="minorEastAsia"/>
          <w:color w:val="auto"/>
          <w:sz w:val="32"/>
          <w:szCs w:val="28"/>
          <w:lang w:val="en-US" w:eastAsia="zh-CN"/>
        </w:rPr>
        <w:t>商务条款偏离表</w:t>
      </w:r>
      <w:bookmarkEnd w:id="262"/>
      <w:bookmarkEnd w:id="263"/>
      <w:bookmarkEnd w:id="264"/>
    </w:p>
    <w:bookmarkEnd w:id="265"/>
    <w:bookmarkEnd w:id="266"/>
    <w:p w14:paraId="39E1B843">
      <w:pPr>
        <w:pStyle w:val="33"/>
        <w:spacing w:line="480" w:lineRule="exact"/>
        <w:ind w:firstLine="103" w:firstLineChars="4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项目名称：</w:t>
      </w:r>
      <w:r>
        <w:rPr>
          <w:rFonts w:hint="eastAsia" w:asciiTheme="minorEastAsia" w:hAnsiTheme="minorEastAsia" w:eastAsiaTheme="minorEastAsia" w:cstheme="minorEastAsia"/>
          <w:color w:val="auto"/>
          <w:kern w:val="2"/>
          <w:sz w:val="24"/>
          <w:szCs w:val="24"/>
          <w:lang w:val="en-US" w:eastAsia="zh-CN" w:bidi="ar-SA"/>
        </w:rPr>
        <w:t xml:space="preserve"> 　</w:t>
      </w:r>
      <w:r>
        <w:rPr>
          <w:rFonts w:hint="eastAsia" w:asciiTheme="minorEastAsia" w:hAnsiTheme="minorEastAsia" w:eastAsiaTheme="minorEastAsia" w:cstheme="minorEastAsia"/>
          <w:color w:val="auto"/>
          <w:sz w:val="24"/>
          <w:szCs w:val="24"/>
        </w:rPr>
        <w:t xml:space="preserve">　　　　　                                                                  </w:t>
      </w:r>
    </w:p>
    <w:tbl>
      <w:tblPr>
        <w:tblStyle w:val="24"/>
        <w:tblW w:w="13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749"/>
        <w:gridCol w:w="3287"/>
        <w:gridCol w:w="3177"/>
        <w:gridCol w:w="2015"/>
        <w:gridCol w:w="1639"/>
      </w:tblGrid>
      <w:tr w14:paraId="4275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noWrap w:val="0"/>
            <w:vAlign w:val="center"/>
          </w:tcPr>
          <w:p w14:paraId="5C6E055A">
            <w:pPr>
              <w:bidi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2749" w:type="dxa"/>
            <w:noWrap w:val="0"/>
            <w:vAlign w:val="center"/>
          </w:tcPr>
          <w:p w14:paraId="2E266519">
            <w:pPr>
              <w:bidi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条目号</w:t>
            </w:r>
          </w:p>
        </w:tc>
        <w:tc>
          <w:tcPr>
            <w:tcW w:w="3287" w:type="dxa"/>
            <w:noWrap w:val="0"/>
            <w:vAlign w:val="center"/>
          </w:tcPr>
          <w:p w14:paraId="648ED510">
            <w:pPr>
              <w:bidi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的商务条款</w:t>
            </w:r>
          </w:p>
        </w:tc>
        <w:tc>
          <w:tcPr>
            <w:tcW w:w="3177" w:type="dxa"/>
            <w:noWrap w:val="0"/>
            <w:vAlign w:val="center"/>
          </w:tcPr>
          <w:p w14:paraId="743FB663">
            <w:pPr>
              <w:bidi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的商务条款</w:t>
            </w:r>
          </w:p>
        </w:tc>
        <w:tc>
          <w:tcPr>
            <w:tcW w:w="2015" w:type="dxa"/>
            <w:noWrap w:val="0"/>
            <w:vAlign w:val="center"/>
          </w:tcPr>
          <w:p w14:paraId="0321DDBB">
            <w:pPr>
              <w:bidi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偏离</w:t>
            </w:r>
          </w:p>
        </w:tc>
        <w:tc>
          <w:tcPr>
            <w:tcW w:w="1639" w:type="dxa"/>
            <w:noWrap w:val="0"/>
            <w:vAlign w:val="center"/>
          </w:tcPr>
          <w:p w14:paraId="1AEF8C46">
            <w:pPr>
              <w:bidi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6C39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noWrap w:val="0"/>
            <w:vAlign w:val="top"/>
          </w:tcPr>
          <w:p w14:paraId="54D0AA44">
            <w:pPr>
              <w:bidi w:val="0"/>
              <w:rPr>
                <w:rFonts w:hint="eastAsia" w:asciiTheme="minorEastAsia" w:hAnsiTheme="minorEastAsia" w:eastAsiaTheme="minorEastAsia" w:cstheme="minorEastAsia"/>
                <w:color w:val="auto"/>
                <w:sz w:val="24"/>
                <w:szCs w:val="24"/>
              </w:rPr>
            </w:pPr>
          </w:p>
        </w:tc>
        <w:tc>
          <w:tcPr>
            <w:tcW w:w="2749" w:type="dxa"/>
            <w:noWrap w:val="0"/>
            <w:vAlign w:val="top"/>
          </w:tcPr>
          <w:p w14:paraId="04F2E6D6">
            <w:pPr>
              <w:bidi w:val="0"/>
              <w:rPr>
                <w:rFonts w:hint="eastAsia" w:asciiTheme="minorEastAsia" w:hAnsiTheme="minorEastAsia" w:eastAsiaTheme="minorEastAsia" w:cstheme="minorEastAsia"/>
                <w:color w:val="auto"/>
                <w:sz w:val="24"/>
                <w:szCs w:val="24"/>
              </w:rPr>
            </w:pPr>
          </w:p>
        </w:tc>
        <w:tc>
          <w:tcPr>
            <w:tcW w:w="3287" w:type="dxa"/>
            <w:noWrap w:val="0"/>
            <w:vAlign w:val="top"/>
          </w:tcPr>
          <w:p w14:paraId="2C48D889">
            <w:pPr>
              <w:bidi w:val="0"/>
              <w:rPr>
                <w:rFonts w:hint="eastAsia" w:asciiTheme="minorEastAsia" w:hAnsiTheme="minorEastAsia" w:eastAsiaTheme="minorEastAsia" w:cstheme="minorEastAsia"/>
                <w:color w:val="auto"/>
                <w:sz w:val="24"/>
                <w:szCs w:val="24"/>
              </w:rPr>
            </w:pPr>
          </w:p>
        </w:tc>
        <w:tc>
          <w:tcPr>
            <w:tcW w:w="3177" w:type="dxa"/>
            <w:noWrap w:val="0"/>
            <w:vAlign w:val="top"/>
          </w:tcPr>
          <w:p w14:paraId="7B8CB66C">
            <w:pPr>
              <w:bidi w:val="0"/>
              <w:rPr>
                <w:rFonts w:hint="eastAsia" w:asciiTheme="minorEastAsia" w:hAnsiTheme="minorEastAsia" w:eastAsiaTheme="minorEastAsia" w:cstheme="minorEastAsia"/>
                <w:color w:val="auto"/>
                <w:sz w:val="24"/>
                <w:szCs w:val="24"/>
              </w:rPr>
            </w:pPr>
          </w:p>
        </w:tc>
        <w:tc>
          <w:tcPr>
            <w:tcW w:w="2015" w:type="dxa"/>
            <w:noWrap w:val="0"/>
            <w:vAlign w:val="top"/>
          </w:tcPr>
          <w:p w14:paraId="308A9795">
            <w:pPr>
              <w:bidi w:val="0"/>
              <w:rPr>
                <w:rFonts w:hint="eastAsia" w:asciiTheme="minorEastAsia" w:hAnsiTheme="minorEastAsia" w:eastAsiaTheme="minorEastAsia" w:cstheme="minorEastAsia"/>
                <w:color w:val="auto"/>
                <w:sz w:val="24"/>
                <w:szCs w:val="24"/>
              </w:rPr>
            </w:pPr>
          </w:p>
        </w:tc>
        <w:tc>
          <w:tcPr>
            <w:tcW w:w="1639" w:type="dxa"/>
            <w:noWrap w:val="0"/>
            <w:vAlign w:val="top"/>
          </w:tcPr>
          <w:p w14:paraId="0A2D9D24">
            <w:pPr>
              <w:bidi w:val="0"/>
              <w:rPr>
                <w:rFonts w:hint="eastAsia" w:asciiTheme="minorEastAsia" w:hAnsiTheme="minorEastAsia" w:eastAsiaTheme="minorEastAsia" w:cstheme="minorEastAsia"/>
                <w:color w:val="auto"/>
                <w:sz w:val="24"/>
                <w:szCs w:val="24"/>
              </w:rPr>
            </w:pPr>
          </w:p>
        </w:tc>
      </w:tr>
      <w:tr w14:paraId="1592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noWrap w:val="0"/>
            <w:vAlign w:val="top"/>
          </w:tcPr>
          <w:p w14:paraId="384F2B47">
            <w:pPr>
              <w:bidi w:val="0"/>
              <w:rPr>
                <w:rFonts w:hint="eastAsia" w:asciiTheme="minorEastAsia" w:hAnsiTheme="minorEastAsia" w:eastAsiaTheme="minorEastAsia" w:cstheme="minorEastAsia"/>
                <w:color w:val="auto"/>
                <w:sz w:val="24"/>
                <w:szCs w:val="24"/>
              </w:rPr>
            </w:pPr>
          </w:p>
        </w:tc>
        <w:tc>
          <w:tcPr>
            <w:tcW w:w="2749" w:type="dxa"/>
            <w:noWrap w:val="0"/>
            <w:vAlign w:val="top"/>
          </w:tcPr>
          <w:p w14:paraId="55D2DAB4">
            <w:pPr>
              <w:bidi w:val="0"/>
              <w:rPr>
                <w:rFonts w:hint="eastAsia" w:asciiTheme="minorEastAsia" w:hAnsiTheme="minorEastAsia" w:eastAsiaTheme="minorEastAsia" w:cstheme="minorEastAsia"/>
                <w:color w:val="auto"/>
                <w:sz w:val="24"/>
                <w:szCs w:val="24"/>
              </w:rPr>
            </w:pPr>
          </w:p>
        </w:tc>
        <w:tc>
          <w:tcPr>
            <w:tcW w:w="3287" w:type="dxa"/>
            <w:noWrap w:val="0"/>
            <w:vAlign w:val="top"/>
          </w:tcPr>
          <w:p w14:paraId="648875A3">
            <w:pPr>
              <w:bidi w:val="0"/>
              <w:rPr>
                <w:rFonts w:hint="eastAsia" w:asciiTheme="minorEastAsia" w:hAnsiTheme="minorEastAsia" w:eastAsiaTheme="minorEastAsia" w:cstheme="minorEastAsia"/>
                <w:color w:val="auto"/>
                <w:sz w:val="24"/>
                <w:szCs w:val="24"/>
              </w:rPr>
            </w:pPr>
          </w:p>
        </w:tc>
        <w:tc>
          <w:tcPr>
            <w:tcW w:w="3177" w:type="dxa"/>
            <w:noWrap w:val="0"/>
            <w:vAlign w:val="top"/>
          </w:tcPr>
          <w:p w14:paraId="740A63FA">
            <w:pPr>
              <w:bidi w:val="0"/>
              <w:rPr>
                <w:rFonts w:hint="eastAsia" w:asciiTheme="minorEastAsia" w:hAnsiTheme="minorEastAsia" w:eastAsiaTheme="minorEastAsia" w:cstheme="minorEastAsia"/>
                <w:color w:val="auto"/>
                <w:sz w:val="24"/>
                <w:szCs w:val="24"/>
              </w:rPr>
            </w:pPr>
          </w:p>
        </w:tc>
        <w:tc>
          <w:tcPr>
            <w:tcW w:w="2015" w:type="dxa"/>
            <w:noWrap w:val="0"/>
            <w:vAlign w:val="top"/>
          </w:tcPr>
          <w:p w14:paraId="69759DE7">
            <w:pPr>
              <w:bidi w:val="0"/>
              <w:rPr>
                <w:rFonts w:hint="eastAsia" w:asciiTheme="minorEastAsia" w:hAnsiTheme="minorEastAsia" w:eastAsiaTheme="minorEastAsia" w:cstheme="minorEastAsia"/>
                <w:color w:val="auto"/>
                <w:sz w:val="24"/>
                <w:szCs w:val="24"/>
              </w:rPr>
            </w:pPr>
          </w:p>
        </w:tc>
        <w:tc>
          <w:tcPr>
            <w:tcW w:w="1639" w:type="dxa"/>
            <w:noWrap w:val="0"/>
            <w:vAlign w:val="top"/>
          </w:tcPr>
          <w:p w14:paraId="3FBA18D4">
            <w:pPr>
              <w:bidi w:val="0"/>
              <w:rPr>
                <w:rFonts w:hint="eastAsia" w:asciiTheme="minorEastAsia" w:hAnsiTheme="minorEastAsia" w:eastAsiaTheme="minorEastAsia" w:cstheme="minorEastAsia"/>
                <w:color w:val="auto"/>
                <w:sz w:val="24"/>
                <w:szCs w:val="24"/>
              </w:rPr>
            </w:pPr>
          </w:p>
        </w:tc>
      </w:tr>
      <w:tr w14:paraId="4E5E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noWrap w:val="0"/>
            <w:vAlign w:val="top"/>
          </w:tcPr>
          <w:p w14:paraId="09CB22D9">
            <w:pPr>
              <w:bidi w:val="0"/>
              <w:rPr>
                <w:rFonts w:hint="eastAsia" w:asciiTheme="minorEastAsia" w:hAnsiTheme="minorEastAsia" w:eastAsiaTheme="minorEastAsia" w:cstheme="minorEastAsia"/>
                <w:color w:val="auto"/>
                <w:sz w:val="24"/>
                <w:szCs w:val="24"/>
              </w:rPr>
            </w:pPr>
          </w:p>
        </w:tc>
        <w:tc>
          <w:tcPr>
            <w:tcW w:w="2749" w:type="dxa"/>
            <w:noWrap w:val="0"/>
            <w:vAlign w:val="top"/>
          </w:tcPr>
          <w:p w14:paraId="4FCF0495">
            <w:pPr>
              <w:bidi w:val="0"/>
              <w:rPr>
                <w:rFonts w:hint="eastAsia" w:asciiTheme="minorEastAsia" w:hAnsiTheme="minorEastAsia" w:eastAsiaTheme="minorEastAsia" w:cstheme="minorEastAsia"/>
                <w:color w:val="auto"/>
                <w:sz w:val="24"/>
                <w:szCs w:val="24"/>
              </w:rPr>
            </w:pPr>
          </w:p>
        </w:tc>
        <w:tc>
          <w:tcPr>
            <w:tcW w:w="3287" w:type="dxa"/>
            <w:noWrap w:val="0"/>
            <w:vAlign w:val="top"/>
          </w:tcPr>
          <w:p w14:paraId="76F69923">
            <w:pPr>
              <w:bidi w:val="0"/>
              <w:rPr>
                <w:rFonts w:hint="eastAsia" w:asciiTheme="minorEastAsia" w:hAnsiTheme="minorEastAsia" w:eastAsiaTheme="minorEastAsia" w:cstheme="minorEastAsia"/>
                <w:color w:val="auto"/>
                <w:sz w:val="24"/>
                <w:szCs w:val="24"/>
              </w:rPr>
            </w:pPr>
          </w:p>
        </w:tc>
        <w:tc>
          <w:tcPr>
            <w:tcW w:w="3177" w:type="dxa"/>
            <w:noWrap w:val="0"/>
            <w:vAlign w:val="top"/>
          </w:tcPr>
          <w:p w14:paraId="76C39CE6">
            <w:pPr>
              <w:bidi w:val="0"/>
              <w:rPr>
                <w:rFonts w:hint="eastAsia" w:asciiTheme="minorEastAsia" w:hAnsiTheme="minorEastAsia" w:eastAsiaTheme="minorEastAsia" w:cstheme="minorEastAsia"/>
                <w:color w:val="auto"/>
                <w:sz w:val="24"/>
                <w:szCs w:val="24"/>
              </w:rPr>
            </w:pPr>
          </w:p>
        </w:tc>
        <w:tc>
          <w:tcPr>
            <w:tcW w:w="2015" w:type="dxa"/>
            <w:noWrap w:val="0"/>
            <w:vAlign w:val="top"/>
          </w:tcPr>
          <w:p w14:paraId="28306955">
            <w:pPr>
              <w:bidi w:val="0"/>
              <w:rPr>
                <w:rFonts w:hint="eastAsia" w:asciiTheme="minorEastAsia" w:hAnsiTheme="minorEastAsia" w:eastAsiaTheme="minorEastAsia" w:cstheme="minorEastAsia"/>
                <w:color w:val="auto"/>
                <w:sz w:val="24"/>
                <w:szCs w:val="24"/>
              </w:rPr>
            </w:pPr>
          </w:p>
        </w:tc>
        <w:tc>
          <w:tcPr>
            <w:tcW w:w="1639" w:type="dxa"/>
            <w:noWrap w:val="0"/>
            <w:vAlign w:val="top"/>
          </w:tcPr>
          <w:p w14:paraId="1BF255BB">
            <w:pPr>
              <w:bidi w:val="0"/>
              <w:rPr>
                <w:rFonts w:hint="eastAsia" w:asciiTheme="minorEastAsia" w:hAnsiTheme="minorEastAsia" w:eastAsiaTheme="minorEastAsia" w:cstheme="minorEastAsia"/>
                <w:color w:val="auto"/>
                <w:sz w:val="24"/>
                <w:szCs w:val="24"/>
              </w:rPr>
            </w:pPr>
          </w:p>
        </w:tc>
      </w:tr>
      <w:tr w14:paraId="42E8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noWrap w:val="0"/>
            <w:vAlign w:val="top"/>
          </w:tcPr>
          <w:p w14:paraId="10622C26">
            <w:pPr>
              <w:bidi w:val="0"/>
              <w:rPr>
                <w:rFonts w:hint="eastAsia" w:asciiTheme="minorEastAsia" w:hAnsiTheme="minorEastAsia" w:eastAsiaTheme="minorEastAsia" w:cstheme="minorEastAsia"/>
                <w:color w:val="auto"/>
                <w:sz w:val="24"/>
                <w:szCs w:val="24"/>
              </w:rPr>
            </w:pPr>
          </w:p>
        </w:tc>
        <w:tc>
          <w:tcPr>
            <w:tcW w:w="2749" w:type="dxa"/>
            <w:noWrap w:val="0"/>
            <w:vAlign w:val="top"/>
          </w:tcPr>
          <w:p w14:paraId="0ADE59B7">
            <w:pPr>
              <w:bidi w:val="0"/>
              <w:rPr>
                <w:rFonts w:hint="eastAsia" w:asciiTheme="minorEastAsia" w:hAnsiTheme="minorEastAsia" w:eastAsiaTheme="minorEastAsia" w:cstheme="minorEastAsia"/>
                <w:color w:val="auto"/>
                <w:sz w:val="24"/>
                <w:szCs w:val="24"/>
              </w:rPr>
            </w:pPr>
          </w:p>
        </w:tc>
        <w:tc>
          <w:tcPr>
            <w:tcW w:w="3287" w:type="dxa"/>
            <w:noWrap w:val="0"/>
            <w:vAlign w:val="top"/>
          </w:tcPr>
          <w:p w14:paraId="591A939C">
            <w:pPr>
              <w:bidi w:val="0"/>
              <w:rPr>
                <w:rFonts w:hint="eastAsia" w:asciiTheme="minorEastAsia" w:hAnsiTheme="minorEastAsia" w:eastAsiaTheme="minorEastAsia" w:cstheme="minorEastAsia"/>
                <w:color w:val="auto"/>
                <w:sz w:val="24"/>
                <w:szCs w:val="24"/>
              </w:rPr>
            </w:pPr>
          </w:p>
        </w:tc>
        <w:tc>
          <w:tcPr>
            <w:tcW w:w="3177" w:type="dxa"/>
            <w:noWrap w:val="0"/>
            <w:vAlign w:val="top"/>
          </w:tcPr>
          <w:p w14:paraId="6C907143">
            <w:pPr>
              <w:bidi w:val="0"/>
              <w:rPr>
                <w:rFonts w:hint="eastAsia" w:asciiTheme="minorEastAsia" w:hAnsiTheme="minorEastAsia" w:eastAsiaTheme="minorEastAsia" w:cstheme="minorEastAsia"/>
                <w:color w:val="auto"/>
                <w:sz w:val="24"/>
                <w:szCs w:val="24"/>
              </w:rPr>
            </w:pPr>
          </w:p>
        </w:tc>
        <w:tc>
          <w:tcPr>
            <w:tcW w:w="2015" w:type="dxa"/>
            <w:noWrap w:val="0"/>
            <w:vAlign w:val="top"/>
          </w:tcPr>
          <w:p w14:paraId="772C0FC3">
            <w:pPr>
              <w:bidi w:val="0"/>
              <w:rPr>
                <w:rFonts w:hint="eastAsia" w:asciiTheme="minorEastAsia" w:hAnsiTheme="minorEastAsia" w:eastAsiaTheme="minorEastAsia" w:cstheme="minorEastAsia"/>
                <w:color w:val="auto"/>
                <w:sz w:val="24"/>
                <w:szCs w:val="24"/>
              </w:rPr>
            </w:pPr>
          </w:p>
        </w:tc>
        <w:tc>
          <w:tcPr>
            <w:tcW w:w="1639" w:type="dxa"/>
            <w:noWrap w:val="0"/>
            <w:vAlign w:val="top"/>
          </w:tcPr>
          <w:p w14:paraId="7E217D3F">
            <w:pPr>
              <w:bidi w:val="0"/>
              <w:rPr>
                <w:rFonts w:hint="eastAsia" w:asciiTheme="minorEastAsia" w:hAnsiTheme="minorEastAsia" w:eastAsiaTheme="minorEastAsia" w:cstheme="minorEastAsia"/>
                <w:color w:val="auto"/>
                <w:sz w:val="24"/>
                <w:szCs w:val="24"/>
              </w:rPr>
            </w:pPr>
          </w:p>
        </w:tc>
      </w:tr>
      <w:tr w14:paraId="1F76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noWrap w:val="0"/>
            <w:vAlign w:val="top"/>
          </w:tcPr>
          <w:p w14:paraId="68632770">
            <w:pPr>
              <w:bidi w:val="0"/>
              <w:rPr>
                <w:rFonts w:hint="eastAsia" w:asciiTheme="minorEastAsia" w:hAnsiTheme="minorEastAsia" w:eastAsiaTheme="minorEastAsia" w:cstheme="minorEastAsia"/>
                <w:color w:val="auto"/>
                <w:sz w:val="24"/>
                <w:szCs w:val="24"/>
              </w:rPr>
            </w:pPr>
          </w:p>
        </w:tc>
        <w:tc>
          <w:tcPr>
            <w:tcW w:w="2749" w:type="dxa"/>
            <w:noWrap w:val="0"/>
            <w:vAlign w:val="top"/>
          </w:tcPr>
          <w:p w14:paraId="0FF4C7DE">
            <w:pPr>
              <w:bidi w:val="0"/>
              <w:rPr>
                <w:rFonts w:hint="eastAsia" w:asciiTheme="minorEastAsia" w:hAnsiTheme="minorEastAsia" w:eastAsiaTheme="minorEastAsia" w:cstheme="minorEastAsia"/>
                <w:color w:val="auto"/>
                <w:sz w:val="24"/>
                <w:szCs w:val="24"/>
              </w:rPr>
            </w:pPr>
          </w:p>
        </w:tc>
        <w:tc>
          <w:tcPr>
            <w:tcW w:w="3287" w:type="dxa"/>
            <w:noWrap w:val="0"/>
            <w:vAlign w:val="top"/>
          </w:tcPr>
          <w:p w14:paraId="11D16318">
            <w:pPr>
              <w:bidi w:val="0"/>
              <w:rPr>
                <w:rFonts w:hint="eastAsia" w:asciiTheme="minorEastAsia" w:hAnsiTheme="minorEastAsia" w:eastAsiaTheme="minorEastAsia" w:cstheme="minorEastAsia"/>
                <w:color w:val="auto"/>
                <w:sz w:val="24"/>
                <w:szCs w:val="24"/>
              </w:rPr>
            </w:pPr>
          </w:p>
        </w:tc>
        <w:tc>
          <w:tcPr>
            <w:tcW w:w="3177" w:type="dxa"/>
            <w:noWrap w:val="0"/>
            <w:vAlign w:val="top"/>
          </w:tcPr>
          <w:p w14:paraId="10E48A04">
            <w:pPr>
              <w:bidi w:val="0"/>
              <w:rPr>
                <w:rFonts w:hint="eastAsia" w:asciiTheme="minorEastAsia" w:hAnsiTheme="minorEastAsia" w:eastAsiaTheme="minorEastAsia" w:cstheme="minorEastAsia"/>
                <w:color w:val="auto"/>
                <w:sz w:val="24"/>
                <w:szCs w:val="24"/>
              </w:rPr>
            </w:pPr>
          </w:p>
        </w:tc>
        <w:tc>
          <w:tcPr>
            <w:tcW w:w="2015" w:type="dxa"/>
            <w:noWrap w:val="0"/>
            <w:vAlign w:val="top"/>
          </w:tcPr>
          <w:p w14:paraId="18F19BBD">
            <w:pPr>
              <w:bidi w:val="0"/>
              <w:rPr>
                <w:rFonts w:hint="eastAsia" w:asciiTheme="minorEastAsia" w:hAnsiTheme="minorEastAsia" w:eastAsiaTheme="minorEastAsia" w:cstheme="minorEastAsia"/>
                <w:color w:val="auto"/>
                <w:sz w:val="24"/>
                <w:szCs w:val="24"/>
              </w:rPr>
            </w:pPr>
          </w:p>
        </w:tc>
        <w:tc>
          <w:tcPr>
            <w:tcW w:w="1639" w:type="dxa"/>
            <w:noWrap w:val="0"/>
            <w:vAlign w:val="top"/>
          </w:tcPr>
          <w:p w14:paraId="6149A430">
            <w:pPr>
              <w:bidi w:val="0"/>
              <w:rPr>
                <w:rFonts w:hint="eastAsia" w:asciiTheme="minorEastAsia" w:hAnsiTheme="minorEastAsia" w:eastAsiaTheme="minorEastAsia" w:cstheme="minorEastAsia"/>
                <w:color w:val="auto"/>
                <w:sz w:val="24"/>
                <w:szCs w:val="24"/>
              </w:rPr>
            </w:pPr>
          </w:p>
        </w:tc>
      </w:tr>
      <w:tr w14:paraId="560E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noWrap w:val="0"/>
            <w:vAlign w:val="top"/>
          </w:tcPr>
          <w:p w14:paraId="5F28DB9B">
            <w:pPr>
              <w:bidi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749" w:type="dxa"/>
            <w:noWrap w:val="0"/>
            <w:vAlign w:val="top"/>
          </w:tcPr>
          <w:p w14:paraId="7235FD9D">
            <w:pPr>
              <w:bidi w:val="0"/>
              <w:rPr>
                <w:rFonts w:hint="eastAsia" w:asciiTheme="minorEastAsia" w:hAnsiTheme="minorEastAsia" w:eastAsiaTheme="minorEastAsia" w:cstheme="minorEastAsia"/>
                <w:color w:val="auto"/>
                <w:sz w:val="24"/>
                <w:szCs w:val="24"/>
              </w:rPr>
            </w:pPr>
          </w:p>
        </w:tc>
        <w:tc>
          <w:tcPr>
            <w:tcW w:w="3287" w:type="dxa"/>
            <w:noWrap w:val="0"/>
            <w:vAlign w:val="top"/>
          </w:tcPr>
          <w:p w14:paraId="115E8D98">
            <w:pPr>
              <w:bidi w:val="0"/>
              <w:rPr>
                <w:rFonts w:hint="eastAsia" w:asciiTheme="minorEastAsia" w:hAnsiTheme="minorEastAsia" w:eastAsiaTheme="minorEastAsia" w:cstheme="minorEastAsia"/>
                <w:color w:val="auto"/>
                <w:sz w:val="24"/>
                <w:szCs w:val="24"/>
              </w:rPr>
            </w:pPr>
          </w:p>
        </w:tc>
        <w:tc>
          <w:tcPr>
            <w:tcW w:w="3177" w:type="dxa"/>
            <w:noWrap w:val="0"/>
            <w:vAlign w:val="top"/>
          </w:tcPr>
          <w:p w14:paraId="36D1B8BB">
            <w:pPr>
              <w:bidi w:val="0"/>
              <w:rPr>
                <w:rFonts w:hint="eastAsia" w:asciiTheme="minorEastAsia" w:hAnsiTheme="minorEastAsia" w:eastAsiaTheme="minorEastAsia" w:cstheme="minorEastAsia"/>
                <w:color w:val="auto"/>
                <w:sz w:val="24"/>
                <w:szCs w:val="24"/>
              </w:rPr>
            </w:pPr>
          </w:p>
        </w:tc>
        <w:tc>
          <w:tcPr>
            <w:tcW w:w="2015" w:type="dxa"/>
            <w:noWrap w:val="0"/>
            <w:vAlign w:val="top"/>
          </w:tcPr>
          <w:p w14:paraId="2E1AFE2B">
            <w:pPr>
              <w:bidi w:val="0"/>
              <w:rPr>
                <w:rFonts w:hint="eastAsia" w:asciiTheme="minorEastAsia" w:hAnsiTheme="minorEastAsia" w:eastAsiaTheme="minorEastAsia" w:cstheme="minorEastAsia"/>
                <w:color w:val="auto"/>
                <w:sz w:val="24"/>
                <w:szCs w:val="24"/>
              </w:rPr>
            </w:pPr>
          </w:p>
        </w:tc>
        <w:tc>
          <w:tcPr>
            <w:tcW w:w="1639" w:type="dxa"/>
            <w:noWrap w:val="0"/>
            <w:vAlign w:val="top"/>
          </w:tcPr>
          <w:p w14:paraId="1DB351F0">
            <w:pPr>
              <w:bidi w:val="0"/>
              <w:rPr>
                <w:rFonts w:hint="eastAsia" w:asciiTheme="minorEastAsia" w:hAnsiTheme="minorEastAsia" w:eastAsiaTheme="minorEastAsia" w:cstheme="minorEastAsia"/>
                <w:color w:val="auto"/>
                <w:sz w:val="24"/>
                <w:szCs w:val="24"/>
              </w:rPr>
            </w:pPr>
          </w:p>
        </w:tc>
      </w:tr>
    </w:tbl>
    <w:p w14:paraId="36757ACF">
      <w:pPr>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若有偏离</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请将具体偏离条款在“偏离”一栏中详细说明</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若无偏离</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请在“偏离”一栏中标注“无”字样。</w:t>
      </w:r>
    </w:p>
    <w:p w14:paraId="5872E0FB">
      <w:pPr>
        <w:bidi w:val="0"/>
        <w:spacing w:line="60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供应商名称（盖章）：</w:t>
      </w:r>
    </w:p>
    <w:p w14:paraId="399CD40A">
      <w:pPr>
        <w:bidi w:val="0"/>
        <w:spacing w:line="60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法定代表人或委托代理人（签字或盖章）：</w:t>
      </w:r>
    </w:p>
    <w:p w14:paraId="63F1DA75">
      <w:pPr>
        <w:bidi w:val="0"/>
        <w:spacing w:line="60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     年   月   日</w:t>
      </w:r>
      <w:bookmarkStart w:id="267" w:name="_Toc5781"/>
      <w:bookmarkStart w:id="268" w:name="_Toc2824"/>
      <w:bookmarkStart w:id="269" w:name="_Toc28375"/>
    </w:p>
    <w:p w14:paraId="7CBFD136">
      <w:pPr>
        <w:bidi w:val="0"/>
        <w:rPr>
          <w:rStyle w:val="37"/>
          <w:rFonts w:hint="eastAsia" w:asciiTheme="minorEastAsia" w:hAnsiTheme="minorEastAsia" w:eastAsiaTheme="minorEastAsia" w:cstheme="minorEastAsia"/>
          <w:color w:val="auto"/>
          <w:sz w:val="32"/>
          <w:szCs w:val="28"/>
          <w:lang w:val="en-US" w:eastAsia="zh-CN"/>
        </w:rPr>
      </w:pPr>
      <w:r>
        <w:rPr>
          <w:rFonts w:hint="eastAsia" w:asciiTheme="minorEastAsia" w:hAnsiTheme="minorEastAsia" w:eastAsiaTheme="minorEastAsia" w:cstheme="minorEastAsia"/>
          <w:color w:val="auto"/>
          <w:sz w:val="28"/>
          <w:szCs w:val="28"/>
        </w:rPr>
        <w:br w:type="page"/>
      </w:r>
      <w:bookmarkEnd w:id="267"/>
      <w:bookmarkEnd w:id="268"/>
      <w:bookmarkEnd w:id="269"/>
      <w:bookmarkStart w:id="270" w:name="_Toc16059"/>
      <w:bookmarkStart w:id="271" w:name="_Toc13875"/>
      <w:r>
        <w:rPr>
          <w:rStyle w:val="37"/>
          <w:rFonts w:hint="eastAsia" w:asciiTheme="minorEastAsia" w:hAnsiTheme="minorEastAsia" w:eastAsiaTheme="minorEastAsia" w:cstheme="minorEastAsia"/>
          <w:color w:val="auto"/>
          <w:sz w:val="32"/>
          <w:szCs w:val="28"/>
          <w:lang w:val="en-US" w:eastAsia="zh-CN"/>
        </w:rPr>
        <w:t>附件7:</w:t>
      </w:r>
    </w:p>
    <w:bookmarkEnd w:id="270"/>
    <w:bookmarkEnd w:id="271"/>
    <w:p w14:paraId="4BDAB38C">
      <w:pPr>
        <w:bidi w:val="0"/>
        <w:spacing w:line="600" w:lineRule="auto"/>
        <w:rPr>
          <w:rStyle w:val="37"/>
          <w:rFonts w:hint="eastAsia" w:asciiTheme="minorEastAsia" w:hAnsiTheme="minorEastAsia" w:eastAsiaTheme="minorEastAsia" w:cstheme="minorEastAsia"/>
          <w:color w:val="auto"/>
          <w:sz w:val="32"/>
          <w:szCs w:val="28"/>
          <w:lang w:val="en-US" w:eastAsia="zh-CN"/>
        </w:rPr>
      </w:pPr>
    </w:p>
    <w:p w14:paraId="152B610B">
      <w:pPr>
        <w:bidi w:val="0"/>
        <w:jc w:val="center"/>
        <w:rPr>
          <w:rStyle w:val="37"/>
          <w:rFonts w:hint="eastAsia" w:asciiTheme="minorEastAsia" w:hAnsiTheme="minorEastAsia" w:eastAsiaTheme="minorEastAsia" w:cstheme="minorEastAsia"/>
          <w:color w:val="auto"/>
          <w:sz w:val="32"/>
          <w:szCs w:val="28"/>
          <w:lang w:val="en-US" w:eastAsia="zh-CN"/>
        </w:rPr>
      </w:pPr>
      <w:bookmarkStart w:id="272" w:name="_Toc8429"/>
      <w:bookmarkStart w:id="273" w:name="_Toc28929"/>
      <w:bookmarkStart w:id="274" w:name="_Toc8532"/>
      <w:bookmarkStart w:id="275" w:name="_Toc23576"/>
      <w:bookmarkStart w:id="276" w:name="_Toc4883"/>
      <w:r>
        <w:rPr>
          <w:rStyle w:val="37"/>
          <w:rFonts w:hint="eastAsia" w:asciiTheme="minorEastAsia" w:hAnsiTheme="minorEastAsia" w:eastAsiaTheme="minorEastAsia" w:cstheme="minorEastAsia"/>
          <w:color w:val="auto"/>
          <w:sz w:val="32"/>
          <w:szCs w:val="28"/>
          <w:lang w:val="en-US" w:eastAsia="zh-CN"/>
        </w:rPr>
        <w:t>技术参数偏离表</w:t>
      </w:r>
      <w:bookmarkEnd w:id="272"/>
      <w:bookmarkEnd w:id="273"/>
      <w:bookmarkEnd w:id="274"/>
    </w:p>
    <w:bookmarkEnd w:id="275"/>
    <w:bookmarkEnd w:id="276"/>
    <w:p w14:paraId="2A22D820">
      <w:pPr>
        <w:pStyle w:val="33"/>
        <w:spacing w:line="480" w:lineRule="exact"/>
        <w:ind w:firstLine="484"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项目名称：</w:t>
      </w:r>
      <w:r>
        <w:rPr>
          <w:rFonts w:hint="eastAsia" w:asciiTheme="minorEastAsia" w:hAnsiTheme="minorEastAsia" w:eastAsiaTheme="minorEastAsia" w:cstheme="minorEastAsia"/>
          <w:color w:val="auto"/>
          <w:sz w:val="24"/>
          <w:szCs w:val="24"/>
        </w:rPr>
        <w:t xml:space="preserve">　　　　　　　　　　　　                                                        </w:t>
      </w:r>
    </w:p>
    <w:tbl>
      <w:tblPr>
        <w:tblStyle w:val="24"/>
        <w:tblW w:w="14084"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4067"/>
        <w:gridCol w:w="2909"/>
        <w:gridCol w:w="2055"/>
        <w:gridCol w:w="1986"/>
        <w:gridCol w:w="1700"/>
      </w:tblGrid>
      <w:tr w14:paraId="7B29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7" w:type="dxa"/>
            <w:noWrap w:val="0"/>
            <w:vAlign w:val="center"/>
          </w:tcPr>
          <w:p w14:paraId="6715DE98">
            <w:pPr>
              <w:bidi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4067" w:type="dxa"/>
            <w:noWrap w:val="0"/>
            <w:vAlign w:val="center"/>
          </w:tcPr>
          <w:p w14:paraId="060ADA7E">
            <w:pPr>
              <w:bidi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条目号</w:t>
            </w:r>
          </w:p>
        </w:tc>
        <w:tc>
          <w:tcPr>
            <w:tcW w:w="2909" w:type="dxa"/>
            <w:noWrap w:val="0"/>
            <w:vAlign w:val="center"/>
          </w:tcPr>
          <w:p w14:paraId="185740D9">
            <w:pPr>
              <w:bidi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招标规格</w:t>
            </w:r>
          </w:p>
        </w:tc>
        <w:tc>
          <w:tcPr>
            <w:tcW w:w="2055" w:type="dxa"/>
            <w:noWrap w:val="0"/>
            <w:vAlign w:val="center"/>
          </w:tcPr>
          <w:p w14:paraId="0FF7463B">
            <w:pPr>
              <w:bidi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投标规格</w:t>
            </w:r>
          </w:p>
        </w:tc>
        <w:tc>
          <w:tcPr>
            <w:tcW w:w="1986" w:type="dxa"/>
            <w:noWrap w:val="0"/>
            <w:vAlign w:val="center"/>
          </w:tcPr>
          <w:p w14:paraId="2980354D">
            <w:pPr>
              <w:bidi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偏离</w:t>
            </w:r>
          </w:p>
        </w:tc>
        <w:tc>
          <w:tcPr>
            <w:tcW w:w="1700" w:type="dxa"/>
            <w:noWrap w:val="0"/>
            <w:vAlign w:val="center"/>
          </w:tcPr>
          <w:p w14:paraId="60C4D250">
            <w:pPr>
              <w:bidi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637D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7" w:type="dxa"/>
            <w:noWrap w:val="0"/>
            <w:vAlign w:val="top"/>
          </w:tcPr>
          <w:p w14:paraId="7BF84DCF">
            <w:pPr>
              <w:pStyle w:val="33"/>
              <w:spacing w:line="480" w:lineRule="exact"/>
              <w:rPr>
                <w:rFonts w:hint="eastAsia" w:asciiTheme="minorEastAsia" w:hAnsiTheme="minorEastAsia" w:eastAsiaTheme="minorEastAsia" w:cstheme="minorEastAsia"/>
                <w:color w:val="auto"/>
                <w:sz w:val="24"/>
                <w:szCs w:val="24"/>
              </w:rPr>
            </w:pPr>
          </w:p>
        </w:tc>
        <w:tc>
          <w:tcPr>
            <w:tcW w:w="4067" w:type="dxa"/>
            <w:noWrap w:val="0"/>
            <w:vAlign w:val="top"/>
          </w:tcPr>
          <w:p w14:paraId="1FC1F0C1">
            <w:pPr>
              <w:pStyle w:val="33"/>
              <w:spacing w:line="480" w:lineRule="exact"/>
              <w:rPr>
                <w:rFonts w:hint="eastAsia" w:asciiTheme="minorEastAsia" w:hAnsiTheme="minorEastAsia" w:eastAsiaTheme="minorEastAsia" w:cstheme="minorEastAsia"/>
                <w:color w:val="auto"/>
                <w:sz w:val="24"/>
                <w:szCs w:val="24"/>
              </w:rPr>
            </w:pPr>
          </w:p>
        </w:tc>
        <w:tc>
          <w:tcPr>
            <w:tcW w:w="2909" w:type="dxa"/>
            <w:noWrap w:val="0"/>
            <w:vAlign w:val="top"/>
          </w:tcPr>
          <w:p w14:paraId="0D847B94">
            <w:pPr>
              <w:spacing w:line="480" w:lineRule="exact"/>
              <w:jc w:val="left"/>
              <w:rPr>
                <w:rFonts w:hint="eastAsia" w:asciiTheme="minorEastAsia" w:hAnsiTheme="minorEastAsia" w:eastAsiaTheme="minorEastAsia" w:cstheme="minorEastAsia"/>
                <w:color w:val="auto"/>
                <w:kern w:val="0"/>
                <w:sz w:val="24"/>
                <w:szCs w:val="24"/>
              </w:rPr>
            </w:pPr>
          </w:p>
          <w:p w14:paraId="05B64A22">
            <w:pPr>
              <w:pStyle w:val="33"/>
              <w:spacing w:line="480" w:lineRule="exact"/>
              <w:rPr>
                <w:rFonts w:hint="eastAsia" w:asciiTheme="minorEastAsia" w:hAnsiTheme="minorEastAsia" w:eastAsiaTheme="minorEastAsia" w:cstheme="minorEastAsia"/>
                <w:color w:val="auto"/>
                <w:sz w:val="24"/>
                <w:szCs w:val="24"/>
              </w:rPr>
            </w:pPr>
          </w:p>
        </w:tc>
        <w:tc>
          <w:tcPr>
            <w:tcW w:w="2055" w:type="dxa"/>
            <w:noWrap w:val="0"/>
            <w:vAlign w:val="top"/>
          </w:tcPr>
          <w:p w14:paraId="0295B9CF">
            <w:pPr>
              <w:pStyle w:val="33"/>
              <w:spacing w:line="480" w:lineRule="exact"/>
              <w:rPr>
                <w:rFonts w:hint="eastAsia" w:asciiTheme="minorEastAsia" w:hAnsiTheme="minorEastAsia" w:eastAsiaTheme="minorEastAsia" w:cstheme="minorEastAsia"/>
                <w:color w:val="auto"/>
                <w:sz w:val="24"/>
                <w:szCs w:val="24"/>
              </w:rPr>
            </w:pPr>
          </w:p>
        </w:tc>
        <w:tc>
          <w:tcPr>
            <w:tcW w:w="1986" w:type="dxa"/>
            <w:noWrap w:val="0"/>
            <w:vAlign w:val="top"/>
          </w:tcPr>
          <w:p w14:paraId="2CBA005F">
            <w:pPr>
              <w:pStyle w:val="33"/>
              <w:spacing w:line="480" w:lineRule="exact"/>
              <w:rPr>
                <w:rFonts w:hint="eastAsia" w:asciiTheme="minorEastAsia" w:hAnsiTheme="minorEastAsia" w:eastAsiaTheme="minorEastAsia" w:cstheme="minorEastAsia"/>
                <w:color w:val="auto"/>
                <w:sz w:val="24"/>
                <w:szCs w:val="24"/>
              </w:rPr>
            </w:pPr>
          </w:p>
        </w:tc>
        <w:tc>
          <w:tcPr>
            <w:tcW w:w="1700" w:type="dxa"/>
            <w:noWrap w:val="0"/>
            <w:vAlign w:val="top"/>
          </w:tcPr>
          <w:p w14:paraId="26A3BD1B">
            <w:pPr>
              <w:pStyle w:val="33"/>
              <w:spacing w:line="480" w:lineRule="exact"/>
              <w:rPr>
                <w:rFonts w:hint="eastAsia" w:asciiTheme="minorEastAsia" w:hAnsiTheme="minorEastAsia" w:eastAsiaTheme="minorEastAsia" w:cstheme="minorEastAsia"/>
                <w:color w:val="auto"/>
                <w:sz w:val="24"/>
                <w:szCs w:val="24"/>
              </w:rPr>
            </w:pPr>
          </w:p>
        </w:tc>
      </w:tr>
      <w:tr w14:paraId="503B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7" w:type="dxa"/>
            <w:noWrap w:val="0"/>
            <w:vAlign w:val="top"/>
          </w:tcPr>
          <w:p w14:paraId="10E1C066">
            <w:pPr>
              <w:pStyle w:val="33"/>
              <w:spacing w:line="480" w:lineRule="exact"/>
              <w:rPr>
                <w:rFonts w:hint="eastAsia" w:asciiTheme="minorEastAsia" w:hAnsiTheme="minorEastAsia" w:eastAsiaTheme="minorEastAsia" w:cstheme="minorEastAsia"/>
                <w:color w:val="auto"/>
                <w:sz w:val="24"/>
                <w:szCs w:val="24"/>
              </w:rPr>
            </w:pPr>
          </w:p>
        </w:tc>
        <w:tc>
          <w:tcPr>
            <w:tcW w:w="4067" w:type="dxa"/>
            <w:noWrap w:val="0"/>
            <w:vAlign w:val="top"/>
          </w:tcPr>
          <w:p w14:paraId="322C8AC8">
            <w:pPr>
              <w:pStyle w:val="33"/>
              <w:spacing w:line="480" w:lineRule="exact"/>
              <w:rPr>
                <w:rFonts w:hint="eastAsia" w:asciiTheme="minorEastAsia" w:hAnsiTheme="minorEastAsia" w:eastAsiaTheme="minorEastAsia" w:cstheme="minorEastAsia"/>
                <w:color w:val="auto"/>
                <w:sz w:val="24"/>
                <w:szCs w:val="24"/>
              </w:rPr>
            </w:pPr>
          </w:p>
        </w:tc>
        <w:tc>
          <w:tcPr>
            <w:tcW w:w="2909" w:type="dxa"/>
            <w:noWrap w:val="0"/>
            <w:vAlign w:val="top"/>
          </w:tcPr>
          <w:p w14:paraId="77B43BC7">
            <w:pPr>
              <w:spacing w:line="480" w:lineRule="exact"/>
              <w:jc w:val="left"/>
              <w:rPr>
                <w:rFonts w:hint="eastAsia" w:asciiTheme="minorEastAsia" w:hAnsiTheme="minorEastAsia" w:eastAsiaTheme="minorEastAsia" w:cstheme="minorEastAsia"/>
                <w:color w:val="auto"/>
                <w:kern w:val="0"/>
                <w:sz w:val="24"/>
                <w:szCs w:val="24"/>
              </w:rPr>
            </w:pPr>
          </w:p>
          <w:p w14:paraId="151672D8">
            <w:pPr>
              <w:pStyle w:val="33"/>
              <w:spacing w:line="480" w:lineRule="exact"/>
              <w:rPr>
                <w:rFonts w:hint="eastAsia" w:asciiTheme="minorEastAsia" w:hAnsiTheme="minorEastAsia" w:eastAsiaTheme="minorEastAsia" w:cstheme="minorEastAsia"/>
                <w:color w:val="auto"/>
                <w:sz w:val="24"/>
                <w:szCs w:val="24"/>
              </w:rPr>
            </w:pPr>
          </w:p>
        </w:tc>
        <w:tc>
          <w:tcPr>
            <w:tcW w:w="2055" w:type="dxa"/>
            <w:noWrap w:val="0"/>
            <w:vAlign w:val="top"/>
          </w:tcPr>
          <w:p w14:paraId="751ED9EF">
            <w:pPr>
              <w:pStyle w:val="33"/>
              <w:spacing w:line="480" w:lineRule="exact"/>
              <w:rPr>
                <w:rFonts w:hint="eastAsia" w:asciiTheme="minorEastAsia" w:hAnsiTheme="minorEastAsia" w:eastAsiaTheme="minorEastAsia" w:cstheme="minorEastAsia"/>
                <w:color w:val="auto"/>
                <w:sz w:val="24"/>
                <w:szCs w:val="24"/>
              </w:rPr>
            </w:pPr>
          </w:p>
        </w:tc>
        <w:tc>
          <w:tcPr>
            <w:tcW w:w="1986" w:type="dxa"/>
            <w:noWrap w:val="0"/>
            <w:vAlign w:val="top"/>
          </w:tcPr>
          <w:p w14:paraId="5E3B58B4">
            <w:pPr>
              <w:pStyle w:val="33"/>
              <w:spacing w:line="480" w:lineRule="exact"/>
              <w:rPr>
                <w:rFonts w:hint="eastAsia" w:asciiTheme="minorEastAsia" w:hAnsiTheme="minorEastAsia" w:eastAsiaTheme="minorEastAsia" w:cstheme="minorEastAsia"/>
                <w:color w:val="auto"/>
                <w:sz w:val="24"/>
                <w:szCs w:val="24"/>
              </w:rPr>
            </w:pPr>
          </w:p>
        </w:tc>
        <w:tc>
          <w:tcPr>
            <w:tcW w:w="1700" w:type="dxa"/>
            <w:noWrap w:val="0"/>
            <w:vAlign w:val="top"/>
          </w:tcPr>
          <w:p w14:paraId="104269EC">
            <w:pPr>
              <w:pStyle w:val="33"/>
              <w:spacing w:line="480" w:lineRule="exact"/>
              <w:rPr>
                <w:rFonts w:hint="eastAsia" w:asciiTheme="minorEastAsia" w:hAnsiTheme="minorEastAsia" w:eastAsiaTheme="minorEastAsia" w:cstheme="minorEastAsia"/>
                <w:color w:val="auto"/>
                <w:sz w:val="24"/>
                <w:szCs w:val="24"/>
              </w:rPr>
            </w:pPr>
          </w:p>
        </w:tc>
      </w:tr>
      <w:tr w14:paraId="3CC1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7" w:type="dxa"/>
            <w:noWrap w:val="0"/>
            <w:vAlign w:val="top"/>
          </w:tcPr>
          <w:p w14:paraId="26302709">
            <w:pPr>
              <w:pStyle w:val="33"/>
              <w:spacing w:line="480" w:lineRule="exact"/>
              <w:rPr>
                <w:rFonts w:hint="eastAsia" w:asciiTheme="minorEastAsia" w:hAnsiTheme="minorEastAsia" w:eastAsiaTheme="minorEastAsia" w:cstheme="minorEastAsia"/>
                <w:color w:val="auto"/>
                <w:sz w:val="24"/>
                <w:szCs w:val="24"/>
              </w:rPr>
            </w:pPr>
          </w:p>
        </w:tc>
        <w:tc>
          <w:tcPr>
            <w:tcW w:w="4067" w:type="dxa"/>
            <w:noWrap w:val="0"/>
            <w:vAlign w:val="top"/>
          </w:tcPr>
          <w:p w14:paraId="2078CDBE">
            <w:pPr>
              <w:pStyle w:val="33"/>
              <w:spacing w:line="480" w:lineRule="exact"/>
              <w:rPr>
                <w:rFonts w:hint="eastAsia" w:asciiTheme="minorEastAsia" w:hAnsiTheme="minorEastAsia" w:eastAsiaTheme="minorEastAsia" w:cstheme="minorEastAsia"/>
                <w:color w:val="auto"/>
                <w:sz w:val="24"/>
                <w:szCs w:val="24"/>
              </w:rPr>
            </w:pPr>
          </w:p>
        </w:tc>
        <w:tc>
          <w:tcPr>
            <w:tcW w:w="2909" w:type="dxa"/>
            <w:noWrap w:val="0"/>
            <w:vAlign w:val="top"/>
          </w:tcPr>
          <w:p w14:paraId="6636647C">
            <w:pPr>
              <w:spacing w:line="480" w:lineRule="exact"/>
              <w:jc w:val="left"/>
              <w:rPr>
                <w:rFonts w:hint="eastAsia" w:asciiTheme="minorEastAsia" w:hAnsiTheme="minorEastAsia" w:eastAsiaTheme="minorEastAsia" w:cstheme="minorEastAsia"/>
                <w:color w:val="auto"/>
                <w:kern w:val="0"/>
                <w:sz w:val="24"/>
                <w:szCs w:val="24"/>
              </w:rPr>
            </w:pPr>
          </w:p>
          <w:p w14:paraId="54F2C463">
            <w:pPr>
              <w:pStyle w:val="33"/>
              <w:spacing w:line="480" w:lineRule="exact"/>
              <w:rPr>
                <w:rFonts w:hint="eastAsia" w:asciiTheme="minorEastAsia" w:hAnsiTheme="minorEastAsia" w:eastAsiaTheme="minorEastAsia" w:cstheme="minorEastAsia"/>
                <w:color w:val="auto"/>
                <w:sz w:val="24"/>
                <w:szCs w:val="24"/>
              </w:rPr>
            </w:pPr>
          </w:p>
        </w:tc>
        <w:tc>
          <w:tcPr>
            <w:tcW w:w="2055" w:type="dxa"/>
            <w:noWrap w:val="0"/>
            <w:vAlign w:val="top"/>
          </w:tcPr>
          <w:p w14:paraId="78A0B4FB">
            <w:pPr>
              <w:pStyle w:val="33"/>
              <w:spacing w:line="480" w:lineRule="exact"/>
              <w:rPr>
                <w:rFonts w:hint="eastAsia" w:asciiTheme="minorEastAsia" w:hAnsiTheme="minorEastAsia" w:eastAsiaTheme="minorEastAsia" w:cstheme="minorEastAsia"/>
                <w:color w:val="auto"/>
                <w:sz w:val="24"/>
                <w:szCs w:val="24"/>
              </w:rPr>
            </w:pPr>
          </w:p>
        </w:tc>
        <w:tc>
          <w:tcPr>
            <w:tcW w:w="1986" w:type="dxa"/>
            <w:noWrap w:val="0"/>
            <w:vAlign w:val="top"/>
          </w:tcPr>
          <w:p w14:paraId="179936F9">
            <w:pPr>
              <w:pStyle w:val="33"/>
              <w:spacing w:line="480" w:lineRule="exact"/>
              <w:rPr>
                <w:rFonts w:hint="eastAsia" w:asciiTheme="minorEastAsia" w:hAnsiTheme="minorEastAsia" w:eastAsiaTheme="minorEastAsia" w:cstheme="minorEastAsia"/>
                <w:color w:val="auto"/>
                <w:sz w:val="24"/>
                <w:szCs w:val="24"/>
              </w:rPr>
            </w:pPr>
          </w:p>
        </w:tc>
        <w:tc>
          <w:tcPr>
            <w:tcW w:w="1700" w:type="dxa"/>
            <w:noWrap w:val="0"/>
            <w:vAlign w:val="top"/>
          </w:tcPr>
          <w:p w14:paraId="5830CD74">
            <w:pPr>
              <w:pStyle w:val="33"/>
              <w:spacing w:line="480" w:lineRule="exact"/>
              <w:rPr>
                <w:rFonts w:hint="eastAsia" w:asciiTheme="minorEastAsia" w:hAnsiTheme="minorEastAsia" w:eastAsiaTheme="minorEastAsia" w:cstheme="minorEastAsia"/>
                <w:color w:val="auto"/>
                <w:sz w:val="24"/>
                <w:szCs w:val="24"/>
              </w:rPr>
            </w:pPr>
          </w:p>
        </w:tc>
      </w:tr>
    </w:tbl>
    <w:p w14:paraId="0CCA41AC">
      <w:pPr>
        <w:bidi w:val="0"/>
        <w:spacing w:line="360" w:lineRule="auto"/>
        <w:rPr>
          <w:rFonts w:hint="eastAsia" w:asciiTheme="minorEastAsia" w:hAnsiTheme="minorEastAsia" w:eastAsiaTheme="minorEastAsia" w:cstheme="minorEastAsia"/>
          <w:color w:val="auto"/>
          <w:sz w:val="24"/>
          <w:szCs w:val="24"/>
        </w:rPr>
      </w:pPr>
      <w:bookmarkStart w:id="277" w:name="_Toc32067"/>
      <w:bookmarkStart w:id="278" w:name="_Toc19858"/>
      <w:r>
        <w:rPr>
          <w:rFonts w:hint="eastAsia" w:asciiTheme="minorEastAsia" w:hAnsiTheme="minorEastAsia" w:eastAsiaTheme="minorEastAsia" w:cstheme="minorEastAsia"/>
          <w:color w:val="auto"/>
          <w:sz w:val="24"/>
          <w:szCs w:val="24"/>
        </w:rPr>
        <w:t>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若有偏离</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请将具体偏离条款在“偏离”一栏中详细说明</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若无偏离</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请在“偏离”一栏中标注“无”字样。</w:t>
      </w:r>
    </w:p>
    <w:p w14:paraId="245088B1">
      <w:pPr>
        <w:bidi w:val="0"/>
        <w:spacing w:line="60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供应商名称（盖章）：</w:t>
      </w:r>
    </w:p>
    <w:p w14:paraId="3C489E67">
      <w:pPr>
        <w:bidi w:val="0"/>
        <w:spacing w:line="60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法定代表人或委托代理人（签字或盖章）：</w:t>
      </w:r>
    </w:p>
    <w:p w14:paraId="009B73C1">
      <w:pPr>
        <w:bidi w:val="0"/>
        <w:jc w:val="center"/>
        <w:rPr>
          <w:rFonts w:hint="eastAsia" w:asciiTheme="minorEastAsia" w:hAnsiTheme="minorEastAsia" w:eastAsiaTheme="minorEastAsia" w:cstheme="minorEastAsia"/>
          <w:color w:val="auto"/>
        </w:rPr>
        <w:sectPr>
          <w:headerReference r:id="rId18" w:type="first"/>
          <w:footerReference r:id="rId20" w:type="first"/>
          <w:headerReference r:id="rId17" w:type="default"/>
          <w:footerReference r:id="rId19" w:type="default"/>
          <w:pgSz w:w="16838" w:h="11906" w:orient="landscape"/>
          <w:pgMar w:top="1417" w:right="1417" w:bottom="1418" w:left="1417" w:header="851" w:footer="850" w:gutter="0"/>
          <w:pgNumType w:fmt="decimal"/>
          <w:cols w:space="720" w:num="1"/>
          <w:titlePg/>
          <w:docGrid w:type="linesAndChars" w:linePitch="312" w:charSpace="530"/>
        </w:sectPr>
      </w:pPr>
      <w:r>
        <w:rPr>
          <w:rFonts w:hint="eastAsia" w:asciiTheme="minorEastAsia" w:hAnsiTheme="minorEastAsia" w:eastAsiaTheme="minorEastAsia" w:cstheme="minorEastAsia"/>
          <w:color w:val="auto"/>
        </w:rPr>
        <w:t>日期：     年   月   日</w:t>
      </w:r>
      <w:bookmarkEnd w:id="277"/>
      <w:bookmarkEnd w:id="278"/>
      <w:bookmarkStart w:id="279" w:name="_Toc6379"/>
      <w:bookmarkStart w:id="280" w:name="_Toc24389"/>
      <w:bookmarkStart w:id="281" w:name="_Toc10091"/>
    </w:p>
    <w:bookmarkEnd w:id="279"/>
    <w:bookmarkEnd w:id="280"/>
    <w:bookmarkEnd w:id="281"/>
    <w:p w14:paraId="43175430">
      <w:pPr>
        <w:spacing w:line="500" w:lineRule="exact"/>
        <w:jc w:val="both"/>
        <w:rPr>
          <w:rStyle w:val="37"/>
          <w:rFonts w:hint="eastAsia" w:asciiTheme="minorEastAsia" w:hAnsiTheme="minorEastAsia" w:eastAsiaTheme="minorEastAsia" w:cstheme="minorEastAsia"/>
          <w:color w:val="auto"/>
          <w:sz w:val="32"/>
          <w:szCs w:val="28"/>
          <w:lang w:val="en-US" w:eastAsia="zh-CN"/>
        </w:rPr>
      </w:pPr>
      <w:bookmarkStart w:id="282" w:name="_Toc28034"/>
      <w:bookmarkStart w:id="283" w:name="_Toc22063"/>
      <w:bookmarkStart w:id="284" w:name="_Toc12578"/>
      <w:bookmarkStart w:id="285" w:name="_Toc7717"/>
      <w:bookmarkStart w:id="286" w:name="_Toc25331"/>
      <w:r>
        <w:rPr>
          <w:rStyle w:val="37"/>
          <w:rFonts w:hint="eastAsia" w:asciiTheme="minorEastAsia" w:hAnsiTheme="minorEastAsia" w:eastAsiaTheme="minorEastAsia" w:cstheme="minorEastAsia"/>
          <w:b/>
          <w:bCs/>
          <w:color w:val="auto"/>
          <w:sz w:val="32"/>
          <w:szCs w:val="28"/>
          <w:lang w:val="en-US" w:eastAsia="zh-CN"/>
        </w:rPr>
        <w:t>附件8:</w:t>
      </w:r>
    </w:p>
    <w:bookmarkEnd w:id="282"/>
    <w:bookmarkEnd w:id="283"/>
    <w:p w14:paraId="6D99F844">
      <w:pPr>
        <w:bidi w:val="0"/>
        <w:rPr>
          <w:rStyle w:val="37"/>
          <w:rFonts w:hint="eastAsia" w:asciiTheme="minorEastAsia" w:hAnsiTheme="minorEastAsia" w:eastAsiaTheme="minorEastAsia" w:cstheme="minorEastAsia"/>
          <w:color w:val="auto"/>
          <w:sz w:val="24"/>
          <w:szCs w:val="24"/>
          <w:lang w:val="en-US" w:eastAsia="zh-CN"/>
        </w:rPr>
      </w:pPr>
    </w:p>
    <w:p w14:paraId="078681CA">
      <w:pPr>
        <w:bidi w:val="0"/>
        <w:jc w:val="center"/>
        <w:rPr>
          <w:rStyle w:val="37"/>
          <w:rFonts w:hint="eastAsia" w:asciiTheme="minorEastAsia" w:hAnsiTheme="minorEastAsia" w:eastAsiaTheme="minorEastAsia" w:cstheme="minorEastAsia"/>
          <w:color w:val="auto"/>
          <w:sz w:val="24"/>
          <w:szCs w:val="24"/>
          <w:lang w:val="en-US" w:eastAsia="zh-CN"/>
        </w:rPr>
      </w:pPr>
      <w:bookmarkStart w:id="287" w:name="_Toc28874"/>
      <w:bookmarkStart w:id="288" w:name="_Toc27646"/>
      <w:r>
        <w:rPr>
          <w:rStyle w:val="37"/>
          <w:rFonts w:hint="eastAsia" w:asciiTheme="minorEastAsia" w:hAnsiTheme="minorEastAsia" w:eastAsiaTheme="minorEastAsia" w:cstheme="minorEastAsia"/>
          <w:color w:val="auto"/>
          <w:sz w:val="24"/>
          <w:szCs w:val="24"/>
          <w:lang w:val="en-US" w:eastAsia="zh-CN"/>
        </w:rPr>
        <w:t>近五年同类项目业绩表</w:t>
      </w:r>
      <w:bookmarkEnd w:id="284"/>
      <w:bookmarkEnd w:id="285"/>
      <w:bookmarkEnd w:id="286"/>
    </w:p>
    <w:bookmarkEnd w:id="287"/>
    <w:bookmarkEnd w:id="288"/>
    <w:tbl>
      <w:tblPr>
        <w:tblStyle w:val="24"/>
        <w:tblW w:w="95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76"/>
        <w:gridCol w:w="1884"/>
        <w:gridCol w:w="1837"/>
        <w:gridCol w:w="1420"/>
        <w:gridCol w:w="1833"/>
        <w:gridCol w:w="1727"/>
      </w:tblGrid>
      <w:tr w14:paraId="05F68D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8" w:hRule="atLeast"/>
          <w:jc w:val="center"/>
        </w:trPr>
        <w:tc>
          <w:tcPr>
            <w:tcW w:w="876" w:type="dxa"/>
            <w:tcBorders>
              <w:top w:val="single" w:color="auto" w:sz="4" w:space="0"/>
              <w:bottom w:val="single" w:color="auto" w:sz="4" w:space="0"/>
            </w:tcBorders>
            <w:noWrap w:val="0"/>
            <w:vAlign w:val="center"/>
          </w:tcPr>
          <w:p w14:paraId="75FE68FD">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序号</w:t>
            </w:r>
          </w:p>
        </w:tc>
        <w:tc>
          <w:tcPr>
            <w:tcW w:w="1884" w:type="dxa"/>
            <w:noWrap w:val="0"/>
            <w:vAlign w:val="center"/>
          </w:tcPr>
          <w:p w14:paraId="70C5F1A3">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项目名称</w:t>
            </w:r>
          </w:p>
        </w:tc>
        <w:tc>
          <w:tcPr>
            <w:tcW w:w="1837" w:type="dxa"/>
            <w:noWrap w:val="0"/>
            <w:vAlign w:val="center"/>
          </w:tcPr>
          <w:p w14:paraId="784463FC">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完成时间</w:t>
            </w:r>
          </w:p>
        </w:tc>
        <w:tc>
          <w:tcPr>
            <w:tcW w:w="1420" w:type="dxa"/>
            <w:noWrap w:val="0"/>
            <w:vAlign w:val="center"/>
          </w:tcPr>
          <w:p w14:paraId="14925A86">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合同金额</w:t>
            </w:r>
          </w:p>
        </w:tc>
        <w:tc>
          <w:tcPr>
            <w:tcW w:w="1833" w:type="dxa"/>
            <w:noWrap w:val="0"/>
            <w:vAlign w:val="center"/>
          </w:tcPr>
          <w:p w14:paraId="27280BDE">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采购人名称</w:t>
            </w:r>
          </w:p>
        </w:tc>
        <w:tc>
          <w:tcPr>
            <w:tcW w:w="1727" w:type="dxa"/>
            <w:tcBorders>
              <w:left w:val="single" w:color="auto" w:sz="4" w:space="0"/>
            </w:tcBorders>
            <w:noWrap w:val="0"/>
            <w:vAlign w:val="center"/>
          </w:tcPr>
          <w:p w14:paraId="4CADF765">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备注</w:t>
            </w:r>
          </w:p>
        </w:tc>
      </w:tr>
      <w:tr w14:paraId="184032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54" w:hRule="atLeast"/>
          <w:jc w:val="center"/>
        </w:trPr>
        <w:tc>
          <w:tcPr>
            <w:tcW w:w="876" w:type="dxa"/>
            <w:tcBorders>
              <w:top w:val="single" w:color="auto" w:sz="4" w:space="0"/>
              <w:bottom w:val="single" w:color="auto" w:sz="4" w:space="0"/>
            </w:tcBorders>
            <w:noWrap w:val="0"/>
            <w:vAlign w:val="center"/>
          </w:tcPr>
          <w:p w14:paraId="035BD722">
            <w:pPr>
              <w:jc w:val="center"/>
              <w:rPr>
                <w:rFonts w:hint="eastAsia" w:asciiTheme="minorEastAsia" w:hAnsiTheme="minorEastAsia" w:eastAsiaTheme="minorEastAsia" w:cstheme="minorEastAsia"/>
                <w:bCs/>
                <w:color w:val="auto"/>
                <w:sz w:val="24"/>
                <w:szCs w:val="24"/>
              </w:rPr>
            </w:pPr>
          </w:p>
        </w:tc>
        <w:tc>
          <w:tcPr>
            <w:tcW w:w="1884" w:type="dxa"/>
            <w:noWrap w:val="0"/>
            <w:vAlign w:val="center"/>
          </w:tcPr>
          <w:p w14:paraId="55ADB0B0">
            <w:pPr>
              <w:jc w:val="center"/>
              <w:rPr>
                <w:rFonts w:hint="eastAsia" w:asciiTheme="minorEastAsia" w:hAnsiTheme="minorEastAsia" w:eastAsiaTheme="minorEastAsia" w:cstheme="minorEastAsia"/>
                <w:bCs/>
                <w:color w:val="auto"/>
                <w:sz w:val="24"/>
                <w:szCs w:val="24"/>
              </w:rPr>
            </w:pPr>
          </w:p>
        </w:tc>
        <w:tc>
          <w:tcPr>
            <w:tcW w:w="1837" w:type="dxa"/>
            <w:noWrap w:val="0"/>
            <w:vAlign w:val="center"/>
          </w:tcPr>
          <w:p w14:paraId="11993987">
            <w:pPr>
              <w:jc w:val="center"/>
              <w:rPr>
                <w:rFonts w:hint="eastAsia" w:asciiTheme="minorEastAsia" w:hAnsiTheme="minorEastAsia" w:eastAsiaTheme="minorEastAsia" w:cstheme="minorEastAsia"/>
                <w:bCs/>
                <w:color w:val="auto"/>
                <w:sz w:val="24"/>
                <w:szCs w:val="24"/>
              </w:rPr>
            </w:pPr>
          </w:p>
        </w:tc>
        <w:tc>
          <w:tcPr>
            <w:tcW w:w="1420" w:type="dxa"/>
            <w:noWrap w:val="0"/>
            <w:vAlign w:val="center"/>
          </w:tcPr>
          <w:p w14:paraId="50BE3C36">
            <w:pPr>
              <w:jc w:val="center"/>
              <w:rPr>
                <w:rFonts w:hint="eastAsia" w:asciiTheme="minorEastAsia" w:hAnsiTheme="minorEastAsia" w:eastAsiaTheme="minorEastAsia" w:cstheme="minorEastAsia"/>
                <w:bCs/>
                <w:color w:val="auto"/>
                <w:sz w:val="24"/>
                <w:szCs w:val="24"/>
              </w:rPr>
            </w:pPr>
          </w:p>
        </w:tc>
        <w:tc>
          <w:tcPr>
            <w:tcW w:w="1833" w:type="dxa"/>
            <w:noWrap w:val="0"/>
            <w:vAlign w:val="center"/>
          </w:tcPr>
          <w:p w14:paraId="4A00DD7E">
            <w:pPr>
              <w:jc w:val="center"/>
              <w:rPr>
                <w:rFonts w:hint="eastAsia" w:asciiTheme="minorEastAsia" w:hAnsiTheme="minorEastAsia" w:eastAsiaTheme="minorEastAsia" w:cstheme="minorEastAsia"/>
                <w:bCs/>
                <w:color w:val="auto"/>
                <w:sz w:val="24"/>
                <w:szCs w:val="24"/>
              </w:rPr>
            </w:pPr>
          </w:p>
        </w:tc>
        <w:tc>
          <w:tcPr>
            <w:tcW w:w="1727" w:type="dxa"/>
            <w:tcBorders>
              <w:left w:val="single" w:color="auto" w:sz="4" w:space="0"/>
            </w:tcBorders>
            <w:noWrap w:val="0"/>
            <w:vAlign w:val="center"/>
          </w:tcPr>
          <w:p w14:paraId="6CAA4A31">
            <w:pPr>
              <w:jc w:val="center"/>
              <w:rPr>
                <w:rFonts w:hint="eastAsia" w:asciiTheme="minorEastAsia" w:hAnsiTheme="minorEastAsia" w:eastAsiaTheme="minorEastAsia" w:cstheme="minorEastAsia"/>
                <w:bCs/>
                <w:color w:val="auto"/>
                <w:sz w:val="24"/>
                <w:szCs w:val="24"/>
              </w:rPr>
            </w:pPr>
          </w:p>
        </w:tc>
      </w:tr>
      <w:tr w14:paraId="1640B8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54" w:hRule="atLeast"/>
          <w:jc w:val="center"/>
        </w:trPr>
        <w:tc>
          <w:tcPr>
            <w:tcW w:w="876" w:type="dxa"/>
            <w:tcBorders>
              <w:top w:val="single" w:color="auto" w:sz="4" w:space="0"/>
              <w:bottom w:val="single" w:color="auto" w:sz="4" w:space="0"/>
            </w:tcBorders>
            <w:noWrap w:val="0"/>
            <w:vAlign w:val="center"/>
          </w:tcPr>
          <w:p w14:paraId="652ECBFA">
            <w:pPr>
              <w:jc w:val="center"/>
              <w:rPr>
                <w:rFonts w:hint="eastAsia" w:asciiTheme="minorEastAsia" w:hAnsiTheme="minorEastAsia" w:eastAsiaTheme="minorEastAsia" w:cstheme="minorEastAsia"/>
                <w:bCs/>
                <w:color w:val="auto"/>
                <w:sz w:val="24"/>
                <w:szCs w:val="24"/>
              </w:rPr>
            </w:pPr>
          </w:p>
        </w:tc>
        <w:tc>
          <w:tcPr>
            <w:tcW w:w="1884" w:type="dxa"/>
            <w:noWrap w:val="0"/>
            <w:vAlign w:val="center"/>
          </w:tcPr>
          <w:p w14:paraId="0F47FC67">
            <w:pPr>
              <w:jc w:val="center"/>
              <w:rPr>
                <w:rFonts w:hint="eastAsia" w:asciiTheme="minorEastAsia" w:hAnsiTheme="minorEastAsia" w:eastAsiaTheme="minorEastAsia" w:cstheme="minorEastAsia"/>
                <w:bCs/>
                <w:color w:val="auto"/>
                <w:sz w:val="24"/>
                <w:szCs w:val="24"/>
              </w:rPr>
            </w:pPr>
          </w:p>
        </w:tc>
        <w:tc>
          <w:tcPr>
            <w:tcW w:w="1837" w:type="dxa"/>
            <w:noWrap w:val="0"/>
            <w:vAlign w:val="center"/>
          </w:tcPr>
          <w:p w14:paraId="3735941A">
            <w:pPr>
              <w:jc w:val="center"/>
              <w:rPr>
                <w:rFonts w:hint="eastAsia" w:asciiTheme="minorEastAsia" w:hAnsiTheme="minorEastAsia" w:eastAsiaTheme="minorEastAsia" w:cstheme="minorEastAsia"/>
                <w:bCs/>
                <w:color w:val="auto"/>
                <w:sz w:val="24"/>
                <w:szCs w:val="24"/>
              </w:rPr>
            </w:pPr>
          </w:p>
        </w:tc>
        <w:tc>
          <w:tcPr>
            <w:tcW w:w="1420" w:type="dxa"/>
            <w:noWrap w:val="0"/>
            <w:vAlign w:val="center"/>
          </w:tcPr>
          <w:p w14:paraId="7F5EE1A7">
            <w:pPr>
              <w:jc w:val="center"/>
              <w:rPr>
                <w:rFonts w:hint="eastAsia" w:asciiTheme="minorEastAsia" w:hAnsiTheme="minorEastAsia" w:eastAsiaTheme="minorEastAsia" w:cstheme="minorEastAsia"/>
                <w:bCs/>
                <w:color w:val="auto"/>
                <w:sz w:val="24"/>
                <w:szCs w:val="24"/>
              </w:rPr>
            </w:pPr>
          </w:p>
        </w:tc>
        <w:tc>
          <w:tcPr>
            <w:tcW w:w="1833" w:type="dxa"/>
            <w:noWrap w:val="0"/>
            <w:vAlign w:val="center"/>
          </w:tcPr>
          <w:p w14:paraId="0A1169E9">
            <w:pPr>
              <w:jc w:val="center"/>
              <w:rPr>
                <w:rFonts w:hint="eastAsia" w:asciiTheme="minorEastAsia" w:hAnsiTheme="minorEastAsia" w:eastAsiaTheme="minorEastAsia" w:cstheme="minorEastAsia"/>
                <w:bCs/>
                <w:color w:val="auto"/>
                <w:sz w:val="24"/>
                <w:szCs w:val="24"/>
              </w:rPr>
            </w:pPr>
          </w:p>
        </w:tc>
        <w:tc>
          <w:tcPr>
            <w:tcW w:w="1727" w:type="dxa"/>
            <w:tcBorders>
              <w:left w:val="single" w:color="auto" w:sz="4" w:space="0"/>
            </w:tcBorders>
            <w:noWrap w:val="0"/>
            <w:vAlign w:val="center"/>
          </w:tcPr>
          <w:p w14:paraId="11B460AD">
            <w:pPr>
              <w:jc w:val="center"/>
              <w:rPr>
                <w:rFonts w:hint="eastAsia" w:asciiTheme="minorEastAsia" w:hAnsiTheme="minorEastAsia" w:eastAsiaTheme="minorEastAsia" w:cstheme="minorEastAsia"/>
                <w:bCs/>
                <w:color w:val="auto"/>
                <w:sz w:val="24"/>
                <w:szCs w:val="24"/>
              </w:rPr>
            </w:pPr>
          </w:p>
        </w:tc>
      </w:tr>
      <w:tr w14:paraId="1C8BB8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54" w:hRule="atLeast"/>
          <w:jc w:val="center"/>
        </w:trPr>
        <w:tc>
          <w:tcPr>
            <w:tcW w:w="876" w:type="dxa"/>
            <w:tcBorders>
              <w:top w:val="single" w:color="auto" w:sz="4" w:space="0"/>
              <w:bottom w:val="single" w:color="auto" w:sz="4" w:space="0"/>
            </w:tcBorders>
            <w:noWrap w:val="0"/>
            <w:vAlign w:val="center"/>
          </w:tcPr>
          <w:p w14:paraId="5101640F">
            <w:pPr>
              <w:jc w:val="center"/>
              <w:rPr>
                <w:rFonts w:hint="eastAsia" w:asciiTheme="minorEastAsia" w:hAnsiTheme="minorEastAsia" w:eastAsiaTheme="minorEastAsia" w:cstheme="minorEastAsia"/>
                <w:bCs/>
                <w:color w:val="auto"/>
                <w:sz w:val="24"/>
                <w:szCs w:val="24"/>
              </w:rPr>
            </w:pPr>
          </w:p>
        </w:tc>
        <w:tc>
          <w:tcPr>
            <w:tcW w:w="1884" w:type="dxa"/>
            <w:noWrap w:val="0"/>
            <w:vAlign w:val="center"/>
          </w:tcPr>
          <w:p w14:paraId="2B3B9881">
            <w:pPr>
              <w:jc w:val="center"/>
              <w:rPr>
                <w:rFonts w:hint="eastAsia" w:asciiTheme="minorEastAsia" w:hAnsiTheme="minorEastAsia" w:eastAsiaTheme="minorEastAsia" w:cstheme="minorEastAsia"/>
                <w:bCs/>
                <w:color w:val="auto"/>
                <w:sz w:val="24"/>
                <w:szCs w:val="24"/>
              </w:rPr>
            </w:pPr>
          </w:p>
        </w:tc>
        <w:tc>
          <w:tcPr>
            <w:tcW w:w="1837" w:type="dxa"/>
            <w:noWrap w:val="0"/>
            <w:vAlign w:val="center"/>
          </w:tcPr>
          <w:p w14:paraId="2AD1C263">
            <w:pPr>
              <w:jc w:val="center"/>
              <w:rPr>
                <w:rFonts w:hint="eastAsia" w:asciiTheme="minorEastAsia" w:hAnsiTheme="minorEastAsia" w:eastAsiaTheme="minorEastAsia" w:cstheme="minorEastAsia"/>
                <w:bCs/>
                <w:color w:val="auto"/>
                <w:sz w:val="24"/>
                <w:szCs w:val="24"/>
              </w:rPr>
            </w:pPr>
          </w:p>
        </w:tc>
        <w:tc>
          <w:tcPr>
            <w:tcW w:w="1420" w:type="dxa"/>
            <w:noWrap w:val="0"/>
            <w:vAlign w:val="center"/>
          </w:tcPr>
          <w:p w14:paraId="593ABF83">
            <w:pPr>
              <w:jc w:val="center"/>
              <w:rPr>
                <w:rFonts w:hint="eastAsia" w:asciiTheme="minorEastAsia" w:hAnsiTheme="minorEastAsia" w:eastAsiaTheme="minorEastAsia" w:cstheme="minorEastAsia"/>
                <w:bCs/>
                <w:color w:val="auto"/>
                <w:sz w:val="24"/>
                <w:szCs w:val="24"/>
              </w:rPr>
            </w:pPr>
          </w:p>
        </w:tc>
        <w:tc>
          <w:tcPr>
            <w:tcW w:w="1833" w:type="dxa"/>
            <w:noWrap w:val="0"/>
            <w:vAlign w:val="center"/>
          </w:tcPr>
          <w:p w14:paraId="27881A7A">
            <w:pPr>
              <w:jc w:val="center"/>
              <w:rPr>
                <w:rFonts w:hint="eastAsia" w:asciiTheme="minorEastAsia" w:hAnsiTheme="minorEastAsia" w:eastAsiaTheme="minorEastAsia" w:cstheme="minorEastAsia"/>
                <w:bCs/>
                <w:color w:val="auto"/>
                <w:sz w:val="24"/>
                <w:szCs w:val="24"/>
              </w:rPr>
            </w:pPr>
          </w:p>
        </w:tc>
        <w:tc>
          <w:tcPr>
            <w:tcW w:w="1727" w:type="dxa"/>
            <w:tcBorders>
              <w:left w:val="single" w:color="auto" w:sz="4" w:space="0"/>
            </w:tcBorders>
            <w:noWrap w:val="0"/>
            <w:vAlign w:val="center"/>
          </w:tcPr>
          <w:p w14:paraId="4846F3BB">
            <w:pPr>
              <w:jc w:val="center"/>
              <w:rPr>
                <w:rFonts w:hint="eastAsia" w:asciiTheme="minorEastAsia" w:hAnsiTheme="minorEastAsia" w:eastAsiaTheme="minorEastAsia" w:cstheme="minorEastAsia"/>
                <w:bCs/>
                <w:color w:val="auto"/>
                <w:sz w:val="24"/>
                <w:szCs w:val="24"/>
              </w:rPr>
            </w:pPr>
          </w:p>
        </w:tc>
      </w:tr>
      <w:tr w14:paraId="3312CB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54" w:hRule="atLeast"/>
          <w:jc w:val="center"/>
        </w:trPr>
        <w:tc>
          <w:tcPr>
            <w:tcW w:w="876" w:type="dxa"/>
            <w:tcBorders>
              <w:top w:val="single" w:color="auto" w:sz="4" w:space="0"/>
              <w:bottom w:val="single" w:color="auto" w:sz="4" w:space="0"/>
            </w:tcBorders>
            <w:noWrap w:val="0"/>
            <w:vAlign w:val="center"/>
          </w:tcPr>
          <w:p w14:paraId="723B5CC9">
            <w:pPr>
              <w:jc w:val="center"/>
              <w:rPr>
                <w:rFonts w:hint="eastAsia" w:asciiTheme="minorEastAsia" w:hAnsiTheme="minorEastAsia" w:eastAsiaTheme="minorEastAsia" w:cstheme="minorEastAsia"/>
                <w:bCs/>
                <w:color w:val="auto"/>
                <w:sz w:val="24"/>
                <w:szCs w:val="24"/>
              </w:rPr>
            </w:pPr>
          </w:p>
        </w:tc>
        <w:tc>
          <w:tcPr>
            <w:tcW w:w="1884" w:type="dxa"/>
            <w:noWrap w:val="0"/>
            <w:vAlign w:val="center"/>
          </w:tcPr>
          <w:p w14:paraId="534B6357">
            <w:pPr>
              <w:jc w:val="center"/>
              <w:rPr>
                <w:rFonts w:hint="eastAsia" w:asciiTheme="minorEastAsia" w:hAnsiTheme="minorEastAsia" w:eastAsiaTheme="minorEastAsia" w:cstheme="minorEastAsia"/>
                <w:bCs/>
                <w:color w:val="auto"/>
                <w:sz w:val="24"/>
                <w:szCs w:val="24"/>
              </w:rPr>
            </w:pPr>
          </w:p>
        </w:tc>
        <w:tc>
          <w:tcPr>
            <w:tcW w:w="1837" w:type="dxa"/>
            <w:noWrap w:val="0"/>
            <w:vAlign w:val="center"/>
          </w:tcPr>
          <w:p w14:paraId="0E31BA98">
            <w:pPr>
              <w:jc w:val="center"/>
              <w:rPr>
                <w:rFonts w:hint="eastAsia" w:asciiTheme="minorEastAsia" w:hAnsiTheme="minorEastAsia" w:eastAsiaTheme="minorEastAsia" w:cstheme="minorEastAsia"/>
                <w:bCs/>
                <w:color w:val="auto"/>
                <w:sz w:val="24"/>
                <w:szCs w:val="24"/>
              </w:rPr>
            </w:pPr>
          </w:p>
        </w:tc>
        <w:tc>
          <w:tcPr>
            <w:tcW w:w="1420" w:type="dxa"/>
            <w:noWrap w:val="0"/>
            <w:vAlign w:val="center"/>
          </w:tcPr>
          <w:p w14:paraId="094932FA">
            <w:pPr>
              <w:jc w:val="center"/>
              <w:rPr>
                <w:rFonts w:hint="eastAsia" w:asciiTheme="minorEastAsia" w:hAnsiTheme="minorEastAsia" w:eastAsiaTheme="minorEastAsia" w:cstheme="minorEastAsia"/>
                <w:bCs/>
                <w:color w:val="auto"/>
                <w:sz w:val="24"/>
                <w:szCs w:val="24"/>
              </w:rPr>
            </w:pPr>
          </w:p>
        </w:tc>
        <w:tc>
          <w:tcPr>
            <w:tcW w:w="1833" w:type="dxa"/>
            <w:noWrap w:val="0"/>
            <w:vAlign w:val="center"/>
          </w:tcPr>
          <w:p w14:paraId="6AA54BA9">
            <w:pPr>
              <w:jc w:val="center"/>
              <w:rPr>
                <w:rFonts w:hint="eastAsia" w:asciiTheme="minorEastAsia" w:hAnsiTheme="minorEastAsia" w:eastAsiaTheme="minorEastAsia" w:cstheme="minorEastAsia"/>
                <w:bCs/>
                <w:color w:val="auto"/>
                <w:sz w:val="24"/>
                <w:szCs w:val="24"/>
              </w:rPr>
            </w:pPr>
          </w:p>
        </w:tc>
        <w:tc>
          <w:tcPr>
            <w:tcW w:w="1727" w:type="dxa"/>
            <w:tcBorders>
              <w:left w:val="single" w:color="auto" w:sz="4" w:space="0"/>
            </w:tcBorders>
            <w:noWrap w:val="0"/>
            <w:vAlign w:val="center"/>
          </w:tcPr>
          <w:p w14:paraId="3EB5DF27">
            <w:pPr>
              <w:jc w:val="center"/>
              <w:rPr>
                <w:rFonts w:hint="eastAsia" w:asciiTheme="minorEastAsia" w:hAnsiTheme="minorEastAsia" w:eastAsiaTheme="minorEastAsia" w:cstheme="minorEastAsia"/>
                <w:bCs/>
                <w:color w:val="auto"/>
                <w:sz w:val="24"/>
                <w:szCs w:val="24"/>
              </w:rPr>
            </w:pPr>
          </w:p>
        </w:tc>
      </w:tr>
      <w:tr w14:paraId="4D27B6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54" w:hRule="atLeast"/>
          <w:jc w:val="center"/>
        </w:trPr>
        <w:tc>
          <w:tcPr>
            <w:tcW w:w="876" w:type="dxa"/>
            <w:tcBorders>
              <w:top w:val="single" w:color="auto" w:sz="4" w:space="0"/>
              <w:bottom w:val="single" w:color="auto" w:sz="4" w:space="0"/>
            </w:tcBorders>
            <w:noWrap w:val="0"/>
            <w:vAlign w:val="center"/>
          </w:tcPr>
          <w:p w14:paraId="6EA1B0BF">
            <w:pPr>
              <w:jc w:val="center"/>
              <w:rPr>
                <w:rFonts w:hint="eastAsia" w:asciiTheme="minorEastAsia" w:hAnsiTheme="minorEastAsia" w:eastAsiaTheme="minorEastAsia" w:cstheme="minorEastAsia"/>
                <w:bCs/>
                <w:color w:val="auto"/>
                <w:sz w:val="24"/>
                <w:szCs w:val="24"/>
              </w:rPr>
            </w:pPr>
          </w:p>
        </w:tc>
        <w:tc>
          <w:tcPr>
            <w:tcW w:w="1884" w:type="dxa"/>
            <w:noWrap w:val="0"/>
            <w:vAlign w:val="center"/>
          </w:tcPr>
          <w:p w14:paraId="5F429756">
            <w:pPr>
              <w:jc w:val="center"/>
              <w:rPr>
                <w:rFonts w:hint="eastAsia" w:asciiTheme="minorEastAsia" w:hAnsiTheme="minorEastAsia" w:eastAsiaTheme="minorEastAsia" w:cstheme="minorEastAsia"/>
                <w:bCs/>
                <w:color w:val="auto"/>
                <w:sz w:val="24"/>
                <w:szCs w:val="24"/>
              </w:rPr>
            </w:pPr>
          </w:p>
        </w:tc>
        <w:tc>
          <w:tcPr>
            <w:tcW w:w="1837" w:type="dxa"/>
            <w:noWrap w:val="0"/>
            <w:vAlign w:val="center"/>
          </w:tcPr>
          <w:p w14:paraId="00BB824D">
            <w:pPr>
              <w:jc w:val="center"/>
              <w:rPr>
                <w:rFonts w:hint="eastAsia" w:asciiTheme="minorEastAsia" w:hAnsiTheme="minorEastAsia" w:eastAsiaTheme="minorEastAsia" w:cstheme="minorEastAsia"/>
                <w:bCs/>
                <w:color w:val="auto"/>
                <w:sz w:val="24"/>
                <w:szCs w:val="24"/>
              </w:rPr>
            </w:pPr>
          </w:p>
        </w:tc>
        <w:tc>
          <w:tcPr>
            <w:tcW w:w="1420" w:type="dxa"/>
            <w:noWrap w:val="0"/>
            <w:vAlign w:val="center"/>
          </w:tcPr>
          <w:p w14:paraId="3521B5CD">
            <w:pPr>
              <w:jc w:val="center"/>
              <w:rPr>
                <w:rFonts w:hint="eastAsia" w:asciiTheme="minorEastAsia" w:hAnsiTheme="minorEastAsia" w:eastAsiaTheme="minorEastAsia" w:cstheme="minorEastAsia"/>
                <w:bCs/>
                <w:color w:val="auto"/>
                <w:sz w:val="24"/>
                <w:szCs w:val="24"/>
              </w:rPr>
            </w:pPr>
          </w:p>
        </w:tc>
        <w:tc>
          <w:tcPr>
            <w:tcW w:w="1833" w:type="dxa"/>
            <w:noWrap w:val="0"/>
            <w:vAlign w:val="center"/>
          </w:tcPr>
          <w:p w14:paraId="75C4B2AA">
            <w:pPr>
              <w:jc w:val="center"/>
              <w:rPr>
                <w:rFonts w:hint="eastAsia" w:asciiTheme="minorEastAsia" w:hAnsiTheme="minorEastAsia" w:eastAsiaTheme="minorEastAsia" w:cstheme="minorEastAsia"/>
                <w:bCs/>
                <w:color w:val="auto"/>
                <w:sz w:val="24"/>
                <w:szCs w:val="24"/>
              </w:rPr>
            </w:pPr>
          </w:p>
        </w:tc>
        <w:tc>
          <w:tcPr>
            <w:tcW w:w="1727" w:type="dxa"/>
            <w:tcBorders>
              <w:left w:val="single" w:color="auto" w:sz="4" w:space="0"/>
            </w:tcBorders>
            <w:noWrap w:val="0"/>
            <w:vAlign w:val="center"/>
          </w:tcPr>
          <w:p w14:paraId="2557DB32">
            <w:pPr>
              <w:jc w:val="center"/>
              <w:rPr>
                <w:rFonts w:hint="eastAsia" w:asciiTheme="minorEastAsia" w:hAnsiTheme="minorEastAsia" w:eastAsiaTheme="minorEastAsia" w:cstheme="minorEastAsia"/>
                <w:bCs/>
                <w:color w:val="auto"/>
                <w:sz w:val="24"/>
                <w:szCs w:val="24"/>
              </w:rPr>
            </w:pPr>
          </w:p>
        </w:tc>
      </w:tr>
      <w:tr w14:paraId="540E2C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67" w:hRule="atLeast"/>
          <w:jc w:val="center"/>
        </w:trPr>
        <w:tc>
          <w:tcPr>
            <w:tcW w:w="876" w:type="dxa"/>
            <w:tcBorders>
              <w:top w:val="single" w:color="auto" w:sz="4" w:space="0"/>
            </w:tcBorders>
            <w:noWrap w:val="0"/>
            <w:vAlign w:val="center"/>
          </w:tcPr>
          <w:p w14:paraId="341D8393">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p>
        </w:tc>
        <w:tc>
          <w:tcPr>
            <w:tcW w:w="1884" w:type="dxa"/>
            <w:noWrap w:val="0"/>
            <w:vAlign w:val="center"/>
          </w:tcPr>
          <w:p w14:paraId="6217192E">
            <w:pPr>
              <w:jc w:val="center"/>
              <w:rPr>
                <w:rFonts w:hint="eastAsia" w:asciiTheme="minorEastAsia" w:hAnsiTheme="minorEastAsia" w:eastAsiaTheme="minorEastAsia" w:cstheme="minorEastAsia"/>
                <w:bCs/>
                <w:color w:val="auto"/>
                <w:sz w:val="24"/>
                <w:szCs w:val="24"/>
              </w:rPr>
            </w:pPr>
          </w:p>
        </w:tc>
        <w:tc>
          <w:tcPr>
            <w:tcW w:w="1837" w:type="dxa"/>
            <w:noWrap w:val="0"/>
            <w:vAlign w:val="center"/>
          </w:tcPr>
          <w:p w14:paraId="5349E7DF">
            <w:pPr>
              <w:jc w:val="center"/>
              <w:rPr>
                <w:rFonts w:hint="eastAsia" w:asciiTheme="minorEastAsia" w:hAnsiTheme="minorEastAsia" w:eastAsiaTheme="minorEastAsia" w:cstheme="minorEastAsia"/>
                <w:bCs/>
                <w:color w:val="auto"/>
                <w:sz w:val="24"/>
                <w:szCs w:val="24"/>
              </w:rPr>
            </w:pPr>
          </w:p>
        </w:tc>
        <w:tc>
          <w:tcPr>
            <w:tcW w:w="1420" w:type="dxa"/>
            <w:noWrap w:val="0"/>
            <w:vAlign w:val="center"/>
          </w:tcPr>
          <w:p w14:paraId="68867827">
            <w:pPr>
              <w:jc w:val="center"/>
              <w:rPr>
                <w:rFonts w:hint="eastAsia" w:asciiTheme="minorEastAsia" w:hAnsiTheme="minorEastAsia" w:eastAsiaTheme="minorEastAsia" w:cstheme="minorEastAsia"/>
                <w:bCs/>
                <w:color w:val="auto"/>
                <w:sz w:val="24"/>
                <w:szCs w:val="24"/>
              </w:rPr>
            </w:pPr>
          </w:p>
        </w:tc>
        <w:tc>
          <w:tcPr>
            <w:tcW w:w="1833" w:type="dxa"/>
            <w:noWrap w:val="0"/>
            <w:vAlign w:val="center"/>
          </w:tcPr>
          <w:p w14:paraId="4F212B0B">
            <w:pPr>
              <w:jc w:val="center"/>
              <w:rPr>
                <w:rFonts w:hint="eastAsia" w:asciiTheme="minorEastAsia" w:hAnsiTheme="minorEastAsia" w:eastAsiaTheme="minorEastAsia" w:cstheme="minorEastAsia"/>
                <w:bCs/>
                <w:color w:val="auto"/>
                <w:sz w:val="24"/>
                <w:szCs w:val="24"/>
              </w:rPr>
            </w:pPr>
          </w:p>
        </w:tc>
        <w:tc>
          <w:tcPr>
            <w:tcW w:w="1727" w:type="dxa"/>
            <w:tcBorders>
              <w:left w:val="single" w:color="auto" w:sz="4" w:space="0"/>
            </w:tcBorders>
            <w:noWrap w:val="0"/>
            <w:vAlign w:val="center"/>
          </w:tcPr>
          <w:p w14:paraId="0DE7E0CE">
            <w:pPr>
              <w:jc w:val="center"/>
              <w:rPr>
                <w:rFonts w:hint="eastAsia" w:asciiTheme="minorEastAsia" w:hAnsiTheme="minorEastAsia" w:eastAsiaTheme="minorEastAsia" w:cstheme="minorEastAsia"/>
                <w:bCs/>
                <w:color w:val="auto"/>
                <w:sz w:val="24"/>
                <w:szCs w:val="24"/>
              </w:rPr>
            </w:pPr>
          </w:p>
        </w:tc>
      </w:tr>
    </w:tbl>
    <w:p w14:paraId="1280F5F8">
      <w:pPr>
        <w:bidi w:val="0"/>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注：提供项目中标通知书或合同复印件加盖投标单位公章，合同中必须体现甲乙双方单位名称</w:t>
      </w:r>
      <w:r>
        <w:rPr>
          <w:rFonts w:hint="eastAsia" w:asciiTheme="minorEastAsia" w:hAnsiTheme="minorEastAsia" w:eastAsiaTheme="minorEastAsia" w:cstheme="minorEastAsia"/>
          <w:color w:val="auto"/>
          <w:sz w:val="24"/>
          <w:szCs w:val="24"/>
          <w:lang w:eastAsia="zh-CN"/>
        </w:rPr>
        <w:t>。</w:t>
      </w:r>
    </w:p>
    <w:p w14:paraId="5A70F989">
      <w:pPr>
        <w:spacing w:line="500" w:lineRule="exact"/>
        <w:rPr>
          <w:rFonts w:hint="eastAsia" w:asciiTheme="minorEastAsia" w:hAnsiTheme="minorEastAsia" w:eastAsiaTheme="minorEastAsia" w:cstheme="minorEastAsia"/>
          <w:b/>
          <w:bCs/>
          <w:color w:val="auto"/>
          <w:sz w:val="24"/>
          <w:szCs w:val="24"/>
        </w:rPr>
      </w:pPr>
    </w:p>
    <w:p w14:paraId="43047842">
      <w:pPr>
        <w:spacing w:line="500" w:lineRule="exact"/>
        <w:rPr>
          <w:rFonts w:hint="eastAsia" w:asciiTheme="minorEastAsia" w:hAnsiTheme="minorEastAsia" w:eastAsiaTheme="minorEastAsia" w:cstheme="minorEastAsia"/>
          <w:b/>
          <w:bCs/>
          <w:color w:val="auto"/>
          <w:sz w:val="24"/>
          <w:szCs w:val="24"/>
        </w:rPr>
      </w:pPr>
    </w:p>
    <w:p w14:paraId="452B4917">
      <w:pPr>
        <w:pStyle w:val="10"/>
        <w:ind w:firstLine="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供应商名称（盖章）：</w:t>
      </w:r>
    </w:p>
    <w:p w14:paraId="6D199785">
      <w:pPr>
        <w:pStyle w:val="10"/>
        <w:ind w:left="838" w:firstLine="484" w:firstLineChars="200"/>
        <w:jc w:val="right"/>
        <w:rPr>
          <w:rFonts w:hint="eastAsia" w:asciiTheme="minorEastAsia" w:hAnsiTheme="minorEastAsia" w:eastAsiaTheme="minorEastAsia" w:cstheme="minorEastAsia"/>
          <w:bCs/>
          <w:color w:val="auto"/>
          <w:sz w:val="24"/>
          <w:szCs w:val="24"/>
        </w:rPr>
      </w:pPr>
    </w:p>
    <w:p w14:paraId="7AD93829">
      <w:pPr>
        <w:pStyle w:val="10"/>
        <w:ind w:left="838" w:firstLine="484" w:firstLineChars="200"/>
        <w:jc w:val="righ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法定代表人或委托代理人（签字或盖章）：</w:t>
      </w:r>
    </w:p>
    <w:p w14:paraId="2D4A8D48">
      <w:pPr>
        <w:pStyle w:val="33"/>
        <w:wordWrap w:val="0"/>
        <w:spacing w:line="360" w:lineRule="auto"/>
        <w:ind w:firstLine="56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425FEDBE">
      <w:pPr>
        <w:spacing w:line="500" w:lineRule="exact"/>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日期：     年   月   日</w:t>
      </w:r>
      <w:bookmarkStart w:id="289" w:name="_Toc597"/>
      <w:bookmarkStart w:id="290" w:name="_Toc27572"/>
      <w:bookmarkStart w:id="291" w:name="_Toc13500"/>
    </w:p>
    <w:p w14:paraId="6F0BBD00">
      <w:pPr>
        <w:spacing w:line="360" w:lineRule="auto"/>
        <w:jc w:val="both"/>
        <w:rPr>
          <w:rStyle w:val="37"/>
          <w:rFonts w:hint="eastAsia" w:asciiTheme="minorEastAsia" w:hAnsiTheme="minorEastAsia" w:eastAsiaTheme="minorEastAsia" w:cstheme="minorEastAsia"/>
          <w:color w:val="auto"/>
          <w:sz w:val="32"/>
          <w:szCs w:val="28"/>
          <w:lang w:val="en-US" w:eastAsia="zh-CN"/>
        </w:rPr>
      </w:pPr>
      <w:r>
        <w:rPr>
          <w:rFonts w:hint="eastAsia" w:asciiTheme="minorEastAsia" w:hAnsiTheme="minorEastAsia" w:eastAsiaTheme="minorEastAsia" w:cstheme="minorEastAsia"/>
          <w:color w:val="auto"/>
          <w:sz w:val="28"/>
          <w:szCs w:val="28"/>
        </w:rPr>
        <w:br w:type="page"/>
      </w:r>
      <w:bookmarkEnd w:id="289"/>
      <w:bookmarkEnd w:id="290"/>
      <w:bookmarkEnd w:id="291"/>
      <w:bookmarkStart w:id="292" w:name="_Toc19100"/>
      <w:bookmarkStart w:id="293" w:name="_Toc25033"/>
      <w:r>
        <w:rPr>
          <w:rStyle w:val="37"/>
          <w:rFonts w:hint="eastAsia" w:asciiTheme="minorEastAsia" w:hAnsiTheme="minorEastAsia" w:eastAsiaTheme="minorEastAsia" w:cstheme="minorEastAsia"/>
          <w:b/>
          <w:bCs/>
          <w:color w:val="auto"/>
          <w:sz w:val="32"/>
          <w:szCs w:val="28"/>
          <w:lang w:val="en-US" w:eastAsia="zh-CN"/>
        </w:rPr>
        <w:t>附件9:</w:t>
      </w:r>
    </w:p>
    <w:bookmarkEnd w:id="292"/>
    <w:bookmarkEnd w:id="293"/>
    <w:p w14:paraId="290C46EB">
      <w:pPr>
        <w:spacing w:line="500" w:lineRule="exact"/>
        <w:jc w:val="both"/>
        <w:rPr>
          <w:rStyle w:val="37"/>
          <w:rFonts w:hint="eastAsia" w:asciiTheme="minorEastAsia" w:hAnsiTheme="minorEastAsia" w:eastAsiaTheme="minorEastAsia" w:cstheme="minorEastAsia"/>
          <w:color w:val="auto"/>
          <w:sz w:val="32"/>
          <w:szCs w:val="28"/>
          <w:lang w:val="en-US" w:eastAsia="zh-CN"/>
        </w:rPr>
      </w:pPr>
    </w:p>
    <w:p w14:paraId="4A34F72E">
      <w:pPr>
        <w:bidi w:val="0"/>
        <w:jc w:val="center"/>
        <w:rPr>
          <w:rStyle w:val="37"/>
          <w:rFonts w:hint="eastAsia" w:asciiTheme="minorEastAsia" w:hAnsiTheme="minorEastAsia" w:eastAsiaTheme="minorEastAsia" w:cstheme="minorEastAsia"/>
          <w:color w:val="auto"/>
          <w:sz w:val="24"/>
          <w:szCs w:val="24"/>
          <w:lang w:val="en-US" w:eastAsia="zh-CN"/>
        </w:rPr>
      </w:pPr>
      <w:bookmarkStart w:id="294" w:name="_Toc15132"/>
      <w:bookmarkStart w:id="295" w:name="_Toc4298"/>
      <w:bookmarkStart w:id="296" w:name="_Toc31243"/>
      <w:bookmarkStart w:id="297" w:name="_Toc22079"/>
      <w:r>
        <w:rPr>
          <w:rStyle w:val="37"/>
          <w:rFonts w:hint="eastAsia" w:asciiTheme="minorEastAsia" w:hAnsiTheme="minorEastAsia" w:eastAsiaTheme="minorEastAsia" w:cstheme="minorEastAsia"/>
          <w:color w:val="auto"/>
          <w:sz w:val="24"/>
          <w:szCs w:val="24"/>
          <w:lang w:val="en-US" w:eastAsia="zh-CN"/>
        </w:rPr>
        <w:t>拟派项目人员简历表</w:t>
      </w:r>
      <w:bookmarkEnd w:id="294"/>
      <w:bookmarkEnd w:id="295"/>
    </w:p>
    <w:bookmarkEnd w:id="296"/>
    <w:bookmarkEnd w:id="297"/>
    <w:p w14:paraId="6F72857E">
      <w:pPr>
        <w:numPr>
          <w:ilvl w:val="0"/>
          <w:numId w:val="7"/>
        </w:num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项目</w:t>
      </w:r>
      <w:r>
        <w:rPr>
          <w:rFonts w:hint="eastAsia" w:asciiTheme="minorEastAsia" w:hAnsiTheme="minorEastAsia" w:eastAsiaTheme="minorEastAsia" w:cstheme="minorEastAsia"/>
          <w:b/>
          <w:color w:val="auto"/>
          <w:sz w:val="24"/>
          <w:szCs w:val="24"/>
          <w:lang w:eastAsia="zh-CN"/>
        </w:rPr>
        <w:t>经理及项目技术负责人</w:t>
      </w:r>
      <w:r>
        <w:rPr>
          <w:rFonts w:hint="eastAsia" w:asciiTheme="minorEastAsia" w:hAnsiTheme="minorEastAsia" w:eastAsiaTheme="minorEastAsia" w:cstheme="minorEastAsia"/>
          <w:b/>
          <w:color w:val="auto"/>
          <w:sz w:val="24"/>
          <w:szCs w:val="24"/>
        </w:rPr>
        <w:t>简历表</w:t>
      </w:r>
    </w:p>
    <w:tbl>
      <w:tblPr>
        <w:tblStyle w:val="24"/>
        <w:tblW w:w="10078" w:type="dxa"/>
        <w:jc w:val="center"/>
        <w:tblLayout w:type="fixed"/>
        <w:tblCellMar>
          <w:top w:w="0" w:type="dxa"/>
          <w:left w:w="108" w:type="dxa"/>
          <w:bottom w:w="0" w:type="dxa"/>
          <w:right w:w="108" w:type="dxa"/>
        </w:tblCellMar>
      </w:tblPr>
      <w:tblGrid>
        <w:gridCol w:w="1314"/>
        <w:gridCol w:w="2477"/>
        <w:gridCol w:w="1028"/>
        <w:gridCol w:w="1096"/>
        <w:gridCol w:w="1754"/>
        <w:gridCol w:w="2409"/>
      </w:tblGrid>
      <w:tr w14:paraId="7E649626">
        <w:tblPrEx>
          <w:tblCellMar>
            <w:top w:w="0" w:type="dxa"/>
            <w:left w:w="108" w:type="dxa"/>
            <w:bottom w:w="0" w:type="dxa"/>
            <w:right w:w="108" w:type="dxa"/>
          </w:tblCellMar>
        </w:tblPrEx>
        <w:trPr>
          <w:trHeight w:val="494" w:hRule="atLeast"/>
          <w:jc w:val="center"/>
        </w:trPr>
        <w:tc>
          <w:tcPr>
            <w:tcW w:w="1314" w:type="dxa"/>
            <w:tcBorders>
              <w:top w:val="single" w:color="auto" w:sz="6" w:space="0"/>
              <w:left w:val="single" w:color="auto" w:sz="6" w:space="0"/>
              <w:bottom w:val="single" w:color="auto" w:sz="6" w:space="0"/>
              <w:right w:val="single" w:color="auto" w:sz="6" w:space="0"/>
            </w:tcBorders>
            <w:noWrap w:val="0"/>
            <w:vAlign w:val="top"/>
          </w:tcPr>
          <w:p w14:paraId="7DC5070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2477" w:type="dxa"/>
            <w:tcBorders>
              <w:top w:val="single" w:color="auto" w:sz="6" w:space="0"/>
              <w:left w:val="single" w:color="auto" w:sz="6" w:space="0"/>
              <w:bottom w:val="single" w:color="auto" w:sz="6" w:space="0"/>
              <w:right w:val="single" w:color="auto" w:sz="6" w:space="0"/>
            </w:tcBorders>
            <w:noWrap w:val="0"/>
            <w:vAlign w:val="top"/>
          </w:tcPr>
          <w:p w14:paraId="2E715018">
            <w:pPr>
              <w:spacing w:line="360" w:lineRule="auto"/>
              <w:rPr>
                <w:rFonts w:hint="eastAsia" w:asciiTheme="minorEastAsia" w:hAnsiTheme="minorEastAsia" w:eastAsiaTheme="minorEastAsia" w:cstheme="minorEastAsia"/>
                <w:color w:val="auto"/>
                <w:sz w:val="24"/>
                <w:szCs w:val="24"/>
              </w:rPr>
            </w:pPr>
          </w:p>
        </w:tc>
        <w:tc>
          <w:tcPr>
            <w:tcW w:w="1028" w:type="dxa"/>
            <w:tcBorders>
              <w:top w:val="single" w:color="auto" w:sz="6" w:space="0"/>
              <w:left w:val="single" w:color="auto" w:sz="6" w:space="0"/>
              <w:bottom w:val="single" w:color="auto" w:sz="6" w:space="0"/>
              <w:right w:val="single" w:color="auto" w:sz="6" w:space="0"/>
            </w:tcBorders>
            <w:noWrap w:val="0"/>
            <w:vAlign w:val="top"/>
          </w:tcPr>
          <w:p w14:paraId="29FBC2B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年龄</w:t>
            </w:r>
          </w:p>
        </w:tc>
        <w:tc>
          <w:tcPr>
            <w:tcW w:w="1096" w:type="dxa"/>
            <w:tcBorders>
              <w:top w:val="single" w:color="auto" w:sz="6" w:space="0"/>
              <w:left w:val="single" w:color="auto" w:sz="6" w:space="0"/>
              <w:bottom w:val="single" w:color="auto" w:sz="6" w:space="0"/>
              <w:right w:val="single" w:color="auto" w:sz="6" w:space="0"/>
            </w:tcBorders>
            <w:noWrap w:val="0"/>
            <w:vAlign w:val="top"/>
          </w:tcPr>
          <w:p w14:paraId="745B7EDF">
            <w:pPr>
              <w:spacing w:line="360" w:lineRule="auto"/>
              <w:rPr>
                <w:rFonts w:hint="eastAsia" w:asciiTheme="minorEastAsia" w:hAnsiTheme="minorEastAsia" w:eastAsiaTheme="minorEastAsia" w:cstheme="minorEastAsia"/>
                <w:color w:val="auto"/>
                <w:sz w:val="24"/>
                <w:szCs w:val="24"/>
              </w:rPr>
            </w:pPr>
          </w:p>
        </w:tc>
        <w:tc>
          <w:tcPr>
            <w:tcW w:w="1754" w:type="dxa"/>
            <w:tcBorders>
              <w:top w:val="single" w:color="auto" w:sz="6" w:space="0"/>
              <w:left w:val="single" w:color="auto" w:sz="6" w:space="0"/>
              <w:bottom w:val="single" w:color="auto" w:sz="6" w:space="0"/>
              <w:right w:val="single" w:color="auto" w:sz="6" w:space="0"/>
            </w:tcBorders>
            <w:noWrap w:val="0"/>
            <w:vAlign w:val="top"/>
          </w:tcPr>
          <w:p w14:paraId="3423869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身份证号码</w:t>
            </w:r>
          </w:p>
        </w:tc>
        <w:tc>
          <w:tcPr>
            <w:tcW w:w="2409" w:type="dxa"/>
            <w:tcBorders>
              <w:top w:val="single" w:color="auto" w:sz="6" w:space="0"/>
              <w:left w:val="single" w:color="auto" w:sz="6" w:space="0"/>
              <w:bottom w:val="single" w:color="auto" w:sz="6" w:space="0"/>
              <w:right w:val="single" w:color="auto" w:sz="6" w:space="0"/>
            </w:tcBorders>
            <w:noWrap w:val="0"/>
            <w:vAlign w:val="top"/>
          </w:tcPr>
          <w:p w14:paraId="73A7829B">
            <w:pPr>
              <w:spacing w:line="360" w:lineRule="auto"/>
              <w:rPr>
                <w:rFonts w:hint="eastAsia" w:asciiTheme="minorEastAsia" w:hAnsiTheme="minorEastAsia" w:eastAsiaTheme="minorEastAsia" w:cstheme="minorEastAsia"/>
                <w:color w:val="auto"/>
                <w:sz w:val="24"/>
                <w:szCs w:val="24"/>
              </w:rPr>
            </w:pPr>
          </w:p>
        </w:tc>
      </w:tr>
      <w:tr w14:paraId="352B8C79">
        <w:tblPrEx>
          <w:tblCellMar>
            <w:top w:w="0" w:type="dxa"/>
            <w:left w:w="108" w:type="dxa"/>
            <w:bottom w:w="0" w:type="dxa"/>
            <w:right w:w="108" w:type="dxa"/>
          </w:tblCellMar>
        </w:tblPrEx>
        <w:trPr>
          <w:trHeight w:val="494" w:hRule="atLeast"/>
          <w:jc w:val="center"/>
        </w:trPr>
        <w:tc>
          <w:tcPr>
            <w:tcW w:w="1314" w:type="dxa"/>
            <w:tcBorders>
              <w:top w:val="single" w:color="auto" w:sz="6" w:space="0"/>
              <w:left w:val="single" w:color="auto" w:sz="6" w:space="0"/>
              <w:bottom w:val="single" w:color="auto" w:sz="6" w:space="0"/>
              <w:right w:val="single" w:color="auto" w:sz="6" w:space="0"/>
            </w:tcBorders>
            <w:noWrap w:val="0"/>
            <w:vAlign w:val="top"/>
          </w:tcPr>
          <w:p w14:paraId="55DDE2A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毕业学校</w:t>
            </w:r>
          </w:p>
        </w:tc>
        <w:tc>
          <w:tcPr>
            <w:tcW w:w="4601" w:type="dxa"/>
            <w:gridSpan w:val="3"/>
            <w:tcBorders>
              <w:top w:val="single" w:color="auto" w:sz="6" w:space="0"/>
              <w:left w:val="single" w:color="auto" w:sz="6" w:space="0"/>
              <w:bottom w:val="single" w:color="auto" w:sz="6" w:space="0"/>
              <w:right w:val="single" w:color="auto" w:sz="6" w:space="0"/>
            </w:tcBorders>
            <w:noWrap w:val="0"/>
            <w:vAlign w:val="top"/>
          </w:tcPr>
          <w:p w14:paraId="56E7A174">
            <w:pPr>
              <w:spacing w:line="360" w:lineRule="auto"/>
              <w:rPr>
                <w:rFonts w:hint="eastAsia" w:asciiTheme="minorEastAsia" w:hAnsiTheme="minorEastAsia" w:eastAsiaTheme="minorEastAsia" w:cstheme="minorEastAsia"/>
                <w:color w:val="auto"/>
                <w:sz w:val="24"/>
                <w:szCs w:val="24"/>
              </w:rPr>
            </w:pPr>
          </w:p>
        </w:tc>
        <w:tc>
          <w:tcPr>
            <w:tcW w:w="1754" w:type="dxa"/>
            <w:tcBorders>
              <w:top w:val="single" w:color="auto" w:sz="6" w:space="0"/>
              <w:left w:val="single" w:color="auto" w:sz="6" w:space="0"/>
              <w:bottom w:val="single" w:color="auto" w:sz="6" w:space="0"/>
              <w:right w:val="single" w:color="auto" w:sz="6" w:space="0"/>
            </w:tcBorders>
            <w:noWrap w:val="0"/>
            <w:vAlign w:val="top"/>
          </w:tcPr>
          <w:p w14:paraId="07FEB10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     业</w:t>
            </w:r>
          </w:p>
        </w:tc>
        <w:tc>
          <w:tcPr>
            <w:tcW w:w="2409" w:type="dxa"/>
            <w:tcBorders>
              <w:top w:val="single" w:color="auto" w:sz="6" w:space="0"/>
              <w:left w:val="single" w:color="auto" w:sz="6" w:space="0"/>
              <w:bottom w:val="single" w:color="auto" w:sz="6" w:space="0"/>
              <w:right w:val="single" w:color="auto" w:sz="6" w:space="0"/>
            </w:tcBorders>
            <w:noWrap w:val="0"/>
            <w:vAlign w:val="top"/>
          </w:tcPr>
          <w:p w14:paraId="3580D356">
            <w:pPr>
              <w:spacing w:line="360" w:lineRule="auto"/>
              <w:rPr>
                <w:rFonts w:hint="eastAsia" w:asciiTheme="minorEastAsia" w:hAnsiTheme="minorEastAsia" w:eastAsiaTheme="minorEastAsia" w:cstheme="minorEastAsia"/>
                <w:color w:val="auto"/>
                <w:sz w:val="24"/>
                <w:szCs w:val="24"/>
              </w:rPr>
            </w:pPr>
          </w:p>
        </w:tc>
      </w:tr>
      <w:tr w14:paraId="426FD13D">
        <w:tblPrEx>
          <w:tblCellMar>
            <w:top w:w="0" w:type="dxa"/>
            <w:left w:w="108" w:type="dxa"/>
            <w:bottom w:w="0" w:type="dxa"/>
            <w:right w:w="108" w:type="dxa"/>
          </w:tblCellMar>
        </w:tblPrEx>
        <w:trPr>
          <w:trHeight w:val="494" w:hRule="atLeast"/>
          <w:jc w:val="center"/>
        </w:trPr>
        <w:tc>
          <w:tcPr>
            <w:tcW w:w="1314" w:type="dxa"/>
            <w:tcBorders>
              <w:top w:val="single" w:color="auto" w:sz="6" w:space="0"/>
              <w:left w:val="single" w:color="auto" w:sz="6" w:space="0"/>
              <w:bottom w:val="single" w:color="auto" w:sz="6" w:space="0"/>
              <w:right w:val="single" w:color="auto" w:sz="6" w:space="0"/>
            </w:tcBorders>
            <w:noWrap w:val="0"/>
            <w:vAlign w:val="top"/>
          </w:tcPr>
          <w:p w14:paraId="53434EC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学位</w:t>
            </w:r>
          </w:p>
        </w:tc>
        <w:tc>
          <w:tcPr>
            <w:tcW w:w="2477" w:type="dxa"/>
            <w:tcBorders>
              <w:top w:val="single" w:color="auto" w:sz="6" w:space="0"/>
              <w:left w:val="single" w:color="auto" w:sz="6" w:space="0"/>
              <w:bottom w:val="single" w:color="auto" w:sz="6" w:space="0"/>
              <w:right w:val="single" w:color="auto" w:sz="6" w:space="0"/>
            </w:tcBorders>
            <w:noWrap w:val="0"/>
            <w:vAlign w:val="top"/>
          </w:tcPr>
          <w:p w14:paraId="162F78B2">
            <w:pPr>
              <w:spacing w:line="360" w:lineRule="auto"/>
              <w:rPr>
                <w:rFonts w:hint="eastAsia" w:asciiTheme="minorEastAsia" w:hAnsiTheme="minorEastAsia" w:eastAsiaTheme="minorEastAsia" w:cstheme="minorEastAsia"/>
                <w:color w:val="auto"/>
                <w:sz w:val="24"/>
                <w:szCs w:val="24"/>
              </w:rPr>
            </w:pPr>
          </w:p>
        </w:tc>
        <w:tc>
          <w:tcPr>
            <w:tcW w:w="1028" w:type="dxa"/>
            <w:tcBorders>
              <w:top w:val="single" w:color="auto" w:sz="6" w:space="0"/>
              <w:left w:val="single" w:color="auto" w:sz="6" w:space="0"/>
              <w:bottom w:val="single" w:color="auto" w:sz="6" w:space="0"/>
              <w:right w:val="single" w:color="auto" w:sz="6" w:space="0"/>
            </w:tcBorders>
            <w:noWrap w:val="0"/>
            <w:vAlign w:val="top"/>
          </w:tcPr>
          <w:p w14:paraId="4E5D52B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职称</w:t>
            </w:r>
          </w:p>
        </w:tc>
        <w:tc>
          <w:tcPr>
            <w:tcW w:w="1096" w:type="dxa"/>
            <w:tcBorders>
              <w:top w:val="single" w:color="auto" w:sz="6" w:space="0"/>
              <w:left w:val="single" w:color="auto" w:sz="6" w:space="0"/>
              <w:bottom w:val="single" w:color="auto" w:sz="6" w:space="0"/>
              <w:right w:val="single" w:color="auto" w:sz="6" w:space="0"/>
            </w:tcBorders>
            <w:noWrap w:val="0"/>
            <w:vAlign w:val="top"/>
          </w:tcPr>
          <w:p w14:paraId="64C18F8E">
            <w:pPr>
              <w:spacing w:line="360" w:lineRule="auto"/>
              <w:rPr>
                <w:rFonts w:hint="eastAsia" w:asciiTheme="minorEastAsia" w:hAnsiTheme="minorEastAsia" w:eastAsiaTheme="minorEastAsia" w:cstheme="minorEastAsia"/>
                <w:color w:val="auto"/>
                <w:sz w:val="24"/>
                <w:szCs w:val="24"/>
              </w:rPr>
            </w:pPr>
          </w:p>
        </w:tc>
        <w:tc>
          <w:tcPr>
            <w:tcW w:w="1754" w:type="dxa"/>
            <w:tcBorders>
              <w:top w:val="single" w:color="auto" w:sz="6" w:space="0"/>
              <w:left w:val="single" w:color="auto" w:sz="6" w:space="0"/>
              <w:bottom w:val="single" w:color="auto" w:sz="6" w:space="0"/>
              <w:right w:val="single" w:color="auto" w:sz="6" w:space="0"/>
            </w:tcBorders>
            <w:noWrap w:val="0"/>
            <w:vAlign w:val="top"/>
          </w:tcPr>
          <w:p w14:paraId="5C454A30">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     务</w:t>
            </w:r>
          </w:p>
        </w:tc>
        <w:tc>
          <w:tcPr>
            <w:tcW w:w="2409" w:type="dxa"/>
            <w:tcBorders>
              <w:top w:val="single" w:color="auto" w:sz="6" w:space="0"/>
              <w:left w:val="single" w:color="auto" w:sz="6" w:space="0"/>
              <w:bottom w:val="single" w:color="auto" w:sz="6" w:space="0"/>
              <w:right w:val="single" w:color="auto" w:sz="6" w:space="0"/>
            </w:tcBorders>
            <w:noWrap w:val="0"/>
            <w:vAlign w:val="top"/>
          </w:tcPr>
          <w:p w14:paraId="1657A65D">
            <w:pPr>
              <w:spacing w:line="360" w:lineRule="auto"/>
              <w:rPr>
                <w:rFonts w:hint="eastAsia" w:asciiTheme="minorEastAsia" w:hAnsiTheme="minorEastAsia" w:eastAsiaTheme="minorEastAsia" w:cstheme="minorEastAsia"/>
                <w:color w:val="auto"/>
                <w:sz w:val="24"/>
                <w:szCs w:val="24"/>
              </w:rPr>
            </w:pPr>
          </w:p>
        </w:tc>
      </w:tr>
      <w:tr w14:paraId="21315F63">
        <w:tblPrEx>
          <w:tblCellMar>
            <w:top w:w="0" w:type="dxa"/>
            <w:left w:w="108" w:type="dxa"/>
            <w:bottom w:w="0" w:type="dxa"/>
            <w:right w:w="108" w:type="dxa"/>
          </w:tblCellMar>
        </w:tblPrEx>
        <w:trPr>
          <w:trHeight w:val="974" w:hRule="atLeast"/>
          <w:jc w:val="center"/>
        </w:trPr>
        <w:tc>
          <w:tcPr>
            <w:tcW w:w="1314" w:type="dxa"/>
            <w:tcBorders>
              <w:top w:val="single" w:color="auto" w:sz="6" w:space="0"/>
              <w:left w:val="single" w:color="auto" w:sz="6" w:space="0"/>
              <w:bottom w:val="single" w:color="auto" w:sz="6" w:space="0"/>
              <w:right w:val="single" w:color="auto" w:sz="6" w:space="0"/>
            </w:tcBorders>
            <w:noWrap w:val="0"/>
            <w:vAlign w:val="top"/>
          </w:tcPr>
          <w:p w14:paraId="488ED0D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现所在机构或部门</w:t>
            </w:r>
          </w:p>
        </w:tc>
        <w:tc>
          <w:tcPr>
            <w:tcW w:w="4601" w:type="dxa"/>
            <w:gridSpan w:val="3"/>
            <w:tcBorders>
              <w:top w:val="single" w:color="auto" w:sz="6" w:space="0"/>
              <w:left w:val="single" w:color="auto" w:sz="6" w:space="0"/>
              <w:bottom w:val="single" w:color="auto" w:sz="6" w:space="0"/>
              <w:right w:val="single" w:color="auto" w:sz="6" w:space="0"/>
            </w:tcBorders>
            <w:noWrap w:val="0"/>
            <w:vAlign w:val="top"/>
          </w:tcPr>
          <w:p w14:paraId="6E7740C9">
            <w:pPr>
              <w:spacing w:line="360" w:lineRule="auto"/>
              <w:rPr>
                <w:rFonts w:hint="eastAsia" w:asciiTheme="minorEastAsia" w:hAnsiTheme="minorEastAsia" w:eastAsiaTheme="minorEastAsia" w:cstheme="minorEastAsia"/>
                <w:color w:val="auto"/>
                <w:sz w:val="24"/>
                <w:szCs w:val="24"/>
              </w:rPr>
            </w:pPr>
          </w:p>
        </w:tc>
        <w:tc>
          <w:tcPr>
            <w:tcW w:w="1754" w:type="dxa"/>
            <w:tcBorders>
              <w:top w:val="single" w:color="auto" w:sz="6" w:space="0"/>
              <w:left w:val="single" w:color="auto" w:sz="6" w:space="0"/>
              <w:bottom w:val="single" w:color="auto" w:sz="6" w:space="0"/>
              <w:right w:val="single" w:color="auto" w:sz="6" w:space="0"/>
            </w:tcBorders>
            <w:noWrap w:val="0"/>
            <w:vAlign w:val="center"/>
          </w:tcPr>
          <w:p w14:paraId="3E27DAB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服务时间</w:t>
            </w:r>
          </w:p>
        </w:tc>
        <w:tc>
          <w:tcPr>
            <w:tcW w:w="2409" w:type="dxa"/>
            <w:tcBorders>
              <w:top w:val="single" w:color="auto" w:sz="6" w:space="0"/>
              <w:left w:val="single" w:color="auto" w:sz="6" w:space="0"/>
              <w:bottom w:val="single" w:color="auto" w:sz="6" w:space="0"/>
              <w:right w:val="single" w:color="auto" w:sz="6" w:space="0"/>
            </w:tcBorders>
            <w:noWrap w:val="0"/>
            <w:vAlign w:val="top"/>
          </w:tcPr>
          <w:p w14:paraId="312334D9">
            <w:pPr>
              <w:spacing w:line="360" w:lineRule="auto"/>
              <w:rPr>
                <w:rFonts w:hint="eastAsia" w:asciiTheme="minorEastAsia" w:hAnsiTheme="minorEastAsia" w:eastAsiaTheme="minorEastAsia" w:cstheme="minorEastAsia"/>
                <w:color w:val="auto"/>
                <w:sz w:val="24"/>
                <w:szCs w:val="24"/>
              </w:rPr>
            </w:pPr>
          </w:p>
        </w:tc>
      </w:tr>
      <w:tr w14:paraId="397F3DC1">
        <w:tblPrEx>
          <w:tblCellMar>
            <w:top w:w="0" w:type="dxa"/>
            <w:left w:w="108" w:type="dxa"/>
            <w:bottom w:w="0" w:type="dxa"/>
            <w:right w:w="108" w:type="dxa"/>
          </w:tblCellMar>
        </w:tblPrEx>
        <w:trPr>
          <w:trHeight w:val="1454" w:hRule="atLeast"/>
          <w:jc w:val="center"/>
        </w:trPr>
        <w:tc>
          <w:tcPr>
            <w:tcW w:w="1314" w:type="dxa"/>
            <w:tcBorders>
              <w:top w:val="single" w:color="auto" w:sz="6" w:space="0"/>
              <w:left w:val="single" w:color="auto" w:sz="6" w:space="0"/>
              <w:bottom w:val="single" w:color="auto" w:sz="6" w:space="0"/>
              <w:right w:val="single" w:color="auto" w:sz="6" w:space="0"/>
            </w:tcBorders>
            <w:noWrap w:val="0"/>
            <w:vAlign w:val="center"/>
          </w:tcPr>
          <w:p w14:paraId="1CACCFCE">
            <w:pPr>
              <w:spacing w:line="360" w:lineRule="auto"/>
              <w:rPr>
                <w:rFonts w:hint="eastAsia" w:asciiTheme="minorEastAsia" w:hAnsiTheme="minorEastAsia" w:eastAsiaTheme="minorEastAsia" w:cstheme="minorEastAsia"/>
                <w:color w:val="auto"/>
                <w:sz w:val="24"/>
                <w:szCs w:val="24"/>
              </w:rPr>
            </w:pPr>
          </w:p>
          <w:p w14:paraId="2ECF090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主要经历</w:t>
            </w:r>
          </w:p>
          <w:p w14:paraId="6AB6306D">
            <w:pPr>
              <w:spacing w:line="360" w:lineRule="auto"/>
              <w:rPr>
                <w:rFonts w:hint="eastAsia" w:asciiTheme="minorEastAsia" w:hAnsiTheme="minorEastAsia" w:eastAsiaTheme="minorEastAsia" w:cstheme="minorEastAsia"/>
                <w:color w:val="auto"/>
                <w:sz w:val="24"/>
                <w:szCs w:val="24"/>
              </w:rPr>
            </w:pPr>
          </w:p>
        </w:tc>
        <w:tc>
          <w:tcPr>
            <w:tcW w:w="8764" w:type="dxa"/>
            <w:gridSpan w:val="5"/>
            <w:tcBorders>
              <w:top w:val="single" w:color="auto" w:sz="6" w:space="0"/>
              <w:left w:val="single" w:color="auto" w:sz="6" w:space="0"/>
              <w:bottom w:val="single" w:color="auto" w:sz="6" w:space="0"/>
              <w:right w:val="single" w:color="auto" w:sz="6" w:space="0"/>
            </w:tcBorders>
            <w:noWrap w:val="0"/>
            <w:vAlign w:val="top"/>
          </w:tcPr>
          <w:p w14:paraId="0E45FE2B">
            <w:pPr>
              <w:spacing w:line="360" w:lineRule="auto"/>
              <w:rPr>
                <w:rFonts w:hint="eastAsia" w:asciiTheme="minorEastAsia" w:hAnsiTheme="minorEastAsia" w:eastAsiaTheme="minorEastAsia" w:cstheme="minorEastAsia"/>
                <w:color w:val="auto"/>
                <w:sz w:val="24"/>
                <w:szCs w:val="24"/>
              </w:rPr>
            </w:pPr>
          </w:p>
          <w:p w14:paraId="53D50E78">
            <w:pPr>
              <w:spacing w:line="360" w:lineRule="auto"/>
              <w:rPr>
                <w:rFonts w:hint="eastAsia" w:asciiTheme="minorEastAsia" w:hAnsiTheme="minorEastAsia" w:eastAsiaTheme="minorEastAsia" w:cstheme="minorEastAsia"/>
                <w:color w:val="auto"/>
                <w:sz w:val="24"/>
                <w:szCs w:val="24"/>
              </w:rPr>
            </w:pPr>
          </w:p>
        </w:tc>
      </w:tr>
      <w:tr w14:paraId="69238C87">
        <w:tblPrEx>
          <w:tblCellMar>
            <w:top w:w="0" w:type="dxa"/>
            <w:left w:w="108" w:type="dxa"/>
            <w:bottom w:w="0" w:type="dxa"/>
            <w:right w:w="108" w:type="dxa"/>
          </w:tblCellMar>
        </w:tblPrEx>
        <w:trPr>
          <w:trHeight w:val="494" w:hRule="atLeast"/>
          <w:jc w:val="center"/>
        </w:trPr>
        <w:tc>
          <w:tcPr>
            <w:tcW w:w="1314" w:type="dxa"/>
            <w:tcBorders>
              <w:top w:val="single" w:color="auto" w:sz="6" w:space="0"/>
              <w:left w:val="single" w:color="auto" w:sz="6" w:space="0"/>
              <w:bottom w:val="single" w:color="auto" w:sz="6" w:space="0"/>
              <w:right w:val="single" w:color="auto" w:sz="6" w:space="0"/>
            </w:tcBorders>
            <w:noWrap w:val="0"/>
            <w:vAlign w:val="top"/>
          </w:tcPr>
          <w:p w14:paraId="330F0FA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p>
        </w:tc>
        <w:tc>
          <w:tcPr>
            <w:tcW w:w="3505" w:type="dxa"/>
            <w:gridSpan w:val="2"/>
            <w:tcBorders>
              <w:top w:val="single" w:color="auto" w:sz="6" w:space="0"/>
              <w:left w:val="single" w:color="auto" w:sz="6" w:space="0"/>
              <w:bottom w:val="single" w:color="auto" w:sz="6" w:space="0"/>
              <w:right w:val="single" w:color="auto" w:sz="6" w:space="0"/>
            </w:tcBorders>
            <w:noWrap w:val="0"/>
            <w:vAlign w:val="top"/>
          </w:tcPr>
          <w:p w14:paraId="32B4C9C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参加过的项目名称</w:t>
            </w:r>
          </w:p>
        </w:tc>
        <w:tc>
          <w:tcPr>
            <w:tcW w:w="2850" w:type="dxa"/>
            <w:gridSpan w:val="2"/>
            <w:tcBorders>
              <w:top w:val="single" w:color="auto" w:sz="6" w:space="0"/>
              <w:left w:val="single" w:color="auto" w:sz="6" w:space="0"/>
              <w:bottom w:val="single" w:color="auto" w:sz="6" w:space="0"/>
              <w:right w:val="single" w:color="auto" w:sz="6" w:space="0"/>
            </w:tcBorders>
            <w:noWrap w:val="0"/>
            <w:vAlign w:val="top"/>
          </w:tcPr>
          <w:p w14:paraId="5DE708F3">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担任何职务</w:t>
            </w:r>
          </w:p>
        </w:tc>
        <w:tc>
          <w:tcPr>
            <w:tcW w:w="2409" w:type="dxa"/>
            <w:tcBorders>
              <w:top w:val="single" w:color="auto" w:sz="6" w:space="0"/>
              <w:left w:val="single" w:color="auto" w:sz="6" w:space="0"/>
              <w:bottom w:val="single" w:color="auto" w:sz="6" w:space="0"/>
              <w:right w:val="single" w:color="auto" w:sz="6" w:space="0"/>
            </w:tcBorders>
            <w:noWrap w:val="0"/>
            <w:vAlign w:val="top"/>
          </w:tcPr>
          <w:p w14:paraId="2DDFAEA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655C31B3">
        <w:tblPrEx>
          <w:tblCellMar>
            <w:top w:w="0" w:type="dxa"/>
            <w:left w:w="108" w:type="dxa"/>
            <w:bottom w:w="0" w:type="dxa"/>
            <w:right w:w="108" w:type="dxa"/>
          </w:tblCellMar>
        </w:tblPrEx>
        <w:trPr>
          <w:trHeight w:val="494" w:hRule="atLeast"/>
          <w:jc w:val="center"/>
        </w:trPr>
        <w:tc>
          <w:tcPr>
            <w:tcW w:w="1314" w:type="dxa"/>
            <w:tcBorders>
              <w:top w:val="single" w:color="auto" w:sz="6" w:space="0"/>
              <w:left w:val="single" w:color="auto" w:sz="6" w:space="0"/>
              <w:bottom w:val="single" w:color="auto" w:sz="6" w:space="0"/>
              <w:right w:val="single" w:color="auto" w:sz="6" w:space="0"/>
            </w:tcBorders>
            <w:noWrap w:val="0"/>
            <w:vAlign w:val="top"/>
          </w:tcPr>
          <w:p w14:paraId="77400FAA">
            <w:pPr>
              <w:spacing w:line="360" w:lineRule="auto"/>
              <w:rPr>
                <w:rFonts w:hint="eastAsia" w:asciiTheme="minorEastAsia" w:hAnsiTheme="minorEastAsia" w:eastAsiaTheme="minorEastAsia" w:cstheme="minorEastAsia"/>
                <w:color w:val="auto"/>
                <w:sz w:val="24"/>
                <w:szCs w:val="24"/>
              </w:rPr>
            </w:pPr>
          </w:p>
        </w:tc>
        <w:tc>
          <w:tcPr>
            <w:tcW w:w="3505" w:type="dxa"/>
            <w:gridSpan w:val="2"/>
            <w:tcBorders>
              <w:top w:val="single" w:color="auto" w:sz="6" w:space="0"/>
              <w:left w:val="single" w:color="auto" w:sz="6" w:space="0"/>
              <w:bottom w:val="single" w:color="auto" w:sz="6" w:space="0"/>
              <w:right w:val="single" w:color="auto" w:sz="6" w:space="0"/>
            </w:tcBorders>
            <w:noWrap w:val="0"/>
            <w:vAlign w:val="top"/>
          </w:tcPr>
          <w:p w14:paraId="2319A552">
            <w:pPr>
              <w:spacing w:line="360" w:lineRule="auto"/>
              <w:rPr>
                <w:rFonts w:hint="eastAsia" w:asciiTheme="minorEastAsia" w:hAnsiTheme="minorEastAsia" w:eastAsiaTheme="minorEastAsia" w:cstheme="minorEastAsia"/>
                <w:color w:val="auto"/>
                <w:sz w:val="24"/>
                <w:szCs w:val="24"/>
              </w:rPr>
            </w:pPr>
          </w:p>
        </w:tc>
        <w:tc>
          <w:tcPr>
            <w:tcW w:w="2850" w:type="dxa"/>
            <w:gridSpan w:val="2"/>
            <w:tcBorders>
              <w:top w:val="single" w:color="auto" w:sz="6" w:space="0"/>
              <w:left w:val="single" w:color="auto" w:sz="6" w:space="0"/>
              <w:bottom w:val="single" w:color="auto" w:sz="6" w:space="0"/>
              <w:right w:val="single" w:color="auto" w:sz="6" w:space="0"/>
            </w:tcBorders>
            <w:noWrap w:val="0"/>
            <w:vAlign w:val="top"/>
          </w:tcPr>
          <w:p w14:paraId="671AB668">
            <w:pPr>
              <w:spacing w:line="360" w:lineRule="auto"/>
              <w:rPr>
                <w:rFonts w:hint="eastAsia" w:asciiTheme="minorEastAsia" w:hAnsiTheme="minorEastAsia" w:eastAsiaTheme="minorEastAsia" w:cstheme="minorEastAsia"/>
                <w:color w:val="auto"/>
                <w:sz w:val="24"/>
                <w:szCs w:val="24"/>
              </w:rPr>
            </w:pPr>
          </w:p>
        </w:tc>
        <w:tc>
          <w:tcPr>
            <w:tcW w:w="2409" w:type="dxa"/>
            <w:tcBorders>
              <w:top w:val="single" w:color="auto" w:sz="6" w:space="0"/>
              <w:left w:val="single" w:color="auto" w:sz="6" w:space="0"/>
              <w:bottom w:val="single" w:color="auto" w:sz="6" w:space="0"/>
              <w:right w:val="single" w:color="auto" w:sz="6" w:space="0"/>
            </w:tcBorders>
            <w:noWrap w:val="0"/>
            <w:vAlign w:val="top"/>
          </w:tcPr>
          <w:p w14:paraId="1B406033">
            <w:pPr>
              <w:spacing w:line="360" w:lineRule="auto"/>
              <w:rPr>
                <w:rFonts w:hint="eastAsia" w:asciiTheme="minorEastAsia" w:hAnsiTheme="minorEastAsia" w:eastAsiaTheme="minorEastAsia" w:cstheme="minorEastAsia"/>
                <w:color w:val="auto"/>
                <w:sz w:val="24"/>
                <w:szCs w:val="24"/>
              </w:rPr>
            </w:pPr>
          </w:p>
        </w:tc>
      </w:tr>
      <w:tr w14:paraId="7A9E7BFE">
        <w:tblPrEx>
          <w:tblCellMar>
            <w:top w:w="0" w:type="dxa"/>
            <w:left w:w="108" w:type="dxa"/>
            <w:bottom w:w="0" w:type="dxa"/>
            <w:right w:w="108" w:type="dxa"/>
          </w:tblCellMar>
        </w:tblPrEx>
        <w:trPr>
          <w:trHeight w:val="494" w:hRule="atLeast"/>
          <w:jc w:val="center"/>
        </w:trPr>
        <w:tc>
          <w:tcPr>
            <w:tcW w:w="1314" w:type="dxa"/>
            <w:tcBorders>
              <w:top w:val="single" w:color="auto" w:sz="6" w:space="0"/>
              <w:left w:val="single" w:color="auto" w:sz="6" w:space="0"/>
              <w:bottom w:val="single" w:color="auto" w:sz="6" w:space="0"/>
              <w:right w:val="single" w:color="auto" w:sz="6" w:space="0"/>
            </w:tcBorders>
            <w:noWrap w:val="0"/>
            <w:vAlign w:val="top"/>
          </w:tcPr>
          <w:p w14:paraId="34CDF94E">
            <w:pPr>
              <w:spacing w:line="360" w:lineRule="auto"/>
              <w:rPr>
                <w:rFonts w:hint="eastAsia" w:asciiTheme="minorEastAsia" w:hAnsiTheme="minorEastAsia" w:eastAsiaTheme="minorEastAsia" w:cstheme="minorEastAsia"/>
                <w:color w:val="auto"/>
                <w:sz w:val="24"/>
                <w:szCs w:val="24"/>
              </w:rPr>
            </w:pPr>
          </w:p>
        </w:tc>
        <w:tc>
          <w:tcPr>
            <w:tcW w:w="3505" w:type="dxa"/>
            <w:gridSpan w:val="2"/>
            <w:tcBorders>
              <w:top w:val="single" w:color="auto" w:sz="6" w:space="0"/>
              <w:left w:val="single" w:color="auto" w:sz="6" w:space="0"/>
              <w:bottom w:val="single" w:color="auto" w:sz="6" w:space="0"/>
              <w:right w:val="single" w:color="auto" w:sz="6" w:space="0"/>
            </w:tcBorders>
            <w:noWrap w:val="0"/>
            <w:vAlign w:val="top"/>
          </w:tcPr>
          <w:p w14:paraId="559A575B">
            <w:pPr>
              <w:spacing w:line="360" w:lineRule="auto"/>
              <w:rPr>
                <w:rFonts w:hint="eastAsia" w:asciiTheme="minorEastAsia" w:hAnsiTheme="minorEastAsia" w:eastAsiaTheme="minorEastAsia" w:cstheme="minorEastAsia"/>
                <w:color w:val="auto"/>
                <w:sz w:val="24"/>
                <w:szCs w:val="24"/>
              </w:rPr>
            </w:pPr>
          </w:p>
        </w:tc>
        <w:tc>
          <w:tcPr>
            <w:tcW w:w="2850" w:type="dxa"/>
            <w:gridSpan w:val="2"/>
            <w:tcBorders>
              <w:top w:val="single" w:color="auto" w:sz="6" w:space="0"/>
              <w:left w:val="single" w:color="auto" w:sz="6" w:space="0"/>
              <w:bottom w:val="single" w:color="auto" w:sz="6" w:space="0"/>
              <w:right w:val="single" w:color="auto" w:sz="6" w:space="0"/>
            </w:tcBorders>
            <w:noWrap w:val="0"/>
            <w:vAlign w:val="top"/>
          </w:tcPr>
          <w:p w14:paraId="3FD1CDEC">
            <w:pPr>
              <w:spacing w:line="360" w:lineRule="auto"/>
              <w:rPr>
                <w:rFonts w:hint="eastAsia" w:asciiTheme="minorEastAsia" w:hAnsiTheme="minorEastAsia" w:eastAsiaTheme="minorEastAsia" w:cstheme="minorEastAsia"/>
                <w:color w:val="auto"/>
                <w:sz w:val="24"/>
                <w:szCs w:val="24"/>
              </w:rPr>
            </w:pPr>
          </w:p>
        </w:tc>
        <w:tc>
          <w:tcPr>
            <w:tcW w:w="2409" w:type="dxa"/>
            <w:tcBorders>
              <w:top w:val="single" w:color="auto" w:sz="6" w:space="0"/>
              <w:left w:val="single" w:color="auto" w:sz="6" w:space="0"/>
              <w:bottom w:val="single" w:color="auto" w:sz="6" w:space="0"/>
              <w:right w:val="single" w:color="auto" w:sz="6" w:space="0"/>
            </w:tcBorders>
            <w:noWrap w:val="0"/>
            <w:vAlign w:val="top"/>
          </w:tcPr>
          <w:p w14:paraId="67DFDF3A">
            <w:pPr>
              <w:spacing w:line="360" w:lineRule="auto"/>
              <w:rPr>
                <w:rFonts w:hint="eastAsia" w:asciiTheme="minorEastAsia" w:hAnsiTheme="minorEastAsia" w:eastAsiaTheme="minorEastAsia" w:cstheme="minorEastAsia"/>
                <w:color w:val="auto"/>
                <w:sz w:val="24"/>
                <w:szCs w:val="24"/>
              </w:rPr>
            </w:pPr>
          </w:p>
        </w:tc>
      </w:tr>
      <w:tr w14:paraId="1C41D549">
        <w:tblPrEx>
          <w:tblCellMar>
            <w:top w:w="0" w:type="dxa"/>
            <w:left w:w="108" w:type="dxa"/>
            <w:bottom w:w="0" w:type="dxa"/>
            <w:right w:w="108" w:type="dxa"/>
          </w:tblCellMar>
        </w:tblPrEx>
        <w:trPr>
          <w:trHeight w:val="509" w:hRule="atLeast"/>
          <w:jc w:val="center"/>
        </w:trPr>
        <w:tc>
          <w:tcPr>
            <w:tcW w:w="1314" w:type="dxa"/>
            <w:tcBorders>
              <w:top w:val="single" w:color="auto" w:sz="6" w:space="0"/>
              <w:left w:val="single" w:color="auto" w:sz="6" w:space="0"/>
              <w:bottom w:val="single" w:color="auto" w:sz="6" w:space="0"/>
              <w:right w:val="single" w:color="auto" w:sz="6" w:space="0"/>
            </w:tcBorders>
            <w:noWrap w:val="0"/>
            <w:vAlign w:val="top"/>
          </w:tcPr>
          <w:p w14:paraId="3DB60555">
            <w:pPr>
              <w:spacing w:line="360" w:lineRule="auto"/>
              <w:rPr>
                <w:rFonts w:hint="eastAsia" w:asciiTheme="minorEastAsia" w:hAnsiTheme="minorEastAsia" w:eastAsiaTheme="minorEastAsia" w:cstheme="minorEastAsia"/>
                <w:color w:val="auto"/>
                <w:sz w:val="24"/>
                <w:szCs w:val="24"/>
              </w:rPr>
            </w:pPr>
          </w:p>
        </w:tc>
        <w:tc>
          <w:tcPr>
            <w:tcW w:w="3505" w:type="dxa"/>
            <w:gridSpan w:val="2"/>
            <w:tcBorders>
              <w:top w:val="single" w:color="auto" w:sz="6" w:space="0"/>
              <w:left w:val="single" w:color="auto" w:sz="6" w:space="0"/>
              <w:bottom w:val="single" w:color="auto" w:sz="6" w:space="0"/>
              <w:right w:val="single" w:color="auto" w:sz="6" w:space="0"/>
            </w:tcBorders>
            <w:noWrap w:val="0"/>
            <w:vAlign w:val="top"/>
          </w:tcPr>
          <w:p w14:paraId="4DD3141B">
            <w:pPr>
              <w:spacing w:line="360" w:lineRule="auto"/>
              <w:rPr>
                <w:rFonts w:hint="eastAsia" w:asciiTheme="minorEastAsia" w:hAnsiTheme="minorEastAsia" w:eastAsiaTheme="minorEastAsia" w:cstheme="minorEastAsia"/>
                <w:color w:val="auto"/>
                <w:sz w:val="24"/>
                <w:szCs w:val="24"/>
              </w:rPr>
            </w:pPr>
          </w:p>
        </w:tc>
        <w:tc>
          <w:tcPr>
            <w:tcW w:w="2850" w:type="dxa"/>
            <w:gridSpan w:val="2"/>
            <w:tcBorders>
              <w:top w:val="single" w:color="auto" w:sz="6" w:space="0"/>
              <w:left w:val="single" w:color="auto" w:sz="6" w:space="0"/>
              <w:bottom w:val="single" w:color="auto" w:sz="6" w:space="0"/>
              <w:right w:val="single" w:color="auto" w:sz="6" w:space="0"/>
            </w:tcBorders>
            <w:noWrap w:val="0"/>
            <w:vAlign w:val="top"/>
          </w:tcPr>
          <w:p w14:paraId="01B8C142">
            <w:pPr>
              <w:spacing w:line="360" w:lineRule="auto"/>
              <w:rPr>
                <w:rFonts w:hint="eastAsia" w:asciiTheme="minorEastAsia" w:hAnsiTheme="minorEastAsia" w:eastAsiaTheme="minorEastAsia" w:cstheme="minorEastAsia"/>
                <w:color w:val="auto"/>
                <w:sz w:val="24"/>
                <w:szCs w:val="24"/>
              </w:rPr>
            </w:pPr>
          </w:p>
        </w:tc>
        <w:tc>
          <w:tcPr>
            <w:tcW w:w="2409" w:type="dxa"/>
            <w:tcBorders>
              <w:top w:val="single" w:color="auto" w:sz="6" w:space="0"/>
              <w:left w:val="single" w:color="auto" w:sz="6" w:space="0"/>
              <w:bottom w:val="single" w:color="auto" w:sz="6" w:space="0"/>
              <w:right w:val="single" w:color="auto" w:sz="6" w:space="0"/>
            </w:tcBorders>
            <w:noWrap w:val="0"/>
            <w:vAlign w:val="top"/>
          </w:tcPr>
          <w:p w14:paraId="623A7C88">
            <w:pPr>
              <w:spacing w:line="360" w:lineRule="auto"/>
              <w:rPr>
                <w:rFonts w:hint="eastAsia" w:asciiTheme="minorEastAsia" w:hAnsiTheme="minorEastAsia" w:eastAsiaTheme="minorEastAsia" w:cstheme="minorEastAsia"/>
                <w:color w:val="auto"/>
                <w:sz w:val="24"/>
                <w:szCs w:val="24"/>
              </w:rPr>
            </w:pPr>
          </w:p>
        </w:tc>
      </w:tr>
    </w:tbl>
    <w:p w14:paraId="5F54E408">
      <w:pPr>
        <w:autoSpaceDE w:val="0"/>
        <w:autoSpaceDN w:val="0"/>
        <w:adjustRightInd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2.</w:t>
      </w:r>
      <w:r>
        <w:rPr>
          <w:rFonts w:hint="eastAsia" w:asciiTheme="minorEastAsia" w:hAnsiTheme="minorEastAsia" w:eastAsiaTheme="minorEastAsia" w:cstheme="minorEastAsia"/>
          <w:b/>
          <w:bCs/>
          <w:color w:val="auto"/>
          <w:sz w:val="24"/>
          <w:szCs w:val="24"/>
        </w:rPr>
        <w:t>拟投入本项目的主要成员表</w:t>
      </w:r>
    </w:p>
    <w:tbl>
      <w:tblPr>
        <w:tblStyle w:val="24"/>
        <w:tblW w:w="9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311"/>
        <w:gridCol w:w="2012"/>
        <w:gridCol w:w="1912"/>
        <w:gridCol w:w="1774"/>
        <w:gridCol w:w="1978"/>
      </w:tblGrid>
      <w:tr w14:paraId="2589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89" w:type="dxa"/>
            <w:tcBorders>
              <w:top w:val="single" w:color="auto" w:sz="4" w:space="0"/>
              <w:left w:val="single" w:color="auto" w:sz="4" w:space="0"/>
              <w:bottom w:val="single" w:color="auto" w:sz="4" w:space="0"/>
              <w:right w:val="single" w:color="auto" w:sz="4" w:space="0"/>
            </w:tcBorders>
            <w:noWrap w:val="0"/>
            <w:vAlign w:val="center"/>
          </w:tcPr>
          <w:p w14:paraId="0F59382D">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3A92F32">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姓名</w:t>
            </w:r>
          </w:p>
        </w:tc>
        <w:tc>
          <w:tcPr>
            <w:tcW w:w="2012" w:type="dxa"/>
            <w:tcBorders>
              <w:top w:val="single" w:color="auto" w:sz="4" w:space="0"/>
              <w:left w:val="single" w:color="auto" w:sz="4" w:space="0"/>
              <w:bottom w:val="single" w:color="auto" w:sz="4" w:space="0"/>
              <w:right w:val="single" w:color="auto" w:sz="4" w:space="0"/>
            </w:tcBorders>
            <w:noWrap w:val="0"/>
            <w:vAlign w:val="center"/>
          </w:tcPr>
          <w:p w14:paraId="074EE433">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性别</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7274F0C1">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职称</w:t>
            </w:r>
          </w:p>
        </w:tc>
        <w:tc>
          <w:tcPr>
            <w:tcW w:w="1774" w:type="dxa"/>
            <w:tcBorders>
              <w:top w:val="single" w:color="auto" w:sz="4" w:space="0"/>
              <w:left w:val="single" w:color="auto" w:sz="4" w:space="0"/>
              <w:bottom w:val="single" w:color="auto" w:sz="4" w:space="0"/>
              <w:right w:val="single" w:color="auto" w:sz="4" w:space="0"/>
            </w:tcBorders>
            <w:noWrap w:val="0"/>
            <w:vAlign w:val="center"/>
          </w:tcPr>
          <w:p w14:paraId="326F2938">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岗位</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7847AA47">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从事该岗位时间</w:t>
            </w:r>
          </w:p>
        </w:tc>
      </w:tr>
      <w:tr w14:paraId="7083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9" w:type="dxa"/>
            <w:tcBorders>
              <w:top w:val="single" w:color="auto" w:sz="4" w:space="0"/>
              <w:left w:val="single" w:color="auto" w:sz="4" w:space="0"/>
              <w:bottom w:val="single" w:color="auto" w:sz="4" w:space="0"/>
              <w:right w:val="single" w:color="auto" w:sz="4" w:space="0"/>
            </w:tcBorders>
            <w:noWrap w:val="0"/>
            <w:vAlign w:val="top"/>
          </w:tcPr>
          <w:p w14:paraId="7DDD7ADC">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1311" w:type="dxa"/>
            <w:tcBorders>
              <w:top w:val="single" w:color="auto" w:sz="4" w:space="0"/>
              <w:left w:val="single" w:color="auto" w:sz="4" w:space="0"/>
              <w:bottom w:val="single" w:color="auto" w:sz="4" w:space="0"/>
              <w:right w:val="single" w:color="auto" w:sz="4" w:space="0"/>
            </w:tcBorders>
            <w:noWrap w:val="0"/>
            <w:vAlign w:val="top"/>
          </w:tcPr>
          <w:p w14:paraId="0560E8A0">
            <w:pPr>
              <w:spacing w:line="360" w:lineRule="auto"/>
              <w:jc w:val="center"/>
              <w:rPr>
                <w:rFonts w:hint="eastAsia" w:asciiTheme="minorEastAsia" w:hAnsiTheme="minorEastAsia" w:eastAsiaTheme="minorEastAsia" w:cstheme="minorEastAsia"/>
                <w:color w:val="auto"/>
                <w:sz w:val="24"/>
              </w:rPr>
            </w:pPr>
          </w:p>
        </w:tc>
        <w:tc>
          <w:tcPr>
            <w:tcW w:w="2012" w:type="dxa"/>
            <w:tcBorders>
              <w:top w:val="single" w:color="auto" w:sz="4" w:space="0"/>
              <w:left w:val="single" w:color="auto" w:sz="4" w:space="0"/>
              <w:bottom w:val="single" w:color="auto" w:sz="4" w:space="0"/>
              <w:right w:val="single" w:color="auto" w:sz="4" w:space="0"/>
            </w:tcBorders>
            <w:noWrap w:val="0"/>
            <w:vAlign w:val="top"/>
          </w:tcPr>
          <w:p w14:paraId="12ED1039">
            <w:pPr>
              <w:spacing w:line="360" w:lineRule="auto"/>
              <w:jc w:val="center"/>
              <w:rPr>
                <w:rFonts w:hint="eastAsia" w:asciiTheme="minorEastAsia" w:hAnsiTheme="minorEastAsia" w:eastAsiaTheme="minorEastAsia" w:cstheme="minorEastAsia"/>
                <w:color w:val="auto"/>
                <w:sz w:val="24"/>
              </w:rPr>
            </w:pPr>
          </w:p>
        </w:tc>
        <w:tc>
          <w:tcPr>
            <w:tcW w:w="1912" w:type="dxa"/>
            <w:tcBorders>
              <w:top w:val="single" w:color="auto" w:sz="4" w:space="0"/>
              <w:left w:val="single" w:color="auto" w:sz="4" w:space="0"/>
              <w:bottom w:val="single" w:color="auto" w:sz="4" w:space="0"/>
              <w:right w:val="single" w:color="auto" w:sz="4" w:space="0"/>
            </w:tcBorders>
            <w:noWrap w:val="0"/>
            <w:vAlign w:val="top"/>
          </w:tcPr>
          <w:p w14:paraId="428FE6B3">
            <w:pPr>
              <w:spacing w:line="360" w:lineRule="auto"/>
              <w:jc w:val="center"/>
              <w:rPr>
                <w:rFonts w:hint="eastAsia" w:asciiTheme="minorEastAsia" w:hAnsiTheme="minorEastAsia" w:eastAsiaTheme="minorEastAsia" w:cstheme="minorEastAsia"/>
                <w:color w:val="auto"/>
                <w:sz w:val="24"/>
              </w:rPr>
            </w:pPr>
          </w:p>
        </w:tc>
        <w:tc>
          <w:tcPr>
            <w:tcW w:w="1774" w:type="dxa"/>
            <w:tcBorders>
              <w:top w:val="single" w:color="auto" w:sz="4" w:space="0"/>
              <w:left w:val="single" w:color="auto" w:sz="4" w:space="0"/>
              <w:bottom w:val="single" w:color="auto" w:sz="4" w:space="0"/>
              <w:right w:val="single" w:color="auto" w:sz="4" w:space="0"/>
            </w:tcBorders>
            <w:noWrap w:val="0"/>
            <w:vAlign w:val="top"/>
          </w:tcPr>
          <w:p w14:paraId="3EE521C0">
            <w:pPr>
              <w:spacing w:line="360" w:lineRule="auto"/>
              <w:jc w:val="center"/>
              <w:rPr>
                <w:rFonts w:hint="eastAsia" w:asciiTheme="minorEastAsia" w:hAnsiTheme="minorEastAsia" w:eastAsiaTheme="minorEastAsia" w:cstheme="minorEastAsia"/>
                <w:color w:val="auto"/>
                <w:sz w:val="24"/>
              </w:rPr>
            </w:pPr>
          </w:p>
        </w:tc>
        <w:tc>
          <w:tcPr>
            <w:tcW w:w="1978" w:type="dxa"/>
            <w:tcBorders>
              <w:top w:val="single" w:color="auto" w:sz="4" w:space="0"/>
              <w:left w:val="single" w:color="auto" w:sz="4" w:space="0"/>
              <w:bottom w:val="single" w:color="auto" w:sz="4" w:space="0"/>
              <w:right w:val="single" w:color="auto" w:sz="4" w:space="0"/>
            </w:tcBorders>
            <w:noWrap w:val="0"/>
            <w:vAlign w:val="top"/>
          </w:tcPr>
          <w:p w14:paraId="67ABD471">
            <w:pPr>
              <w:spacing w:line="360" w:lineRule="auto"/>
              <w:jc w:val="center"/>
              <w:rPr>
                <w:rFonts w:hint="eastAsia" w:asciiTheme="minorEastAsia" w:hAnsiTheme="minorEastAsia" w:eastAsiaTheme="minorEastAsia" w:cstheme="minorEastAsia"/>
                <w:color w:val="auto"/>
                <w:sz w:val="24"/>
              </w:rPr>
            </w:pPr>
          </w:p>
        </w:tc>
      </w:tr>
      <w:tr w14:paraId="4014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89" w:type="dxa"/>
            <w:tcBorders>
              <w:top w:val="single" w:color="auto" w:sz="4" w:space="0"/>
              <w:left w:val="single" w:color="auto" w:sz="4" w:space="0"/>
              <w:bottom w:val="single" w:color="auto" w:sz="4" w:space="0"/>
              <w:right w:val="single" w:color="auto" w:sz="4" w:space="0"/>
            </w:tcBorders>
            <w:noWrap w:val="0"/>
            <w:vAlign w:val="top"/>
          </w:tcPr>
          <w:p w14:paraId="590057CB">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p>
        </w:tc>
        <w:tc>
          <w:tcPr>
            <w:tcW w:w="1311" w:type="dxa"/>
            <w:tcBorders>
              <w:top w:val="single" w:color="auto" w:sz="4" w:space="0"/>
              <w:left w:val="single" w:color="auto" w:sz="4" w:space="0"/>
              <w:bottom w:val="single" w:color="auto" w:sz="4" w:space="0"/>
              <w:right w:val="single" w:color="auto" w:sz="4" w:space="0"/>
            </w:tcBorders>
            <w:noWrap w:val="0"/>
            <w:vAlign w:val="top"/>
          </w:tcPr>
          <w:p w14:paraId="3E689084">
            <w:pPr>
              <w:spacing w:line="360" w:lineRule="auto"/>
              <w:jc w:val="center"/>
              <w:rPr>
                <w:rFonts w:hint="eastAsia" w:asciiTheme="minorEastAsia" w:hAnsiTheme="minorEastAsia" w:eastAsiaTheme="minorEastAsia" w:cstheme="minorEastAsia"/>
                <w:color w:val="auto"/>
                <w:sz w:val="24"/>
              </w:rPr>
            </w:pPr>
          </w:p>
        </w:tc>
        <w:tc>
          <w:tcPr>
            <w:tcW w:w="2012" w:type="dxa"/>
            <w:tcBorders>
              <w:top w:val="single" w:color="auto" w:sz="4" w:space="0"/>
              <w:left w:val="single" w:color="auto" w:sz="4" w:space="0"/>
              <w:bottom w:val="single" w:color="auto" w:sz="4" w:space="0"/>
              <w:right w:val="single" w:color="auto" w:sz="4" w:space="0"/>
            </w:tcBorders>
            <w:noWrap w:val="0"/>
            <w:vAlign w:val="top"/>
          </w:tcPr>
          <w:p w14:paraId="3EBBD355">
            <w:pPr>
              <w:spacing w:line="360" w:lineRule="auto"/>
              <w:jc w:val="center"/>
              <w:rPr>
                <w:rFonts w:hint="eastAsia" w:asciiTheme="minorEastAsia" w:hAnsiTheme="minorEastAsia" w:eastAsiaTheme="minorEastAsia" w:cstheme="minorEastAsia"/>
                <w:color w:val="auto"/>
                <w:sz w:val="24"/>
              </w:rPr>
            </w:pPr>
          </w:p>
        </w:tc>
        <w:tc>
          <w:tcPr>
            <w:tcW w:w="1912" w:type="dxa"/>
            <w:tcBorders>
              <w:top w:val="single" w:color="auto" w:sz="4" w:space="0"/>
              <w:left w:val="single" w:color="auto" w:sz="4" w:space="0"/>
              <w:bottom w:val="single" w:color="auto" w:sz="4" w:space="0"/>
              <w:right w:val="single" w:color="auto" w:sz="4" w:space="0"/>
            </w:tcBorders>
            <w:noWrap w:val="0"/>
            <w:vAlign w:val="top"/>
          </w:tcPr>
          <w:p w14:paraId="31FA0BE6">
            <w:pPr>
              <w:spacing w:line="360" w:lineRule="auto"/>
              <w:jc w:val="center"/>
              <w:rPr>
                <w:rFonts w:hint="eastAsia" w:asciiTheme="minorEastAsia" w:hAnsiTheme="minorEastAsia" w:eastAsiaTheme="minorEastAsia" w:cstheme="minorEastAsia"/>
                <w:color w:val="auto"/>
                <w:sz w:val="24"/>
              </w:rPr>
            </w:pPr>
          </w:p>
        </w:tc>
        <w:tc>
          <w:tcPr>
            <w:tcW w:w="1774" w:type="dxa"/>
            <w:tcBorders>
              <w:top w:val="single" w:color="auto" w:sz="4" w:space="0"/>
              <w:left w:val="single" w:color="auto" w:sz="4" w:space="0"/>
              <w:bottom w:val="single" w:color="auto" w:sz="4" w:space="0"/>
              <w:right w:val="single" w:color="auto" w:sz="4" w:space="0"/>
            </w:tcBorders>
            <w:noWrap w:val="0"/>
            <w:vAlign w:val="top"/>
          </w:tcPr>
          <w:p w14:paraId="280A94BE">
            <w:pPr>
              <w:spacing w:line="360" w:lineRule="auto"/>
              <w:jc w:val="center"/>
              <w:rPr>
                <w:rFonts w:hint="eastAsia" w:asciiTheme="minorEastAsia" w:hAnsiTheme="minorEastAsia" w:eastAsiaTheme="minorEastAsia" w:cstheme="minorEastAsia"/>
                <w:color w:val="auto"/>
                <w:sz w:val="24"/>
              </w:rPr>
            </w:pPr>
          </w:p>
        </w:tc>
        <w:tc>
          <w:tcPr>
            <w:tcW w:w="1978" w:type="dxa"/>
            <w:tcBorders>
              <w:top w:val="single" w:color="auto" w:sz="4" w:space="0"/>
              <w:left w:val="single" w:color="auto" w:sz="4" w:space="0"/>
              <w:bottom w:val="single" w:color="auto" w:sz="4" w:space="0"/>
              <w:right w:val="single" w:color="auto" w:sz="4" w:space="0"/>
            </w:tcBorders>
            <w:noWrap w:val="0"/>
            <w:vAlign w:val="top"/>
          </w:tcPr>
          <w:p w14:paraId="5DAE0B91">
            <w:pPr>
              <w:spacing w:line="360" w:lineRule="auto"/>
              <w:jc w:val="center"/>
              <w:rPr>
                <w:rFonts w:hint="eastAsia" w:asciiTheme="minorEastAsia" w:hAnsiTheme="minorEastAsia" w:eastAsiaTheme="minorEastAsia" w:cstheme="minorEastAsia"/>
                <w:color w:val="auto"/>
                <w:sz w:val="24"/>
              </w:rPr>
            </w:pPr>
          </w:p>
        </w:tc>
      </w:tr>
      <w:tr w14:paraId="4AD7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9" w:type="dxa"/>
            <w:tcBorders>
              <w:top w:val="single" w:color="auto" w:sz="4" w:space="0"/>
              <w:left w:val="single" w:color="auto" w:sz="4" w:space="0"/>
              <w:bottom w:val="single" w:color="auto" w:sz="4" w:space="0"/>
              <w:right w:val="single" w:color="auto" w:sz="4" w:space="0"/>
            </w:tcBorders>
            <w:noWrap w:val="0"/>
            <w:vAlign w:val="top"/>
          </w:tcPr>
          <w:p w14:paraId="57B187EA">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p>
        </w:tc>
        <w:tc>
          <w:tcPr>
            <w:tcW w:w="1311" w:type="dxa"/>
            <w:tcBorders>
              <w:top w:val="single" w:color="auto" w:sz="4" w:space="0"/>
              <w:left w:val="single" w:color="auto" w:sz="4" w:space="0"/>
              <w:bottom w:val="single" w:color="auto" w:sz="4" w:space="0"/>
              <w:right w:val="single" w:color="auto" w:sz="4" w:space="0"/>
            </w:tcBorders>
            <w:noWrap w:val="0"/>
            <w:vAlign w:val="top"/>
          </w:tcPr>
          <w:p w14:paraId="69E9D1D8">
            <w:pPr>
              <w:spacing w:line="360" w:lineRule="auto"/>
              <w:jc w:val="center"/>
              <w:rPr>
                <w:rFonts w:hint="eastAsia" w:asciiTheme="minorEastAsia" w:hAnsiTheme="minorEastAsia" w:eastAsiaTheme="minorEastAsia" w:cstheme="minorEastAsia"/>
                <w:color w:val="auto"/>
                <w:sz w:val="24"/>
              </w:rPr>
            </w:pPr>
          </w:p>
        </w:tc>
        <w:tc>
          <w:tcPr>
            <w:tcW w:w="2012" w:type="dxa"/>
            <w:tcBorders>
              <w:top w:val="single" w:color="auto" w:sz="4" w:space="0"/>
              <w:left w:val="single" w:color="auto" w:sz="4" w:space="0"/>
              <w:bottom w:val="single" w:color="auto" w:sz="4" w:space="0"/>
              <w:right w:val="single" w:color="auto" w:sz="4" w:space="0"/>
            </w:tcBorders>
            <w:noWrap w:val="0"/>
            <w:vAlign w:val="top"/>
          </w:tcPr>
          <w:p w14:paraId="634BD0E1">
            <w:pPr>
              <w:spacing w:line="360" w:lineRule="auto"/>
              <w:jc w:val="center"/>
              <w:rPr>
                <w:rFonts w:hint="eastAsia" w:asciiTheme="minorEastAsia" w:hAnsiTheme="minorEastAsia" w:eastAsiaTheme="minorEastAsia" w:cstheme="minorEastAsia"/>
                <w:color w:val="auto"/>
                <w:sz w:val="24"/>
              </w:rPr>
            </w:pPr>
          </w:p>
        </w:tc>
        <w:tc>
          <w:tcPr>
            <w:tcW w:w="1912" w:type="dxa"/>
            <w:tcBorders>
              <w:top w:val="single" w:color="auto" w:sz="4" w:space="0"/>
              <w:left w:val="single" w:color="auto" w:sz="4" w:space="0"/>
              <w:bottom w:val="single" w:color="auto" w:sz="4" w:space="0"/>
              <w:right w:val="single" w:color="auto" w:sz="4" w:space="0"/>
            </w:tcBorders>
            <w:noWrap w:val="0"/>
            <w:vAlign w:val="top"/>
          </w:tcPr>
          <w:p w14:paraId="143995BF">
            <w:pPr>
              <w:spacing w:line="360" w:lineRule="auto"/>
              <w:jc w:val="center"/>
              <w:rPr>
                <w:rFonts w:hint="eastAsia" w:asciiTheme="minorEastAsia" w:hAnsiTheme="minorEastAsia" w:eastAsiaTheme="minorEastAsia" w:cstheme="minorEastAsia"/>
                <w:color w:val="auto"/>
                <w:sz w:val="24"/>
              </w:rPr>
            </w:pPr>
          </w:p>
        </w:tc>
        <w:tc>
          <w:tcPr>
            <w:tcW w:w="1774" w:type="dxa"/>
            <w:tcBorders>
              <w:top w:val="single" w:color="auto" w:sz="4" w:space="0"/>
              <w:left w:val="single" w:color="auto" w:sz="4" w:space="0"/>
              <w:bottom w:val="single" w:color="auto" w:sz="4" w:space="0"/>
              <w:right w:val="single" w:color="auto" w:sz="4" w:space="0"/>
            </w:tcBorders>
            <w:noWrap w:val="0"/>
            <w:vAlign w:val="top"/>
          </w:tcPr>
          <w:p w14:paraId="61939AA7">
            <w:pPr>
              <w:spacing w:line="360" w:lineRule="auto"/>
              <w:jc w:val="center"/>
              <w:rPr>
                <w:rFonts w:hint="eastAsia" w:asciiTheme="minorEastAsia" w:hAnsiTheme="minorEastAsia" w:eastAsiaTheme="minorEastAsia" w:cstheme="minorEastAsia"/>
                <w:color w:val="auto"/>
                <w:sz w:val="24"/>
              </w:rPr>
            </w:pPr>
          </w:p>
        </w:tc>
        <w:tc>
          <w:tcPr>
            <w:tcW w:w="1978" w:type="dxa"/>
            <w:tcBorders>
              <w:top w:val="single" w:color="auto" w:sz="4" w:space="0"/>
              <w:left w:val="single" w:color="auto" w:sz="4" w:space="0"/>
              <w:bottom w:val="single" w:color="auto" w:sz="4" w:space="0"/>
              <w:right w:val="single" w:color="auto" w:sz="4" w:space="0"/>
            </w:tcBorders>
            <w:noWrap w:val="0"/>
            <w:vAlign w:val="top"/>
          </w:tcPr>
          <w:p w14:paraId="7D5BEA91">
            <w:pPr>
              <w:spacing w:line="360" w:lineRule="auto"/>
              <w:jc w:val="center"/>
              <w:rPr>
                <w:rFonts w:hint="eastAsia" w:asciiTheme="minorEastAsia" w:hAnsiTheme="minorEastAsia" w:eastAsiaTheme="minorEastAsia" w:cstheme="minorEastAsia"/>
                <w:color w:val="auto"/>
                <w:sz w:val="24"/>
              </w:rPr>
            </w:pPr>
          </w:p>
        </w:tc>
      </w:tr>
      <w:tr w14:paraId="62F8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9" w:type="dxa"/>
            <w:tcBorders>
              <w:top w:val="single" w:color="auto" w:sz="4" w:space="0"/>
              <w:left w:val="single" w:color="auto" w:sz="4" w:space="0"/>
              <w:bottom w:val="single" w:color="auto" w:sz="4" w:space="0"/>
              <w:right w:val="single" w:color="auto" w:sz="4" w:space="0"/>
            </w:tcBorders>
            <w:noWrap w:val="0"/>
            <w:vAlign w:val="top"/>
          </w:tcPr>
          <w:p w14:paraId="746A889B">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p>
        </w:tc>
        <w:tc>
          <w:tcPr>
            <w:tcW w:w="1311" w:type="dxa"/>
            <w:tcBorders>
              <w:top w:val="single" w:color="auto" w:sz="4" w:space="0"/>
              <w:left w:val="single" w:color="auto" w:sz="4" w:space="0"/>
              <w:bottom w:val="single" w:color="auto" w:sz="4" w:space="0"/>
              <w:right w:val="single" w:color="auto" w:sz="4" w:space="0"/>
            </w:tcBorders>
            <w:noWrap w:val="0"/>
            <w:vAlign w:val="top"/>
          </w:tcPr>
          <w:p w14:paraId="5559DC5A">
            <w:pPr>
              <w:spacing w:line="360" w:lineRule="auto"/>
              <w:jc w:val="center"/>
              <w:rPr>
                <w:rFonts w:hint="eastAsia" w:asciiTheme="minorEastAsia" w:hAnsiTheme="minorEastAsia" w:eastAsiaTheme="minorEastAsia" w:cstheme="minorEastAsia"/>
                <w:color w:val="auto"/>
                <w:sz w:val="24"/>
              </w:rPr>
            </w:pPr>
          </w:p>
        </w:tc>
        <w:tc>
          <w:tcPr>
            <w:tcW w:w="2012" w:type="dxa"/>
            <w:tcBorders>
              <w:top w:val="single" w:color="auto" w:sz="4" w:space="0"/>
              <w:left w:val="single" w:color="auto" w:sz="4" w:space="0"/>
              <w:bottom w:val="single" w:color="auto" w:sz="4" w:space="0"/>
              <w:right w:val="single" w:color="auto" w:sz="4" w:space="0"/>
            </w:tcBorders>
            <w:noWrap w:val="0"/>
            <w:vAlign w:val="top"/>
          </w:tcPr>
          <w:p w14:paraId="780B70A5">
            <w:pPr>
              <w:spacing w:line="360" w:lineRule="auto"/>
              <w:jc w:val="center"/>
              <w:rPr>
                <w:rFonts w:hint="eastAsia" w:asciiTheme="minorEastAsia" w:hAnsiTheme="minorEastAsia" w:eastAsiaTheme="minorEastAsia" w:cstheme="minorEastAsia"/>
                <w:color w:val="auto"/>
                <w:sz w:val="24"/>
              </w:rPr>
            </w:pPr>
          </w:p>
        </w:tc>
        <w:tc>
          <w:tcPr>
            <w:tcW w:w="1912" w:type="dxa"/>
            <w:tcBorders>
              <w:top w:val="single" w:color="auto" w:sz="4" w:space="0"/>
              <w:left w:val="single" w:color="auto" w:sz="4" w:space="0"/>
              <w:bottom w:val="single" w:color="auto" w:sz="4" w:space="0"/>
              <w:right w:val="single" w:color="auto" w:sz="4" w:space="0"/>
            </w:tcBorders>
            <w:noWrap w:val="0"/>
            <w:vAlign w:val="top"/>
          </w:tcPr>
          <w:p w14:paraId="09E15B98">
            <w:pPr>
              <w:spacing w:line="360" w:lineRule="auto"/>
              <w:jc w:val="center"/>
              <w:rPr>
                <w:rFonts w:hint="eastAsia" w:asciiTheme="minorEastAsia" w:hAnsiTheme="minorEastAsia" w:eastAsiaTheme="minorEastAsia" w:cstheme="minorEastAsia"/>
                <w:color w:val="auto"/>
                <w:sz w:val="24"/>
              </w:rPr>
            </w:pPr>
          </w:p>
        </w:tc>
        <w:tc>
          <w:tcPr>
            <w:tcW w:w="1774" w:type="dxa"/>
            <w:tcBorders>
              <w:top w:val="single" w:color="auto" w:sz="4" w:space="0"/>
              <w:left w:val="single" w:color="auto" w:sz="4" w:space="0"/>
              <w:bottom w:val="single" w:color="auto" w:sz="4" w:space="0"/>
              <w:right w:val="single" w:color="auto" w:sz="4" w:space="0"/>
            </w:tcBorders>
            <w:noWrap w:val="0"/>
            <w:vAlign w:val="top"/>
          </w:tcPr>
          <w:p w14:paraId="1F2C97DD">
            <w:pPr>
              <w:spacing w:line="360" w:lineRule="auto"/>
              <w:jc w:val="center"/>
              <w:rPr>
                <w:rFonts w:hint="eastAsia" w:asciiTheme="minorEastAsia" w:hAnsiTheme="minorEastAsia" w:eastAsiaTheme="minorEastAsia" w:cstheme="minorEastAsia"/>
                <w:color w:val="auto"/>
                <w:sz w:val="24"/>
              </w:rPr>
            </w:pPr>
          </w:p>
        </w:tc>
        <w:tc>
          <w:tcPr>
            <w:tcW w:w="1978" w:type="dxa"/>
            <w:tcBorders>
              <w:top w:val="single" w:color="auto" w:sz="4" w:space="0"/>
              <w:left w:val="single" w:color="auto" w:sz="4" w:space="0"/>
              <w:bottom w:val="single" w:color="auto" w:sz="4" w:space="0"/>
              <w:right w:val="single" w:color="auto" w:sz="4" w:space="0"/>
            </w:tcBorders>
            <w:noWrap w:val="0"/>
            <w:vAlign w:val="top"/>
          </w:tcPr>
          <w:p w14:paraId="65837553">
            <w:pPr>
              <w:spacing w:line="360" w:lineRule="auto"/>
              <w:jc w:val="center"/>
              <w:rPr>
                <w:rFonts w:hint="eastAsia" w:asciiTheme="minorEastAsia" w:hAnsiTheme="minorEastAsia" w:eastAsiaTheme="minorEastAsia" w:cstheme="minorEastAsia"/>
                <w:color w:val="auto"/>
                <w:sz w:val="24"/>
              </w:rPr>
            </w:pPr>
          </w:p>
        </w:tc>
      </w:tr>
    </w:tbl>
    <w:p w14:paraId="68A0DCA1">
      <w:pPr>
        <w:rPr>
          <w:rFonts w:hint="eastAsia" w:asciiTheme="minorEastAsia" w:hAnsiTheme="minorEastAsia" w:eastAsiaTheme="minorEastAsia" w:cstheme="minorEastAsia"/>
          <w:color w:val="auto"/>
          <w:lang w:val="en-US" w:eastAsia="zh-CN"/>
        </w:rPr>
      </w:pPr>
    </w:p>
    <w:p w14:paraId="5A5E3FE0">
      <w:pPr>
        <w:keepNext w:val="0"/>
        <w:keepLines w:val="0"/>
        <w:pageBreakBefore w:val="0"/>
        <w:widowControl w:val="0"/>
        <w:overflowPunct/>
        <w:bidi w:val="0"/>
        <w:spacing w:line="360" w:lineRule="auto"/>
        <w:jc w:val="left"/>
        <w:rPr>
          <w:rStyle w:val="35"/>
          <w:rFonts w:hint="eastAsia" w:asciiTheme="minorEastAsia" w:hAnsiTheme="minorEastAsia" w:eastAsiaTheme="minorEastAsia" w:cstheme="minorEastAsia"/>
          <w:b/>
          <w:color w:val="auto"/>
          <w:sz w:val="24"/>
          <w:szCs w:val="24"/>
          <w:lang w:val="en-US" w:eastAsia="zh-CN" w:bidi="ar-SA"/>
        </w:rPr>
      </w:pPr>
      <w:bookmarkStart w:id="298" w:name="_Toc23652"/>
      <w:bookmarkStart w:id="299" w:name="_Toc27273"/>
      <w:bookmarkStart w:id="300" w:name="_Toc25963"/>
      <w:r>
        <w:rPr>
          <w:rStyle w:val="35"/>
          <w:rFonts w:hint="eastAsia" w:asciiTheme="minorEastAsia" w:hAnsiTheme="minorEastAsia" w:eastAsiaTheme="minorEastAsia" w:cstheme="minorEastAsia"/>
          <w:b/>
          <w:color w:val="auto"/>
          <w:sz w:val="24"/>
          <w:szCs w:val="24"/>
          <w:lang w:val="en-US" w:eastAsia="zh-CN" w:bidi="ar-SA"/>
        </w:rPr>
        <w:t>附人员养老保险对账单及资格证或合格通知为准。</w:t>
      </w:r>
    </w:p>
    <w:bookmarkEnd w:id="298"/>
    <w:bookmarkEnd w:id="299"/>
    <w:bookmarkEnd w:id="300"/>
    <w:p w14:paraId="47B593E4">
      <w:pPr>
        <w:pStyle w:val="10"/>
        <w:ind w:firstLine="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w:t>
      </w:r>
    </w:p>
    <w:p w14:paraId="6D7BAA63">
      <w:pPr>
        <w:pStyle w:val="10"/>
        <w:ind w:firstLine="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供应商名称（盖章）：</w:t>
      </w:r>
    </w:p>
    <w:p w14:paraId="36D70C21">
      <w:pPr>
        <w:pStyle w:val="10"/>
        <w:jc w:val="righ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法定代表人或委托代理人（签字或盖章）：</w:t>
      </w:r>
    </w:p>
    <w:p w14:paraId="1F1999D2">
      <w:pPr>
        <w:pStyle w:val="33"/>
        <w:wordWrap/>
        <w:spacing w:line="360" w:lineRule="auto"/>
        <w:ind w:firstLine="56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日期：     年   月   日</w:t>
      </w:r>
      <w:bookmarkStart w:id="301" w:name="_Toc6788"/>
      <w:bookmarkStart w:id="302" w:name="_Toc26982"/>
      <w:bookmarkStart w:id="303" w:name="_Toc4287"/>
    </w:p>
    <w:p w14:paraId="752BBFD9">
      <w:pPr>
        <w:spacing w:line="600" w:lineRule="auto"/>
        <w:jc w:val="both"/>
        <w:rPr>
          <w:rStyle w:val="37"/>
          <w:rFonts w:hint="eastAsia" w:asciiTheme="minorEastAsia" w:hAnsiTheme="minorEastAsia" w:eastAsiaTheme="minorEastAsia" w:cstheme="minorEastAsia"/>
          <w:color w:val="auto"/>
          <w:sz w:val="32"/>
          <w:szCs w:val="28"/>
          <w:lang w:val="en-US" w:eastAsia="zh-CN"/>
        </w:rPr>
      </w:pPr>
      <w:r>
        <w:rPr>
          <w:rFonts w:hint="eastAsia" w:asciiTheme="minorEastAsia" w:hAnsiTheme="minorEastAsia" w:eastAsiaTheme="minorEastAsia" w:cstheme="minorEastAsia"/>
          <w:color w:val="auto"/>
          <w:sz w:val="28"/>
          <w:szCs w:val="28"/>
        </w:rPr>
        <w:br w:type="page"/>
      </w:r>
      <w:bookmarkEnd w:id="301"/>
      <w:bookmarkEnd w:id="302"/>
      <w:bookmarkEnd w:id="303"/>
      <w:bookmarkStart w:id="304" w:name="_Toc9841"/>
      <w:bookmarkStart w:id="305" w:name="_Toc23509"/>
      <w:r>
        <w:rPr>
          <w:rStyle w:val="37"/>
          <w:rFonts w:hint="eastAsia" w:asciiTheme="minorEastAsia" w:hAnsiTheme="minorEastAsia" w:eastAsiaTheme="minorEastAsia" w:cstheme="minorEastAsia"/>
          <w:b/>
          <w:bCs/>
          <w:color w:val="auto"/>
          <w:sz w:val="32"/>
          <w:szCs w:val="28"/>
          <w:lang w:val="en-US" w:eastAsia="zh-CN"/>
        </w:rPr>
        <w:t>附件10:</w:t>
      </w:r>
    </w:p>
    <w:bookmarkEnd w:id="304"/>
    <w:bookmarkEnd w:id="305"/>
    <w:p w14:paraId="6CF71675">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jc w:val="center"/>
        <w:textAlignment w:val="auto"/>
        <w:rPr>
          <w:rFonts w:hint="eastAsia" w:asciiTheme="minorEastAsia" w:hAnsiTheme="minorEastAsia" w:eastAsiaTheme="minorEastAsia" w:cstheme="minorEastAsia"/>
          <w:b/>
          <w:bCs w:val="0"/>
          <w:color w:val="auto"/>
          <w:sz w:val="28"/>
          <w:szCs w:val="28"/>
        </w:rPr>
      </w:pPr>
      <w:bookmarkStart w:id="306" w:name="_Toc7251"/>
      <w:bookmarkStart w:id="307" w:name="_Toc13542"/>
      <w:bookmarkStart w:id="308" w:name="_Toc2493"/>
      <w:r>
        <w:rPr>
          <w:rFonts w:hint="eastAsia" w:asciiTheme="minorEastAsia" w:hAnsiTheme="minorEastAsia" w:eastAsiaTheme="minorEastAsia" w:cstheme="minorEastAsia"/>
          <w:b/>
          <w:bCs w:val="0"/>
          <w:color w:val="auto"/>
          <w:sz w:val="28"/>
          <w:szCs w:val="28"/>
        </w:rPr>
        <w:t>关于资格的声明函</w:t>
      </w:r>
    </w:p>
    <w:p w14:paraId="2B8CB53C">
      <w:pPr>
        <w:pStyle w:val="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lang w:val="en-US" w:eastAsia="zh-CN"/>
        </w:rPr>
        <w:t>哈密丰远造价咨询有限责任公司</w:t>
      </w:r>
      <w:r>
        <w:rPr>
          <w:rFonts w:hint="eastAsia" w:asciiTheme="minorEastAsia" w:hAnsiTheme="minorEastAsia" w:eastAsiaTheme="minorEastAsia" w:cstheme="minorEastAsia"/>
          <w:color w:val="auto"/>
          <w:sz w:val="24"/>
          <w:szCs w:val="24"/>
          <w:lang w:eastAsia="zh-CN"/>
        </w:rPr>
        <w:t> </w:t>
      </w:r>
      <w:r>
        <w:rPr>
          <w:rFonts w:hint="eastAsia" w:asciiTheme="minorEastAsia" w:hAnsiTheme="minorEastAsia" w:eastAsiaTheme="minorEastAsia" w:cstheme="minorEastAsia"/>
          <w:color w:val="auto"/>
          <w:sz w:val="24"/>
          <w:szCs w:val="24"/>
        </w:rPr>
        <w:t>：</w:t>
      </w:r>
    </w:p>
    <w:p w14:paraId="7481FD05">
      <w:pPr>
        <w:pStyle w:val="8"/>
        <w:keepNext w:val="0"/>
        <w:keepLines w:val="0"/>
        <w:pageBreakBefore w:val="0"/>
        <w:widowControl w:val="0"/>
        <w:kinsoku/>
        <w:wordWrap/>
        <w:overflowPunct/>
        <w:topLinePunct w:val="0"/>
        <w:autoSpaceDE/>
        <w:autoSpaceDN/>
        <w:bidi w:val="0"/>
        <w:adjustRightInd/>
        <w:snapToGrid/>
        <w:spacing w:line="360" w:lineRule="auto"/>
        <w:ind w:left="319" w:firstLine="968" w:firstLineChars="4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关于贵方20</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日第</w:t>
      </w:r>
      <w:r>
        <w:rPr>
          <w:rFonts w:hint="eastAsia" w:asciiTheme="minorEastAsia" w:hAnsiTheme="minorEastAsia" w:eastAsiaTheme="minorEastAsia" w:cstheme="minorEastAsia"/>
          <w:color w:val="auto"/>
          <w:sz w:val="24"/>
          <w:szCs w:val="24"/>
          <w:u w:val="single"/>
        </w:rPr>
        <w:t xml:space="preserve">  （项目编号） </w:t>
      </w:r>
      <w:r>
        <w:rPr>
          <w:rFonts w:hint="eastAsia" w:asciiTheme="minorEastAsia" w:hAnsiTheme="minorEastAsia" w:eastAsiaTheme="minorEastAsia" w:cstheme="minorEastAsia"/>
          <w:color w:val="auto"/>
          <w:sz w:val="24"/>
          <w:szCs w:val="24"/>
        </w:rPr>
        <w:t>磋商公告关于</w:t>
      </w:r>
      <w:r>
        <w:rPr>
          <w:rFonts w:hint="eastAsia" w:asciiTheme="minorEastAsia" w:hAnsiTheme="minorEastAsia" w:eastAsiaTheme="minorEastAsia" w:cstheme="minorEastAsia"/>
          <w:color w:val="auto"/>
          <w:kern w:val="0"/>
          <w:sz w:val="24"/>
          <w:szCs w:val="24"/>
          <w:u w:val="single"/>
        </w:rPr>
        <w:t>（项目名称）</w:t>
      </w:r>
      <w:r>
        <w:rPr>
          <w:rFonts w:hint="eastAsia" w:asciiTheme="minorEastAsia" w:hAnsiTheme="minorEastAsia" w:eastAsiaTheme="minorEastAsia" w:cstheme="minorEastAsia"/>
          <w:color w:val="auto"/>
          <w:sz w:val="24"/>
          <w:szCs w:val="24"/>
        </w:rPr>
        <w:t>的采购项目，本签字人愿意参加响应，并有能力提供</w:t>
      </w:r>
      <w:r>
        <w:rPr>
          <w:rFonts w:hint="eastAsia" w:asciiTheme="minorEastAsia" w:hAnsiTheme="minorEastAsia" w:eastAsiaTheme="minorEastAsia" w:cstheme="minorEastAsia"/>
          <w:color w:val="auto"/>
          <w:kern w:val="0"/>
          <w:sz w:val="24"/>
          <w:szCs w:val="24"/>
          <w:u w:val="single"/>
        </w:rPr>
        <w:t>（项目名称）</w:t>
      </w:r>
      <w:r>
        <w:rPr>
          <w:rFonts w:hint="eastAsia" w:asciiTheme="minorEastAsia" w:hAnsiTheme="minorEastAsia" w:eastAsiaTheme="minorEastAsia" w:cstheme="minorEastAsia"/>
          <w:color w:val="auto"/>
          <w:sz w:val="24"/>
          <w:szCs w:val="24"/>
        </w:rPr>
        <w:t>项目中的相关服务，并保证所提交的所有文件和说明是真实和准确的。</w:t>
      </w:r>
    </w:p>
    <w:p w14:paraId="62E1CBE7">
      <w:pPr>
        <w:pStyle w:val="8"/>
        <w:keepNext w:val="0"/>
        <w:keepLines w:val="0"/>
        <w:pageBreakBefore w:val="0"/>
        <w:widowControl w:val="0"/>
        <w:kinsoku/>
        <w:wordWrap/>
        <w:overflowPunct/>
        <w:topLinePunct w:val="0"/>
        <w:autoSpaceDE/>
        <w:autoSpaceDN/>
        <w:bidi w:val="0"/>
        <w:adjustRightInd/>
        <w:snapToGrid/>
        <w:spacing w:line="360" w:lineRule="auto"/>
        <w:ind w:left="319" w:firstLine="575"/>
        <w:textAlignment w:val="auto"/>
        <w:rPr>
          <w:rFonts w:hint="eastAsia" w:asciiTheme="minorEastAsia" w:hAnsiTheme="minorEastAsia" w:eastAsiaTheme="minorEastAsia" w:cstheme="minorEastAsia"/>
          <w:color w:val="auto"/>
          <w:sz w:val="24"/>
          <w:szCs w:val="24"/>
        </w:rPr>
      </w:pPr>
    </w:p>
    <w:p w14:paraId="31B3FB31">
      <w:pPr>
        <w:pStyle w:val="8"/>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left"/>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供应商：</w:t>
      </w:r>
      <w:r>
        <w:rPr>
          <w:rFonts w:hint="eastAsia" w:asciiTheme="minorEastAsia" w:hAnsiTheme="minorEastAsia" w:eastAsiaTheme="minorEastAsia" w:cstheme="minorEastAsia"/>
          <w:color w:val="auto"/>
          <w:sz w:val="24"/>
          <w:szCs w:val="24"/>
          <w:u w:val="single"/>
        </w:rPr>
        <w:t>　供应商名称     　</w:t>
      </w:r>
      <w:r>
        <w:rPr>
          <w:rFonts w:hint="eastAsia" w:asciiTheme="minorEastAsia" w:hAnsiTheme="minorEastAsia" w:eastAsiaTheme="minorEastAsia" w:cstheme="minorEastAsia"/>
          <w:color w:val="auto"/>
          <w:sz w:val="24"/>
          <w:szCs w:val="24"/>
        </w:rPr>
        <w:t>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签字人姓名、职务：</w:t>
      </w:r>
      <w:r>
        <w:rPr>
          <w:rFonts w:hint="eastAsia" w:asciiTheme="minorEastAsia" w:hAnsiTheme="minorEastAsia" w:eastAsiaTheme="minorEastAsia" w:cstheme="minorEastAsia"/>
          <w:color w:val="auto"/>
          <w:sz w:val="24"/>
          <w:szCs w:val="24"/>
          <w:u w:val="single"/>
        </w:rPr>
        <w:t xml:space="preserve">（代理（被授权人）签字或盖章）  </w:t>
      </w:r>
    </w:p>
    <w:p w14:paraId="63D69F71">
      <w:pPr>
        <w:pStyle w:val="8"/>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left"/>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地址：</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授权签署本资格文件人：</w:t>
      </w:r>
      <w:r>
        <w:rPr>
          <w:rFonts w:hint="eastAsia" w:asciiTheme="minorEastAsia" w:hAnsiTheme="minorEastAsia" w:eastAsiaTheme="minorEastAsia" w:cstheme="minorEastAsia"/>
          <w:color w:val="auto"/>
          <w:sz w:val="24"/>
          <w:szCs w:val="24"/>
          <w:u w:val="single"/>
        </w:rPr>
        <w:t>（</w:t>
      </w:r>
      <w:r>
        <w:rPr>
          <w:rFonts w:hint="eastAsia" w:asciiTheme="minorEastAsia" w:hAnsiTheme="minorEastAsia" w:eastAsiaTheme="minorEastAsia" w:cstheme="minorEastAsia"/>
          <w:color w:val="auto"/>
          <w:sz w:val="24"/>
          <w:szCs w:val="24"/>
          <w:u w:val="single"/>
          <w:lang w:eastAsia="zh-CN"/>
        </w:rPr>
        <w:t>法人代表签字</w:t>
      </w:r>
      <w:r>
        <w:rPr>
          <w:rFonts w:hint="eastAsia" w:asciiTheme="minorEastAsia" w:hAnsiTheme="minorEastAsia" w:eastAsiaTheme="minorEastAsia" w:cstheme="minorEastAsia"/>
          <w:color w:val="auto"/>
          <w:sz w:val="24"/>
          <w:szCs w:val="24"/>
          <w:u w:val="single"/>
        </w:rPr>
        <w:t xml:space="preserve">或盖章）  </w:t>
      </w:r>
    </w:p>
    <w:p w14:paraId="17F2EAD0">
      <w:pPr>
        <w:pStyle w:val="8"/>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left"/>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邮编：</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　电话：</w:t>
      </w:r>
      <w:r>
        <w:rPr>
          <w:rFonts w:hint="eastAsia" w:asciiTheme="minorEastAsia" w:hAnsiTheme="minorEastAsia" w:eastAsiaTheme="minorEastAsia" w:cstheme="minorEastAsia"/>
          <w:color w:val="auto"/>
          <w:sz w:val="24"/>
          <w:szCs w:val="24"/>
          <w:u w:val="single"/>
        </w:rPr>
        <w:t>　　　　　　　　</w:t>
      </w:r>
    </w:p>
    <w:p w14:paraId="1191D0F8">
      <w:pPr>
        <w:bidi w:val="0"/>
        <w:spacing w:line="600" w:lineRule="auto"/>
        <w:jc w:val="left"/>
        <w:rPr>
          <w:rFonts w:hint="eastAsia" w:asciiTheme="minorEastAsia" w:hAnsiTheme="minorEastAsia" w:eastAsiaTheme="minorEastAsia" w:cstheme="minorEastAsia"/>
          <w:color w:val="auto"/>
          <w:sz w:val="24"/>
          <w:szCs w:val="24"/>
        </w:rPr>
      </w:pPr>
    </w:p>
    <w:p w14:paraId="16FCF483">
      <w:pPr>
        <w:bidi w:val="0"/>
        <w:spacing w:line="60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供应商名称（盖章）：</w:t>
      </w:r>
    </w:p>
    <w:p w14:paraId="3DBFEE9B">
      <w:pPr>
        <w:bidi w:val="0"/>
        <w:spacing w:line="60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     年   月   日</w:t>
      </w:r>
    </w:p>
    <w:p w14:paraId="09BF747B">
      <w:pPr>
        <w:bidi w:val="0"/>
        <w:jc w:val="right"/>
        <w:rPr>
          <w:rFonts w:hint="eastAsia" w:asciiTheme="minorEastAsia" w:hAnsiTheme="minorEastAsia" w:eastAsiaTheme="minorEastAsia" w:cstheme="minorEastAsia"/>
          <w:color w:val="auto"/>
          <w:sz w:val="24"/>
          <w:szCs w:val="24"/>
        </w:rPr>
      </w:pPr>
    </w:p>
    <w:p w14:paraId="43F404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4"/>
          <w:szCs w:val="24"/>
        </w:rPr>
      </w:pPr>
    </w:p>
    <w:p w14:paraId="37125617">
      <w:pPr>
        <w:spacing w:line="600" w:lineRule="auto"/>
        <w:jc w:val="both"/>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24"/>
          <w:szCs w:val="24"/>
        </w:rPr>
        <w:br w:type="page"/>
      </w:r>
      <w:bookmarkEnd w:id="306"/>
      <w:bookmarkEnd w:id="307"/>
      <w:bookmarkEnd w:id="308"/>
      <w:bookmarkStart w:id="309" w:name="_Toc13510"/>
      <w:bookmarkStart w:id="310" w:name="_Toc23785"/>
      <w:r>
        <w:rPr>
          <w:rStyle w:val="37"/>
          <w:rFonts w:hint="eastAsia" w:asciiTheme="minorEastAsia" w:hAnsiTheme="minorEastAsia" w:eastAsiaTheme="minorEastAsia" w:cstheme="minorEastAsia"/>
          <w:b/>
          <w:bCs/>
          <w:color w:val="auto"/>
          <w:sz w:val="32"/>
          <w:szCs w:val="32"/>
          <w:lang w:val="en-US" w:eastAsia="zh-CN"/>
        </w:rPr>
        <w:t>附件11:</w:t>
      </w:r>
      <w:bookmarkEnd w:id="309"/>
      <w:bookmarkEnd w:id="310"/>
    </w:p>
    <w:p w14:paraId="21D1865C">
      <w:pPr>
        <w:bidi w:val="0"/>
        <w:jc w:val="center"/>
        <w:rPr>
          <w:rFonts w:hint="eastAsia" w:asciiTheme="minorEastAsia" w:hAnsiTheme="minorEastAsia" w:eastAsiaTheme="minorEastAsia" w:cstheme="minorEastAsia"/>
          <w:b/>
          <w:bCs/>
          <w:color w:val="auto"/>
          <w:sz w:val="32"/>
          <w:szCs w:val="28"/>
          <w:lang w:val="en-US" w:eastAsia="zh-CN"/>
        </w:rPr>
      </w:pPr>
      <w:bookmarkStart w:id="311" w:name="_Toc28079"/>
      <w:bookmarkStart w:id="312" w:name="_Toc12791"/>
      <w:bookmarkStart w:id="313" w:name="_Toc12421"/>
      <w:r>
        <w:rPr>
          <w:rFonts w:hint="eastAsia" w:asciiTheme="minorEastAsia" w:hAnsiTheme="minorEastAsia" w:eastAsiaTheme="minorEastAsia" w:cstheme="minorEastAsia"/>
          <w:b/>
          <w:bCs/>
          <w:color w:val="auto"/>
          <w:sz w:val="32"/>
          <w:szCs w:val="28"/>
          <w:lang w:val="en-US" w:eastAsia="zh-CN"/>
        </w:rPr>
        <w:t>中小企业声明函</w:t>
      </w:r>
    </w:p>
    <w:p w14:paraId="392BEA06">
      <w:pPr>
        <w:bidi w:val="0"/>
        <w:jc w:val="center"/>
        <w:rPr>
          <w:rFonts w:hint="eastAsia" w:asciiTheme="minorEastAsia" w:hAnsiTheme="minorEastAsia" w:eastAsiaTheme="minorEastAsia" w:cstheme="minorEastAsia"/>
          <w:b/>
          <w:bCs/>
          <w:color w:val="auto"/>
          <w:sz w:val="32"/>
          <w:szCs w:val="28"/>
          <w:lang w:val="en-US" w:eastAsia="zh-CN"/>
        </w:rPr>
      </w:pPr>
    </w:p>
    <w:p w14:paraId="71DFBA77">
      <w:pPr>
        <w:keepNext w:val="0"/>
        <w:keepLines w:val="0"/>
        <w:pageBreakBefore w:val="0"/>
        <w:widowControl w:val="0"/>
        <w:kinsoku/>
        <w:wordWrap/>
        <w:overflowPunct/>
        <w:topLinePunct w:val="0"/>
        <w:autoSpaceDE/>
        <w:autoSpaceDN/>
        <w:bidi w:val="0"/>
        <w:adjustRightInd/>
        <w:snapToGrid/>
        <w:spacing w:line="360" w:lineRule="auto"/>
        <w:ind w:firstLine="726" w:firstLineChars="3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公司（联合体）郑重声明，根据《政府采购促进中小企业发展管理办法》（财库）〔2020〕46号）的规定，本公司（联合体）参加（单位名称）的（项目名称）采购活动，提供的货物全部由符合政策的中小企业制造。相关企业（含联合体中的中小企业、签订分包意向协议的中小企业）的具体情况如下：</w:t>
      </w:r>
    </w:p>
    <w:p w14:paraId="66A5E1DC">
      <w:pPr>
        <w:keepNext w:val="0"/>
        <w:keepLines w:val="0"/>
        <w:pageBreakBefore w:val="0"/>
        <w:widowControl w:val="0"/>
        <w:tabs>
          <w:tab w:val="left" w:pos="118"/>
        </w:tabs>
        <w:kinsoku/>
        <w:wordWrap/>
        <w:overflowPunct/>
        <w:topLinePunct w:val="0"/>
        <w:autoSpaceDE/>
        <w:autoSpaceDN/>
        <w:bidi w:val="0"/>
        <w:adjustRightInd/>
        <w:snapToGrid/>
        <w:spacing w:line="460" w:lineRule="exact"/>
        <w:ind w:firstLine="484" w:firstLineChars="200"/>
        <w:jc w:val="left"/>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pacing w:val="0"/>
          <w:sz w:val="24"/>
          <w:szCs w:val="24"/>
          <w:highlight w:val="none"/>
        </w:rPr>
        <w:t>1.</w:t>
      </w:r>
      <w:r>
        <w:rPr>
          <w:rFonts w:hint="eastAsia" w:asciiTheme="minorEastAsia" w:hAnsiTheme="minorEastAsia" w:eastAsiaTheme="minorEastAsia" w:cstheme="minorEastAsia"/>
          <w:color w:val="auto"/>
          <w:spacing w:val="0"/>
          <w:sz w:val="24"/>
          <w:szCs w:val="24"/>
          <w:highlight w:val="none"/>
          <w:u w:val="single"/>
        </w:rPr>
        <w:t xml:space="preserve"> （标的名称）</w:t>
      </w:r>
      <w:r>
        <w:rPr>
          <w:rFonts w:hint="eastAsia" w:asciiTheme="minorEastAsia" w:hAnsiTheme="minorEastAsia" w:eastAsiaTheme="minorEastAsia" w:cstheme="minorEastAsia"/>
          <w:color w:val="auto"/>
          <w:spacing w:val="0"/>
          <w:sz w:val="24"/>
          <w:szCs w:val="24"/>
          <w:highlight w:val="none"/>
        </w:rPr>
        <w:t>，属于</w:t>
      </w:r>
      <w:r>
        <w:rPr>
          <w:rFonts w:hint="eastAsia" w:asciiTheme="minorEastAsia" w:hAnsiTheme="minorEastAsia" w:eastAsiaTheme="minorEastAsia" w:cstheme="minorEastAsia"/>
          <w:color w:val="auto"/>
          <w:spacing w:val="0"/>
          <w:sz w:val="24"/>
          <w:szCs w:val="24"/>
          <w:highlight w:val="none"/>
          <w:u w:val="single"/>
        </w:rPr>
        <w:t>（采购文件中明确的所属行业）</w:t>
      </w:r>
      <w:r>
        <w:rPr>
          <w:rFonts w:hint="eastAsia" w:asciiTheme="minorEastAsia" w:hAnsiTheme="minorEastAsia" w:eastAsiaTheme="minorEastAsia" w:cstheme="minorEastAsia"/>
          <w:color w:val="auto"/>
          <w:spacing w:val="0"/>
          <w:sz w:val="24"/>
          <w:szCs w:val="24"/>
          <w:highlight w:val="none"/>
        </w:rPr>
        <w:t>；承建（承接）企业为</w:t>
      </w:r>
      <w:r>
        <w:rPr>
          <w:rFonts w:hint="eastAsia" w:asciiTheme="minorEastAsia" w:hAnsiTheme="minorEastAsia" w:eastAsiaTheme="minorEastAsia" w:cstheme="minorEastAsia"/>
          <w:color w:val="auto"/>
          <w:spacing w:val="0"/>
          <w:sz w:val="24"/>
          <w:szCs w:val="24"/>
          <w:highlight w:val="none"/>
          <w:u w:val="single"/>
        </w:rPr>
        <w:t>（企业名称）</w:t>
      </w:r>
      <w:r>
        <w:rPr>
          <w:rFonts w:hint="eastAsia" w:asciiTheme="minorEastAsia" w:hAnsiTheme="minorEastAsia" w:eastAsiaTheme="minorEastAsia" w:cstheme="minorEastAsia"/>
          <w:color w:val="auto"/>
          <w:spacing w:val="0"/>
          <w:sz w:val="24"/>
          <w:szCs w:val="24"/>
          <w:highlight w:val="none"/>
        </w:rPr>
        <w:t>，从业人员</w:t>
      </w:r>
      <w:r>
        <w:rPr>
          <w:rFonts w:hint="eastAsia" w:asciiTheme="minorEastAsia" w:hAnsiTheme="minorEastAsia" w:eastAsiaTheme="minorEastAsia" w:cstheme="minorEastAsia"/>
          <w:color w:val="auto"/>
          <w:spacing w:val="0"/>
          <w:sz w:val="24"/>
          <w:szCs w:val="24"/>
          <w:highlight w:val="none"/>
          <w:u w:val="single"/>
        </w:rPr>
        <w:t xml:space="preserve">      人，</w:t>
      </w:r>
      <w:r>
        <w:rPr>
          <w:rFonts w:hint="eastAsia" w:asciiTheme="minorEastAsia" w:hAnsiTheme="minorEastAsia" w:eastAsiaTheme="minorEastAsia" w:cstheme="minorEastAsia"/>
          <w:color w:val="auto"/>
          <w:spacing w:val="0"/>
          <w:sz w:val="24"/>
          <w:szCs w:val="24"/>
          <w:highlight w:val="none"/>
        </w:rPr>
        <w:t xml:space="preserve">营业收入为 </w:t>
      </w:r>
      <w:r>
        <w:rPr>
          <w:rFonts w:hint="eastAsia" w:asciiTheme="minorEastAsia" w:hAnsiTheme="minorEastAsia" w:eastAsiaTheme="minorEastAsia" w:cstheme="minorEastAsia"/>
          <w:color w:val="auto"/>
          <w:spacing w:val="0"/>
          <w:sz w:val="24"/>
          <w:szCs w:val="24"/>
          <w:highlight w:val="none"/>
          <w:u w:val="single"/>
        </w:rPr>
        <w:t xml:space="preserve">     万</w:t>
      </w:r>
      <w:r>
        <w:rPr>
          <w:rFonts w:hint="eastAsia" w:asciiTheme="minorEastAsia" w:hAnsiTheme="minorEastAsia" w:eastAsiaTheme="minorEastAsia" w:cstheme="minorEastAsia"/>
          <w:color w:val="auto"/>
          <w:spacing w:val="0"/>
          <w:sz w:val="24"/>
          <w:szCs w:val="24"/>
          <w:highlight w:val="none"/>
        </w:rPr>
        <w:t>元，资产总额为</w:t>
      </w:r>
      <w:r>
        <w:rPr>
          <w:rFonts w:hint="eastAsia" w:asciiTheme="minorEastAsia" w:hAnsiTheme="minorEastAsia" w:eastAsiaTheme="minorEastAsia" w:cstheme="minorEastAsia"/>
          <w:color w:val="auto"/>
          <w:spacing w:val="0"/>
          <w:sz w:val="24"/>
          <w:szCs w:val="24"/>
          <w:highlight w:val="none"/>
          <w:u w:val="single"/>
        </w:rPr>
        <w:t xml:space="preserve">      万元</w:t>
      </w:r>
      <w:r>
        <w:rPr>
          <w:rFonts w:hint="eastAsia" w:asciiTheme="minorEastAsia" w:hAnsiTheme="minorEastAsia" w:eastAsiaTheme="minorEastAsia" w:cstheme="minorEastAsia"/>
          <w:color w:val="auto"/>
          <w:spacing w:val="0"/>
          <w:sz w:val="24"/>
          <w:szCs w:val="24"/>
          <w:highlight w:val="none"/>
        </w:rPr>
        <w:t>，属于</w:t>
      </w:r>
      <w:r>
        <w:rPr>
          <w:rFonts w:hint="eastAsia" w:asciiTheme="minorEastAsia" w:hAnsiTheme="minorEastAsia" w:eastAsiaTheme="minorEastAsia" w:cstheme="minorEastAsia"/>
          <w:color w:val="auto"/>
          <w:spacing w:val="0"/>
          <w:sz w:val="24"/>
          <w:szCs w:val="24"/>
          <w:highlight w:val="none"/>
          <w:u w:val="single"/>
        </w:rPr>
        <w:t>（中型企业、 小型企业、微型企业）</w:t>
      </w:r>
      <w:r>
        <w:rPr>
          <w:rFonts w:hint="eastAsia" w:asciiTheme="minorEastAsia" w:hAnsiTheme="minorEastAsia" w:eastAsiaTheme="minorEastAsia" w:cstheme="minorEastAsia"/>
          <w:color w:val="auto"/>
          <w:spacing w:val="0"/>
          <w:sz w:val="24"/>
          <w:szCs w:val="24"/>
          <w:highlight w:val="none"/>
        </w:rPr>
        <w:t>；</w:t>
      </w:r>
    </w:p>
    <w:p w14:paraId="4D97BA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lang w:val="en-US" w:eastAsia="zh-CN"/>
        </w:rPr>
      </w:pPr>
    </w:p>
    <w:p w14:paraId="1BEE8EA2">
      <w:pPr>
        <w:spacing w:line="60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2964610A">
      <w:pPr>
        <w:keepNext w:val="0"/>
        <w:keepLines w:val="0"/>
        <w:pageBreakBefore w:val="0"/>
        <w:widowControl w:val="0"/>
        <w:tabs>
          <w:tab w:val="left" w:pos="118"/>
        </w:tabs>
        <w:kinsoku/>
        <w:wordWrap/>
        <w:overflowPunct/>
        <w:topLinePunct w:val="0"/>
        <w:autoSpaceDE/>
        <w:autoSpaceDN/>
        <w:bidi w:val="0"/>
        <w:adjustRightInd/>
        <w:snapToGrid/>
        <w:spacing w:line="460" w:lineRule="exact"/>
        <w:ind w:firstLine="484" w:firstLineChars="200"/>
        <w:jc w:val="left"/>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pacing w:val="0"/>
          <w:sz w:val="24"/>
          <w:szCs w:val="24"/>
          <w:highlight w:val="none"/>
        </w:rPr>
        <w:t>以上企业，不属于大企业的分支机构，不存在控股股东为大企业的情形，也不存在与大企业的负责人为同一人的情形。</w:t>
      </w:r>
    </w:p>
    <w:p w14:paraId="50E62F12">
      <w:pPr>
        <w:keepNext w:val="0"/>
        <w:keepLines w:val="0"/>
        <w:pageBreakBefore w:val="0"/>
        <w:widowControl w:val="0"/>
        <w:tabs>
          <w:tab w:val="left" w:pos="118"/>
        </w:tabs>
        <w:kinsoku/>
        <w:wordWrap/>
        <w:overflowPunct/>
        <w:topLinePunct w:val="0"/>
        <w:autoSpaceDE/>
        <w:autoSpaceDN/>
        <w:bidi w:val="0"/>
        <w:adjustRightInd/>
        <w:snapToGrid/>
        <w:spacing w:line="460" w:lineRule="exact"/>
        <w:ind w:firstLine="484" w:firstLineChars="200"/>
        <w:jc w:val="left"/>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本企业对上述声明内容的真实性负责。如有虚假，将依法承担相应责任。</w:t>
      </w:r>
    </w:p>
    <w:p w14:paraId="319344B5">
      <w:pPr>
        <w:spacing w:line="600" w:lineRule="auto"/>
        <w:jc w:val="both"/>
        <w:rPr>
          <w:rFonts w:hint="eastAsia" w:asciiTheme="minorEastAsia" w:hAnsiTheme="minorEastAsia" w:eastAsiaTheme="minorEastAsia" w:cstheme="minorEastAsia"/>
          <w:color w:val="auto"/>
          <w:sz w:val="24"/>
          <w:szCs w:val="24"/>
          <w:lang w:val="en-US" w:eastAsia="zh-CN"/>
        </w:rPr>
      </w:pPr>
    </w:p>
    <w:p w14:paraId="4B5CE5A7">
      <w:pPr>
        <w:spacing w:line="60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企业名称（盖章）：</w:t>
      </w:r>
    </w:p>
    <w:p w14:paraId="2CD54883">
      <w:pPr>
        <w:spacing w:line="60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日期：</w:t>
      </w:r>
    </w:p>
    <w:p w14:paraId="1B004D43">
      <w:pPr>
        <w:spacing w:line="60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从业人员、营业收入、资产总额填报上一年度数据，无上一年度数据的新成立企业可不填报。 </w:t>
      </w:r>
    </w:p>
    <w:p w14:paraId="0DB6836B">
      <w:pPr>
        <w:spacing w:line="600" w:lineRule="auto"/>
        <w:jc w:val="both"/>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24"/>
          <w:szCs w:val="24"/>
        </w:rPr>
        <w:br w:type="page"/>
      </w:r>
      <w:bookmarkEnd w:id="311"/>
      <w:bookmarkEnd w:id="312"/>
      <w:bookmarkEnd w:id="313"/>
      <w:bookmarkStart w:id="314" w:name="_Toc29943"/>
      <w:bookmarkStart w:id="315" w:name="_Toc841"/>
      <w:r>
        <w:rPr>
          <w:rStyle w:val="37"/>
          <w:rFonts w:hint="eastAsia" w:asciiTheme="minorEastAsia" w:hAnsiTheme="minorEastAsia" w:eastAsiaTheme="minorEastAsia" w:cstheme="minorEastAsia"/>
          <w:b/>
          <w:bCs/>
          <w:color w:val="auto"/>
          <w:sz w:val="32"/>
          <w:szCs w:val="28"/>
          <w:lang w:val="en-US" w:eastAsia="zh-CN"/>
        </w:rPr>
        <w:t>附件12:</w:t>
      </w:r>
      <w:bookmarkEnd w:id="314"/>
      <w:bookmarkEnd w:id="315"/>
    </w:p>
    <w:p w14:paraId="42D836EC">
      <w:pPr>
        <w:bidi w:val="0"/>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监狱企业声明函</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（监狱企业适用）</w:t>
      </w:r>
    </w:p>
    <w:p w14:paraId="663F2981">
      <w:pPr>
        <w:spacing w:line="600" w:lineRule="auto"/>
        <w:ind w:firstLine="484"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本公司郑重声明，根据《关于政府采购支持监狱企业发展有关问题的通知》（财库</w:t>
      </w:r>
      <w:r>
        <w:rPr>
          <w:rFonts w:hint="eastAsia" w:asciiTheme="minorEastAsia" w:hAnsiTheme="minorEastAsia" w:eastAsiaTheme="minorEastAsia" w:cstheme="minorEastAsia"/>
          <w:color w:val="auto"/>
          <w:sz w:val="24"/>
          <w:szCs w:val="24"/>
          <w:lang w:eastAsia="zh-CN"/>
        </w:rPr>
        <w:t>〔2014〕68号</w:t>
      </w:r>
      <w:r>
        <w:rPr>
          <w:rFonts w:hint="eastAsia" w:asciiTheme="minorEastAsia" w:hAnsiTheme="minorEastAsia" w:eastAsiaTheme="minorEastAsia" w:cstheme="minorEastAsia"/>
          <w:color w:val="auto"/>
          <w:sz w:val="24"/>
          <w:szCs w:val="24"/>
        </w:rPr>
        <w:t>）的规定，本公司为监狱企业。</w:t>
      </w:r>
    </w:p>
    <w:p w14:paraId="23966474">
      <w:pPr>
        <w:spacing w:line="600" w:lineRule="auto"/>
        <w:ind w:firstLine="484"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本公司参加______单位的______项目采购活动，采购活动提供本企业（制造的货物，由本企业承担工程、提供服务）。</w:t>
      </w:r>
    </w:p>
    <w:p w14:paraId="4AA34E22">
      <w:pPr>
        <w:spacing w:line="60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本条所称货物不包括使用大型企业注册商标的货物和服务。</w:t>
      </w:r>
    </w:p>
    <w:p w14:paraId="01FD792F">
      <w:pPr>
        <w:spacing w:line="60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本公司对上述声明的真实性负责。如有虚假，将依法承担相应责任。</w:t>
      </w:r>
    </w:p>
    <w:p w14:paraId="56C4F7A9">
      <w:pPr>
        <w:spacing w:line="600" w:lineRule="auto"/>
        <w:jc w:val="both"/>
        <w:rPr>
          <w:rFonts w:hint="eastAsia" w:asciiTheme="minorEastAsia" w:hAnsiTheme="minorEastAsia" w:eastAsiaTheme="minorEastAsia" w:cstheme="minorEastAsia"/>
          <w:color w:val="auto"/>
          <w:sz w:val="24"/>
          <w:szCs w:val="24"/>
        </w:rPr>
      </w:pPr>
    </w:p>
    <w:p w14:paraId="50DF93C2">
      <w:pPr>
        <w:spacing w:line="6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企业名称（盖公章）：</w:t>
      </w:r>
    </w:p>
    <w:p w14:paraId="3A112E5B">
      <w:pPr>
        <w:spacing w:line="60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法定代表人或其授权代表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签字</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 xml:space="preserve">   </w:t>
      </w:r>
    </w:p>
    <w:p w14:paraId="77B0A1E3">
      <w:pPr>
        <w:spacing w:line="600" w:lineRule="auto"/>
        <w:ind w:firstLine="3872" w:firstLineChars="16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期：</w:t>
      </w:r>
    </w:p>
    <w:p w14:paraId="27704739">
      <w:pPr>
        <w:spacing w:line="600" w:lineRule="auto"/>
        <w:jc w:val="both"/>
        <w:rPr>
          <w:rStyle w:val="37"/>
          <w:rFonts w:hint="eastAsia" w:asciiTheme="minorEastAsia" w:hAnsiTheme="minorEastAsia" w:eastAsiaTheme="minorEastAsia" w:cstheme="minorEastAsia"/>
          <w:b/>
          <w:bCs/>
          <w:color w:val="auto"/>
          <w:sz w:val="32"/>
          <w:szCs w:val="28"/>
          <w:lang w:val="en-US" w:eastAsia="zh-CN"/>
        </w:rPr>
      </w:pPr>
    </w:p>
    <w:p w14:paraId="24DC04AD">
      <w:pPr>
        <w:spacing w:line="600" w:lineRule="auto"/>
        <w:jc w:val="both"/>
        <w:rPr>
          <w:rStyle w:val="37"/>
          <w:rFonts w:hint="eastAsia" w:asciiTheme="minorEastAsia" w:hAnsiTheme="minorEastAsia" w:eastAsiaTheme="minorEastAsia" w:cstheme="minorEastAsia"/>
          <w:b/>
          <w:bCs/>
          <w:color w:val="auto"/>
          <w:sz w:val="32"/>
          <w:szCs w:val="28"/>
          <w:lang w:val="en-US" w:eastAsia="zh-CN"/>
        </w:rPr>
      </w:pPr>
    </w:p>
    <w:p w14:paraId="28BFDF83">
      <w:pPr>
        <w:spacing w:line="600" w:lineRule="auto"/>
        <w:jc w:val="both"/>
        <w:rPr>
          <w:rStyle w:val="37"/>
          <w:rFonts w:hint="eastAsia" w:asciiTheme="minorEastAsia" w:hAnsiTheme="minorEastAsia" w:eastAsiaTheme="minorEastAsia" w:cstheme="minorEastAsia"/>
          <w:b/>
          <w:bCs/>
          <w:color w:val="auto"/>
          <w:sz w:val="32"/>
          <w:szCs w:val="28"/>
          <w:lang w:val="en-US" w:eastAsia="zh-CN"/>
        </w:rPr>
      </w:pPr>
    </w:p>
    <w:p w14:paraId="30EA55B8">
      <w:pPr>
        <w:spacing w:line="600" w:lineRule="auto"/>
        <w:jc w:val="both"/>
        <w:rPr>
          <w:rStyle w:val="37"/>
          <w:rFonts w:hint="eastAsia" w:asciiTheme="minorEastAsia" w:hAnsiTheme="minorEastAsia" w:eastAsiaTheme="minorEastAsia" w:cstheme="minorEastAsia"/>
          <w:b/>
          <w:bCs/>
          <w:color w:val="auto"/>
          <w:sz w:val="32"/>
          <w:szCs w:val="28"/>
          <w:lang w:val="en-US" w:eastAsia="zh-CN"/>
        </w:rPr>
      </w:pPr>
    </w:p>
    <w:p w14:paraId="0210D4B3">
      <w:pPr>
        <w:spacing w:line="600" w:lineRule="auto"/>
        <w:jc w:val="both"/>
        <w:rPr>
          <w:rStyle w:val="37"/>
          <w:rFonts w:hint="eastAsia" w:asciiTheme="minorEastAsia" w:hAnsiTheme="minorEastAsia" w:eastAsiaTheme="minorEastAsia" w:cstheme="minorEastAsia"/>
          <w:b/>
          <w:bCs/>
          <w:color w:val="auto"/>
          <w:sz w:val="32"/>
          <w:szCs w:val="28"/>
          <w:lang w:val="en-US" w:eastAsia="zh-CN"/>
        </w:rPr>
      </w:pPr>
    </w:p>
    <w:p w14:paraId="71144935">
      <w:pPr>
        <w:pStyle w:val="42"/>
        <w:numPr>
          <w:ilvl w:val="0"/>
          <w:numId w:val="0"/>
        </w:numPr>
        <w:ind w:leftChars="0"/>
        <w:rPr>
          <w:rFonts w:hint="eastAsia" w:asciiTheme="minorEastAsia" w:hAnsiTheme="minorEastAsia" w:eastAsiaTheme="minorEastAsia" w:cstheme="minorEastAsia"/>
          <w:color w:val="auto"/>
          <w:lang w:val="en-US" w:eastAsia="zh-CN"/>
        </w:rPr>
      </w:pPr>
    </w:p>
    <w:p w14:paraId="7A2AE407">
      <w:pPr>
        <w:spacing w:line="600" w:lineRule="auto"/>
        <w:jc w:val="both"/>
        <w:rPr>
          <w:rStyle w:val="37"/>
          <w:rFonts w:hint="eastAsia" w:asciiTheme="minorEastAsia" w:hAnsiTheme="minorEastAsia" w:eastAsiaTheme="minorEastAsia" w:cstheme="minorEastAsia"/>
          <w:b/>
          <w:bCs/>
          <w:color w:val="auto"/>
          <w:sz w:val="32"/>
          <w:szCs w:val="28"/>
          <w:lang w:val="en-US" w:eastAsia="zh-CN"/>
        </w:rPr>
      </w:pPr>
      <w:bookmarkStart w:id="316" w:name="_Toc2155"/>
      <w:bookmarkStart w:id="317" w:name="_Toc28444"/>
      <w:r>
        <w:rPr>
          <w:rStyle w:val="37"/>
          <w:rFonts w:hint="eastAsia" w:asciiTheme="minorEastAsia" w:hAnsiTheme="minorEastAsia" w:eastAsiaTheme="minorEastAsia" w:cstheme="minorEastAsia"/>
          <w:b/>
          <w:bCs/>
          <w:color w:val="auto"/>
          <w:sz w:val="32"/>
          <w:szCs w:val="28"/>
          <w:lang w:val="en-US" w:eastAsia="zh-CN"/>
        </w:rPr>
        <w:t>附件13:</w:t>
      </w:r>
      <w:bookmarkEnd w:id="316"/>
      <w:bookmarkEnd w:id="317"/>
    </w:p>
    <w:p w14:paraId="45AB3B35">
      <w:pPr>
        <w:bidi w:val="0"/>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残疾人福利性单位声明函</w:t>
      </w:r>
    </w:p>
    <w:p w14:paraId="592FDF99">
      <w:pPr>
        <w:spacing w:line="600" w:lineRule="auto"/>
        <w:ind w:firstLine="726" w:firstLineChars="3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szCs w:val="24"/>
          <w:lang w:eastAsia="zh-CN"/>
        </w:rPr>
        <w:t>〔2017〕141号</w:t>
      </w:r>
      <w:r>
        <w:rPr>
          <w:rFonts w:hint="eastAsia" w:asciiTheme="minorEastAsia" w:hAnsiTheme="minorEastAsia" w:eastAsiaTheme="minorEastAsia" w:cstheme="minorEastAsia"/>
          <w:color w:val="auto"/>
          <w:sz w:val="24"/>
          <w:szCs w:val="24"/>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D484050">
      <w:pPr>
        <w:spacing w:line="60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本单位对上述声明的真实性负责。如有虚假，将依法承担相应责任。</w:t>
      </w:r>
    </w:p>
    <w:p w14:paraId="77BF2C00">
      <w:pPr>
        <w:spacing w:line="60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5C3F80A9">
      <w:pPr>
        <w:keepNext w:val="0"/>
        <w:keepLines w:val="0"/>
        <w:pageBreakBefore w:val="0"/>
        <w:widowControl w:val="0"/>
        <w:kinsoku/>
        <w:wordWrap/>
        <w:overflowPunct/>
        <w:topLinePunct w:val="0"/>
        <w:autoSpaceDE/>
        <w:autoSpaceDN/>
        <w:bidi w:val="0"/>
        <w:adjustRightInd/>
        <w:snapToGrid/>
        <w:spacing w:line="360" w:lineRule="auto"/>
        <w:ind w:firstLine="4840" w:firstLineChars="20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单位名称（盖章）：</w:t>
      </w:r>
    </w:p>
    <w:p w14:paraId="6D5474DD">
      <w:pPr>
        <w:keepNext w:val="0"/>
        <w:keepLines w:val="0"/>
        <w:pageBreakBefore w:val="0"/>
        <w:widowControl w:val="0"/>
        <w:kinsoku/>
        <w:wordWrap/>
        <w:overflowPunct/>
        <w:topLinePunct w:val="0"/>
        <w:autoSpaceDE/>
        <w:autoSpaceDN/>
        <w:bidi w:val="0"/>
        <w:adjustRightInd/>
        <w:snapToGrid/>
        <w:spacing w:line="360" w:lineRule="auto"/>
        <w:ind w:firstLine="4840" w:firstLineChars="20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日  期</w:t>
      </w:r>
      <w:r>
        <w:rPr>
          <w:rFonts w:hint="eastAsia" w:asciiTheme="minorEastAsia" w:hAnsiTheme="minorEastAsia" w:eastAsiaTheme="minorEastAsia" w:cstheme="minorEastAsia"/>
          <w:color w:val="auto"/>
          <w:sz w:val="24"/>
          <w:szCs w:val="24"/>
          <w:lang w:eastAsia="zh-CN"/>
        </w:rPr>
        <w:t>：</w:t>
      </w:r>
    </w:p>
    <w:p w14:paraId="5A7316E8">
      <w:pPr>
        <w:spacing w:line="600" w:lineRule="auto"/>
        <w:jc w:val="both"/>
        <w:rPr>
          <w:rStyle w:val="37"/>
          <w:rFonts w:hint="eastAsia" w:asciiTheme="minorEastAsia" w:hAnsiTheme="minorEastAsia" w:eastAsiaTheme="minorEastAsia" w:cstheme="minorEastAsia"/>
          <w:b/>
          <w:color w:val="auto"/>
          <w:sz w:val="24"/>
          <w:szCs w:val="24"/>
          <w:lang w:val="en-US" w:eastAsia="zh-CN"/>
        </w:rPr>
      </w:pPr>
    </w:p>
    <w:p w14:paraId="7BD0DBFA">
      <w:pPr>
        <w:spacing w:line="600" w:lineRule="auto"/>
        <w:jc w:val="both"/>
        <w:rPr>
          <w:rFonts w:hint="eastAsia" w:asciiTheme="minorEastAsia" w:hAnsiTheme="minorEastAsia" w:eastAsiaTheme="minorEastAsia" w:cstheme="minorEastAsia"/>
          <w:color w:val="auto"/>
          <w:sz w:val="28"/>
          <w:szCs w:val="28"/>
        </w:rPr>
      </w:pPr>
    </w:p>
    <w:p w14:paraId="684F80AD">
      <w:pPr>
        <w:spacing w:line="600" w:lineRule="auto"/>
        <w:jc w:val="both"/>
        <w:rPr>
          <w:rFonts w:hint="eastAsia" w:asciiTheme="minorEastAsia" w:hAnsiTheme="minorEastAsia" w:eastAsiaTheme="minorEastAsia" w:cstheme="minorEastAsia"/>
          <w:color w:val="auto"/>
          <w:sz w:val="28"/>
          <w:szCs w:val="28"/>
        </w:rPr>
      </w:pPr>
    </w:p>
    <w:p w14:paraId="446BD0AA">
      <w:pPr>
        <w:spacing w:line="600" w:lineRule="auto"/>
        <w:jc w:val="both"/>
        <w:rPr>
          <w:rFonts w:hint="eastAsia" w:asciiTheme="minorEastAsia" w:hAnsiTheme="minorEastAsia" w:eastAsiaTheme="minorEastAsia" w:cstheme="minorEastAsia"/>
          <w:color w:val="auto"/>
          <w:sz w:val="28"/>
          <w:szCs w:val="28"/>
        </w:rPr>
      </w:pPr>
    </w:p>
    <w:p w14:paraId="4FF57390">
      <w:pPr>
        <w:spacing w:line="600" w:lineRule="auto"/>
        <w:jc w:val="both"/>
        <w:rPr>
          <w:rFonts w:hint="eastAsia" w:asciiTheme="minorEastAsia" w:hAnsiTheme="minorEastAsia" w:eastAsiaTheme="minorEastAsia" w:cstheme="minorEastAsia"/>
          <w:color w:val="auto"/>
          <w:sz w:val="28"/>
          <w:szCs w:val="28"/>
          <w:lang w:val="en-US" w:eastAsia="zh-CN"/>
        </w:rPr>
      </w:pPr>
    </w:p>
    <w:p w14:paraId="725D9373">
      <w:pPr>
        <w:pStyle w:val="16"/>
        <w:rPr>
          <w:rFonts w:hint="eastAsia" w:asciiTheme="minorEastAsia" w:hAnsiTheme="minorEastAsia" w:eastAsiaTheme="minorEastAsia" w:cstheme="minorEastAsia"/>
          <w:color w:val="auto"/>
          <w:lang w:val="en-US" w:eastAsia="zh-CN"/>
        </w:rPr>
      </w:pPr>
    </w:p>
    <w:p w14:paraId="3F6D79F8">
      <w:pPr>
        <w:rPr>
          <w:rFonts w:hint="eastAsia" w:asciiTheme="minorEastAsia" w:hAnsiTheme="minorEastAsia" w:eastAsiaTheme="minorEastAsia" w:cstheme="minorEastAsia"/>
          <w:color w:val="auto"/>
          <w:lang w:val="en-US" w:eastAsia="zh-CN"/>
        </w:rPr>
      </w:pPr>
    </w:p>
    <w:p w14:paraId="06106CCC">
      <w:pPr>
        <w:spacing w:line="600" w:lineRule="auto"/>
        <w:jc w:val="both"/>
        <w:rPr>
          <w:rFonts w:hint="eastAsia" w:asciiTheme="minorEastAsia" w:hAnsiTheme="minorEastAsia" w:eastAsiaTheme="minorEastAsia" w:cstheme="minorEastAsia"/>
          <w:b/>
          <w:color w:val="auto"/>
          <w:kern w:val="2"/>
          <w:sz w:val="24"/>
          <w:szCs w:val="24"/>
          <w:lang w:val="en-US" w:eastAsia="zh-CN" w:bidi="ar-SA"/>
        </w:rPr>
      </w:pPr>
    </w:p>
    <w:p w14:paraId="7954FB01">
      <w:pPr>
        <w:spacing w:line="600" w:lineRule="auto"/>
        <w:jc w:val="both"/>
        <w:rPr>
          <w:rFonts w:hint="eastAsia" w:asciiTheme="minorEastAsia" w:hAnsiTheme="minorEastAsia" w:eastAsiaTheme="minorEastAsia" w:cstheme="minorEastAsia"/>
          <w:b/>
          <w:color w:val="auto"/>
          <w:kern w:val="2"/>
          <w:sz w:val="24"/>
          <w:szCs w:val="24"/>
          <w:lang w:val="en-US" w:eastAsia="zh-CN" w:bidi="ar-SA"/>
        </w:rPr>
      </w:pPr>
    </w:p>
    <w:p w14:paraId="5D33E25B">
      <w:pPr>
        <w:pStyle w:val="18"/>
        <w:keepNext w:val="0"/>
        <w:keepLines w:val="0"/>
        <w:pageBreakBefore w:val="0"/>
        <w:widowControl w:val="0"/>
        <w:kinsoku/>
        <w:wordWrap/>
        <w:overflowPunct/>
        <w:topLinePunct w:val="0"/>
        <w:autoSpaceDE/>
        <w:autoSpaceDN/>
        <w:bidi w:val="0"/>
        <w:adjustRightInd/>
        <w:spacing w:line="480" w:lineRule="auto"/>
        <w:ind w:firstLine="484" w:firstLineChars="200"/>
        <w:jc w:val="left"/>
        <w:textAlignment w:val="auto"/>
        <w:rPr>
          <w:rFonts w:hint="eastAsia" w:asciiTheme="minorEastAsia" w:hAnsiTheme="minorEastAsia" w:eastAsiaTheme="minorEastAsia" w:cstheme="minorEastAsia"/>
          <w:b/>
          <w:color w:val="auto"/>
          <w:kern w:val="2"/>
          <w:sz w:val="24"/>
          <w:szCs w:val="24"/>
          <w:lang w:val="en-US" w:eastAsia="zh-CN" w:bidi="ar-SA"/>
        </w:rPr>
      </w:pPr>
    </w:p>
    <w:p w14:paraId="1403B3C2">
      <w:pPr>
        <w:pStyle w:val="18"/>
        <w:spacing w:line="480" w:lineRule="exact"/>
        <w:rPr>
          <w:rFonts w:hint="eastAsia"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lang w:val="en-US" w:eastAsia="zh-CN"/>
        </w:rPr>
        <w:t>附件14：项目实施方案（格式自拟）</w:t>
      </w:r>
    </w:p>
    <w:p w14:paraId="3492D27D">
      <w:pPr>
        <w:pStyle w:val="18"/>
        <w:spacing w:line="480" w:lineRule="exact"/>
        <w:rPr>
          <w:rFonts w:hint="eastAsia" w:asciiTheme="minorEastAsia" w:hAnsiTheme="minorEastAsia" w:eastAsiaTheme="minorEastAsia" w:cstheme="minorEastAsia"/>
          <w:b/>
          <w:bCs w:val="0"/>
          <w:color w:val="auto"/>
          <w:sz w:val="28"/>
          <w:szCs w:val="28"/>
          <w:lang w:val="en-US" w:eastAsia="zh-CN"/>
        </w:rPr>
      </w:pPr>
    </w:p>
    <w:p w14:paraId="5F4114D5">
      <w:pPr>
        <w:pStyle w:val="18"/>
        <w:spacing w:line="480" w:lineRule="exact"/>
        <w:rPr>
          <w:rFonts w:hint="eastAsia" w:asciiTheme="minorEastAsia" w:hAnsiTheme="minorEastAsia" w:eastAsiaTheme="minorEastAsia" w:cstheme="minorEastAsia"/>
          <w:b/>
          <w:bCs w:val="0"/>
          <w:color w:val="auto"/>
          <w:sz w:val="28"/>
          <w:szCs w:val="28"/>
          <w:lang w:val="en-US" w:eastAsia="zh-CN"/>
        </w:rPr>
      </w:pPr>
    </w:p>
    <w:p w14:paraId="1456ACD1">
      <w:pPr>
        <w:pStyle w:val="18"/>
        <w:spacing w:line="480" w:lineRule="exact"/>
        <w:rPr>
          <w:rFonts w:hint="eastAsia" w:asciiTheme="minorEastAsia" w:hAnsiTheme="minorEastAsia" w:eastAsiaTheme="minorEastAsia" w:cstheme="minorEastAsia"/>
          <w:b/>
          <w:bCs w:val="0"/>
          <w:color w:val="auto"/>
          <w:sz w:val="28"/>
          <w:szCs w:val="28"/>
          <w:lang w:val="en-US" w:eastAsia="zh-CN"/>
        </w:rPr>
      </w:pPr>
    </w:p>
    <w:p w14:paraId="0926BDE6">
      <w:pPr>
        <w:pStyle w:val="18"/>
        <w:spacing w:line="480" w:lineRule="exact"/>
        <w:rPr>
          <w:rFonts w:hint="eastAsia"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lang w:val="en-US" w:eastAsia="zh-CN"/>
        </w:rPr>
        <w:t>附件15：项目档案管理方案（格式自拟）</w:t>
      </w:r>
    </w:p>
    <w:p w14:paraId="60D11CBB">
      <w:pPr>
        <w:pStyle w:val="18"/>
        <w:spacing w:line="480" w:lineRule="exact"/>
        <w:rPr>
          <w:rFonts w:hint="eastAsia" w:asciiTheme="minorEastAsia" w:hAnsiTheme="minorEastAsia" w:eastAsiaTheme="minorEastAsia" w:cstheme="minorEastAsia"/>
          <w:b/>
          <w:bCs w:val="0"/>
          <w:color w:val="auto"/>
          <w:sz w:val="28"/>
          <w:szCs w:val="28"/>
          <w:lang w:val="en-US" w:eastAsia="zh-CN"/>
        </w:rPr>
      </w:pPr>
    </w:p>
    <w:p w14:paraId="36C20480">
      <w:pPr>
        <w:pStyle w:val="18"/>
        <w:spacing w:line="480" w:lineRule="exact"/>
        <w:rPr>
          <w:rFonts w:hint="eastAsia" w:asciiTheme="minorEastAsia" w:hAnsiTheme="minorEastAsia" w:eastAsiaTheme="minorEastAsia" w:cstheme="minorEastAsia"/>
          <w:b/>
          <w:bCs w:val="0"/>
          <w:color w:val="auto"/>
          <w:sz w:val="28"/>
          <w:szCs w:val="28"/>
          <w:lang w:val="en-US" w:eastAsia="zh-CN"/>
        </w:rPr>
      </w:pPr>
    </w:p>
    <w:p w14:paraId="39951DA1">
      <w:pPr>
        <w:pStyle w:val="18"/>
        <w:spacing w:line="480" w:lineRule="exact"/>
        <w:rPr>
          <w:rFonts w:hint="eastAsia" w:asciiTheme="minorEastAsia" w:hAnsiTheme="minorEastAsia" w:eastAsiaTheme="minorEastAsia" w:cstheme="minorEastAsia"/>
          <w:b/>
          <w:bCs w:val="0"/>
          <w:color w:val="auto"/>
          <w:sz w:val="28"/>
          <w:szCs w:val="28"/>
          <w:lang w:val="en-US" w:eastAsia="zh-CN"/>
        </w:rPr>
      </w:pPr>
    </w:p>
    <w:p w14:paraId="75AA1344">
      <w:pPr>
        <w:pStyle w:val="18"/>
        <w:spacing w:line="480" w:lineRule="exact"/>
        <w:rPr>
          <w:rFonts w:hint="eastAsia"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lang w:val="en-US" w:eastAsia="zh-CN"/>
        </w:rPr>
        <w:t>附件16：后续服务方案、合理化建议、服务承诺和承接本项目的优势（格式自拟）</w:t>
      </w:r>
    </w:p>
    <w:p w14:paraId="2AD4B912">
      <w:pPr>
        <w:pStyle w:val="18"/>
        <w:spacing w:line="480" w:lineRule="exact"/>
        <w:rPr>
          <w:rFonts w:hint="eastAsia" w:asciiTheme="minorEastAsia" w:hAnsiTheme="minorEastAsia" w:eastAsiaTheme="minorEastAsia" w:cstheme="minorEastAsia"/>
          <w:b/>
          <w:bCs w:val="0"/>
          <w:color w:val="auto"/>
          <w:sz w:val="28"/>
          <w:szCs w:val="28"/>
          <w:lang w:val="en-US" w:eastAsia="zh-CN"/>
        </w:rPr>
      </w:pPr>
    </w:p>
    <w:p w14:paraId="0D04EA08">
      <w:pPr>
        <w:pStyle w:val="18"/>
        <w:spacing w:line="480" w:lineRule="exact"/>
        <w:rPr>
          <w:rFonts w:hint="eastAsia" w:asciiTheme="minorEastAsia" w:hAnsiTheme="minorEastAsia" w:eastAsiaTheme="minorEastAsia" w:cstheme="minorEastAsia"/>
          <w:b/>
          <w:bCs w:val="0"/>
          <w:color w:val="auto"/>
          <w:sz w:val="28"/>
          <w:szCs w:val="28"/>
          <w:lang w:val="en-US" w:eastAsia="zh-CN"/>
        </w:rPr>
      </w:pPr>
    </w:p>
    <w:p w14:paraId="4E847E36">
      <w:pPr>
        <w:pStyle w:val="18"/>
        <w:spacing w:line="480" w:lineRule="exact"/>
        <w:rPr>
          <w:rFonts w:hint="eastAsia" w:asciiTheme="minorEastAsia" w:hAnsiTheme="minorEastAsia" w:eastAsiaTheme="minorEastAsia" w:cstheme="minorEastAsia"/>
          <w:b/>
          <w:bCs w:val="0"/>
          <w:color w:val="auto"/>
          <w:sz w:val="28"/>
          <w:szCs w:val="28"/>
          <w:lang w:val="en-US" w:eastAsia="zh-CN"/>
        </w:rPr>
      </w:pPr>
    </w:p>
    <w:p w14:paraId="02F1E0A6">
      <w:pPr>
        <w:pStyle w:val="3"/>
        <w:keepNext w:val="0"/>
        <w:numPr>
          <w:ilvl w:val="0"/>
          <w:numId w:val="0"/>
        </w:numPr>
        <w:jc w:val="left"/>
        <w:outlineLvl w:val="9"/>
        <w:rPr>
          <w:rFonts w:hint="eastAsia" w:asciiTheme="minorEastAsia" w:hAnsiTheme="minorEastAsia" w:eastAsiaTheme="minorEastAsia" w:cstheme="minorEastAsia"/>
          <w:b/>
          <w:bCs w:val="0"/>
          <w:color w:val="auto"/>
          <w:kern w:val="2"/>
          <w:sz w:val="28"/>
          <w:szCs w:val="28"/>
          <w:lang w:val="en-US" w:eastAsia="zh-CN" w:bidi="ar-SA"/>
        </w:rPr>
      </w:pPr>
      <w:r>
        <w:rPr>
          <w:rFonts w:hint="eastAsia" w:asciiTheme="minorEastAsia" w:hAnsiTheme="minorEastAsia" w:eastAsiaTheme="minorEastAsia" w:cstheme="minorEastAsia"/>
          <w:b/>
          <w:bCs w:val="0"/>
          <w:color w:val="auto"/>
          <w:kern w:val="2"/>
          <w:sz w:val="28"/>
          <w:szCs w:val="28"/>
          <w:lang w:val="en-US" w:eastAsia="zh-CN" w:bidi="ar-SA"/>
        </w:rPr>
        <w:t>附件17：</w:t>
      </w:r>
      <w:r>
        <w:rPr>
          <w:rFonts w:hint="eastAsia" w:asciiTheme="minorEastAsia" w:hAnsiTheme="minorEastAsia" w:eastAsiaTheme="minorEastAsia" w:cstheme="minorEastAsia"/>
          <w:color w:val="auto"/>
          <w:sz w:val="28"/>
          <w:szCs w:val="28"/>
          <w:lang w:val="en-US" w:eastAsia="zh-CN"/>
        </w:rPr>
        <w:t>要求提供</w:t>
      </w:r>
      <w:r>
        <w:rPr>
          <w:rFonts w:hint="eastAsia" w:asciiTheme="minorEastAsia" w:hAnsiTheme="minorEastAsia" w:eastAsiaTheme="minorEastAsia" w:cstheme="minorEastAsia"/>
          <w:color w:val="auto"/>
          <w:sz w:val="28"/>
          <w:szCs w:val="28"/>
        </w:rPr>
        <w:t>的</w:t>
      </w:r>
      <w:r>
        <w:rPr>
          <w:rFonts w:hint="eastAsia" w:asciiTheme="minorEastAsia" w:hAnsiTheme="minorEastAsia" w:eastAsiaTheme="minorEastAsia" w:cstheme="minorEastAsia"/>
          <w:color w:val="auto"/>
          <w:sz w:val="28"/>
          <w:szCs w:val="28"/>
          <w:lang w:eastAsia="zh-CN"/>
        </w:rPr>
        <w:t>其他</w:t>
      </w:r>
      <w:r>
        <w:rPr>
          <w:rFonts w:hint="eastAsia" w:asciiTheme="minorEastAsia" w:hAnsiTheme="minorEastAsia" w:eastAsiaTheme="minorEastAsia" w:cstheme="minorEastAsia"/>
          <w:color w:val="auto"/>
          <w:sz w:val="28"/>
          <w:szCs w:val="28"/>
        </w:rPr>
        <w:t>材料以及供应商认为需要提交的材料</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格式自拟）</w:t>
      </w:r>
    </w:p>
    <w:p w14:paraId="7224C667">
      <w:pPr>
        <w:pStyle w:val="3"/>
        <w:keepNext w:val="0"/>
        <w:numPr>
          <w:ilvl w:val="0"/>
          <w:numId w:val="0"/>
        </w:numPr>
        <w:jc w:val="left"/>
        <w:outlineLvl w:val="9"/>
        <w:rPr>
          <w:rStyle w:val="37"/>
          <w:rFonts w:hint="eastAsia" w:asciiTheme="minorEastAsia" w:hAnsiTheme="minorEastAsia" w:eastAsiaTheme="minorEastAsia" w:cstheme="minorEastAsia"/>
          <w:b/>
          <w:color w:val="auto"/>
          <w:sz w:val="28"/>
          <w:szCs w:val="28"/>
          <w:lang w:val="en-US" w:eastAsia="zh-CN"/>
        </w:rPr>
      </w:pPr>
    </w:p>
    <w:p w14:paraId="479BBD1E">
      <w:pPr>
        <w:pStyle w:val="3"/>
        <w:keepNext w:val="0"/>
        <w:numPr>
          <w:ilvl w:val="0"/>
          <w:numId w:val="0"/>
        </w:numPr>
        <w:jc w:val="left"/>
        <w:outlineLvl w:val="9"/>
        <w:rPr>
          <w:rStyle w:val="37"/>
          <w:rFonts w:hint="eastAsia" w:asciiTheme="minorEastAsia" w:hAnsiTheme="minorEastAsia" w:eastAsiaTheme="minorEastAsia" w:cstheme="minorEastAsia"/>
          <w:b/>
          <w:color w:val="auto"/>
          <w:sz w:val="28"/>
          <w:szCs w:val="28"/>
          <w:lang w:val="en-US" w:eastAsia="zh-CN"/>
        </w:rPr>
      </w:pPr>
    </w:p>
    <w:p w14:paraId="124A245E">
      <w:pPr>
        <w:pStyle w:val="3"/>
        <w:keepNext w:val="0"/>
        <w:numPr>
          <w:ilvl w:val="0"/>
          <w:numId w:val="0"/>
        </w:numPr>
        <w:jc w:val="left"/>
        <w:outlineLvl w:val="9"/>
        <w:rPr>
          <w:rStyle w:val="37"/>
          <w:rFonts w:hint="eastAsia" w:asciiTheme="minorEastAsia" w:hAnsiTheme="minorEastAsia" w:eastAsiaTheme="minorEastAsia" w:cstheme="minorEastAsia"/>
          <w:b/>
          <w:color w:val="auto"/>
          <w:sz w:val="32"/>
          <w:szCs w:val="28"/>
          <w:lang w:val="en-US" w:eastAsia="zh-CN"/>
        </w:rPr>
      </w:pPr>
    </w:p>
    <w:p w14:paraId="098F5FD1">
      <w:pPr>
        <w:pStyle w:val="3"/>
        <w:keepNext w:val="0"/>
        <w:numPr>
          <w:ilvl w:val="0"/>
          <w:numId w:val="0"/>
        </w:numPr>
        <w:jc w:val="left"/>
        <w:outlineLvl w:val="9"/>
        <w:rPr>
          <w:rStyle w:val="37"/>
          <w:rFonts w:hint="eastAsia" w:asciiTheme="minorEastAsia" w:hAnsiTheme="minorEastAsia" w:eastAsiaTheme="minorEastAsia" w:cstheme="minorEastAsia"/>
          <w:b/>
          <w:color w:val="auto"/>
          <w:sz w:val="32"/>
          <w:szCs w:val="28"/>
          <w:lang w:val="en-US" w:eastAsia="zh-CN"/>
        </w:rPr>
      </w:pPr>
    </w:p>
    <w:p w14:paraId="0F019EED">
      <w:pPr>
        <w:pStyle w:val="3"/>
        <w:keepNext w:val="0"/>
        <w:numPr>
          <w:ilvl w:val="0"/>
          <w:numId w:val="0"/>
        </w:numPr>
        <w:jc w:val="left"/>
        <w:outlineLvl w:val="9"/>
        <w:rPr>
          <w:rStyle w:val="37"/>
          <w:rFonts w:hint="eastAsia" w:asciiTheme="minorEastAsia" w:hAnsiTheme="minorEastAsia" w:eastAsiaTheme="minorEastAsia" w:cstheme="minorEastAsia"/>
          <w:b/>
          <w:color w:val="auto"/>
          <w:sz w:val="32"/>
          <w:szCs w:val="28"/>
          <w:lang w:val="en-US" w:eastAsia="zh-CN"/>
        </w:rPr>
      </w:pPr>
    </w:p>
    <w:p w14:paraId="29568377">
      <w:pPr>
        <w:rPr>
          <w:rStyle w:val="37"/>
          <w:rFonts w:hint="eastAsia" w:asciiTheme="minorEastAsia" w:hAnsiTheme="minorEastAsia" w:eastAsiaTheme="minorEastAsia" w:cstheme="minorEastAsia"/>
          <w:b/>
          <w:color w:val="auto"/>
          <w:sz w:val="32"/>
          <w:szCs w:val="28"/>
          <w:lang w:val="en-US" w:eastAsia="zh-CN"/>
        </w:rPr>
      </w:pPr>
    </w:p>
    <w:p w14:paraId="12BD0394">
      <w:pPr>
        <w:rPr>
          <w:rStyle w:val="37"/>
          <w:rFonts w:hint="eastAsia" w:asciiTheme="minorEastAsia" w:hAnsiTheme="minorEastAsia" w:eastAsiaTheme="minorEastAsia" w:cstheme="minorEastAsia"/>
          <w:b/>
          <w:color w:val="auto"/>
          <w:sz w:val="32"/>
          <w:szCs w:val="28"/>
          <w:lang w:val="en-US" w:eastAsia="zh-CN"/>
        </w:rPr>
      </w:pPr>
    </w:p>
    <w:p w14:paraId="2C5D7996">
      <w:pPr>
        <w:rPr>
          <w:rStyle w:val="37"/>
          <w:rFonts w:hint="eastAsia" w:asciiTheme="minorEastAsia" w:hAnsiTheme="minorEastAsia" w:eastAsiaTheme="minorEastAsia" w:cstheme="minorEastAsia"/>
          <w:b/>
          <w:color w:val="auto"/>
          <w:sz w:val="32"/>
          <w:szCs w:val="28"/>
          <w:lang w:val="en-US" w:eastAsia="zh-CN"/>
        </w:rPr>
      </w:pPr>
    </w:p>
    <w:p w14:paraId="7A518082">
      <w:pPr>
        <w:rPr>
          <w:rStyle w:val="37"/>
          <w:rFonts w:hint="eastAsia" w:asciiTheme="minorEastAsia" w:hAnsiTheme="minorEastAsia" w:eastAsiaTheme="minorEastAsia" w:cstheme="minorEastAsia"/>
          <w:b/>
          <w:color w:val="auto"/>
          <w:sz w:val="32"/>
          <w:szCs w:val="28"/>
          <w:lang w:val="en-US" w:eastAsia="zh-CN"/>
        </w:rPr>
      </w:pPr>
    </w:p>
    <w:p w14:paraId="47B3DD95">
      <w:pPr>
        <w:rPr>
          <w:rStyle w:val="37"/>
          <w:rFonts w:hint="eastAsia" w:asciiTheme="minorEastAsia" w:hAnsiTheme="minorEastAsia" w:eastAsiaTheme="minorEastAsia" w:cstheme="minorEastAsia"/>
          <w:b/>
          <w:color w:val="auto"/>
          <w:sz w:val="32"/>
          <w:szCs w:val="28"/>
          <w:lang w:val="en-US" w:eastAsia="zh-CN"/>
        </w:rPr>
      </w:pPr>
    </w:p>
    <w:p w14:paraId="33EE0243">
      <w:pPr>
        <w:shd w:val="clear" w:color="auto" w:fill="auto"/>
        <w:spacing w:line="528" w:lineRule="exact"/>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中小微企业划型标准</w:t>
      </w:r>
    </w:p>
    <w:tbl>
      <w:tblPr>
        <w:tblStyle w:val="24"/>
        <w:tblW w:w="9297" w:type="dxa"/>
        <w:jc w:val="center"/>
        <w:tblLayout w:type="fixed"/>
        <w:tblCellMar>
          <w:top w:w="0" w:type="dxa"/>
          <w:left w:w="108" w:type="dxa"/>
          <w:bottom w:w="0" w:type="dxa"/>
          <w:right w:w="108" w:type="dxa"/>
        </w:tblCellMar>
      </w:tblPr>
      <w:tblGrid>
        <w:gridCol w:w="2035"/>
        <w:gridCol w:w="1642"/>
        <w:gridCol w:w="1087"/>
        <w:gridCol w:w="1775"/>
        <w:gridCol w:w="1765"/>
        <w:gridCol w:w="993"/>
      </w:tblGrid>
      <w:tr w14:paraId="7943CCC4">
        <w:tblPrEx>
          <w:tblCellMar>
            <w:top w:w="0" w:type="dxa"/>
            <w:left w:w="108" w:type="dxa"/>
            <w:bottom w:w="0" w:type="dxa"/>
            <w:right w:w="108" w:type="dxa"/>
          </w:tblCellMar>
        </w:tblPrEx>
        <w:trPr>
          <w:trHeight w:val="695" w:hRule="atLeast"/>
          <w:jc w:val="center"/>
        </w:trPr>
        <w:tc>
          <w:tcPr>
            <w:tcW w:w="2035" w:type="dxa"/>
            <w:tcBorders>
              <w:top w:val="single" w:color="auto" w:sz="4" w:space="0"/>
              <w:left w:val="single" w:color="auto" w:sz="4" w:space="0"/>
              <w:bottom w:val="single" w:color="auto" w:sz="4" w:space="0"/>
              <w:right w:val="single" w:color="auto" w:sz="4" w:space="0"/>
            </w:tcBorders>
            <w:noWrap w:val="0"/>
            <w:vAlign w:val="center"/>
          </w:tcPr>
          <w:p w14:paraId="51E4ACC3">
            <w:pPr>
              <w:widowControl/>
              <w:shd w:val="clear" w:color="auto" w:fill="auto"/>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行业名称</w:t>
            </w:r>
          </w:p>
        </w:tc>
        <w:tc>
          <w:tcPr>
            <w:tcW w:w="1642" w:type="dxa"/>
            <w:tcBorders>
              <w:top w:val="single" w:color="auto" w:sz="4" w:space="0"/>
              <w:left w:val="nil"/>
              <w:bottom w:val="single" w:color="auto" w:sz="4" w:space="0"/>
              <w:right w:val="single" w:color="auto" w:sz="4" w:space="0"/>
            </w:tcBorders>
            <w:noWrap w:val="0"/>
            <w:vAlign w:val="center"/>
          </w:tcPr>
          <w:p w14:paraId="436A8D34">
            <w:pPr>
              <w:widowControl/>
              <w:shd w:val="clear" w:color="auto" w:fill="auto"/>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指标名称</w:t>
            </w:r>
          </w:p>
        </w:tc>
        <w:tc>
          <w:tcPr>
            <w:tcW w:w="1087" w:type="dxa"/>
            <w:tcBorders>
              <w:top w:val="single" w:color="auto" w:sz="4" w:space="0"/>
              <w:left w:val="nil"/>
              <w:bottom w:val="single" w:color="auto" w:sz="4" w:space="0"/>
              <w:right w:val="single" w:color="auto" w:sz="4" w:space="0"/>
            </w:tcBorders>
            <w:noWrap w:val="0"/>
            <w:vAlign w:val="center"/>
          </w:tcPr>
          <w:p w14:paraId="7EEBD4E9">
            <w:pPr>
              <w:widowControl/>
              <w:shd w:val="clear" w:color="auto" w:fill="auto"/>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计量单位</w:t>
            </w:r>
          </w:p>
        </w:tc>
        <w:tc>
          <w:tcPr>
            <w:tcW w:w="1775" w:type="dxa"/>
            <w:tcBorders>
              <w:top w:val="single" w:color="auto" w:sz="4" w:space="0"/>
              <w:left w:val="nil"/>
              <w:bottom w:val="single" w:color="auto" w:sz="4" w:space="0"/>
              <w:right w:val="single" w:color="auto" w:sz="4" w:space="0"/>
            </w:tcBorders>
            <w:noWrap w:val="0"/>
            <w:vAlign w:val="center"/>
          </w:tcPr>
          <w:p w14:paraId="35509C7A">
            <w:pPr>
              <w:widowControl/>
              <w:shd w:val="clear" w:color="auto" w:fill="auto"/>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中型</w:t>
            </w:r>
          </w:p>
        </w:tc>
        <w:tc>
          <w:tcPr>
            <w:tcW w:w="1765" w:type="dxa"/>
            <w:tcBorders>
              <w:top w:val="single" w:color="auto" w:sz="4" w:space="0"/>
              <w:left w:val="nil"/>
              <w:bottom w:val="single" w:color="auto" w:sz="4" w:space="0"/>
              <w:right w:val="single" w:color="auto" w:sz="4" w:space="0"/>
            </w:tcBorders>
            <w:noWrap w:val="0"/>
            <w:vAlign w:val="center"/>
          </w:tcPr>
          <w:p w14:paraId="09EA0E19">
            <w:pPr>
              <w:widowControl/>
              <w:shd w:val="clear" w:color="auto" w:fill="auto"/>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小型</w:t>
            </w:r>
          </w:p>
        </w:tc>
        <w:tc>
          <w:tcPr>
            <w:tcW w:w="993" w:type="dxa"/>
            <w:tcBorders>
              <w:top w:val="single" w:color="auto" w:sz="4" w:space="0"/>
              <w:left w:val="nil"/>
              <w:bottom w:val="single" w:color="auto" w:sz="4" w:space="0"/>
              <w:right w:val="single" w:color="auto" w:sz="4" w:space="0"/>
            </w:tcBorders>
            <w:noWrap w:val="0"/>
            <w:vAlign w:val="center"/>
          </w:tcPr>
          <w:p w14:paraId="527137D9">
            <w:pPr>
              <w:widowControl/>
              <w:shd w:val="clear" w:color="auto" w:fill="auto"/>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微型</w:t>
            </w:r>
          </w:p>
        </w:tc>
      </w:tr>
      <w:tr w14:paraId="69E6A0C9">
        <w:tblPrEx>
          <w:tblCellMar>
            <w:top w:w="0" w:type="dxa"/>
            <w:left w:w="108" w:type="dxa"/>
            <w:bottom w:w="0" w:type="dxa"/>
            <w:right w:w="108" w:type="dxa"/>
          </w:tblCellMar>
        </w:tblPrEx>
        <w:trPr>
          <w:trHeight w:val="363" w:hRule="atLeast"/>
          <w:jc w:val="center"/>
        </w:trPr>
        <w:tc>
          <w:tcPr>
            <w:tcW w:w="2035" w:type="dxa"/>
            <w:tcBorders>
              <w:top w:val="nil"/>
              <w:left w:val="single" w:color="auto" w:sz="4" w:space="0"/>
              <w:bottom w:val="single" w:color="auto" w:sz="4" w:space="0"/>
              <w:right w:val="single" w:color="auto" w:sz="4" w:space="0"/>
            </w:tcBorders>
            <w:noWrap w:val="0"/>
            <w:vAlign w:val="bottom"/>
          </w:tcPr>
          <w:p w14:paraId="5BD8A950">
            <w:pPr>
              <w:widowControl/>
              <w:shd w:val="clear" w:color="auto" w:fill="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农、林、牧、渔</w:t>
            </w:r>
          </w:p>
        </w:tc>
        <w:tc>
          <w:tcPr>
            <w:tcW w:w="1642" w:type="dxa"/>
            <w:tcBorders>
              <w:top w:val="nil"/>
              <w:left w:val="nil"/>
              <w:bottom w:val="single" w:color="auto" w:sz="4" w:space="0"/>
              <w:right w:val="single" w:color="auto" w:sz="4" w:space="0"/>
            </w:tcBorders>
            <w:noWrap w:val="0"/>
            <w:vAlign w:val="center"/>
          </w:tcPr>
          <w:p w14:paraId="5E9B25D8">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营业收入（Y）</w:t>
            </w:r>
          </w:p>
        </w:tc>
        <w:tc>
          <w:tcPr>
            <w:tcW w:w="1087" w:type="dxa"/>
            <w:tcBorders>
              <w:top w:val="nil"/>
              <w:left w:val="nil"/>
              <w:bottom w:val="single" w:color="auto" w:sz="4" w:space="0"/>
              <w:right w:val="single" w:color="auto" w:sz="4" w:space="0"/>
            </w:tcBorders>
            <w:noWrap w:val="0"/>
            <w:vAlign w:val="center"/>
          </w:tcPr>
          <w:p w14:paraId="4F04BA72">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万元</w:t>
            </w:r>
          </w:p>
        </w:tc>
        <w:tc>
          <w:tcPr>
            <w:tcW w:w="1775" w:type="dxa"/>
            <w:tcBorders>
              <w:top w:val="nil"/>
              <w:left w:val="nil"/>
              <w:bottom w:val="single" w:color="auto" w:sz="4" w:space="0"/>
              <w:right w:val="single" w:color="auto" w:sz="4" w:space="0"/>
            </w:tcBorders>
            <w:noWrap w:val="0"/>
            <w:vAlign w:val="center"/>
          </w:tcPr>
          <w:p w14:paraId="6BCAE978">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20000</w:t>
            </w:r>
          </w:p>
        </w:tc>
        <w:tc>
          <w:tcPr>
            <w:tcW w:w="1765" w:type="dxa"/>
            <w:tcBorders>
              <w:top w:val="nil"/>
              <w:left w:val="nil"/>
              <w:bottom w:val="single" w:color="auto" w:sz="4" w:space="0"/>
              <w:right w:val="single" w:color="auto" w:sz="4" w:space="0"/>
            </w:tcBorders>
            <w:noWrap w:val="0"/>
            <w:vAlign w:val="center"/>
          </w:tcPr>
          <w:p w14:paraId="3EE18BEA">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500</w:t>
            </w:r>
          </w:p>
        </w:tc>
        <w:tc>
          <w:tcPr>
            <w:tcW w:w="993" w:type="dxa"/>
            <w:tcBorders>
              <w:top w:val="nil"/>
              <w:left w:val="nil"/>
              <w:bottom w:val="single" w:color="auto" w:sz="4" w:space="0"/>
              <w:right w:val="single" w:color="auto" w:sz="4" w:space="0"/>
            </w:tcBorders>
            <w:noWrap w:val="0"/>
            <w:vAlign w:val="center"/>
          </w:tcPr>
          <w:p w14:paraId="5F36DF68">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50</w:t>
            </w:r>
          </w:p>
        </w:tc>
      </w:tr>
      <w:tr w14:paraId="7EE13935">
        <w:tblPrEx>
          <w:tblCellMar>
            <w:top w:w="0" w:type="dxa"/>
            <w:left w:w="108" w:type="dxa"/>
            <w:bottom w:w="0" w:type="dxa"/>
            <w:right w:w="108" w:type="dxa"/>
          </w:tblCellMar>
        </w:tblPrEx>
        <w:trPr>
          <w:trHeight w:val="363" w:hRule="atLeast"/>
          <w:jc w:val="center"/>
        </w:trPr>
        <w:tc>
          <w:tcPr>
            <w:tcW w:w="2035" w:type="dxa"/>
            <w:vMerge w:val="restart"/>
            <w:tcBorders>
              <w:top w:val="nil"/>
              <w:left w:val="single" w:color="auto" w:sz="4" w:space="0"/>
              <w:bottom w:val="single" w:color="auto" w:sz="4" w:space="0"/>
              <w:right w:val="single" w:color="auto" w:sz="4" w:space="0"/>
            </w:tcBorders>
            <w:noWrap w:val="0"/>
            <w:vAlign w:val="center"/>
          </w:tcPr>
          <w:p w14:paraId="11713FC7">
            <w:pPr>
              <w:widowControl/>
              <w:shd w:val="clear" w:color="auto" w:fill="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工业</w:t>
            </w:r>
          </w:p>
        </w:tc>
        <w:tc>
          <w:tcPr>
            <w:tcW w:w="1642" w:type="dxa"/>
            <w:tcBorders>
              <w:top w:val="nil"/>
              <w:left w:val="nil"/>
              <w:bottom w:val="single" w:color="auto" w:sz="4" w:space="0"/>
              <w:right w:val="single" w:color="auto" w:sz="4" w:space="0"/>
            </w:tcBorders>
            <w:noWrap w:val="0"/>
            <w:vAlign w:val="center"/>
          </w:tcPr>
          <w:p w14:paraId="6B71F113">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从业人员（X）</w:t>
            </w:r>
          </w:p>
        </w:tc>
        <w:tc>
          <w:tcPr>
            <w:tcW w:w="1087" w:type="dxa"/>
            <w:tcBorders>
              <w:top w:val="nil"/>
              <w:left w:val="nil"/>
              <w:bottom w:val="single" w:color="auto" w:sz="4" w:space="0"/>
              <w:right w:val="single" w:color="auto" w:sz="4" w:space="0"/>
            </w:tcBorders>
            <w:noWrap w:val="0"/>
            <w:vAlign w:val="center"/>
          </w:tcPr>
          <w:p w14:paraId="03D6008F">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人</w:t>
            </w:r>
          </w:p>
        </w:tc>
        <w:tc>
          <w:tcPr>
            <w:tcW w:w="1775" w:type="dxa"/>
            <w:tcBorders>
              <w:top w:val="nil"/>
              <w:left w:val="nil"/>
              <w:bottom w:val="single" w:color="auto" w:sz="4" w:space="0"/>
              <w:right w:val="single" w:color="auto" w:sz="4" w:space="0"/>
            </w:tcBorders>
            <w:noWrap w:val="0"/>
            <w:vAlign w:val="center"/>
          </w:tcPr>
          <w:p w14:paraId="392029B6">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300≤X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1000</w:t>
            </w:r>
          </w:p>
        </w:tc>
        <w:tc>
          <w:tcPr>
            <w:tcW w:w="1765" w:type="dxa"/>
            <w:tcBorders>
              <w:top w:val="nil"/>
              <w:left w:val="nil"/>
              <w:bottom w:val="single" w:color="auto" w:sz="4" w:space="0"/>
              <w:right w:val="single" w:color="auto" w:sz="4" w:space="0"/>
            </w:tcBorders>
            <w:noWrap w:val="0"/>
            <w:vAlign w:val="center"/>
          </w:tcPr>
          <w:p w14:paraId="3A557DFA">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300</w:t>
            </w:r>
          </w:p>
        </w:tc>
        <w:tc>
          <w:tcPr>
            <w:tcW w:w="993" w:type="dxa"/>
            <w:tcBorders>
              <w:top w:val="nil"/>
              <w:left w:val="nil"/>
              <w:bottom w:val="single" w:color="auto" w:sz="4" w:space="0"/>
              <w:right w:val="single" w:color="auto" w:sz="4" w:space="0"/>
            </w:tcBorders>
            <w:noWrap w:val="0"/>
            <w:vAlign w:val="center"/>
          </w:tcPr>
          <w:p w14:paraId="0CEADEF6">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20</w:t>
            </w:r>
          </w:p>
        </w:tc>
      </w:tr>
      <w:tr w14:paraId="5A62EE59">
        <w:tblPrEx>
          <w:tblCellMar>
            <w:top w:w="0" w:type="dxa"/>
            <w:left w:w="108" w:type="dxa"/>
            <w:bottom w:w="0" w:type="dxa"/>
            <w:right w:w="108" w:type="dxa"/>
          </w:tblCellMar>
        </w:tblPrEx>
        <w:trPr>
          <w:trHeight w:val="363" w:hRule="atLeast"/>
          <w:jc w:val="center"/>
        </w:trPr>
        <w:tc>
          <w:tcPr>
            <w:tcW w:w="2035" w:type="dxa"/>
            <w:vMerge w:val="continue"/>
            <w:tcBorders>
              <w:top w:val="nil"/>
              <w:left w:val="single" w:color="auto" w:sz="4" w:space="0"/>
              <w:bottom w:val="single" w:color="auto" w:sz="4" w:space="0"/>
              <w:right w:val="single" w:color="auto" w:sz="4" w:space="0"/>
            </w:tcBorders>
            <w:noWrap w:val="0"/>
            <w:vAlign w:val="center"/>
          </w:tcPr>
          <w:p w14:paraId="0565FE78">
            <w:pPr>
              <w:widowControl/>
              <w:shd w:val="clear" w:color="auto" w:fill="auto"/>
              <w:jc w:val="center"/>
              <w:rPr>
                <w:rFonts w:hint="eastAsia" w:asciiTheme="minorEastAsia" w:hAnsiTheme="minorEastAsia" w:eastAsiaTheme="minorEastAsia" w:cstheme="minorEastAsia"/>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76348B87">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营业收入（Y）</w:t>
            </w:r>
          </w:p>
        </w:tc>
        <w:tc>
          <w:tcPr>
            <w:tcW w:w="1087" w:type="dxa"/>
            <w:tcBorders>
              <w:top w:val="nil"/>
              <w:left w:val="nil"/>
              <w:bottom w:val="single" w:color="auto" w:sz="4" w:space="0"/>
              <w:right w:val="single" w:color="auto" w:sz="4" w:space="0"/>
            </w:tcBorders>
            <w:noWrap w:val="0"/>
            <w:vAlign w:val="center"/>
          </w:tcPr>
          <w:p w14:paraId="1BE067C6">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万元</w:t>
            </w:r>
          </w:p>
        </w:tc>
        <w:tc>
          <w:tcPr>
            <w:tcW w:w="1775" w:type="dxa"/>
            <w:tcBorders>
              <w:top w:val="nil"/>
              <w:left w:val="nil"/>
              <w:bottom w:val="single" w:color="auto" w:sz="4" w:space="0"/>
              <w:right w:val="single" w:color="auto" w:sz="4" w:space="0"/>
            </w:tcBorders>
            <w:noWrap w:val="0"/>
            <w:vAlign w:val="center"/>
          </w:tcPr>
          <w:p w14:paraId="0CBDC52B">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40000</w:t>
            </w:r>
          </w:p>
        </w:tc>
        <w:tc>
          <w:tcPr>
            <w:tcW w:w="1765" w:type="dxa"/>
            <w:tcBorders>
              <w:top w:val="nil"/>
              <w:left w:val="nil"/>
              <w:bottom w:val="single" w:color="auto" w:sz="4" w:space="0"/>
              <w:right w:val="single" w:color="auto" w:sz="4" w:space="0"/>
            </w:tcBorders>
            <w:noWrap w:val="0"/>
            <w:vAlign w:val="center"/>
          </w:tcPr>
          <w:p w14:paraId="634F5E86">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2000</w:t>
            </w:r>
          </w:p>
        </w:tc>
        <w:tc>
          <w:tcPr>
            <w:tcW w:w="993" w:type="dxa"/>
            <w:tcBorders>
              <w:top w:val="nil"/>
              <w:left w:val="nil"/>
              <w:bottom w:val="single" w:color="auto" w:sz="4" w:space="0"/>
              <w:right w:val="single" w:color="auto" w:sz="4" w:space="0"/>
            </w:tcBorders>
            <w:noWrap w:val="0"/>
            <w:vAlign w:val="center"/>
          </w:tcPr>
          <w:p w14:paraId="538A9894">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300</w:t>
            </w:r>
          </w:p>
        </w:tc>
      </w:tr>
      <w:tr w14:paraId="732A0A6C">
        <w:tblPrEx>
          <w:tblCellMar>
            <w:top w:w="0" w:type="dxa"/>
            <w:left w:w="108" w:type="dxa"/>
            <w:bottom w:w="0" w:type="dxa"/>
            <w:right w:w="108" w:type="dxa"/>
          </w:tblCellMar>
        </w:tblPrEx>
        <w:trPr>
          <w:trHeight w:val="363" w:hRule="atLeast"/>
          <w:jc w:val="center"/>
        </w:trPr>
        <w:tc>
          <w:tcPr>
            <w:tcW w:w="2035" w:type="dxa"/>
            <w:vMerge w:val="restart"/>
            <w:tcBorders>
              <w:top w:val="nil"/>
              <w:left w:val="single" w:color="auto" w:sz="4" w:space="0"/>
              <w:bottom w:val="single" w:color="auto" w:sz="4" w:space="0"/>
              <w:right w:val="single" w:color="auto" w:sz="4" w:space="0"/>
            </w:tcBorders>
            <w:noWrap w:val="0"/>
            <w:vAlign w:val="center"/>
          </w:tcPr>
          <w:p w14:paraId="7E6AB477">
            <w:pPr>
              <w:widowControl/>
              <w:shd w:val="clear" w:color="auto" w:fill="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建筑业</w:t>
            </w:r>
          </w:p>
        </w:tc>
        <w:tc>
          <w:tcPr>
            <w:tcW w:w="1642" w:type="dxa"/>
            <w:tcBorders>
              <w:top w:val="nil"/>
              <w:left w:val="nil"/>
              <w:bottom w:val="single" w:color="auto" w:sz="4" w:space="0"/>
              <w:right w:val="single" w:color="auto" w:sz="4" w:space="0"/>
            </w:tcBorders>
            <w:noWrap w:val="0"/>
            <w:vAlign w:val="center"/>
          </w:tcPr>
          <w:p w14:paraId="2334A156">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营业收入（Y）</w:t>
            </w:r>
          </w:p>
        </w:tc>
        <w:tc>
          <w:tcPr>
            <w:tcW w:w="1087" w:type="dxa"/>
            <w:tcBorders>
              <w:top w:val="nil"/>
              <w:left w:val="nil"/>
              <w:bottom w:val="single" w:color="auto" w:sz="4" w:space="0"/>
              <w:right w:val="single" w:color="auto" w:sz="4" w:space="0"/>
            </w:tcBorders>
            <w:noWrap w:val="0"/>
            <w:vAlign w:val="center"/>
          </w:tcPr>
          <w:p w14:paraId="612A9488">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万元</w:t>
            </w:r>
          </w:p>
        </w:tc>
        <w:tc>
          <w:tcPr>
            <w:tcW w:w="1775" w:type="dxa"/>
            <w:tcBorders>
              <w:top w:val="nil"/>
              <w:left w:val="nil"/>
              <w:bottom w:val="single" w:color="auto" w:sz="4" w:space="0"/>
              <w:right w:val="single" w:color="auto" w:sz="4" w:space="0"/>
            </w:tcBorders>
            <w:noWrap w:val="0"/>
            <w:vAlign w:val="center"/>
          </w:tcPr>
          <w:p w14:paraId="71568566">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6000≤Y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80000</w:t>
            </w:r>
          </w:p>
        </w:tc>
        <w:tc>
          <w:tcPr>
            <w:tcW w:w="1765" w:type="dxa"/>
            <w:tcBorders>
              <w:top w:val="nil"/>
              <w:left w:val="nil"/>
              <w:bottom w:val="single" w:color="auto" w:sz="4" w:space="0"/>
              <w:right w:val="single" w:color="auto" w:sz="4" w:space="0"/>
            </w:tcBorders>
            <w:noWrap w:val="0"/>
            <w:vAlign w:val="center"/>
          </w:tcPr>
          <w:p w14:paraId="7C31ECA7">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6000</w:t>
            </w:r>
          </w:p>
        </w:tc>
        <w:tc>
          <w:tcPr>
            <w:tcW w:w="993" w:type="dxa"/>
            <w:tcBorders>
              <w:top w:val="nil"/>
              <w:left w:val="nil"/>
              <w:bottom w:val="single" w:color="auto" w:sz="4" w:space="0"/>
              <w:right w:val="single" w:color="auto" w:sz="4" w:space="0"/>
            </w:tcBorders>
            <w:noWrap w:val="0"/>
            <w:vAlign w:val="center"/>
          </w:tcPr>
          <w:p w14:paraId="2862F3E7">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300</w:t>
            </w:r>
          </w:p>
        </w:tc>
      </w:tr>
      <w:tr w14:paraId="0700D5CE">
        <w:tblPrEx>
          <w:tblCellMar>
            <w:top w:w="0" w:type="dxa"/>
            <w:left w:w="108" w:type="dxa"/>
            <w:bottom w:w="0" w:type="dxa"/>
            <w:right w:w="108" w:type="dxa"/>
          </w:tblCellMar>
        </w:tblPrEx>
        <w:trPr>
          <w:trHeight w:val="363" w:hRule="atLeast"/>
          <w:jc w:val="center"/>
        </w:trPr>
        <w:tc>
          <w:tcPr>
            <w:tcW w:w="2035" w:type="dxa"/>
            <w:vMerge w:val="continue"/>
            <w:tcBorders>
              <w:top w:val="nil"/>
              <w:left w:val="single" w:color="auto" w:sz="4" w:space="0"/>
              <w:bottom w:val="single" w:color="auto" w:sz="4" w:space="0"/>
              <w:right w:val="single" w:color="auto" w:sz="4" w:space="0"/>
            </w:tcBorders>
            <w:noWrap w:val="0"/>
            <w:vAlign w:val="center"/>
          </w:tcPr>
          <w:p w14:paraId="6C4C75C0">
            <w:pPr>
              <w:widowControl/>
              <w:shd w:val="clear" w:color="auto" w:fill="auto"/>
              <w:jc w:val="center"/>
              <w:rPr>
                <w:rFonts w:hint="eastAsia" w:asciiTheme="minorEastAsia" w:hAnsiTheme="minorEastAsia" w:eastAsiaTheme="minorEastAsia" w:cstheme="minorEastAsia"/>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5ADE9DA">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资产总额（Z）</w:t>
            </w:r>
          </w:p>
        </w:tc>
        <w:tc>
          <w:tcPr>
            <w:tcW w:w="1087" w:type="dxa"/>
            <w:tcBorders>
              <w:top w:val="nil"/>
              <w:left w:val="nil"/>
              <w:bottom w:val="single" w:color="auto" w:sz="4" w:space="0"/>
              <w:right w:val="single" w:color="auto" w:sz="4" w:space="0"/>
            </w:tcBorders>
            <w:noWrap w:val="0"/>
            <w:vAlign w:val="center"/>
          </w:tcPr>
          <w:p w14:paraId="58565C8D">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万元</w:t>
            </w:r>
          </w:p>
        </w:tc>
        <w:tc>
          <w:tcPr>
            <w:tcW w:w="1775" w:type="dxa"/>
            <w:tcBorders>
              <w:top w:val="nil"/>
              <w:left w:val="nil"/>
              <w:bottom w:val="single" w:color="auto" w:sz="4" w:space="0"/>
              <w:right w:val="single" w:color="auto" w:sz="4" w:space="0"/>
            </w:tcBorders>
            <w:noWrap w:val="0"/>
            <w:vAlign w:val="center"/>
          </w:tcPr>
          <w:p w14:paraId="66C6DD5D">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5000≤Z</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80000</w:t>
            </w:r>
          </w:p>
        </w:tc>
        <w:tc>
          <w:tcPr>
            <w:tcW w:w="1765" w:type="dxa"/>
            <w:tcBorders>
              <w:top w:val="nil"/>
              <w:left w:val="nil"/>
              <w:bottom w:val="single" w:color="auto" w:sz="4" w:space="0"/>
              <w:right w:val="single" w:color="auto" w:sz="4" w:space="0"/>
            </w:tcBorders>
            <w:noWrap w:val="0"/>
            <w:vAlign w:val="center"/>
          </w:tcPr>
          <w:p w14:paraId="07D0FA83">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300≤Z</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5000</w:t>
            </w:r>
          </w:p>
        </w:tc>
        <w:tc>
          <w:tcPr>
            <w:tcW w:w="993" w:type="dxa"/>
            <w:tcBorders>
              <w:top w:val="nil"/>
              <w:left w:val="nil"/>
              <w:bottom w:val="single" w:color="auto" w:sz="4" w:space="0"/>
              <w:right w:val="single" w:color="auto" w:sz="4" w:space="0"/>
            </w:tcBorders>
            <w:noWrap w:val="0"/>
            <w:vAlign w:val="center"/>
          </w:tcPr>
          <w:p w14:paraId="51E6E615">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Z</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300</w:t>
            </w:r>
          </w:p>
        </w:tc>
      </w:tr>
      <w:tr w14:paraId="1833A6E4">
        <w:tblPrEx>
          <w:tblCellMar>
            <w:top w:w="0" w:type="dxa"/>
            <w:left w:w="108" w:type="dxa"/>
            <w:bottom w:w="0" w:type="dxa"/>
            <w:right w:w="108" w:type="dxa"/>
          </w:tblCellMar>
        </w:tblPrEx>
        <w:trPr>
          <w:trHeight w:val="329" w:hRule="atLeast"/>
          <w:jc w:val="center"/>
        </w:trPr>
        <w:tc>
          <w:tcPr>
            <w:tcW w:w="2035" w:type="dxa"/>
            <w:vMerge w:val="restart"/>
            <w:tcBorders>
              <w:top w:val="nil"/>
              <w:left w:val="single" w:color="auto" w:sz="4" w:space="0"/>
              <w:bottom w:val="single" w:color="auto" w:sz="4" w:space="0"/>
              <w:right w:val="single" w:color="auto" w:sz="4" w:space="0"/>
            </w:tcBorders>
            <w:noWrap w:val="0"/>
            <w:vAlign w:val="center"/>
          </w:tcPr>
          <w:p w14:paraId="6D10408D">
            <w:pPr>
              <w:widowControl/>
              <w:shd w:val="clear" w:color="auto" w:fill="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批发业</w:t>
            </w:r>
          </w:p>
        </w:tc>
        <w:tc>
          <w:tcPr>
            <w:tcW w:w="1642" w:type="dxa"/>
            <w:tcBorders>
              <w:top w:val="nil"/>
              <w:left w:val="nil"/>
              <w:bottom w:val="single" w:color="auto" w:sz="4" w:space="0"/>
              <w:right w:val="single" w:color="auto" w:sz="4" w:space="0"/>
            </w:tcBorders>
            <w:noWrap w:val="0"/>
            <w:vAlign w:val="center"/>
          </w:tcPr>
          <w:p w14:paraId="118A6F65">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从业人员（X）</w:t>
            </w:r>
          </w:p>
        </w:tc>
        <w:tc>
          <w:tcPr>
            <w:tcW w:w="1087" w:type="dxa"/>
            <w:tcBorders>
              <w:top w:val="nil"/>
              <w:left w:val="nil"/>
              <w:bottom w:val="single" w:color="auto" w:sz="4" w:space="0"/>
              <w:right w:val="single" w:color="auto" w:sz="4" w:space="0"/>
            </w:tcBorders>
            <w:noWrap w:val="0"/>
            <w:vAlign w:val="center"/>
          </w:tcPr>
          <w:p w14:paraId="3CCD3D62">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人</w:t>
            </w:r>
          </w:p>
        </w:tc>
        <w:tc>
          <w:tcPr>
            <w:tcW w:w="1775" w:type="dxa"/>
            <w:tcBorders>
              <w:top w:val="nil"/>
              <w:left w:val="nil"/>
              <w:bottom w:val="single" w:color="auto" w:sz="4" w:space="0"/>
              <w:right w:val="single" w:color="auto" w:sz="4" w:space="0"/>
            </w:tcBorders>
            <w:noWrap w:val="0"/>
            <w:vAlign w:val="center"/>
          </w:tcPr>
          <w:p w14:paraId="74C5165C">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200</w:t>
            </w:r>
          </w:p>
        </w:tc>
        <w:tc>
          <w:tcPr>
            <w:tcW w:w="1765" w:type="dxa"/>
            <w:tcBorders>
              <w:top w:val="nil"/>
              <w:left w:val="nil"/>
              <w:bottom w:val="single" w:color="auto" w:sz="4" w:space="0"/>
              <w:right w:val="single" w:color="auto" w:sz="4" w:space="0"/>
            </w:tcBorders>
            <w:noWrap w:val="0"/>
            <w:vAlign w:val="center"/>
          </w:tcPr>
          <w:p w14:paraId="46AD6662">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20</w:t>
            </w:r>
          </w:p>
        </w:tc>
        <w:tc>
          <w:tcPr>
            <w:tcW w:w="993" w:type="dxa"/>
            <w:tcBorders>
              <w:top w:val="nil"/>
              <w:left w:val="nil"/>
              <w:bottom w:val="single" w:color="auto" w:sz="4" w:space="0"/>
              <w:right w:val="single" w:color="auto" w:sz="4" w:space="0"/>
            </w:tcBorders>
            <w:noWrap w:val="0"/>
            <w:vAlign w:val="center"/>
          </w:tcPr>
          <w:p w14:paraId="16441EA3">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5</w:t>
            </w:r>
          </w:p>
        </w:tc>
      </w:tr>
      <w:tr w14:paraId="4E064539">
        <w:tblPrEx>
          <w:tblCellMar>
            <w:top w:w="0" w:type="dxa"/>
            <w:left w:w="108" w:type="dxa"/>
            <w:bottom w:w="0" w:type="dxa"/>
            <w:right w:w="108" w:type="dxa"/>
          </w:tblCellMar>
        </w:tblPrEx>
        <w:trPr>
          <w:trHeight w:val="363" w:hRule="atLeast"/>
          <w:jc w:val="center"/>
        </w:trPr>
        <w:tc>
          <w:tcPr>
            <w:tcW w:w="2035" w:type="dxa"/>
            <w:vMerge w:val="continue"/>
            <w:tcBorders>
              <w:top w:val="nil"/>
              <w:left w:val="single" w:color="auto" w:sz="4" w:space="0"/>
              <w:bottom w:val="single" w:color="auto" w:sz="4" w:space="0"/>
              <w:right w:val="single" w:color="auto" w:sz="4" w:space="0"/>
            </w:tcBorders>
            <w:noWrap w:val="0"/>
            <w:vAlign w:val="center"/>
          </w:tcPr>
          <w:p w14:paraId="2C78128B">
            <w:pPr>
              <w:widowControl/>
              <w:shd w:val="clear" w:color="auto" w:fill="auto"/>
              <w:jc w:val="center"/>
              <w:rPr>
                <w:rFonts w:hint="eastAsia" w:asciiTheme="minorEastAsia" w:hAnsiTheme="minorEastAsia" w:eastAsiaTheme="minorEastAsia" w:cstheme="minorEastAsia"/>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96263FB">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营业收入（Y）</w:t>
            </w:r>
          </w:p>
        </w:tc>
        <w:tc>
          <w:tcPr>
            <w:tcW w:w="1087" w:type="dxa"/>
            <w:tcBorders>
              <w:top w:val="nil"/>
              <w:left w:val="nil"/>
              <w:bottom w:val="single" w:color="auto" w:sz="4" w:space="0"/>
              <w:right w:val="single" w:color="auto" w:sz="4" w:space="0"/>
            </w:tcBorders>
            <w:noWrap w:val="0"/>
            <w:vAlign w:val="center"/>
          </w:tcPr>
          <w:p w14:paraId="5AA7F40E">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万元</w:t>
            </w:r>
          </w:p>
        </w:tc>
        <w:tc>
          <w:tcPr>
            <w:tcW w:w="1775" w:type="dxa"/>
            <w:tcBorders>
              <w:top w:val="nil"/>
              <w:left w:val="nil"/>
              <w:bottom w:val="single" w:color="auto" w:sz="4" w:space="0"/>
              <w:right w:val="single" w:color="auto" w:sz="4" w:space="0"/>
            </w:tcBorders>
            <w:noWrap w:val="0"/>
            <w:vAlign w:val="center"/>
          </w:tcPr>
          <w:p w14:paraId="66FC9035">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5000≤Y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40000</w:t>
            </w:r>
          </w:p>
        </w:tc>
        <w:tc>
          <w:tcPr>
            <w:tcW w:w="1765" w:type="dxa"/>
            <w:tcBorders>
              <w:top w:val="nil"/>
              <w:left w:val="nil"/>
              <w:bottom w:val="single" w:color="auto" w:sz="4" w:space="0"/>
              <w:right w:val="single" w:color="auto" w:sz="4" w:space="0"/>
            </w:tcBorders>
            <w:noWrap w:val="0"/>
            <w:vAlign w:val="center"/>
          </w:tcPr>
          <w:p w14:paraId="0CB9BE1B">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5000</w:t>
            </w:r>
          </w:p>
        </w:tc>
        <w:tc>
          <w:tcPr>
            <w:tcW w:w="993" w:type="dxa"/>
            <w:tcBorders>
              <w:top w:val="nil"/>
              <w:left w:val="nil"/>
              <w:bottom w:val="single" w:color="auto" w:sz="4" w:space="0"/>
              <w:right w:val="single" w:color="auto" w:sz="4" w:space="0"/>
            </w:tcBorders>
            <w:noWrap w:val="0"/>
            <w:vAlign w:val="center"/>
          </w:tcPr>
          <w:p w14:paraId="21206D2A">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1000</w:t>
            </w:r>
          </w:p>
        </w:tc>
      </w:tr>
      <w:tr w14:paraId="07E7ACF7">
        <w:tblPrEx>
          <w:tblCellMar>
            <w:top w:w="0" w:type="dxa"/>
            <w:left w:w="108" w:type="dxa"/>
            <w:bottom w:w="0" w:type="dxa"/>
            <w:right w:w="108" w:type="dxa"/>
          </w:tblCellMar>
        </w:tblPrEx>
        <w:trPr>
          <w:trHeight w:val="363" w:hRule="atLeast"/>
          <w:jc w:val="center"/>
        </w:trPr>
        <w:tc>
          <w:tcPr>
            <w:tcW w:w="2035" w:type="dxa"/>
            <w:vMerge w:val="restart"/>
            <w:tcBorders>
              <w:top w:val="nil"/>
              <w:left w:val="single" w:color="auto" w:sz="4" w:space="0"/>
              <w:bottom w:val="single" w:color="auto" w:sz="4" w:space="0"/>
              <w:right w:val="single" w:color="auto" w:sz="4" w:space="0"/>
            </w:tcBorders>
            <w:noWrap w:val="0"/>
            <w:vAlign w:val="center"/>
          </w:tcPr>
          <w:p w14:paraId="1D2849E7">
            <w:pPr>
              <w:widowControl/>
              <w:shd w:val="clear" w:color="auto" w:fill="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零售业</w:t>
            </w:r>
          </w:p>
        </w:tc>
        <w:tc>
          <w:tcPr>
            <w:tcW w:w="1642" w:type="dxa"/>
            <w:tcBorders>
              <w:top w:val="nil"/>
              <w:left w:val="nil"/>
              <w:bottom w:val="single" w:color="auto" w:sz="4" w:space="0"/>
              <w:right w:val="single" w:color="auto" w:sz="4" w:space="0"/>
            </w:tcBorders>
            <w:noWrap w:val="0"/>
            <w:vAlign w:val="center"/>
          </w:tcPr>
          <w:p w14:paraId="337B7B52">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从业人员（X）</w:t>
            </w:r>
          </w:p>
        </w:tc>
        <w:tc>
          <w:tcPr>
            <w:tcW w:w="1087" w:type="dxa"/>
            <w:tcBorders>
              <w:top w:val="nil"/>
              <w:left w:val="nil"/>
              <w:bottom w:val="single" w:color="auto" w:sz="4" w:space="0"/>
              <w:right w:val="single" w:color="auto" w:sz="4" w:space="0"/>
            </w:tcBorders>
            <w:noWrap w:val="0"/>
            <w:vAlign w:val="center"/>
          </w:tcPr>
          <w:p w14:paraId="35863704">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人</w:t>
            </w:r>
          </w:p>
        </w:tc>
        <w:tc>
          <w:tcPr>
            <w:tcW w:w="1775" w:type="dxa"/>
            <w:tcBorders>
              <w:top w:val="nil"/>
              <w:left w:val="nil"/>
              <w:bottom w:val="single" w:color="auto" w:sz="4" w:space="0"/>
              <w:right w:val="single" w:color="auto" w:sz="4" w:space="0"/>
            </w:tcBorders>
            <w:noWrap w:val="0"/>
            <w:vAlign w:val="center"/>
          </w:tcPr>
          <w:p w14:paraId="1ABDE529">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300</w:t>
            </w:r>
          </w:p>
        </w:tc>
        <w:tc>
          <w:tcPr>
            <w:tcW w:w="1765" w:type="dxa"/>
            <w:tcBorders>
              <w:top w:val="nil"/>
              <w:left w:val="nil"/>
              <w:bottom w:val="single" w:color="auto" w:sz="4" w:space="0"/>
              <w:right w:val="single" w:color="auto" w:sz="4" w:space="0"/>
            </w:tcBorders>
            <w:noWrap w:val="0"/>
            <w:vAlign w:val="center"/>
          </w:tcPr>
          <w:p w14:paraId="24E4151F">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50</w:t>
            </w:r>
          </w:p>
        </w:tc>
        <w:tc>
          <w:tcPr>
            <w:tcW w:w="993" w:type="dxa"/>
            <w:tcBorders>
              <w:top w:val="nil"/>
              <w:left w:val="nil"/>
              <w:bottom w:val="single" w:color="auto" w:sz="4" w:space="0"/>
              <w:right w:val="single" w:color="auto" w:sz="4" w:space="0"/>
            </w:tcBorders>
            <w:noWrap w:val="0"/>
            <w:vAlign w:val="center"/>
          </w:tcPr>
          <w:p w14:paraId="716BF33D">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w:t>
            </w:r>
          </w:p>
        </w:tc>
      </w:tr>
      <w:tr w14:paraId="4D94FD9C">
        <w:tblPrEx>
          <w:tblCellMar>
            <w:top w:w="0" w:type="dxa"/>
            <w:left w:w="108" w:type="dxa"/>
            <w:bottom w:w="0" w:type="dxa"/>
            <w:right w:w="108" w:type="dxa"/>
          </w:tblCellMar>
        </w:tblPrEx>
        <w:trPr>
          <w:trHeight w:val="363" w:hRule="atLeast"/>
          <w:jc w:val="center"/>
        </w:trPr>
        <w:tc>
          <w:tcPr>
            <w:tcW w:w="2035" w:type="dxa"/>
            <w:vMerge w:val="continue"/>
            <w:tcBorders>
              <w:top w:val="nil"/>
              <w:left w:val="single" w:color="auto" w:sz="4" w:space="0"/>
              <w:bottom w:val="single" w:color="auto" w:sz="4" w:space="0"/>
              <w:right w:val="single" w:color="auto" w:sz="4" w:space="0"/>
            </w:tcBorders>
            <w:noWrap w:val="0"/>
            <w:vAlign w:val="center"/>
          </w:tcPr>
          <w:p w14:paraId="4FCBDAD7">
            <w:pPr>
              <w:widowControl/>
              <w:shd w:val="clear" w:color="auto" w:fill="auto"/>
              <w:jc w:val="center"/>
              <w:rPr>
                <w:rFonts w:hint="eastAsia" w:asciiTheme="minorEastAsia" w:hAnsiTheme="minorEastAsia" w:eastAsiaTheme="minorEastAsia" w:cstheme="minorEastAsia"/>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BBF6783">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营业收入（Y）</w:t>
            </w:r>
          </w:p>
        </w:tc>
        <w:tc>
          <w:tcPr>
            <w:tcW w:w="1087" w:type="dxa"/>
            <w:tcBorders>
              <w:top w:val="nil"/>
              <w:left w:val="nil"/>
              <w:bottom w:val="single" w:color="auto" w:sz="4" w:space="0"/>
              <w:right w:val="single" w:color="auto" w:sz="4" w:space="0"/>
            </w:tcBorders>
            <w:noWrap w:val="0"/>
            <w:vAlign w:val="center"/>
          </w:tcPr>
          <w:p w14:paraId="2F8FAC07">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万元</w:t>
            </w:r>
          </w:p>
        </w:tc>
        <w:tc>
          <w:tcPr>
            <w:tcW w:w="1775" w:type="dxa"/>
            <w:tcBorders>
              <w:top w:val="nil"/>
              <w:left w:val="nil"/>
              <w:bottom w:val="single" w:color="auto" w:sz="4" w:space="0"/>
              <w:right w:val="single" w:color="auto" w:sz="4" w:space="0"/>
            </w:tcBorders>
            <w:noWrap w:val="0"/>
            <w:vAlign w:val="center"/>
          </w:tcPr>
          <w:p w14:paraId="6004A488">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20000</w:t>
            </w:r>
          </w:p>
        </w:tc>
        <w:tc>
          <w:tcPr>
            <w:tcW w:w="1765" w:type="dxa"/>
            <w:tcBorders>
              <w:top w:val="nil"/>
              <w:left w:val="nil"/>
              <w:bottom w:val="single" w:color="auto" w:sz="4" w:space="0"/>
              <w:right w:val="single" w:color="auto" w:sz="4" w:space="0"/>
            </w:tcBorders>
            <w:noWrap w:val="0"/>
            <w:vAlign w:val="center"/>
          </w:tcPr>
          <w:p w14:paraId="7864BF6D">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500</w:t>
            </w:r>
          </w:p>
        </w:tc>
        <w:tc>
          <w:tcPr>
            <w:tcW w:w="993" w:type="dxa"/>
            <w:tcBorders>
              <w:top w:val="nil"/>
              <w:left w:val="nil"/>
              <w:bottom w:val="single" w:color="auto" w:sz="4" w:space="0"/>
              <w:right w:val="single" w:color="auto" w:sz="4" w:space="0"/>
            </w:tcBorders>
            <w:noWrap w:val="0"/>
            <w:vAlign w:val="center"/>
          </w:tcPr>
          <w:p w14:paraId="248BAF40">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w:t>
            </w:r>
          </w:p>
        </w:tc>
      </w:tr>
      <w:tr w14:paraId="32FBDC53">
        <w:tblPrEx>
          <w:tblCellMar>
            <w:top w:w="0" w:type="dxa"/>
            <w:left w:w="108" w:type="dxa"/>
            <w:bottom w:w="0" w:type="dxa"/>
            <w:right w:w="108" w:type="dxa"/>
          </w:tblCellMar>
        </w:tblPrEx>
        <w:trPr>
          <w:trHeight w:val="363" w:hRule="atLeast"/>
          <w:jc w:val="center"/>
        </w:trPr>
        <w:tc>
          <w:tcPr>
            <w:tcW w:w="2035" w:type="dxa"/>
            <w:vMerge w:val="restart"/>
            <w:tcBorders>
              <w:top w:val="nil"/>
              <w:left w:val="single" w:color="auto" w:sz="4" w:space="0"/>
              <w:bottom w:val="single" w:color="auto" w:sz="4" w:space="0"/>
              <w:right w:val="single" w:color="auto" w:sz="4" w:space="0"/>
            </w:tcBorders>
            <w:noWrap w:val="0"/>
            <w:vAlign w:val="center"/>
          </w:tcPr>
          <w:p w14:paraId="40BD7996">
            <w:pPr>
              <w:widowControl/>
              <w:shd w:val="clear" w:color="auto" w:fill="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交通运输业</w:t>
            </w:r>
          </w:p>
        </w:tc>
        <w:tc>
          <w:tcPr>
            <w:tcW w:w="1642" w:type="dxa"/>
            <w:tcBorders>
              <w:top w:val="nil"/>
              <w:left w:val="nil"/>
              <w:bottom w:val="single" w:color="auto" w:sz="4" w:space="0"/>
              <w:right w:val="single" w:color="auto" w:sz="4" w:space="0"/>
            </w:tcBorders>
            <w:noWrap w:val="0"/>
            <w:vAlign w:val="center"/>
          </w:tcPr>
          <w:p w14:paraId="7B4FA686">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从业人员（X）</w:t>
            </w:r>
          </w:p>
        </w:tc>
        <w:tc>
          <w:tcPr>
            <w:tcW w:w="1087" w:type="dxa"/>
            <w:tcBorders>
              <w:top w:val="nil"/>
              <w:left w:val="nil"/>
              <w:bottom w:val="single" w:color="auto" w:sz="4" w:space="0"/>
              <w:right w:val="single" w:color="auto" w:sz="4" w:space="0"/>
            </w:tcBorders>
            <w:noWrap w:val="0"/>
            <w:vAlign w:val="center"/>
          </w:tcPr>
          <w:p w14:paraId="3C4D8897">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人</w:t>
            </w:r>
          </w:p>
        </w:tc>
        <w:tc>
          <w:tcPr>
            <w:tcW w:w="1775" w:type="dxa"/>
            <w:tcBorders>
              <w:top w:val="nil"/>
              <w:left w:val="nil"/>
              <w:bottom w:val="single" w:color="auto" w:sz="4" w:space="0"/>
              <w:right w:val="single" w:color="auto" w:sz="4" w:space="0"/>
            </w:tcBorders>
            <w:noWrap w:val="0"/>
            <w:vAlign w:val="center"/>
          </w:tcPr>
          <w:p w14:paraId="6F9D1A1D">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300≤X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1000</w:t>
            </w:r>
          </w:p>
        </w:tc>
        <w:tc>
          <w:tcPr>
            <w:tcW w:w="1765" w:type="dxa"/>
            <w:tcBorders>
              <w:top w:val="nil"/>
              <w:left w:val="nil"/>
              <w:bottom w:val="single" w:color="auto" w:sz="4" w:space="0"/>
              <w:right w:val="single" w:color="auto" w:sz="4" w:space="0"/>
            </w:tcBorders>
            <w:noWrap w:val="0"/>
            <w:vAlign w:val="center"/>
          </w:tcPr>
          <w:p w14:paraId="6859A17B">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300</w:t>
            </w:r>
          </w:p>
        </w:tc>
        <w:tc>
          <w:tcPr>
            <w:tcW w:w="993" w:type="dxa"/>
            <w:tcBorders>
              <w:top w:val="nil"/>
              <w:left w:val="nil"/>
              <w:bottom w:val="single" w:color="auto" w:sz="4" w:space="0"/>
              <w:right w:val="single" w:color="auto" w:sz="4" w:space="0"/>
            </w:tcBorders>
            <w:noWrap w:val="0"/>
            <w:vAlign w:val="center"/>
          </w:tcPr>
          <w:p w14:paraId="6966BB5E">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20</w:t>
            </w:r>
          </w:p>
        </w:tc>
      </w:tr>
      <w:tr w14:paraId="07F51D8E">
        <w:tblPrEx>
          <w:tblCellMar>
            <w:top w:w="0" w:type="dxa"/>
            <w:left w:w="108" w:type="dxa"/>
            <w:bottom w:w="0" w:type="dxa"/>
            <w:right w:w="108" w:type="dxa"/>
          </w:tblCellMar>
        </w:tblPrEx>
        <w:trPr>
          <w:trHeight w:val="363" w:hRule="atLeast"/>
          <w:jc w:val="center"/>
        </w:trPr>
        <w:tc>
          <w:tcPr>
            <w:tcW w:w="2035" w:type="dxa"/>
            <w:vMerge w:val="continue"/>
            <w:tcBorders>
              <w:top w:val="nil"/>
              <w:left w:val="single" w:color="auto" w:sz="4" w:space="0"/>
              <w:bottom w:val="single" w:color="auto" w:sz="4" w:space="0"/>
              <w:right w:val="single" w:color="auto" w:sz="4" w:space="0"/>
            </w:tcBorders>
            <w:noWrap w:val="0"/>
            <w:vAlign w:val="center"/>
          </w:tcPr>
          <w:p w14:paraId="12168C9C">
            <w:pPr>
              <w:widowControl/>
              <w:shd w:val="clear" w:color="auto" w:fill="auto"/>
              <w:jc w:val="center"/>
              <w:rPr>
                <w:rFonts w:hint="eastAsia" w:asciiTheme="minorEastAsia" w:hAnsiTheme="minorEastAsia" w:eastAsiaTheme="minorEastAsia" w:cstheme="minorEastAsia"/>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381725B">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营业收入（Y）</w:t>
            </w:r>
          </w:p>
        </w:tc>
        <w:tc>
          <w:tcPr>
            <w:tcW w:w="1087" w:type="dxa"/>
            <w:tcBorders>
              <w:top w:val="nil"/>
              <w:left w:val="nil"/>
              <w:bottom w:val="single" w:color="auto" w:sz="4" w:space="0"/>
              <w:right w:val="single" w:color="auto" w:sz="4" w:space="0"/>
            </w:tcBorders>
            <w:noWrap w:val="0"/>
            <w:vAlign w:val="center"/>
          </w:tcPr>
          <w:p w14:paraId="4246429D">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万元</w:t>
            </w:r>
          </w:p>
        </w:tc>
        <w:tc>
          <w:tcPr>
            <w:tcW w:w="1775" w:type="dxa"/>
            <w:tcBorders>
              <w:top w:val="nil"/>
              <w:left w:val="nil"/>
              <w:bottom w:val="single" w:color="auto" w:sz="4" w:space="0"/>
              <w:right w:val="single" w:color="auto" w:sz="4" w:space="0"/>
            </w:tcBorders>
            <w:noWrap w:val="0"/>
            <w:vAlign w:val="center"/>
          </w:tcPr>
          <w:p w14:paraId="064EFF43">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3000≤Y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30000</w:t>
            </w:r>
          </w:p>
        </w:tc>
        <w:tc>
          <w:tcPr>
            <w:tcW w:w="1765" w:type="dxa"/>
            <w:tcBorders>
              <w:top w:val="nil"/>
              <w:left w:val="nil"/>
              <w:bottom w:val="single" w:color="auto" w:sz="4" w:space="0"/>
              <w:right w:val="single" w:color="auto" w:sz="4" w:space="0"/>
            </w:tcBorders>
            <w:noWrap w:val="0"/>
            <w:vAlign w:val="center"/>
          </w:tcPr>
          <w:p w14:paraId="39A8BAFA">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3000</w:t>
            </w:r>
          </w:p>
        </w:tc>
        <w:tc>
          <w:tcPr>
            <w:tcW w:w="993" w:type="dxa"/>
            <w:tcBorders>
              <w:top w:val="nil"/>
              <w:left w:val="nil"/>
              <w:bottom w:val="single" w:color="auto" w:sz="4" w:space="0"/>
              <w:right w:val="single" w:color="auto" w:sz="4" w:space="0"/>
            </w:tcBorders>
            <w:noWrap w:val="0"/>
            <w:vAlign w:val="center"/>
          </w:tcPr>
          <w:p w14:paraId="54B48C8C">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200</w:t>
            </w:r>
          </w:p>
        </w:tc>
      </w:tr>
      <w:tr w14:paraId="5E293706">
        <w:tblPrEx>
          <w:tblCellMar>
            <w:top w:w="0" w:type="dxa"/>
            <w:left w:w="108" w:type="dxa"/>
            <w:bottom w:w="0" w:type="dxa"/>
            <w:right w:w="108" w:type="dxa"/>
          </w:tblCellMar>
        </w:tblPrEx>
        <w:trPr>
          <w:trHeight w:val="363" w:hRule="atLeast"/>
          <w:jc w:val="center"/>
        </w:trPr>
        <w:tc>
          <w:tcPr>
            <w:tcW w:w="2035" w:type="dxa"/>
            <w:vMerge w:val="restart"/>
            <w:tcBorders>
              <w:top w:val="nil"/>
              <w:left w:val="single" w:color="auto" w:sz="4" w:space="0"/>
              <w:bottom w:val="single" w:color="auto" w:sz="4" w:space="0"/>
              <w:right w:val="single" w:color="auto" w:sz="4" w:space="0"/>
            </w:tcBorders>
            <w:noWrap w:val="0"/>
            <w:vAlign w:val="center"/>
          </w:tcPr>
          <w:p w14:paraId="6CA9C524">
            <w:pPr>
              <w:widowControl/>
              <w:shd w:val="clear" w:color="auto" w:fill="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仓储业</w:t>
            </w:r>
          </w:p>
        </w:tc>
        <w:tc>
          <w:tcPr>
            <w:tcW w:w="1642" w:type="dxa"/>
            <w:tcBorders>
              <w:top w:val="nil"/>
              <w:left w:val="nil"/>
              <w:bottom w:val="single" w:color="auto" w:sz="4" w:space="0"/>
              <w:right w:val="single" w:color="auto" w:sz="4" w:space="0"/>
            </w:tcBorders>
            <w:noWrap w:val="0"/>
            <w:vAlign w:val="center"/>
          </w:tcPr>
          <w:p w14:paraId="5603354F">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从业人员（X）</w:t>
            </w:r>
          </w:p>
        </w:tc>
        <w:tc>
          <w:tcPr>
            <w:tcW w:w="1087" w:type="dxa"/>
            <w:tcBorders>
              <w:top w:val="nil"/>
              <w:left w:val="nil"/>
              <w:bottom w:val="single" w:color="auto" w:sz="4" w:space="0"/>
              <w:right w:val="single" w:color="auto" w:sz="4" w:space="0"/>
            </w:tcBorders>
            <w:noWrap w:val="0"/>
            <w:vAlign w:val="center"/>
          </w:tcPr>
          <w:p w14:paraId="4EA35926">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人</w:t>
            </w:r>
          </w:p>
        </w:tc>
        <w:tc>
          <w:tcPr>
            <w:tcW w:w="1775" w:type="dxa"/>
            <w:tcBorders>
              <w:top w:val="nil"/>
              <w:left w:val="nil"/>
              <w:bottom w:val="single" w:color="auto" w:sz="4" w:space="0"/>
              <w:right w:val="single" w:color="auto" w:sz="4" w:space="0"/>
            </w:tcBorders>
            <w:noWrap w:val="0"/>
            <w:vAlign w:val="center"/>
          </w:tcPr>
          <w:p w14:paraId="58F71813">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200</w:t>
            </w:r>
          </w:p>
        </w:tc>
        <w:tc>
          <w:tcPr>
            <w:tcW w:w="1765" w:type="dxa"/>
            <w:tcBorders>
              <w:top w:val="nil"/>
              <w:left w:val="nil"/>
              <w:bottom w:val="single" w:color="auto" w:sz="4" w:space="0"/>
              <w:right w:val="single" w:color="auto" w:sz="4" w:space="0"/>
            </w:tcBorders>
            <w:noWrap w:val="0"/>
            <w:vAlign w:val="center"/>
          </w:tcPr>
          <w:p w14:paraId="3E4BE41F">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w:t>
            </w:r>
          </w:p>
        </w:tc>
        <w:tc>
          <w:tcPr>
            <w:tcW w:w="993" w:type="dxa"/>
            <w:tcBorders>
              <w:top w:val="nil"/>
              <w:left w:val="nil"/>
              <w:bottom w:val="single" w:color="auto" w:sz="4" w:space="0"/>
              <w:right w:val="single" w:color="auto" w:sz="4" w:space="0"/>
            </w:tcBorders>
            <w:noWrap w:val="0"/>
            <w:vAlign w:val="center"/>
          </w:tcPr>
          <w:p w14:paraId="1B41C0C1">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20</w:t>
            </w:r>
          </w:p>
        </w:tc>
      </w:tr>
      <w:tr w14:paraId="04C99D77">
        <w:tblPrEx>
          <w:tblCellMar>
            <w:top w:w="0" w:type="dxa"/>
            <w:left w:w="108" w:type="dxa"/>
            <w:bottom w:w="0" w:type="dxa"/>
            <w:right w:w="108" w:type="dxa"/>
          </w:tblCellMar>
        </w:tblPrEx>
        <w:trPr>
          <w:trHeight w:val="363" w:hRule="atLeast"/>
          <w:jc w:val="center"/>
        </w:trPr>
        <w:tc>
          <w:tcPr>
            <w:tcW w:w="2035" w:type="dxa"/>
            <w:vMerge w:val="continue"/>
            <w:tcBorders>
              <w:top w:val="nil"/>
              <w:left w:val="single" w:color="auto" w:sz="4" w:space="0"/>
              <w:bottom w:val="single" w:color="auto" w:sz="4" w:space="0"/>
              <w:right w:val="single" w:color="auto" w:sz="4" w:space="0"/>
            </w:tcBorders>
            <w:noWrap w:val="0"/>
            <w:vAlign w:val="center"/>
          </w:tcPr>
          <w:p w14:paraId="0A80AE83">
            <w:pPr>
              <w:widowControl/>
              <w:shd w:val="clear" w:color="auto" w:fill="auto"/>
              <w:jc w:val="center"/>
              <w:rPr>
                <w:rFonts w:hint="eastAsia" w:asciiTheme="minorEastAsia" w:hAnsiTheme="minorEastAsia" w:eastAsiaTheme="minorEastAsia" w:cstheme="minorEastAsia"/>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B33E1B9">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营业收入（Y）</w:t>
            </w:r>
          </w:p>
        </w:tc>
        <w:tc>
          <w:tcPr>
            <w:tcW w:w="1087" w:type="dxa"/>
            <w:tcBorders>
              <w:top w:val="nil"/>
              <w:left w:val="nil"/>
              <w:bottom w:val="single" w:color="auto" w:sz="4" w:space="0"/>
              <w:right w:val="single" w:color="auto" w:sz="4" w:space="0"/>
            </w:tcBorders>
            <w:noWrap w:val="0"/>
            <w:vAlign w:val="center"/>
          </w:tcPr>
          <w:p w14:paraId="416B9629">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万元</w:t>
            </w:r>
          </w:p>
        </w:tc>
        <w:tc>
          <w:tcPr>
            <w:tcW w:w="1775" w:type="dxa"/>
            <w:tcBorders>
              <w:top w:val="nil"/>
              <w:left w:val="nil"/>
              <w:bottom w:val="single" w:color="auto" w:sz="4" w:space="0"/>
              <w:right w:val="single" w:color="auto" w:sz="4" w:space="0"/>
            </w:tcBorders>
            <w:noWrap w:val="0"/>
            <w:vAlign w:val="center"/>
          </w:tcPr>
          <w:p w14:paraId="7CFE200E">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30000</w:t>
            </w:r>
          </w:p>
        </w:tc>
        <w:tc>
          <w:tcPr>
            <w:tcW w:w="1765" w:type="dxa"/>
            <w:tcBorders>
              <w:top w:val="nil"/>
              <w:left w:val="nil"/>
              <w:bottom w:val="single" w:color="auto" w:sz="4" w:space="0"/>
              <w:right w:val="single" w:color="auto" w:sz="4" w:space="0"/>
            </w:tcBorders>
            <w:noWrap w:val="0"/>
            <w:vAlign w:val="center"/>
          </w:tcPr>
          <w:p w14:paraId="323B7E42">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1000</w:t>
            </w:r>
          </w:p>
        </w:tc>
        <w:tc>
          <w:tcPr>
            <w:tcW w:w="993" w:type="dxa"/>
            <w:tcBorders>
              <w:top w:val="nil"/>
              <w:left w:val="nil"/>
              <w:bottom w:val="single" w:color="auto" w:sz="4" w:space="0"/>
              <w:right w:val="single" w:color="auto" w:sz="4" w:space="0"/>
            </w:tcBorders>
            <w:noWrap w:val="0"/>
            <w:vAlign w:val="center"/>
          </w:tcPr>
          <w:p w14:paraId="60D6808F">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w:t>
            </w:r>
          </w:p>
        </w:tc>
      </w:tr>
      <w:tr w14:paraId="4B637C91">
        <w:tblPrEx>
          <w:tblCellMar>
            <w:top w:w="0" w:type="dxa"/>
            <w:left w:w="108" w:type="dxa"/>
            <w:bottom w:w="0" w:type="dxa"/>
            <w:right w:w="108" w:type="dxa"/>
          </w:tblCellMar>
        </w:tblPrEx>
        <w:trPr>
          <w:trHeight w:val="363" w:hRule="atLeast"/>
          <w:jc w:val="center"/>
        </w:trPr>
        <w:tc>
          <w:tcPr>
            <w:tcW w:w="2035" w:type="dxa"/>
            <w:vMerge w:val="restart"/>
            <w:tcBorders>
              <w:top w:val="nil"/>
              <w:left w:val="single" w:color="auto" w:sz="4" w:space="0"/>
              <w:bottom w:val="single" w:color="auto" w:sz="4" w:space="0"/>
              <w:right w:val="single" w:color="auto" w:sz="4" w:space="0"/>
            </w:tcBorders>
            <w:noWrap w:val="0"/>
            <w:vAlign w:val="center"/>
          </w:tcPr>
          <w:p w14:paraId="718A0AAF">
            <w:pPr>
              <w:widowControl/>
              <w:shd w:val="clear" w:color="auto" w:fill="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邮政业</w:t>
            </w:r>
          </w:p>
        </w:tc>
        <w:tc>
          <w:tcPr>
            <w:tcW w:w="1642" w:type="dxa"/>
            <w:tcBorders>
              <w:top w:val="nil"/>
              <w:left w:val="nil"/>
              <w:bottom w:val="single" w:color="auto" w:sz="4" w:space="0"/>
              <w:right w:val="single" w:color="auto" w:sz="4" w:space="0"/>
            </w:tcBorders>
            <w:noWrap w:val="0"/>
            <w:vAlign w:val="center"/>
          </w:tcPr>
          <w:p w14:paraId="3FDC0C40">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从业人员（X）</w:t>
            </w:r>
          </w:p>
        </w:tc>
        <w:tc>
          <w:tcPr>
            <w:tcW w:w="1087" w:type="dxa"/>
            <w:tcBorders>
              <w:top w:val="nil"/>
              <w:left w:val="nil"/>
              <w:bottom w:val="single" w:color="auto" w:sz="4" w:space="0"/>
              <w:right w:val="single" w:color="auto" w:sz="4" w:space="0"/>
            </w:tcBorders>
            <w:noWrap w:val="0"/>
            <w:vAlign w:val="center"/>
          </w:tcPr>
          <w:p w14:paraId="0C0AA6E4">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人</w:t>
            </w:r>
          </w:p>
        </w:tc>
        <w:tc>
          <w:tcPr>
            <w:tcW w:w="1775" w:type="dxa"/>
            <w:tcBorders>
              <w:top w:val="nil"/>
              <w:left w:val="nil"/>
              <w:bottom w:val="single" w:color="auto" w:sz="4" w:space="0"/>
              <w:right w:val="single" w:color="auto" w:sz="4" w:space="0"/>
            </w:tcBorders>
            <w:noWrap w:val="0"/>
            <w:vAlign w:val="center"/>
          </w:tcPr>
          <w:p w14:paraId="094FDB7E">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300≤X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1000</w:t>
            </w:r>
          </w:p>
        </w:tc>
        <w:tc>
          <w:tcPr>
            <w:tcW w:w="1765" w:type="dxa"/>
            <w:tcBorders>
              <w:top w:val="nil"/>
              <w:left w:val="nil"/>
              <w:bottom w:val="single" w:color="auto" w:sz="4" w:space="0"/>
              <w:right w:val="single" w:color="auto" w:sz="4" w:space="0"/>
            </w:tcBorders>
            <w:noWrap w:val="0"/>
            <w:vAlign w:val="center"/>
          </w:tcPr>
          <w:p w14:paraId="28EA4A0A">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300</w:t>
            </w:r>
          </w:p>
        </w:tc>
        <w:tc>
          <w:tcPr>
            <w:tcW w:w="993" w:type="dxa"/>
            <w:tcBorders>
              <w:top w:val="nil"/>
              <w:left w:val="nil"/>
              <w:bottom w:val="single" w:color="auto" w:sz="4" w:space="0"/>
              <w:right w:val="single" w:color="auto" w:sz="4" w:space="0"/>
            </w:tcBorders>
            <w:noWrap w:val="0"/>
            <w:vAlign w:val="center"/>
          </w:tcPr>
          <w:p w14:paraId="7637F84F">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20</w:t>
            </w:r>
          </w:p>
        </w:tc>
      </w:tr>
      <w:tr w14:paraId="19AC2D99">
        <w:tblPrEx>
          <w:tblCellMar>
            <w:top w:w="0" w:type="dxa"/>
            <w:left w:w="108" w:type="dxa"/>
            <w:bottom w:w="0" w:type="dxa"/>
            <w:right w:w="108" w:type="dxa"/>
          </w:tblCellMar>
        </w:tblPrEx>
        <w:trPr>
          <w:trHeight w:val="363" w:hRule="atLeast"/>
          <w:jc w:val="center"/>
        </w:trPr>
        <w:tc>
          <w:tcPr>
            <w:tcW w:w="2035" w:type="dxa"/>
            <w:vMerge w:val="continue"/>
            <w:tcBorders>
              <w:top w:val="nil"/>
              <w:left w:val="single" w:color="auto" w:sz="4" w:space="0"/>
              <w:bottom w:val="single" w:color="auto" w:sz="4" w:space="0"/>
              <w:right w:val="single" w:color="auto" w:sz="4" w:space="0"/>
            </w:tcBorders>
            <w:noWrap w:val="0"/>
            <w:vAlign w:val="center"/>
          </w:tcPr>
          <w:p w14:paraId="2E08E189">
            <w:pPr>
              <w:widowControl/>
              <w:shd w:val="clear" w:color="auto" w:fill="auto"/>
              <w:jc w:val="center"/>
              <w:rPr>
                <w:rFonts w:hint="eastAsia" w:asciiTheme="minorEastAsia" w:hAnsiTheme="minorEastAsia" w:eastAsiaTheme="minorEastAsia" w:cstheme="minorEastAsia"/>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3BDAFCD">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营业收入（Y）</w:t>
            </w:r>
          </w:p>
        </w:tc>
        <w:tc>
          <w:tcPr>
            <w:tcW w:w="1087" w:type="dxa"/>
            <w:tcBorders>
              <w:top w:val="nil"/>
              <w:left w:val="nil"/>
              <w:bottom w:val="single" w:color="auto" w:sz="4" w:space="0"/>
              <w:right w:val="single" w:color="auto" w:sz="4" w:space="0"/>
            </w:tcBorders>
            <w:noWrap w:val="0"/>
            <w:vAlign w:val="center"/>
          </w:tcPr>
          <w:p w14:paraId="17A10373">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万元</w:t>
            </w:r>
          </w:p>
        </w:tc>
        <w:tc>
          <w:tcPr>
            <w:tcW w:w="1775" w:type="dxa"/>
            <w:tcBorders>
              <w:top w:val="nil"/>
              <w:left w:val="nil"/>
              <w:bottom w:val="single" w:color="auto" w:sz="4" w:space="0"/>
              <w:right w:val="single" w:color="auto" w:sz="4" w:space="0"/>
            </w:tcBorders>
            <w:noWrap w:val="0"/>
            <w:vAlign w:val="center"/>
          </w:tcPr>
          <w:p w14:paraId="27A9D498">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30000</w:t>
            </w:r>
          </w:p>
        </w:tc>
        <w:tc>
          <w:tcPr>
            <w:tcW w:w="1765" w:type="dxa"/>
            <w:tcBorders>
              <w:top w:val="nil"/>
              <w:left w:val="nil"/>
              <w:bottom w:val="single" w:color="auto" w:sz="4" w:space="0"/>
              <w:right w:val="single" w:color="auto" w:sz="4" w:space="0"/>
            </w:tcBorders>
            <w:noWrap w:val="0"/>
            <w:vAlign w:val="center"/>
          </w:tcPr>
          <w:p w14:paraId="1C0430F7">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2000</w:t>
            </w:r>
          </w:p>
        </w:tc>
        <w:tc>
          <w:tcPr>
            <w:tcW w:w="993" w:type="dxa"/>
            <w:tcBorders>
              <w:top w:val="nil"/>
              <w:left w:val="nil"/>
              <w:bottom w:val="single" w:color="auto" w:sz="4" w:space="0"/>
              <w:right w:val="single" w:color="auto" w:sz="4" w:space="0"/>
            </w:tcBorders>
            <w:noWrap w:val="0"/>
            <w:vAlign w:val="center"/>
          </w:tcPr>
          <w:p w14:paraId="7764DE1A">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w:t>
            </w:r>
          </w:p>
        </w:tc>
      </w:tr>
      <w:tr w14:paraId="3C5A2647">
        <w:tblPrEx>
          <w:tblCellMar>
            <w:top w:w="0" w:type="dxa"/>
            <w:left w:w="108" w:type="dxa"/>
            <w:bottom w:w="0" w:type="dxa"/>
            <w:right w:w="108" w:type="dxa"/>
          </w:tblCellMar>
        </w:tblPrEx>
        <w:trPr>
          <w:trHeight w:val="363" w:hRule="atLeast"/>
          <w:jc w:val="center"/>
        </w:trPr>
        <w:tc>
          <w:tcPr>
            <w:tcW w:w="2035" w:type="dxa"/>
            <w:vMerge w:val="restart"/>
            <w:tcBorders>
              <w:top w:val="nil"/>
              <w:left w:val="single" w:color="auto" w:sz="4" w:space="0"/>
              <w:bottom w:val="single" w:color="auto" w:sz="4" w:space="0"/>
              <w:right w:val="single" w:color="auto" w:sz="4" w:space="0"/>
            </w:tcBorders>
            <w:noWrap w:val="0"/>
            <w:vAlign w:val="center"/>
          </w:tcPr>
          <w:p w14:paraId="5950F8F2">
            <w:pPr>
              <w:widowControl/>
              <w:shd w:val="clear" w:color="auto" w:fill="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住宿业</w:t>
            </w:r>
          </w:p>
        </w:tc>
        <w:tc>
          <w:tcPr>
            <w:tcW w:w="1642" w:type="dxa"/>
            <w:tcBorders>
              <w:top w:val="nil"/>
              <w:left w:val="nil"/>
              <w:bottom w:val="single" w:color="auto" w:sz="4" w:space="0"/>
              <w:right w:val="single" w:color="auto" w:sz="4" w:space="0"/>
            </w:tcBorders>
            <w:noWrap w:val="0"/>
            <w:vAlign w:val="center"/>
          </w:tcPr>
          <w:p w14:paraId="22C6A959">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从业人员（X）</w:t>
            </w:r>
          </w:p>
        </w:tc>
        <w:tc>
          <w:tcPr>
            <w:tcW w:w="1087" w:type="dxa"/>
            <w:tcBorders>
              <w:top w:val="nil"/>
              <w:left w:val="nil"/>
              <w:bottom w:val="single" w:color="auto" w:sz="4" w:space="0"/>
              <w:right w:val="single" w:color="auto" w:sz="4" w:space="0"/>
            </w:tcBorders>
            <w:noWrap w:val="0"/>
            <w:vAlign w:val="center"/>
          </w:tcPr>
          <w:p w14:paraId="157B1A84">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人</w:t>
            </w:r>
          </w:p>
        </w:tc>
        <w:tc>
          <w:tcPr>
            <w:tcW w:w="1775" w:type="dxa"/>
            <w:tcBorders>
              <w:top w:val="nil"/>
              <w:left w:val="nil"/>
              <w:bottom w:val="single" w:color="auto" w:sz="4" w:space="0"/>
              <w:right w:val="single" w:color="auto" w:sz="4" w:space="0"/>
            </w:tcBorders>
            <w:noWrap w:val="0"/>
            <w:vAlign w:val="center"/>
          </w:tcPr>
          <w:p w14:paraId="0663A955">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300</w:t>
            </w:r>
          </w:p>
        </w:tc>
        <w:tc>
          <w:tcPr>
            <w:tcW w:w="1765" w:type="dxa"/>
            <w:tcBorders>
              <w:top w:val="nil"/>
              <w:left w:val="nil"/>
              <w:bottom w:val="single" w:color="auto" w:sz="4" w:space="0"/>
              <w:right w:val="single" w:color="auto" w:sz="4" w:space="0"/>
            </w:tcBorders>
            <w:noWrap w:val="0"/>
            <w:vAlign w:val="center"/>
          </w:tcPr>
          <w:p w14:paraId="6568BE8E">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w:t>
            </w:r>
          </w:p>
        </w:tc>
        <w:tc>
          <w:tcPr>
            <w:tcW w:w="993" w:type="dxa"/>
            <w:tcBorders>
              <w:top w:val="nil"/>
              <w:left w:val="nil"/>
              <w:bottom w:val="single" w:color="auto" w:sz="4" w:space="0"/>
              <w:right w:val="single" w:color="auto" w:sz="4" w:space="0"/>
            </w:tcBorders>
            <w:noWrap w:val="0"/>
            <w:vAlign w:val="center"/>
          </w:tcPr>
          <w:p w14:paraId="3FA741A2">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w:t>
            </w:r>
          </w:p>
        </w:tc>
      </w:tr>
      <w:tr w14:paraId="2D0F58F0">
        <w:tblPrEx>
          <w:tblCellMar>
            <w:top w:w="0" w:type="dxa"/>
            <w:left w:w="108" w:type="dxa"/>
            <w:bottom w:w="0" w:type="dxa"/>
            <w:right w:w="108" w:type="dxa"/>
          </w:tblCellMar>
        </w:tblPrEx>
        <w:trPr>
          <w:trHeight w:val="363" w:hRule="atLeast"/>
          <w:jc w:val="center"/>
        </w:trPr>
        <w:tc>
          <w:tcPr>
            <w:tcW w:w="2035" w:type="dxa"/>
            <w:vMerge w:val="continue"/>
            <w:tcBorders>
              <w:top w:val="nil"/>
              <w:left w:val="single" w:color="auto" w:sz="4" w:space="0"/>
              <w:bottom w:val="single" w:color="auto" w:sz="4" w:space="0"/>
              <w:right w:val="single" w:color="auto" w:sz="4" w:space="0"/>
            </w:tcBorders>
            <w:noWrap w:val="0"/>
            <w:vAlign w:val="center"/>
          </w:tcPr>
          <w:p w14:paraId="529C87D9">
            <w:pPr>
              <w:widowControl/>
              <w:shd w:val="clear" w:color="auto" w:fill="auto"/>
              <w:jc w:val="center"/>
              <w:rPr>
                <w:rFonts w:hint="eastAsia" w:asciiTheme="minorEastAsia" w:hAnsiTheme="minorEastAsia" w:eastAsiaTheme="minorEastAsia" w:cstheme="minorEastAsia"/>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687F40C">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营业收入（Y）</w:t>
            </w:r>
          </w:p>
        </w:tc>
        <w:tc>
          <w:tcPr>
            <w:tcW w:w="1087" w:type="dxa"/>
            <w:tcBorders>
              <w:top w:val="nil"/>
              <w:left w:val="nil"/>
              <w:bottom w:val="single" w:color="auto" w:sz="4" w:space="0"/>
              <w:right w:val="single" w:color="auto" w:sz="4" w:space="0"/>
            </w:tcBorders>
            <w:noWrap w:val="0"/>
            <w:vAlign w:val="center"/>
          </w:tcPr>
          <w:p w14:paraId="52E74B11">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万元</w:t>
            </w:r>
          </w:p>
        </w:tc>
        <w:tc>
          <w:tcPr>
            <w:tcW w:w="1775" w:type="dxa"/>
            <w:tcBorders>
              <w:top w:val="nil"/>
              <w:left w:val="nil"/>
              <w:bottom w:val="single" w:color="auto" w:sz="4" w:space="0"/>
              <w:right w:val="single" w:color="auto" w:sz="4" w:space="0"/>
            </w:tcBorders>
            <w:noWrap w:val="0"/>
            <w:vAlign w:val="center"/>
          </w:tcPr>
          <w:p w14:paraId="7F90F014">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10000</w:t>
            </w:r>
          </w:p>
        </w:tc>
        <w:tc>
          <w:tcPr>
            <w:tcW w:w="1765" w:type="dxa"/>
            <w:tcBorders>
              <w:top w:val="nil"/>
              <w:left w:val="nil"/>
              <w:bottom w:val="single" w:color="auto" w:sz="4" w:space="0"/>
              <w:right w:val="single" w:color="auto" w:sz="4" w:space="0"/>
            </w:tcBorders>
            <w:noWrap w:val="0"/>
            <w:vAlign w:val="center"/>
          </w:tcPr>
          <w:p w14:paraId="5BC31930">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2000</w:t>
            </w:r>
          </w:p>
        </w:tc>
        <w:tc>
          <w:tcPr>
            <w:tcW w:w="993" w:type="dxa"/>
            <w:tcBorders>
              <w:top w:val="nil"/>
              <w:left w:val="nil"/>
              <w:bottom w:val="single" w:color="auto" w:sz="4" w:space="0"/>
              <w:right w:val="single" w:color="auto" w:sz="4" w:space="0"/>
            </w:tcBorders>
            <w:noWrap w:val="0"/>
            <w:vAlign w:val="center"/>
          </w:tcPr>
          <w:p w14:paraId="2FACA201">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w:t>
            </w:r>
          </w:p>
        </w:tc>
      </w:tr>
      <w:tr w14:paraId="02E2FAA7">
        <w:tblPrEx>
          <w:tblCellMar>
            <w:top w:w="0" w:type="dxa"/>
            <w:left w:w="108" w:type="dxa"/>
            <w:bottom w:w="0" w:type="dxa"/>
            <w:right w:w="108" w:type="dxa"/>
          </w:tblCellMar>
        </w:tblPrEx>
        <w:trPr>
          <w:trHeight w:val="363" w:hRule="atLeast"/>
          <w:jc w:val="center"/>
        </w:trPr>
        <w:tc>
          <w:tcPr>
            <w:tcW w:w="2035" w:type="dxa"/>
            <w:vMerge w:val="restart"/>
            <w:tcBorders>
              <w:top w:val="nil"/>
              <w:left w:val="single" w:color="auto" w:sz="4" w:space="0"/>
              <w:bottom w:val="single" w:color="auto" w:sz="4" w:space="0"/>
              <w:right w:val="single" w:color="auto" w:sz="4" w:space="0"/>
            </w:tcBorders>
            <w:noWrap w:val="0"/>
            <w:vAlign w:val="center"/>
          </w:tcPr>
          <w:p w14:paraId="4E0C029F">
            <w:pPr>
              <w:widowControl/>
              <w:shd w:val="clear" w:color="auto" w:fill="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餐饮业</w:t>
            </w:r>
          </w:p>
        </w:tc>
        <w:tc>
          <w:tcPr>
            <w:tcW w:w="1642" w:type="dxa"/>
            <w:tcBorders>
              <w:top w:val="nil"/>
              <w:left w:val="nil"/>
              <w:bottom w:val="single" w:color="auto" w:sz="4" w:space="0"/>
              <w:right w:val="single" w:color="auto" w:sz="4" w:space="0"/>
            </w:tcBorders>
            <w:noWrap w:val="0"/>
            <w:vAlign w:val="center"/>
          </w:tcPr>
          <w:p w14:paraId="66AC4703">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从业人员（X）</w:t>
            </w:r>
          </w:p>
        </w:tc>
        <w:tc>
          <w:tcPr>
            <w:tcW w:w="1087" w:type="dxa"/>
            <w:tcBorders>
              <w:top w:val="nil"/>
              <w:left w:val="nil"/>
              <w:bottom w:val="single" w:color="auto" w:sz="4" w:space="0"/>
              <w:right w:val="single" w:color="auto" w:sz="4" w:space="0"/>
            </w:tcBorders>
            <w:noWrap w:val="0"/>
            <w:vAlign w:val="center"/>
          </w:tcPr>
          <w:p w14:paraId="53C70CD1">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人</w:t>
            </w:r>
          </w:p>
        </w:tc>
        <w:tc>
          <w:tcPr>
            <w:tcW w:w="1775" w:type="dxa"/>
            <w:tcBorders>
              <w:top w:val="nil"/>
              <w:left w:val="nil"/>
              <w:bottom w:val="single" w:color="auto" w:sz="4" w:space="0"/>
              <w:right w:val="single" w:color="auto" w:sz="4" w:space="0"/>
            </w:tcBorders>
            <w:noWrap w:val="0"/>
            <w:vAlign w:val="center"/>
          </w:tcPr>
          <w:p w14:paraId="584E5DD9">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300</w:t>
            </w:r>
          </w:p>
        </w:tc>
        <w:tc>
          <w:tcPr>
            <w:tcW w:w="1765" w:type="dxa"/>
            <w:tcBorders>
              <w:top w:val="nil"/>
              <w:left w:val="nil"/>
              <w:bottom w:val="single" w:color="auto" w:sz="4" w:space="0"/>
              <w:right w:val="single" w:color="auto" w:sz="4" w:space="0"/>
            </w:tcBorders>
            <w:noWrap w:val="0"/>
            <w:vAlign w:val="center"/>
          </w:tcPr>
          <w:p w14:paraId="0ED9B9F6">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w:t>
            </w:r>
          </w:p>
        </w:tc>
        <w:tc>
          <w:tcPr>
            <w:tcW w:w="993" w:type="dxa"/>
            <w:tcBorders>
              <w:top w:val="nil"/>
              <w:left w:val="nil"/>
              <w:bottom w:val="single" w:color="auto" w:sz="4" w:space="0"/>
              <w:right w:val="single" w:color="auto" w:sz="4" w:space="0"/>
            </w:tcBorders>
            <w:noWrap w:val="0"/>
            <w:vAlign w:val="center"/>
          </w:tcPr>
          <w:p w14:paraId="518B86A8">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w:t>
            </w:r>
          </w:p>
        </w:tc>
      </w:tr>
      <w:tr w14:paraId="54EC8F71">
        <w:tblPrEx>
          <w:tblCellMar>
            <w:top w:w="0" w:type="dxa"/>
            <w:left w:w="108" w:type="dxa"/>
            <w:bottom w:w="0" w:type="dxa"/>
            <w:right w:w="108" w:type="dxa"/>
          </w:tblCellMar>
        </w:tblPrEx>
        <w:trPr>
          <w:trHeight w:val="363" w:hRule="atLeast"/>
          <w:jc w:val="center"/>
        </w:trPr>
        <w:tc>
          <w:tcPr>
            <w:tcW w:w="2035" w:type="dxa"/>
            <w:vMerge w:val="continue"/>
            <w:tcBorders>
              <w:top w:val="nil"/>
              <w:left w:val="single" w:color="auto" w:sz="4" w:space="0"/>
              <w:bottom w:val="single" w:color="auto" w:sz="4" w:space="0"/>
              <w:right w:val="single" w:color="auto" w:sz="4" w:space="0"/>
            </w:tcBorders>
            <w:noWrap w:val="0"/>
            <w:vAlign w:val="center"/>
          </w:tcPr>
          <w:p w14:paraId="7DA16BF5">
            <w:pPr>
              <w:widowControl/>
              <w:shd w:val="clear" w:color="auto" w:fill="auto"/>
              <w:jc w:val="center"/>
              <w:rPr>
                <w:rFonts w:hint="eastAsia" w:asciiTheme="minorEastAsia" w:hAnsiTheme="minorEastAsia" w:eastAsiaTheme="minorEastAsia" w:cstheme="minorEastAsia"/>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7B7FAD90">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营业收入（Y）</w:t>
            </w:r>
          </w:p>
        </w:tc>
        <w:tc>
          <w:tcPr>
            <w:tcW w:w="1087" w:type="dxa"/>
            <w:tcBorders>
              <w:top w:val="nil"/>
              <w:left w:val="nil"/>
              <w:bottom w:val="single" w:color="auto" w:sz="4" w:space="0"/>
              <w:right w:val="single" w:color="auto" w:sz="4" w:space="0"/>
            </w:tcBorders>
            <w:noWrap w:val="0"/>
            <w:vAlign w:val="center"/>
          </w:tcPr>
          <w:p w14:paraId="29D9C267">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万元</w:t>
            </w:r>
          </w:p>
        </w:tc>
        <w:tc>
          <w:tcPr>
            <w:tcW w:w="1775" w:type="dxa"/>
            <w:tcBorders>
              <w:top w:val="nil"/>
              <w:left w:val="nil"/>
              <w:bottom w:val="single" w:color="auto" w:sz="4" w:space="0"/>
              <w:right w:val="single" w:color="auto" w:sz="4" w:space="0"/>
            </w:tcBorders>
            <w:noWrap w:val="0"/>
            <w:vAlign w:val="center"/>
          </w:tcPr>
          <w:p w14:paraId="71A25FFC">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10000</w:t>
            </w:r>
          </w:p>
        </w:tc>
        <w:tc>
          <w:tcPr>
            <w:tcW w:w="1765" w:type="dxa"/>
            <w:tcBorders>
              <w:top w:val="nil"/>
              <w:left w:val="nil"/>
              <w:bottom w:val="single" w:color="auto" w:sz="4" w:space="0"/>
              <w:right w:val="single" w:color="auto" w:sz="4" w:space="0"/>
            </w:tcBorders>
            <w:noWrap w:val="0"/>
            <w:vAlign w:val="center"/>
          </w:tcPr>
          <w:p w14:paraId="6B69B88F">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2000</w:t>
            </w:r>
          </w:p>
        </w:tc>
        <w:tc>
          <w:tcPr>
            <w:tcW w:w="993" w:type="dxa"/>
            <w:tcBorders>
              <w:top w:val="nil"/>
              <w:left w:val="nil"/>
              <w:bottom w:val="single" w:color="auto" w:sz="4" w:space="0"/>
              <w:right w:val="single" w:color="auto" w:sz="4" w:space="0"/>
            </w:tcBorders>
            <w:noWrap w:val="0"/>
            <w:vAlign w:val="center"/>
          </w:tcPr>
          <w:p w14:paraId="7FBBA407">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w:t>
            </w:r>
          </w:p>
        </w:tc>
      </w:tr>
      <w:tr w14:paraId="633FF7AF">
        <w:tblPrEx>
          <w:tblCellMar>
            <w:top w:w="0" w:type="dxa"/>
            <w:left w:w="108" w:type="dxa"/>
            <w:bottom w:w="0" w:type="dxa"/>
            <w:right w:w="108" w:type="dxa"/>
          </w:tblCellMar>
        </w:tblPrEx>
        <w:trPr>
          <w:trHeight w:val="363" w:hRule="atLeast"/>
          <w:jc w:val="center"/>
        </w:trPr>
        <w:tc>
          <w:tcPr>
            <w:tcW w:w="2035" w:type="dxa"/>
            <w:vMerge w:val="restart"/>
            <w:tcBorders>
              <w:top w:val="nil"/>
              <w:left w:val="single" w:color="auto" w:sz="4" w:space="0"/>
              <w:bottom w:val="single" w:color="auto" w:sz="4" w:space="0"/>
              <w:right w:val="single" w:color="auto" w:sz="4" w:space="0"/>
            </w:tcBorders>
            <w:noWrap w:val="0"/>
            <w:vAlign w:val="center"/>
          </w:tcPr>
          <w:p w14:paraId="0C1BA02F">
            <w:pPr>
              <w:widowControl/>
              <w:shd w:val="clear" w:color="auto" w:fill="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信息传输业</w:t>
            </w:r>
          </w:p>
        </w:tc>
        <w:tc>
          <w:tcPr>
            <w:tcW w:w="1642" w:type="dxa"/>
            <w:tcBorders>
              <w:top w:val="nil"/>
              <w:left w:val="nil"/>
              <w:bottom w:val="single" w:color="auto" w:sz="4" w:space="0"/>
              <w:right w:val="single" w:color="auto" w:sz="4" w:space="0"/>
            </w:tcBorders>
            <w:noWrap w:val="0"/>
            <w:vAlign w:val="center"/>
          </w:tcPr>
          <w:p w14:paraId="1AD76DA9">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从业人员（X）</w:t>
            </w:r>
          </w:p>
        </w:tc>
        <w:tc>
          <w:tcPr>
            <w:tcW w:w="1087" w:type="dxa"/>
            <w:tcBorders>
              <w:top w:val="nil"/>
              <w:left w:val="nil"/>
              <w:bottom w:val="single" w:color="auto" w:sz="4" w:space="0"/>
              <w:right w:val="single" w:color="auto" w:sz="4" w:space="0"/>
            </w:tcBorders>
            <w:noWrap w:val="0"/>
            <w:vAlign w:val="center"/>
          </w:tcPr>
          <w:p w14:paraId="591E3A32">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人</w:t>
            </w:r>
          </w:p>
        </w:tc>
        <w:tc>
          <w:tcPr>
            <w:tcW w:w="1775" w:type="dxa"/>
            <w:tcBorders>
              <w:top w:val="nil"/>
              <w:left w:val="nil"/>
              <w:bottom w:val="single" w:color="auto" w:sz="4" w:space="0"/>
              <w:right w:val="single" w:color="auto" w:sz="4" w:space="0"/>
            </w:tcBorders>
            <w:noWrap w:val="0"/>
            <w:vAlign w:val="center"/>
          </w:tcPr>
          <w:p w14:paraId="51A3666B">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2000</w:t>
            </w:r>
          </w:p>
        </w:tc>
        <w:tc>
          <w:tcPr>
            <w:tcW w:w="1765" w:type="dxa"/>
            <w:tcBorders>
              <w:top w:val="nil"/>
              <w:left w:val="nil"/>
              <w:bottom w:val="single" w:color="auto" w:sz="4" w:space="0"/>
              <w:right w:val="single" w:color="auto" w:sz="4" w:space="0"/>
            </w:tcBorders>
            <w:noWrap w:val="0"/>
            <w:vAlign w:val="center"/>
          </w:tcPr>
          <w:p w14:paraId="1BA63322">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w:t>
            </w:r>
          </w:p>
        </w:tc>
        <w:tc>
          <w:tcPr>
            <w:tcW w:w="993" w:type="dxa"/>
            <w:tcBorders>
              <w:top w:val="nil"/>
              <w:left w:val="nil"/>
              <w:bottom w:val="single" w:color="auto" w:sz="4" w:space="0"/>
              <w:right w:val="single" w:color="auto" w:sz="4" w:space="0"/>
            </w:tcBorders>
            <w:noWrap w:val="0"/>
            <w:vAlign w:val="center"/>
          </w:tcPr>
          <w:p w14:paraId="1D99C123">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w:t>
            </w:r>
          </w:p>
        </w:tc>
      </w:tr>
      <w:tr w14:paraId="390D864C">
        <w:tblPrEx>
          <w:tblCellMar>
            <w:top w:w="0" w:type="dxa"/>
            <w:left w:w="108" w:type="dxa"/>
            <w:bottom w:w="0" w:type="dxa"/>
            <w:right w:w="108" w:type="dxa"/>
          </w:tblCellMar>
        </w:tblPrEx>
        <w:trPr>
          <w:trHeight w:val="363" w:hRule="atLeast"/>
          <w:jc w:val="center"/>
        </w:trPr>
        <w:tc>
          <w:tcPr>
            <w:tcW w:w="2035" w:type="dxa"/>
            <w:vMerge w:val="continue"/>
            <w:tcBorders>
              <w:top w:val="nil"/>
              <w:left w:val="single" w:color="auto" w:sz="4" w:space="0"/>
              <w:bottom w:val="single" w:color="auto" w:sz="4" w:space="0"/>
              <w:right w:val="single" w:color="auto" w:sz="4" w:space="0"/>
            </w:tcBorders>
            <w:noWrap w:val="0"/>
            <w:vAlign w:val="center"/>
          </w:tcPr>
          <w:p w14:paraId="6137C938">
            <w:pPr>
              <w:widowControl/>
              <w:shd w:val="clear" w:color="auto" w:fill="auto"/>
              <w:jc w:val="center"/>
              <w:rPr>
                <w:rFonts w:hint="eastAsia" w:asciiTheme="minorEastAsia" w:hAnsiTheme="minorEastAsia" w:eastAsiaTheme="minorEastAsia" w:cstheme="minorEastAsia"/>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E28CF73">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营业收入（Y）</w:t>
            </w:r>
          </w:p>
        </w:tc>
        <w:tc>
          <w:tcPr>
            <w:tcW w:w="1087" w:type="dxa"/>
            <w:tcBorders>
              <w:top w:val="nil"/>
              <w:left w:val="nil"/>
              <w:bottom w:val="single" w:color="auto" w:sz="4" w:space="0"/>
              <w:right w:val="single" w:color="auto" w:sz="4" w:space="0"/>
            </w:tcBorders>
            <w:noWrap w:val="0"/>
            <w:vAlign w:val="center"/>
          </w:tcPr>
          <w:p w14:paraId="08CAF2F3">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万元</w:t>
            </w:r>
          </w:p>
        </w:tc>
        <w:tc>
          <w:tcPr>
            <w:tcW w:w="1775" w:type="dxa"/>
            <w:tcBorders>
              <w:top w:val="nil"/>
              <w:left w:val="nil"/>
              <w:bottom w:val="single" w:color="auto" w:sz="4" w:space="0"/>
              <w:right w:val="single" w:color="auto" w:sz="4" w:space="0"/>
            </w:tcBorders>
            <w:noWrap w:val="0"/>
            <w:vAlign w:val="center"/>
          </w:tcPr>
          <w:p w14:paraId="0365F778">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100000</w:t>
            </w:r>
          </w:p>
        </w:tc>
        <w:tc>
          <w:tcPr>
            <w:tcW w:w="1765" w:type="dxa"/>
            <w:tcBorders>
              <w:top w:val="nil"/>
              <w:left w:val="nil"/>
              <w:bottom w:val="single" w:color="auto" w:sz="4" w:space="0"/>
              <w:right w:val="single" w:color="auto" w:sz="4" w:space="0"/>
            </w:tcBorders>
            <w:noWrap w:val="0"/>
            <w:vAlign w:val="center"/>
          </w:tcPr>
          <w:p w14:paraId="6490DEC9">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1000</w:t>
            </w:r>
          </w:p>
        </w:tc>
        <w:tc>
          <w:tcPr>
            <w:tcW w:w="993" w:type="dxa"/>
            <w:tcBorders>
              <w:top w:val="nil"/>
              <w:left w:val="nil"/>
              <w:bottom w:val="single" w:color="auto" w:sz="4" w:space="0"/>
              <w:right w:val="single" w:color="auto" w:sz="4" w:space="0"/>
            </w:tcBorders>
            <w:noWrap w:val="0"/>
            <w:vAlign w:val="center"/>
          </w:tcPr>
          <w:p w14:paraId="33336D7E">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w:t>
            </w:r>
          </w:p>
        </w:tc>
      </w:tr>
      <w:tr w14:paraId="237C4775">
        <w:tblPrEx>
          <w:tblCellMar>
            <w:top w:w="0" w:type="dxa"/>
            <w:left w:w="108" w:type="dxa"/>
            <w:bottom w:w="0" w:type="dxa"/>
            <w:right w:w="108" w:type="dxa"/>
          </w:tblCellMar>
        </w:tblPrEx>
        <w:trPr>
          <w:trHeight w:val="363" w:hRule="atLeast"/>
          <w:jc w:val="center"/>
        </w:trPr>
        <w:tc>
          <w:tcPr>
            <w:tcW w:w="2035" w:type="dxa"/>
            <w:vMerge w:val="restart"/>
            <w:tcBorders>
              <w:top w:val="nil"/>
              <w:left w:val="single" w:color="auto" w:sz="4" w:space="0"/>
              <w:bottom w:val="single" w:color="auto" w:sz="4" w:space="0"/>
              <w:right w:val="single" w:color="auto" w:sz="4" w:space="0"/>
            </w:tcBorders>
            <w:noWrap w:val="0"/>
            <w:vAlign w:val="center"/>
          </w:tcPr>
          <w:p w14:paraId="45A3250B">
            <w:pPr>
              <w:widowControl/>
              <w:shd w:val="clear" w:color="auto" w:fill="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软件和信息技术服务业</w:t>
            </w:r>
          </w:p>
        </w:tc>
        <w:tc>
          <w:tcPr>
            <w:tcW w:w="1642" w:type="dxa"/>
            <w:tcBorders>
              <w:top w:val="nil"/>
              <w:left w:val="nil"/>
              <w:bottom w:val="single" w:color="auto" w:sz="4" w:space="0"/>
              <w:right w:val="single" w:color="auto" w:sz="4" w:space="0"/>
            </w:tcBorders>
            <w:noWrap w:val="0"/>
            <w:vAlign w:val="center"/>
          </w:tcPr>
          <w:p w14:paraId="34D9569E">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从业人员（X）</w:t>
            </w:r>
          </w:p>
        </w:tc>
        <w:tc>
          <w:tcPr>
            <w:tcW w:w="1087" w:type="dxa"/>
            <w:tcBorders>
              <w:top w:val="nil"/>
              <w:left w:val="nil"/>
              <w:bottom w:val="single" w:color="auto" w:sz="4" w:space="0"/>
              <w:right w:val="single" w:color="auto" w:sz="4" w:space="0"/>
            </w:tcBorders>
            <w:noWrap w:val="0"/>
            <w:vAlign w:val="center"/>
          </w:tcPr>
          <w:p w14:paraId="2CBE33E3">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人</w:t>
            </w:r>
          </w:p>
        </w:tc>
        <w:tc>
          <w:tcPr>
            <w:tcW w:w="1775" w:type="dxa"/>
            <w:tcBorders>
              <w:top w:val="nil"/>
              <w:left w:val="nil"/>
              <w:bottom w:val="single" w:color="auto" w:sz="4" w:space="0"/>
              <w:right w:val="single" w:color="auto" w:sz="4" w:space="0"/>
            </w:tcBorders>
            <w:noWrap w:val="0"/>
            <w:vAlign w:val="center"/>
          </w:tcPr>
          <w:p w14:paraId="7F7F41B3">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300</w:t>
            </w:r>
          </w:p>
        </w:tc>
        <w:tc>
          <w:tcPr>
            <w:tcW w:w="1765" w:type="dxa"/>
            <w:tcBorders>
              <w:top w:val="nil"/>
              <w:left w:val="nil"/>
              <w:bottom w:val="single" w:color="auto" w:sz="4" w:space="0"/>
              <w:right w:val="single" w:color="auto" w:sz="4" w:space="0"/>
            </w:tcBorders>
            <w:noWrap w:val="0"/>
            <w:vAlign w:val="center"/>
          </w:tcPr>
          <w:p w14:paraId="16AC7160">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w:t>
            </w:r>
          </w:p>
        </w:tc>
        <w:tc>
          <w:tcPr>
            <w:tcW w:w="993" w:type="dxa"/>
            <w:tcBorders>
              <w:top w:val="nil"/>
              <w:left w:val="nil"/>
              <w:bottom w:val="single" w:color="auto" w:sz="4" w:space="0"/>
              <w:right w:val="single" w:color="auto" w:sz="4" w:space="0"/>
            </w:tcBorders>
            <w:noWrap w:val="0"/>
            <w:vAlign w:val="center"/>
          </w:tcPr>
          <w:p w14:paraId="045CC534">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w:t>
            </w:r>
          </w:p>
        </w:tc>
      </w:tr>
      <w:tr w14:paraId="1A0A93A2">
        <w:tblPrEx>
          <w:tblCellMar>
            <w:top w:w="0" w:type="dxa"/>
            <w:left w:w="108" w:type="dxa"/>
            <w:bottom w:w="0" w:type="dxa"/>
            <w:right w:w="108" w:type="dxa"/>
          </w:tblCellMar>
        </w:tblPrEx>
        <w:trPr>
          <w:trHeight w:val="363" w:hRule="atLeast"/>
          <w:jc w:val="center"/>
        </w:trPr>
        <w:tc>
          <w:tcPr>
            <w:tcW w:w="2035" w:type="dxa"/>
            <w:vMerge w:val="continue"/>
            <w:tcBorders>
              <w:top w:val="nil"/>
              <w:left w:val="single" w:color="auto" w:sz="4" w:space="0"/>
              <w:bottom w:val="single" w:color="auto" w:sz="4" w:space="0"/>
              <w:right w:val="single" w:color="auto" w:sz="4" w:space="0"/>
            </w:tcBorders>
            <w:noWrap w:val="0"/>
            <w:vAlign w:val="center"/>
          </w:tcPr>
          <w:p w14:paraId="371BC0DA">
            <w:pPr>
              <w:widowControl/>
              <w:shd w:val="clear" w:color="auto" w:fill="auto"/>
              <w:jc w:val="center"/>
              <w:rPr>
                <w:rFonts w:hint="eastAsia" w:asciiTheme="minorEastAsia" w:hAnsiTheme="minorEastAsia" w:eastAsiaTheme="minorEastAsia" w:cstheme="minorEastAsia"/>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938412D">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营业收入（Y）</w:t>
            </w:r>
          </w:p>
        </w:tc>
        <w:tc>
          <w:tcPr>
            <w:tcW w:w="1087" w:type="dxa"/>
            <w:tcBorders>
              <w:top w:val="nil"/>
              <w:left w:val="nil"/>
              <w:bottom w:val="single" w:color="auto" w:sz="4" w:space="0"/>
              <w:right w:val="single" w:color="auto" w:sz="4" w:space="0"/>
            </w:tcBorders>
            <w:noWrap w:val="0"/>
            <w:vAlign w:val="center"/>
          </w:tcPr>
          <w:p w14:paraId="62EE4864">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万元</w:t>
            </w:r>
          </w:p>
        </w:tc>
        <w:tc>
          <w:tcPr>
            <w:tcW w:w="1775" w:type="dxa"/>
            <w:tcBorders>
              <w:top w:val="nil"/>
              <w:left w:val="nil"/>
              <w:bottom w:val="single" w:color="auto" w:sz="4" w:space="0"/>
              <w:right w:val="single" w:color="auto" w:sz="4" w:space="0"/>
            </w:tcBorders>
            <w:noWrap w:val="0"/>
            <w:vAlign w:val="center"/>
          </w:tcPr>
          <w:p w14:paraId="26E6071C">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10000</w:t>
            </w:r>
          </w:p>
        </w:tc>
        <w:tc>
          <w:tcPr>
            <w:tcW w:w="1765" w:type="dxa"/>
            <w:tcBorders>
              <w:top w:val="nil"/>
              <w:left w:val="nil"/>
              <w:bottom w:val="single" w:color="auto" w:sz="4" w:space="0"/>
              <w:right w:val="single" w:color="auto" w:sz="4" w:space="0"/>
            </w:tcBorders>
            <w:noWrap w:val="0"/>
            <w:vAlign w:val="center"/>
          </w:tcPr>
          <w:p w14:paraId="69F66A07">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1000</w:t>
            </w:r>
          </w:p>
        </w:tc>
        <w:tc>
          <w:tcPr>
            <w:tcW w:w="993" w:type="dxa"/>
            <w:tcBorders>
              <w:top w:val="nil"/>
              <w:left w:val="nil"/>
              <w:bottom w:val="single" w:color="auto" w:sz="4" w:space="0"/>
              <w:right w:val="single" w:color="auto" w:sz="4" w:space="0"/>
            </w:tcBorders>
            <w:noWrap w:val="0"/>
            <w:vAlign w:val="center"/>
          </w:tcPr>
          <w:p w14:paraId="5A867FD7">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50</w:t>
            </w:r>
          </w:p>
        </w:tc>
      </w:tr>
      <w:tr w14:paraId="2CFF9479">
        <w:tblPrEx>
          <w:tblCellMar>
            <w:top w:w="0" w:type="dxa"/>
            <w:left w:w="108" w:type="dxa"/>
            <w:bottom w:w="0" w:type="dxa"/>
            <w:right w:w="108" w:type="dxa"/>
          </w:tblCellMar>
        </w:tblPrEx>
        <w:trPr>
          <w:trHeight w:val="363" w:hRule="atLeast"/>
          <w:jc w:val="center"/>
        </w:trPr>
        <w:tc>
          <w:tcPr>
            <w:tcW w:w="2035" w:type="dxa"/>
            <w:vMerge w:val="restart"/>
            <w:tcBorders>
              <w:top w:val="nil"/>
              <w:left w:val="single" w:color="auto" w:sz="4" w:space="0"/>
              <w:bottom w:val="single" w:color="auto" w:sz="4" w:space="0"/>
              <w:right w:val="single" w:color="auto" w:sz="4" w:space="0"/>
            </w:tcBorders>
            <w:noWrap w:val="0"/>
            <w:vAlign w:val="center"/>
          </w:tcPr>
          <w:p w14:paraId="4E509725">
            <w:pPr>
              <w:widowControl/>
              <w:shd w:val="clear" w:color="auto" w:fill="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房地产开发经营</w:t>
            </w:r>
          </w:p>
        </w:tc>
        <w:tc>
          <w:tcPr>
            <w:tcW w:w="1642" w:type="dxa"/>
            <w:tcBorders>
              <w:top w:val="nil"/>
              <w:left w:val="nil"/>
              <w:bottom w:val="single" w:color="auto" w:sz="4" w:space="0"/>
              <w:right w:val="single" w:color="auto" w:sz="4" w:space="0"/>
            </w:tcBorders>
            <w:noWrap w:val="0"/>
            <w:vAlign w:val="center"/>
          </w:tcPr>
          <w:p w14:paraId="597731F0">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营业收入（Y）</w:t>
            </w:r>
          </w:p>
        </w:tc>
        <w:tc>
          <w:tcPr>
            <w:tcW w:w="1087" w:type="dxa"/>
            <w:tcBorders>
              <w:top w:val="nil"/>
              <w:left w:val="nil"/>
              <w:bottom w:val="single" w:color="auto" w:sz="4" w:space="0"/>
              <w:right w:val="single" w:color="auto" w:sz="4" w:space="0"/>
            </w:tcBorders>
            <w:noWrap w:val="0"/>
            <w:vAlign w:val="center"/>
          </w:tcPr>
          <w:p w14:paraId="21B790D1">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万元</w:t>
            </w:r>
          </w:p>
        </w:tc>
        <w:tc>
          <w:tcPr>
            <w:tcW w:w="1775" w:type="dxa"/>
            <w:tcBorders>
              <w:top w:val="nil"/>
              <w:left w:val="nil"/>
              <w:bottom w:val="single" w:color="auto" w:sz="4" w:space="0"/>
              <w:right w:val="single" w:color="auto" w:sz="4" w:space="0"/>
            </w:tcBorders>
            <w:noWrap w:val="0"/>
            <w:vAlign w:val="center"/>
          </w:tcPr>
          <w:p w14:paraId="6CCBCCF5">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200000</w:t>
            </w:r>
          </w:p>
        </w:tc>
        <w:tc>
          <w:tcPr>
            <w:tcW w:w="1765" w:type="dxa"/>
            <w:tcBorders>
              <w:top w:val="nil"/>
              <w:left w:val="nil"/>
              <w:bottom w:val="single" w:color="auto" w:sz="4" w:space="0"/>
              <w:right w:val="single" w:color="auto" w:sz="4" w:space="0"/>
            </w:tcBorders>
            <w:noWrap w:val="0"/>
            <w:vAlign w:val="center"/>
          </w:tcPr>
          <w:p w14:paraId="36F93277">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1000</w:t>
            </w:r>
          </w:p>
        </w:tc>
        <w:tc>
          <w:tcPr>
            <w:tcW w:w="993" w:type="dxa"/>
            <w:tcBorders>
              <w:top w:val="nil"/>
              <w:left w:val="nil"/>
              <w:bottom w:val="single" w:color="auto" w:sz="4" w:space="0"/>
              <w:right w:val="single" w:color="auto" w:sz="4" w:space="0"/>
            </w:tcBorders>
            <w:noWrap w:val="0"/>
            <w:vAlign w:val="center"/>
          </w:tcPr>
          <w:p w14:paraId="65AE0E8B">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w:t>
            </w:r>
          </w:p>
        </w:tc>
      </w:tr>
      <w:tr w14:paraId="37E8CBC0">
        <w:tblPrEx>
          <w:tblCellMar>
            <w:top w:w="0" w:type="dxa"/>
            <w:left w:w="108" w:type="dxa"/>
            <w:bottom w:w="0" w:type="dxa"/>
            <w:right w:w="108" w:type="dxa"/>
          </w:tblCellMar>
        </w:tblPrEx>
        <w:trPr>
          <w:trHeight w:val="363" w:hRule="atLeast"/>
          <w:jc w:val="center"/>
        </w:trPr>
        <w:tc>
          <w:tcPr>
            <w:tcW w:w="2035" w:type="dxa"/>
            <w:vMerge w:val="continue"/>
            <w:tcBorders>
              <w:top w:val="nil"/>
              <w:left w:val="single" w:color="auto" w:sz="4" w:space="0"/>
              <w:bottom w:val="single" w:color="auto" w:sz="4" w:space="0"/>
              <w:right w:val="single" w:color="auto" w:sz="4" w:space="0"/>
            </w:tcBorders>
            <w:noWrap w:val="0"/>
            <w:vAlign w:val="center"/>
          </w:tcPr>
          <w:p w14:paraId="5F0CB586">
            <w:pPr>
              <w:widowControl/>
              <w:shd w:val="clear" w:color="auto" w:fill="auto"/>
              <w:jc w:val="center"/>
              <w:rPr>
                <w:rFonts w:hint="eastAsia" w:asciiTheme="minorEastAsia" w:hAnsiTheme="minorEastAsia" w:eastAsiaTheme="minorEastAsia" w:cstheme="minorEastAsia"/>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74F2DF8E">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资产总额（Z）</w:t>
            </w:r>
          </w:p>
        </w:tc>
        <w:tc>
          <w:tcPr>
            <w:tcW w:w="1087" w:type="dxa"/>
            <w:tcBorders>
              <w:top w:val="nil"/>
              <w:left w:val="nil"/>
              <w:bottom w:val="single" w:color="auto" w:sz="4" w:space="0"/>
              <w:right w:val="single" w:color="auto" w:sz="4" w:space="0"/>
            </w:tcBorders>
            <w:noWrap w:val="0"/>
            <w:vAlign w:val="center"/>
          </w:tcPr>
          <w:p w14:paraId="19E415CE">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万元</w:t>
            </w:r>
          </w:p>
        </w:tc>
        <w:tc>
          <w:tcPr>
            <w:tcW w:w="1775" w:type="dxa"/>
            <w:tcBorders>
              <w:top w:val="nil"/>
              <w:left w:val="nil"/>
              <w:bottom w:val="single" w:color="auto" w:sz="4" w:space="0"/>
              <w:right w:val="single" w:color="auto" w:sz="4" w:space="0"/>
            </w:tcBorders>
            <w:noWrap w:val="0"/>
            <w:vAlign w:val="center"/>
          </w:tcPr>
          <w:p w14:paraId="61F8BD32">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5000≤Z</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10000</w:t>
            </w:r>
          </w:p>
        </w:tc>
        <w:tc>
          <w:tcPr>
            <w:tcW w:w="1765" w:type="dxa"/>
            <w:tcBorders>
              <w:top w:val="nil"/>
              <w:left w:val="nil"/>
              <w:bottom w:val="single" w:color="auto" w:sz="4" w:space="0"/>
              <w:right w:val="single" w:color="auto" w:sz="4" w:space="0"/>
            </w:tcBorders>
            <w:noWrap w:val="0"/>
            <w:vAlign w:val="center"/>
          </w:tcPr>
          <w:p w14:paraId="645683E0">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5000</w:t>
            </w:r>
          </w:p>
        </w:tc>
        <w:tc>
          <w:tcPr>
            <w:tcW w:w="993" w:type="dxa"/>
            <w:tcBorders>
              <w:top w:val="nil"/>
              <w:left w:val="nil"/>
              <w:bottom w:val="single" w:color="auto" w:sz="4" w:space="0"/>
              <w:right w:val="single" w:color="auto" w:sz="4" w:space="0"/>
            </w:tcBorders>
            <w:noWrap w:val="0"/>
            <w:vAlign w:val="center"/>
          </w:tcPr>
          <w:p w14:paraId="023723E8">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2000</w:t>
            </w:r>
          </w:p>
        </w:tc>
      </w:tr>
      <w:tr w14:paraId="61324BA7">
        <w:tblPrEx>
          <w:tblCellMar>
            <w:top w:w="0" w:type="dxa"/>
            <w:left w:w="108" w:type="dxa"/>
            <w:bottom w:w="0" w:type="dxa"/>
            <w:right w:w="108" w:type="dxa"/>
          </w:tblCellMar>
        </w:tblPrEx>
        <w:trPr>
          <w:trHeight w:val="363" w:hRule="atLeast"/>
          <w:jc w:val="center"/>
        </w:trPr>
        <w:tc>
          <w:tcPr>
            <w:tcW w:w="2035" w:type="dxa"/>
            <w:vMerge w:val="restart"/>
            <w:tcBorders>
              <w:top w:val="nil"/>
              <w:left w:val="single" w:color="auto" w:sz="4" w:space="0"/>
              <w:bottom w:val="single" w:color="auto" w:sz="4" w:space="0"/>
              <w:right w:val="single" w:color="auto" w:sz="4" w:space="0"/>
            </w:tcBorders>
            <w:noWrap w:val="0"/>
            <w:vAlign w:val="center"/>
          </w:tcPr>
          <w:p w14:paraId="14F372A2">
            <w:pPr>
              <w:widowControl/>
              <w:shd w:val="clear" w:color="auto" w:fill="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物业管理</w:t>
            </w:r>
          </w:p>
        </w:tc>
        <w:tc>
          <w:tcPr>
            <w:tcW w:w="1642" w:type="dxa"/>
            <w:tcBorders>
              <w:top w:val="nil"/>
              <w:left w:val="nil"/>
              <w:bottom w:val="single" w:color="auto" w:sz="4" w:space="0"/>
              <w:right w:val="single" w:color="auto" w:sz="4" w:space="0"/>
            </w:tcBorders>
            <w:noWrap w:val="0"/>
            <w:vAlign w:val="center"/>
          </w:tcPr>
          <w:p w14:paraId="1C10E981">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从业人员（X）</w:t>
            </w:r>
          </w:p>
        </w:tc>
        <w:tc>
          <w:tcPr>
            <w:tcW w:w="1087" w:type="dxa"/>
            <w:tcBorders>
              <w:top w:val="nil"/>
              <w:left w:val="nil"/>
              <w:bottom w:val="single" w:color="auto" w:sz="4" w:space="0"/>
              <w:right w:val="single" w:color="auto" w:sz="4" w:space="0"/>
            </w:tcBorders>
            <w:noWrap w:val="0"/>
            <w:vAlign w:val="center"/>
          </w:tcPr>
          <w:p w14:paraId="6C66C59B">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人</w:t>
            </w:r>
          </w:p>
        </w:tc>
        <w:tc>
          <w:tcPr>
            <w:tcW w:w="1775" w:type="dxa"/>
            <w:tcBorders>
              <w:top w:val="nil"/>
              <w:left w:val="nil"/>
              <w:bottom w:val="single" w:color="auto" w:sz="4" w:space="0"/>
              <w:right w:val="single" w:color="auto" w:sz="4" w:space="0"/>
            </w:tcBorders>
            <w:noWrap w:val="0"/>
            <w:vAlign w:val="center"/>
          </w:tcPr>
          <w:p w14:paraId="07B80695">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300≤X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1000</w:t>
            </w:r>
          </w:p>
        </w:tc>
        <w:tc>
          <w:tcPr>
            <w:tcW w:w="1765" w:type="dxa"/>
            <w:tcBorders>
              <w:top w:val="nil"/>
              <w:left w:val="nil"/>
              <w:bottom w:val="single" w:color="auto" w:sz="4" w:space="0"/>
              <w:right w:val="single" w:color="auto" w:sz="4" w:space="0"/>
            </w:tcBorders>
            <w:noWrap w:val="0"/>
            <w:vAlign w:val="center"/>
          </w:tcPr>
          <w:p w14:paraId="17E91055">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300</w:t>
            </w:r>
          </w:p>
        </w:tc>
        <w:tc>
          <w:tcPr>
            <w:tcW w:w="993" w:type="dxa"/>
            <w:tcBorders>
              <w:top w:val="nil"/>
              <w:left w:val="nil"/>
              <w:bottom w:val="single" w:color="auto" w:sz="4" w:space="0"/>
              <w:right w:val="single" w:color="auto" w:sz="4" w:space="0"/>
            </w:tcBorders>
            <w:noWrap w:val="0"/>
            <w:vAlign w:val="center"/>
          </w:tcPr>
          <w:p w14:paraId="33B365BF">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w:t>
            </w:r>
          </w:p>
        </w:tc>
      </w:tr>
      <w:tr w14:paraId="6775E037">
        <w:tblPrEx>
          <w:tblCellMar>
            <w:top w:w="0" w:type="dxa"/>
            <w:left w:w="108" w:type="dxa"/>
            <w:bottom w:w="0" w:type="dxa"/>
            <w:right w:w="108" w:type="dxa"/>
          </w:tblCellMar>
        </w:tblPrEx>
        <w:trPr>
          <w:trHeight w:val="363" w:hRule="atLeast"/>
          <w:jc w:val="center"/>
        </w:trPr>
        <w:tc>
          <w:tcPr>
            <w:tcW w:w="2035" w:type="dxa"/>
            <w:vMerge w:val="continue"/>
            <w:tcBorders>
              <w:top w:val="nil"/>
              <w:left w:val="single" w:color="auto" w:sz="4" w:space="0"/>
              <w:bottom w:val="single" w:color="auto" w:sz="4" w:space="0"/>
              <w:right w:val="single" w:color="auto" w:sz="4" w:space="0"/>
            </w:tcBorders>
            <w:noWrap w:val="0"/>
            <w:vAlign w:val="center"/>
          </w:tcPr>
          <w:p w14:paraId="07420084">
            <w:pPr>
              <w:widowControl/>
              <w:shd w:val="clear" w:color="auto" w:fill="auto"/>
              <w:jc w:val="center"/>
              <w:rPr>
                <w:rFonts w:hint="eastAsia" w:asciiTheme="minorEastAsia" w:hAnsiTheme="minorEastAsia" w:eastAsiaTheme="minorEastAsia" w:cstheme="minorEastAsia"/>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19796B6">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营业收入（Y）</w:t>
            </w:r>
          </w:p>
        </w:tc>
        <w:tc>
          <w:tcPr>
            <w:tcW w:w="1087" w:type="dxa"/>
            <w:tcBorders>
              <w:top w:val="nil"/>
              <w:left w:val="nil"/>
              <w:bottom w:val="single" w:color="auto" w:sz="4" w:space="0"/>
              <w:right w:val="single" w:color="auto" w:sz="4" w:space="0"/>
            </w:tcBorders>
            <w:noWrap w:val="0"/>
            <w:vAlign w:val="center"/>
          </w:tcPr>
          <w:p w14:paraId="3D8A7793">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万元</w:t>
            </w:r>
          </w:p>
        </w:tc>
        <w:tc>
          <w:tcPr>
            <w:tcW w:w="1775" w:type="dxa"/>
            <w:tcBorders>
              <w:top w:val="nil"/>
              <w:left w:val="nil"/>
              <w:bottom w:val="single" w:color="auto" w:sz="4" w:space="0"/>
              <w:right w:val="single" w:color="auto" w:sz="4" w:space="0"/>
            </w:tcBorders>
            <w:noWrap w:val="0"/>
            <w:vAlign w:val="center"/>
          </w:tcPr>
          <w:p w14:paraId="151ECB15">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5000</w:t>
            </w:r>
          </w:p>
        </w:tc>
        <w:tc>
          <w:tcPr>
            <w:tcW w:w="1765" w:type="dxa"/>
            <w:tcBorders>
              <w:top w:val="nil"/>
              <w:left w:val="nil"/>
              <w:bottom w:val="single" w:color="auto" w:sz="4" w:space="0"/>
              <w:right w:val="single" w:color="auto" w:sz="4" w:space="0"/>
            </w:tcBorders>
            <w:noWrap w:val="0"/>
            <w:vAlign w:val="center"/>
          </w:tcPr>
          <w:p w14:paraId="5F66F24E">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500≤Y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1000</w:t>
            </w:r>
          </w:p>
        </w:tc>
        <w:tc>
          <w:tcPr>
            <w:tcW w:w="993" w:type="dxa"/>
            <w:tcBorders>
              <w:top w:val="nil"/>
              <w:left w:val="nil"/>
              <w:bottom w:val="single" w:color="auto" w:sz="4" w:space="0"/>
              <w:right w:val="single" w:color="auto" w:sz="4" w:space="0"/>
            </w:tcBorders>
            <w:noWrap w:val="0"/>
            <w:vAlign w:val="center"/>
          </w:tcPr>
          <w:p w14:paraId="178E4A21">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500</w:t>
            </w:r>
          </w:p>
        </w:tc>
      </w:tr>
      <w:tr w14:paraId="251C5748">
        <w:tblPrEx>
          <w:tblCellMar>
            <w:top w:w="0" w:type="dxa"/>
            <w:left w:w="108" w:type="dxa"/>
            <w:bottom w:w="0" w:type="dxa"/>
            <w:right w:w="108" w:type="dxa"/>
          </w:tblCellMar>
        </w:tblPrEx>
        <w:trPr>
          <w:trHeight w:val="363" w:hRule="atLeast"/>
          <w:jc w:val="center"/>
        </w:trPr>
        <w:tc>
          <w:tcPr>
            <w:tcW w:w="2035" w:type="dxa"/>
            <w:vMerge w:val="restart"/>
            <w:tcBorders>
              <w:top w:val="nil"/>
              <w:left w:val="single" w:color="auto" w:sz="4" w:space="0"/>
              <w:bottom w:val="single" w:color="auto" w:sz="4" w:space="0"/>
              <w:right w:val="single" w:color="auto" w:sz="4" w:space="0"/>
            </w:tcBorders>
            <w:noWrap w:val="0"/>
            <w:vAlign w:val="center"/>
          </w:tcPr>
          <w:p w14:paraId="21E4577D">
            <w:pPr>
              <w:widowControl/>
              <w:shd w:val="clear" w:color="auto" w:fill="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租赁和商务服务业</w:t>
            </w:r>
          </w:p>
        </w:tc>
        <w:tc>
          <w:tcPr>
            <w:tcW w:w="1642" w:type="dxa"/>
            <w:tcBorders>
              <w:top w:val="nil"/>
              <w:left w:val="nil"/>
              <w:bottom w:val="single" w:color="auto" w:sz="4" w:space="0"/>
              <w:right w:val="single" w:color="auto" w:sz="4" w:space="0"/>
            </w:tcBorders>
            <w:noWrap w:val="0"/>
            <w:vAlign w:val="center"/>
          </w:tcPr>
          <w:p w14:paraId="5370CC3D">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从业人员（X）</w:t>
            </w:r>
          </w:p>
        </w:tc>
        <w:tc>
          <w:tcPr>
            <w:tcW w:w="1087" w:type="dxa"/>
            <w:tcBorders>
              <w:top w:val="nil"/>
              <w:left w:val="nil"/>
              <w:bottom w:val="single" w:color="auto" w:sz="4" w:space="0"/>
              <w:right w:val="single" w:color="auto" w:sz="4" w:space="0"/>
            </w:tcBorders>
            <w:noWrap w:val="0"/>
            <w:vAlign w:val="center"/>
          </w:tcPr>
          <w:p w14:paraId="4FEF2534">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人</w:t>
            </w:r>
          </w:p>
        </w:tc>
        <w:tc>
          <w:tcPr>
            <w:tcW w:w="1775" w:type="dxa"/>
            <w:tcBorders>
              <w:top w:val="nil"/>
              <w:left w:val="nil"/>
              <w:bottom w:val="single" w:color="auto" w:sz="4" w:space="0"/>
              <w:right w:val="single" w:color="auto" w:sz="4" w:space="0"/>
            </w:tcBorders>
            <w:noWrap w:val="0"/>
            <w:vAlign w:val="center"/>
          </w:tcPr>
          <w:p w14:paraId="096F36BB">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300</w:t>
            </w:r>
          </w:p>
        </w:tc>
        <w:tc>
          <w:tcPr>
            <w:tcW w:w="1765" w:type="dxa"/>
            <w:tcBorders>
              <w:top w:val="nil"/>
              <w:left w:val="nil"/>
              <w:bottom w:val="single" w:color="auto" w:sz="4" w:space="0"/>
              <w:right w:val="single" w:color="auto" w:sz="4" w:space="0"/>
            </w:tcBorders>
            <w:noWrap w:val="0"/>
            <w:vAlign w:val="center"/>
          </w:tcPr>
          <w:p w14:paraId="59774ECA">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w:t>
            </w:r>
          </w:p>
        </w:tc>
        <w:tc>
          <w:tcPr>
            <w:tcW w:w="993" w:type="dxa"/>
            <w:tcBorders>
              <w:top w:val="nil"/>
              <w:left w:val="nil"/>
              <w:bottom w:val="single" w:color="auto" w:sz="4" w:space="0"/>
              <w:right w:val="single" w:color="auto" w:sz="4" w:space="0"/>
            </w:tcBorders>
            <w:noWrap w:val="0"/>
            <w:vAlign w:val="center"/>
          </w:tcPr>
          <w:p w14:paraId="2BB2911C">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w:t>
            </w:r>
          </w:p>
        </w:tc>
      </w:tr>
      <w:tr w14:paraId="0D0FE4AA">
        <w:tblPrEx>
          <w:tblCellMar>
            <w:top w:w="0" w:type="dxa"/>
            <w:left w:w="108" w:type="dxa"/>
            <w:bottom w:w="0" w:type="dxa"/>
            <w:right w:w="108" w:type="dxa"/>
          </w:tblCellMar>
        </w:tblPrEx>
        <w:trPr>
          <w:trHeight w:val="363" w:hRule="atLeast"/>
          <w:jc w:val="center"/>
        </w:trPr>
        <w:tc>
          <w:tcPr>
            <w:tcW w:w="2035" w:type="dxa"/>
            <w:vMerge w:val="continue"/>
            <w:tcBorders>
              <w:top w:val="nil"/>
              <w:left w:val="single" w:color="auto" w:sz="4" w:space="0"/>
              <w:bottom w:val="single" w:color="auto" w:sz="4" w:space="0"/>
              <w:right w:val="single" w:color="auto" w:sz="4" w:space="0"/>
            </w:tcBorders>
            <w:noWrap w:val="0"/>
            <w:vAlign w:val="center"/>
          </w:tcPr>
          <w:p w14:paraId="3E6AB11D">
            <w:pPr>
              <w:widowControl/>
              <w:shd w:val="clear" w:color="auto" w:fill="auto"/>
              <w:jc w:val="center"/>
              <w:rPr>
                <w:rFonts w:hint="eastAsia" w:asciiTheme="minorEastAsia" w:hAnsiTheme="minorEastAsia" w:eastAsiaTheme="minorEastAsia" w:cstheme="minorEastAsia"/>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7C7A85D2">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资产总额（Z）</w:t>
            </w:r>
          </w:p>
        </w:tc>
        <w:tc>
          <w:tcPr>
            <w:tcW w:w="1087" w:type="dxa"/>
            <w:tcBorders>
              <w:top w:val="nil"/>
              <w:left w:val="nil"/>
              <w:bottom w:val="single" w:color="auto" w:sz="4" w:space="0"/>
              <w:right w:val="single" w:color="auto" w:sz="4" w:space="0"/>
            </w:tcBorders>
            <w:noWrap w:val="0"/>
            <w:vAlign w:val="center"/>
          </w:tcPr>
          <w:p w14:paraId="0BE2C5B3">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万元</w:t>
            </w:r>
          </w:p>
        </w:tc>
        <w:tc>
          <w:tcPr>
            <w:tcW w:w="1775" w:type="dxa"/>
            <w:tcBorders>
              <w:top w:val="nil"/>
              <w:left w:val="nil"/>
              <w:bottom w:val="single" w:color="auto" w:sz="4" w:space="0"/>
              <w:right w:val="single" w:color="auto" w:sz="4" w:space="0"/>
            </w:tcBorders>
            <w:noWrap w:val="0"/>
            <w:vAlign w:val="center"/>
          </w:tcPr>
          <w:p w14:paraId="454123BE">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8000≤Z</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120000</w:t>
            </w:r>
          </w:p>
        </w:tc>
        <w:tc>
          <w:tcPr>
            <w:tcW w:w="1765" w:type="dxa"/>
            <w:tcBorders>
              <w:top w:val="nil"/>
              <w:left w:val="nil"/>
              <w:bottom w:val="single" w:color="auto" w:sz="4" w:space="0"/>
              <w:right w:val="single" w:color="auto" w:sz="4" w:space="0"/>
            </w:tcBorders>
            <w:noWrap w:val="0"/>
            <w:vAlign w:val="center"/>
          </w:tcPr>
          <w:p w14:paraId="53F12636">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100≤Z</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8000</w:t>
            </w:r>
          </w:p>
        </w:tc>
        <w:tc>
          <w:tcPr>
            <w:tcW w:w="993" w:type="dxa"/>
            <w:tcBorders>
              <w:top w:val="nil"/>
              <w:left w:val="nil"/>
              <w:bottom w:val="single" w:color="auto" w:sz="4" w:space="0"/>
              <w:right w:val="single" w:color="auto" w:sz="4" w:space="0"/>
            </w:tcBorders>
            <w:noWrap w:val="0"/>
            <w:vAlign w:val="center"/>
          </w:tcPr>
          <w:p w14:paraId="72B15A5E">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Y</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w:t>
            </w:r>
          </w:p>
        </w:tc>
      </w:tr>
      <w:tr w14:paraId="7F3635CB">
        <w:tblPrEx>
          <w:tblCellMar>
            <w:top w:w="0" w:type="dxa"/>
            <w:left w:w="108" w:type="dxa"/>
            <w:bottom w:w="0" w:type="dxa"/>
            <w:right w:w="108" w:type="dxa"/>
          </w:tblCellMar>
        </w:tblPrEx>
        <w:trPr>
          <w:trHeight w:val="492" w:hRule="atLeast"/>
          <w:jc w:val="center"/>
        </w:trPr>
        <w:tc>
          <w:tcPr>
            <w:tcW w:w="2035" w:type="dxa"/>
            <w:tcBorders>
              <w:top w:val="nil"/>
              <w:left w:val="single" w:color="auto" w:sz="4" w:space="0"/>
              <w:bottom w:val="single" w:color="auto" w:sz="4" w:space="0"/>
              <w:right w:val="single" w:color="auto" w:sz="4" w:space="0"/>
            </w:tcBorders>
            <w:noWrap w:val="0"/>
            <w:vAlign w:val="center"/>
          </w:tcPr>
          <w:p w14:paraId="7B30D487">
            <w:pPr>
              <w:widowControl/>
              <w:shd w:val="clear" w:color="auto" w:fill="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其他未列明行业</w:t>
            </w:r>
          </w:p>
        </w:tc>
        <w:tc>
          <w:tcPr>
            <w:tcW w:w="1642" w:type="dxa"/>
            <w:tcBorders>
              <w:top w:val="nil"/>
              <w:left w:val="nil"/>
              <w:bottom w:val="single" w:color="auto" w:sz="4" w:space="0"/>
              <w:right w:val="single" w:color="auto" w:sz="4" w:space="0"/>
            </w:tcBorders>
            <w:noWrap w:val="0"/>
            <w:vAlign w:val="center"/>
          </w:tcPr>
          <w:p w14:paraId="1BD3F1BF">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从业人员（X）</w:t>
            </w:r>
          </w:p>
        </w:tc>
        <w:tc>
          <w:tcPr>
            <w:tcW w:w="1087" w:type="dxa"/>
            <w:tcBorders>
              <w:top w:val="nil"/>
              <w:left w:val="nil"/>
              <w:bottom w:val="single" w:color="auto" w:sz="4" w:space="0"/>
              <w:right w:val="single" w:color="auto" w:sz="4" w:space="0"/>
            </w:tcBorders>
            <w:noWrap w:val="0"/>
            <w:vAlign w:val="center"/>
          </w:tcPr>
          <w:p w14:paraId="2482466A">
            <w:pPr>
              <w:widowControl/>
              <w:shd w:val="clear" w:color="auto" w:fill="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人</w:t>
            </w:r>
          </w:p>
        </w:tc>
        <w:tc>
          <w:tcPr>
            <w:tcW w:w="1775" w:type="dxa"/>
            <w:tcBorders>
              <w:top w:val="nil"/>
              <w:left w:val="nil"/>
              <w:bottom w:val="single" w:color="auto" w:sz="4" w:space="0"/>
              <w:right w:val="single" w:color="auto" w:sz="4" w:space="0"/>
            </w:tcBorders>
            <w:noWrap w:val="0"/>
            <w:vAlign w:val="center"/>
          </w:tcPr>
          <w:p w14:paraId="33386F0C">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300</w:t>
            </w:r>
          </w:p>
        </w:tc>
        <w:tc>
          <w:tcPr>
            <w:tcW w:w="1765" w:type="dxa"/>
            <w:tcBorders>
              <w:top w:val="nil"/>
              <w:left w:val="nil"/>
              <w:bottom w:val="single" w:color="auto" w:sz="4" w:space="0"/>
              <w:right w:val="single" w:color="auto" w:sz="4" w:space="0"/>
            </w:tcBorders>
            <w:noWrap w:val="0"/>
            <w:vAlign w:val="center"/>
          </w:tcPr>
          <w:p w14:paraId="5AF7B699">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100</w:t>
            </w:r>
          </w:p>
        </w:tc>
        <w:tc>
          <w:tcPr>
            <w:tcW w:w="993" w:type="dxa"/>
            <w:tcBorders>
              <w:top w:val="nil"/>
              <w:left w:val="nil"/>
              <w:bottom w:val="single" w:color="auto" w:sz="4" w:space="0"/>
              <w:right w:val="single" w:color="auto" w:sz="4" w:space="0"/>
            </w:tcBorders>
            <w:noWrap w:val="0"/>
            <w:vAlign w:val="center"/>
          </w:tcPr>
          <w:p w14:paraId="4FDE74ED">
            <w:pPr>
              <w:widowControl/>
              <w:shd w:val="clear" w:color="auto" w:fill="auto"/>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X</w:t>
            </w:r>
            <w:r>
              <w:rPr>
                <w:rFonts w:hint="eastAsia" w:asciiTheme="minorEastAsia" w:hAnsiTheme="minorEastAsia" w:eastAsiaTheme="minorEastAsia" w:cstheme="minorEastAsia"/>
                <w:color w:val="auto"/>
                <w:kern w:val="0"/>
                <w:szCs w:val="21"/>
                <w:highlight w:val="none"/>
                <w:lang w:eastAsia="zh-CN"/>
              </w:rPr>
              <w:t>&lt;</w:t>
            </w:r>
            <w:r>
              <w:rPr>
                <w:rFonts w:hint="eastAsia" w:asciiTheme="minorEastAsia" w:hAnsiTheme="minorEastAsia" w:eastAsiaTheme="minorEastAsia" w:cstheme="minorEastAsia"/>
                <w:color w:val="auto"/>
                <w:kern w:val="0"/>
                <w:szCs w:val="21"/>
                <w:highlight w:val="none"/>
              </w:rPr>
              <w:t>10</w:t>
            </w:r>
          </w:p>
        </w:tc>
      </w:tr>
    </w:tbl>
    <w:p w14:paraId="41A7F627">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highlight w:val="none"/>
        </w:rPr>
        <w:t>说明：上述标准参照《关于印发中小企业划型标准规定的通知》（工信部联企业</w:t>
      </w:r>
      <w:r>
        <w:rPr>
          <w:rFonts w:hint="eastAsia" w:asciiTheme="minorEastAsia" w:hAnsiTheme="minorEastAsia" w:eastAsiaTheme="minorEastAsia" w:cstheme="minorEastAsia"/>
          <w:color w:val="auto"/>
          <w:sz w:val="24"/>
          <w:szCs w:val="24"/>
          <w:highlight w:val="none"/>
          <w:lang w:eastAsia="zh-CN"/>
        </w:rPr>
        <w:t>〔2011〕300号</w:t>
      </w:r>
      <w:r>
        <w:rPr>
          <w:rFonts w:hint="eastAsia" w:asciiTheme="minorEastAsia" w:hAnsiTheme="minorEastAsia" w:eastAsiaTheme="minorEastAsia" w:cstheme="minorEastAsia"/>
          <w:color w:val="auto"/>
          <w:sz w:val="24"/>
          <w:szCs w:val="24"/>
          <w:highlight w:val="none"/>
        </w:rPr>
        <w:t>），大型、中型和小型企业须同时满足所列指标的下限，否则下划一档；微型企业只</w:t>
      </w:r>
      <w:r>
        <w:rPr>
          <w:rFonts w:hint="eastAsia" w:asciiTheme="minorEastAsia" w:hAnsiTheme="minorEastAsia" w:eastAsiaTheme="minorEastAsia" w:cstheme="minorEastAsia"/>
          <w:color w:val="auto"/>
          <w:sz w:val="24"/>
          <w:szCs w:val="24"/>
          <w:highlight w:val="none"/>
          <w:lang w:eastAsia="zh-CN"/>
        </w:rPr>
        <w:t>需</w:t>
      </w:r>
      <w:r>
        <w:rPr>
          <w:rFonts w:hint="eastAsia" w:asciiTheme="minorEastAsia" w:hAnsiTheme="minorEastAsia" w:eastAsiaTheme="minorEastAsia" w:cstheme="minorEastAsia"/>
          <w:color w:val="auto"/>
          <w:sz w:val="24"/>
          <w:szCs w:val="24"/>
          <w:highlight w:val="none"/>
        </w:rPr>
        <w:t>满足所列指标中的一项即可。</w:t>
      </w:r>
    </w:p>
    <w:sectPr>
      <w:headerReference r:id="rId22" w:type="first"/>
      <w:footerReference r:id="rId24" w:type="first"/>
      <w:headerReference r:id="rId21" w:type="default"/>
      <w:footerReference r:id="rId23" w:type="default"/>
      <w:pgSz w:w="11906" w:h="16838"/>
      <w:pgMar w:top="1417" w:right="1418" w:bottom="1417" w:left="1134" w:header="794" w:footer="737" w:gutter="0"/>
      <w:pgNumType w:fmt="decimal"/>
      <w:cols w:space="720" w:num="1"/>
      <w:titlePg/>
      <w:docGrid w:type="linesAndChars" w:linePitch="312" w:charSpace="5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Kingsoft UE">
    <w:panose1 w:val="02000100010000000000"/>
    <w:charset w:val="00"/>
    <w:family w:val="auto"/>
    <w:pitch w:val="default"/>
    <w:sig w:usb0="00000001" w:usb1="00004000" w:usb2="00000000" w:usb3="00000000" w:csb0="0000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2040E">
    <w:pPr>
      <w:pStyle w:val="11"/>
      <w:tabs>
        <w:tab w:val="left" w:pos="8370"/>
        <w:tab w:val="right" w:pos="9639"/>
      </w:tabs>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DF721">
    <w:pPr>
      <w:pStyle w:val="11"/>
      <w:jc w:val="right"/>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A008F">
                          <w:pPr>
                            <w:pStyle w:val="11"/>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EA008F">
                    <w:pPr>
                      <w:pStyle w:val="11"/>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128B7">
    <w:pPr>
      <w:pStyle w:val="11"/>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39850">
                          <w:pPr>
                            <w:pStyle w:val="11"/>
                          </w:pPr>
                          <w:r>
                            <w:t xml:space="preserve">第 </w:t>
                          </w:r>
                          <w:r>
                            <w:fldChar w:fldCharType="begin"/>
                          </w:r>
                          <w:r>
                            <w:instrText xml:space="preserve"> PAGE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E139850">
                    <w:pPr>
                      <w:pStyle w:val="11"/>
                    </w:pPr>
                    <w:r>
                      <w:t xml:space="preserve">第 </w:t>
                    </w:r>
                    <w:r>
                      <w:fldChar w:fldCharType="begin"/>
                    </w:r>
                    <w:r>
                      <w:instrText xml:space="preserve"> PAGE  \* MERGEFORMAT </w:instrText>
                    </w:r>
                    <w:r>
                      <w:fldChar w:fldCharType="separate"/>
                    </w:r>
                    <w:r>
                      <w:t>44</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E38A">
    <w:pPr>
      <w:pStyle w:val="11"/>
      <w:jc w:val="right"/>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D9CA4">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1BD9CA4">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C6829">
    <w:pPr>
      <w:pStyle w:val="11"/>
      <w:jc w:val="right"/>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2EFEF">
                          <w:pPr>
                            <w:pStyle w:val="11"/>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232EFEF">
                    <w:pPr>
                      <w:pStyle w:val="11"/>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AF828">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045C1">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7F38">
    <w:pPr>
      <w:pStyle w:val="11"/>
      <w:ind w:firstLine="6120" w:firstLineChars="3400"/>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DCCAF">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4DCCAF">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3AA9C">
    <w:pPr>
      <w:pStyle w:val="11"/>
      <w:jc w:val="right"/>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23F29">
                          <w:pPr>
                            <w:pStyle w:val="11"/>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E23F29">
                    <w:pPr>
                      <w:pStyle w:val="11"/>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EC1C3">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FB95F">
                          <w:pPr>
                            <w:pStyle w:val="11"/>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EFB95F">
                    <w:pPr>
                      <w:pStyle w:val="11"/>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9422A">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94E53">
                          <w:pPr>
                            <w:pStyle w:val="11"/>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A794E53">
                    <w:pPr>
                      <w:pStyle w:val="11"/>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AAECF">
    <w:pPr>
      <w:pStyle w:val="11"/>
      <w:jc w:val="right"/>
      <w:rPr>
        <w:rFonts w:hint="eastAsia" w:eastAsia="宋体"/>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19B01">
                          <w:pPr>
                            <w:pStyle w:val="11"/>
                          </w:pPr>
                          <w:r>
                            <w:t xml:space="preserve">第 </w:t>
                          </w:r>
                          <w:r>
                            <w:fldChar w:fldCharType="begin"/>
                          </w:r>
                          <w:r>
                            <w:instrText xml:space="preserve"> PAGE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B419B01">
                    <w:pPr>
                      <w:pStyle w:val="11"/>
                    </w:pPr>
                    <w:r>
                      <w:t xml:space="preserve">第 </w:t>
                    </w:r>
                    <w:r>
                      <w:fldChar w:fldCharType="begin"/>
                    </w:r>
                    <w:r>
                      <w:instrText xml:space="preserve"> PAGE  \* MERGEFORMAT </w:instrText>
                    </w:r>
                    <w:r>
                      <w:fldChar w:fldCharType="separate"/>
                    </w:r>
                    <w:r>
                      <w:t>38</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00450">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93F41">
                          <w:pPr>
                            <w:pStyle w:val="11"/>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C293F41">
                    <w:pPr>
                      <w:pStyle w:val="11"/>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35FD5">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194AB">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5932E">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3019E">
    <w:pPr>
      <w:pStyle w:val="1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919D5">
    <w:pPr>
      <w:pStyle w:val="12"/>
      <w:jc w:val="both"/>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33C5">
    <w:pPr>
      <w:pStyle w:val="12"/>
      <w:pBdr>
        <w:bottom w:val="none" w:color="auto" w:sz="0" w:space="1"/>
      </w:pBdr>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1F6E3">
    <w:pPr>
      <w:pStyle w:val="12"/>
      <w:pBdr>
        <w:bottom w:val="none" w:color="auto" w:sz="0" w:space="1"/>
      </w:pBdr>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BD84D">
    <w:pPr>
      <w:pStyle w:val="12"/>
      <w:pBdr>
        <w:bottom w:val="none" w:color="auto" w:sz="0" w:space="1"/>
      </w:pBdr>
      <w:rPr>
        <w:rFonts w:hint="eastAsi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773DA">
    <w:pPr>
      <w:pStyle w:val="1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upperLetter"/>
      <w:pStyle w:val="3"/>
      <w:lvlText w:val="%1."/>
      <w:lvlJc w:val="left"/>
      <w:pPr>
        <w:tabs>
          <w:tab w:val="left" w:pos="330"/>
        </w:tabs>
        <w:ind w:left="330" w:hanging="330"/>
      </w:pPr>
    </w:lvl>
  </w:abstractNum>
  <w:abstractNum w:abstractNumId="1">
    <w:nsid w:val="0000000D"/>
    <w:multiLevelType w:val="multilevel"/>
    <w:tmpl w:val="0000000D"/>
    <w:lvl w:ilvl="0" w:tentative="0">
      <w:start w:val="1"/>
      <w:numFmt w:val="upperLetter"/>
      <w:pStyle w:val="5"/>
      <w:lvlText w:val="%1."/>
      <w:lvlJc w:val="left"/>
      <w:pPr>
        <w:tabs>
          <w:tab w:val="left" w:pos="435"/>
        </w:tabs>
        <w:ind w:left="859"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F"/>
    <w:multiLevelType w:val="multilevel"/>
    <w:tmpl w:val="0000000F"/>
    <w:lvl w:ilvl="0" w:tentative="0">
      <w:start w:val="1"/>
      <w:numFmt w:val="decimal"/>
      <w:pStyle w:val="42"/>
      <w:lvlText w:val="%1、"/>
      <w:lvlJc w:val="left"/>
      <w:pPr>
        <w:ind w:left="900" w:hanging="420"/>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13"/>
    <w:multiLevelType w:val="multilevel"/>
    <w:tmpl w:val="00000013"/>
    <w:lvl w:ilvl="0" w:tentative="0">
      <w:start w:val="1"/>
      <w:numFmt w:val="decimal"/>
      <w:lvlText w:val="（%1）"/>
      <w:lvlJc w:val="left"/>
      <w:pPr>
        <w:tabs>
          <w:tab w:val="left" w:pos="1080"/>
        </w:tabs>
        <w:ind w:left="1080" w:hanging="1080"/>
      </w:pPr>
    </w:lvl>
    <w:lvl w:ilvl="1" w:tentative="0">
      <w:start w:val="1"/>
      <w:numFmt w:val="bullet"/>
      <w:lvlText w:val=""/>
      <w:lvlJc w:val="left"/>
      <w:pPr>
        <w:tabs>
          <w:tab w:val="left" w:pos="600"/>
        </w:tabs>
        <w:ind w:left="60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591EB66"/>
    <w:multiLevelType w:val="multilevel"/>
    <w:tmpl w:val="4591EB66"/>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516A98E5"/>
    <w:multiLevelType w:val="singleLevel"/>
    <w:tmpl w:val="516A98E5"/>
    <w:lvl w:ilvl="0" w:tentative="0">
      <w:start w:val="1"/>
      <w:numFmt w:val="chineseCounting"/>
      <w:suff w:val="space"/>
      <w:lvlText w:val="第%1章"/>
      <w:lvlJc w:val="left"/>
      <w:rPr>
        <w:rFonts w:hint="eastAsia"/>
      </w:rPr>
    </w:lvl>
  </w:abstractNum>
  <w:abstractNum w:abstractNumId="6">
    <w:nsid w:val="673700A6"/>
    <w:multiLevelType w:val="multilevel"/>
    <w:tmpl w:val="673700A6"/>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5"/>
  </w:num>
  <w:num w:numId="5">
    <w:abstractNumId w:val="4"/>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kNTU5OTIzNGNkNDdiYWE5ODQ3OWZhMGE0NzlkNDkifQ=="/>
  </w:docVars>
  <w:rsids>
    <w:rsidRoot w:val="4F4C6CDE"/>
    <w:rsid w:val="001A64C4"/>
    <w:rsid w:val="00303842"/>
    <w:rsid w:val="00FC3E1B"/>
    <w:rsid w:val="02B77BC2"/>
    <w:rsid w:val="02BC11D2"/>
    <w:rsid w:val="02CB7F49"/>
    <w:rsid w:val="02DD1A2B"/>
    <w:rsid w:val="03AA5DB1"/>
    <w:rsid w:val="04BF0EA8"/>
    <w:rsid w:val="059B24B4"/>
    <w:rsid w:val="06B036DE"/>
    <w:rsid w:val="07773341"/>
    <w:rsid w:val="07A32937"/>
    <w:rsid w:val="07E04497"/>
    <w:rsid w:val="085A3B9C"/>
    <w:rsid w:val="08674270"/>
    <w:rsid w:val="08C92353"/>
    <w:rsid w:val="08EB6C4F"/>
    <w:rsid w:val="099A2423"/>
    <w:rsid w:val="09DA6A67"/>
    <w:rsid w:val="0A2F5262"/>
    <w:rsid w:val="0A856C30"/>
    <w:rsid w:val="0A9D21CB"/>
    <w:rsid w:val="0B1F2512"/>
    <w:rsid w:val="0BC800CF"/>
    <w:rsid w:val="0C7D6329"/>
    <w:rsid w:val="0D353133"/>
    <w:rsid w:val="0D865199"/>
    <w:rsid w:val="0E0802A4"/>
    <w:rsid w:val="0E1837F4"/>
    <w:rsid w:val="0E4A4228"/>
    <w:rsid w:val="0ED87C76"/>
    <w:rsid w:val="0EF645A0"/>
    <w:rsid w:val="0F803E6A"/>
    <w:rsid w:val="1001144E"/>
    <w:rsid w:val="10F20633"/>
    <w:rsid w:val="11052878"/>
    <w:rsid w:val="111176A4"/>
    <w:rsid w:val="11C52008"/>
    <w:rsid w:val="11D32976"/>
    <w:rsid w:val="122F0B9F"/>
    <w:rsid w:val="124B70BB"/>
    <w:rsid w:val="1262533E"/>
    <w:rsid w:val="126F08F1"/>
    <w:rsid w:val="12CF7A9D"/>
    <w:rsid w:val="13370CE3"/>
    <w:rsid w:val="135B619C"/>
    <w:rsid w:val="14711552"/>
    <w:rsid w:val="1490670C"/>
    <w:rsid w:val="15165D66"/>
    <w:rsid w:val="16092E0B"/>
    <w:rsid w:val="1626782C"/>
    <w:rsid w:val="16E178E4"/>
    <w:rsid w:val="170B670F"/>
    <w:rsid w:val="171E28E6"/>
    <w:rsid w:val="17D24F2E"/>
    <w:rsid w:val="188744BB"/>
    <w:rsid w:val="18EF1996"/>
    <w:rsid w:val="19664C7F"/>
    <w:rsid w:val="1A1A55E6"/>
    <w:rsid w:val="1AA44EB0"/>
    <w:rsid w:val="1B26313E"/>
    <w:rsid w:val="1B302BE8"/>
    <w:rsid w:val="1C9A2A0F"/>
    <w:rsid w:val="1CB3762C"/>
    <w:rsid w:val="1D02695C"/>
    <w:rsid w:val="1D3E0494"/>
    <w:rsid w:val="1D667969"/>
    <w:rsid w:val="1DAF6046"/>
    <w:rsid w:val="1E401E11"/>
    <w:rsid w:val="1EA2544E"/>
    <w:rsid w:val="1EA91422"/>
    <w:rsid w:val="1F6B4CBE"/>
    <w:rsid w:val="1FD46237"/>
    <w:rsid w:val="20366F5B"/>
    <w:rsid w:val="21674E89"/>
    <w:rsid w:val="21C978F2"/>
    <w:rsid w:val="221E7C3E"/>
    <w:rsid w:val="22205764"/>
    <w:rsid w:val="2262487E"/>
    <w:rsid w:val="22876CC8"/>
    <w:rsid w:val="22A438B2"/>
    <w:rsid w:val="22E5075C"/>
    <w:rsid w:val="23582CDC"/>
    <w:rsid w:val="23656850"/>
    <w:rsid w:val="243C43AB"/>
    <w:rsid w:val="24E34EEF"/>
    <w:rsid w:val="252E1F46"/>
    <w:rsid w:val="267732FF"/>
    <w:rsid w:val="26A61DEA"/>
    <w:rsid w:val="276A4DD6"/>
    <w:rsid w:val="277A5916"/>
    <w:rsid w:val="279114FD"/>
    <w:rsid w:val="282B09BF"/>
    <w:rsid w:val="28BE2C08"/>
    <w:rsid w:val="29A3227A"/>
    <w:rsid w:val="2B366D20"/>
    <w:rsid w:val="2B5D17D7"/>
    <w:rsid w:val="2B674404"/>
    <w:rsid w:val="2BF93B20"/>
    <w:rsid w:val="2C3D793F"/>
    <w:rsid w:val="2C934D84"/>
    <w:rsid w:val="2C994A91"/>
    <w:rsid w:val="2D6A1F89"/>
    <w:rsid w:val="2DA82BDF"/>
    <w:rsid w:val="2DBB27E5"/>
    <w:rsid w:val="2DE02E32"/>
    <w:rsid w:val="2E053A60"/>
    <w:rsid w:val="2E526C40"/>
    <w:rsid w:val="2E935510"/>
    <w:rsid w:val="2ED3590C"/>
    <w:rsid w:val="2F97321E"/>
    <w:rsid w:val="2FB83BB9"/>
    <w:rsid w:val="30006BD5"/>
    <w:rsid w:val="30217DA1"/>
    <w:rsid w:val="307A0735"/>
    <w:rsid w:val="30952DF4"/>
    <w:rsid w:val="3106646D"/>
    <w:rsid w:val="32632440"/>
    <w:rsid w:val="32841682"/>
    <w:rsid w:val="32B466D8"/>
    <w:rsid w:val="3308045F"/>
    <w:rsid w:val="336C5E4E"/>
    <w:rsid w:val="33D35617"/>
    <w:rsid w:val="34CD28E7"/>
    <w:rsid w:val="34EB4423"/>
    <w:rsid w:val="36484E32"/>
    <w:rsid w:val="3700570C"/>
    <w:rsid w:val="38BB18EB"/>
    <w:rsid w:val="38BE762D"/>
    <w:rsid w:val="38ED39D8"/>
    <w:rsid w:val="39CB0253"/>
    <w:rsid w:val="3A177E9C"/>
    <w:rsid w:val="3A4E590C"/>
    <w:rsid w:val="3AA60379"/>
    <w:rsid w:val="3ACA22B9"/>
    <w:rsid w:val="3B123BDB"/>
    <w:rsid w:val="3B44206B"/>
    <w:rsid w:val="3B563B4D"/>
    <w:rsid w:val="3B862684"/>
    <w:rsid w:val="3BC27434"/>
    <w:rsid w:val="3C606981"/>
    <w:rsid w:val="3C681D8A"/>
    <w:rsid w:val="3C6A2AF5"/>
    <w:rsid w:val="3C73623A"/>
    <w:rsid w:val="3D2E4D81"/>
    <w:rsid w:val="3D9B7F3D"/>
    <w:rsid w:val="3E7A6B61"/>
    <w:rsid w:val="40BF3DDF"/>
    <w:rsid w:val="41265D6F"/>
    <w:rsid w:val="416E310E"/>
    <w:rsid w:val="41904F6F"/>
    <w:rsid w:val="419D24D5"/>
    <w:rsid w:val="42480AD5"/>
    <w:rsid w:val="42703746"/>
    <w:rsid w:val="430D5439"/>
    <w:rsid w:val="43430E5B"/>
    <w:rsid w:val="4350280D"/>
    <w:rsid w:val="439D454D"/>
    <w:rsid w:val="43F839F3"/>
    <w:rsid w:val="440B2599"/>
    <w:rsid w:val="44C307F2"/>
    <w:rsid w:val="44DE02F8"/>
    <w:rsid w:val="459040FF"/>
    <w:rsid w:val="45B46040"/>
    <w:rsid w:val="4600369F"/>
    <w:rsid w:val="46713854"/>
    <w:rsid w:val="467D20D9"/>
    <w:rsid w:val="47190850"/>
    <w:rsid w:val="47631ACB"/>
    <w:rsid w:val="47BD2981"/>
    <w:rsid w:val="47F95F8C"/>
    <w:rsid w:val="48715A10"/>
    <w:rsid w:val="499924FE"/>
    <w:rsid w:val="49AF0FF8"/>
    <w:rsid w:val="49AF724A"/>
    <w:rsid w:val="49F70BF1"/>
    <w:rsid w:val="4A121587"/>
    <w:rsid w:val="4A547DF1"/>
    <w:rsid w:val="4ABD7744"/>
    <w:rsid w:val="4AE94E9F"/>
    <w:rsid w:val="4B2C6A0A"/>
    <w:rsid w:val="4B4B2FA2"/>
    <w:rsid w:val="4B72052F"/>
    <w:rsid w:val="4B7C2727"/>
    <w:rsid w:val="4B8C2F93"/>
    <w:rsid w:val="4B9366F7"/>
    <w:rsid w:val="4BB5072D"/>
    <w:rsid w:val="4BC6141E"/>
    <w:rsid w:val="4BD67F24"/>
    <w:rsid w:val="4C952A38"/>
    <w:rsid w:val="4CD62D3F"/>
    <w:rsid w:val="4F043B94"/>
    <w:rsid w:val="4F2002A2"/>
    <w:rsid w:val="4F4C6CDE"/>
    <w:rsid w:val="4F86002C"/>
    <w:rsid w:val="4F860A4D"/>
    <w:rsid w:val="50EA6DB9"/>
    <w:rsid w:val="50FB6271"/>
    <w:rsid w:val="515A3F3F"/>
    <w:rsid w:val="525849CB"/>
    <w:rsid w:val="52780681"/>
    <w:rsid w:val="52DB07B3"/>
    <w:rsid w:val="536F17F8"/>
    <w:rsid w:val="53A615FD"/>
    <w:rsid w:val="53E13B4A"/>
    <w:rsid w:val="558772CD"/>
    <w:rsid w:val="55CA71B9"/>
    <w:rsid w:val="56446F6C"/>
    <w:rsid w:val="56665027"/>
    <w:rsid w:val="571409EE"/>
    <w:rsid w:val="573B2E37"/>
    <w:rsid w:val="57613354"/>
    <w:rsid w:val="576C1535"/>
    <w:rsid w:val="59FD16B4"/>
    <w:rsid w:val="5A3410A5"/>
    <w:rsid w:val="5ABD2894"/>
    <w:rsid w:val="5AF269C5"/>
    <w:rsid w:val="5B3D3F8A"/>
    <w:rsid w:val="5BC87CF7"/>
    <w:rsid w:val="5C3849BD"/>
    <w:rsid w:val="5C6519EA"/>
    <w:rsid w:val="5C7A1545"/>
    <w:rsid w:val="5CA93FCD"/>
    <w:rsid w:val="5D9500AD"/>
    <w:rsid w:val="5E053485"/>
    <w:rsid w:val="5E8B689C"/>
    <w:rsid w:val="5EC9054A"/>
    <w:rsid w:val="5F0707EA"/>
    <w:rsid w:val="5F071489"/>
    <w:rsid w:val="5F2A0DC3"/>
    <w:rsid w:val="60002155"/>
    <w:rsid w:val="60564992"/>
    <w:rsid w:val="60912F1C"/>
    <w:rsid w:val="61891CD7"/>
    <w:rsid w:val="62FC57F7"/>
    <w:rsid w:val="63490AF3"/>
    <w:rsid w:val="63A30F40"/>
    <w:rsid w:val="63E975CB"/>
    <w:rsid w:val="63EF5D46"/>
    <w:rsid w:val="64406FC4"/>
    <w:rsid w:val="64E934B4"/>
    <w:rsid w:val="650224CC"/>
    <w:rsid w:val="65694555"/>
    <w:rsid w:val="658A426F"/>
    <w:rsid w:val="671B7875"/>
    <w:rsid w:val="68182006"/>
    <w:rsid w:val="684B418A"/>
    <w:rsid w:val="687F3E33"/>
    <w:rsid w:val="68FC287B"/>
    <w:rsid w:val="69733998"/>
    <w:rsid w:val="69C97333"/>
    <w:rsid w:val="69D65CD5"/>
    <w:rsid w:val="69FF522C"/>
    <w:rsid w:val="6B4B0D72"/>
    <w:rsid w:val="6B80239C"/>
    <w:rsid w:val="6C24452B"/>
    <w:rsid w:val="6C784198"/>
    <w:rsid w:val="6C8639E2"/>
    <w:rsid w:val="6C97174C"/>
    <w:rsid w:val="6D075DE6"/>
    <w:rsid w:val="6DF36E56"/>
    <w:rsid w:val="6E0D35A5"/>
    <w:rsid w:val="6E4751CE"/>
    <w:rsid w:val="6EFF7A7C"/>
    <w:rsid w:val="6F98690F"/>
    <w:rsid w:val="6FB12761"/>
    <w:rsid w:val="6FEA072C"/>
    <w:rsid w:val="6FFC7DB8"/>
    <w:rsid w:val="70135E97"/>
    <w:rsid w:val="70480FAF"/>
    <w:rsid w:val="709E0445"/>
    <w:rsid w:val="71213793"/>
    <w:rsid w:val="71397275"/>
    <w:rsid w:val="717B3362"/>
    <w:rsid w:val="7241389E"/>
    <w:rsid w:val="72B60C38"/>
    <w:rsid w:val="73137F9A"/>
    <w:rsid w:val="732B7092"/>
    <w:rsid w:val="737E18B7"/>
    <w:rsid w:val="74B35591"/>
    <w:rsid w:val="74B9247B"/>
    <w:rsid w:val="74C4154C"/>
    <w:rsid w:val="74D23084"/>
    <w:rsid w:val="74DF1EE2"/>
    <w:rsid w:val="74F31E31"/>
    <w:rsid w:val="75364BB9"/>
    <w:rsid w:val="75FA6F28"/>
    <w:rsid w:val="765C57B4"/>
    <w:rsid w:val="76706EA6"/>
    <w:rsid w:val="76A203B2"/>
    <w:rsid w:val="76D12CDE"/>
    <w:rsid w:val="76E71522"/>
    <w:rsid w:val="77112A42"/>
    <w:rsid w:val="779A47E6"/>
    <w:rsid w:val="7883527A"/>
    <w:rsid w:val="78E22C18"/>
    <w:rsid w:val="78EE3EE0"/>
    <w:rsid w:val="79112886"/>
    <w:rsid w:val="795934A7"/>
    <w:rsid w:val="79887F37"/>
    <w:rsid w:val="79890A04"/>
    <w:rsid w:val="7A1854C5"/>
    <w:rsid w:val="7A632187"/>
    <w:rsid w:val="7A707A80"/>
    <w:rsid w:val="7B551150"/>
    <w:rsid w:val="7BB340C8"/>
    <w:rsid w:val="7C076A1C"/>
    <w:rsid w:val="7C765C7A"/>
    <w:rsid w:val="7CB83561"/>
    <w:rsid w:val="7CD61746"/>
    <w:rsid w:val="7DE63FDD"/>
    <w:rsid w:val="7E040C0B"/>
    <w:rsid w:val="7FBE27F1"/>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48"/>
    <w:qFormat/>
    <w:uiPriority w:val="0"/>
    <w:pPr>
      <w:keepNext/>
      <w:jc w:val="center"/>
      <w:outlineLvl w:val="0"/>
    </w:pPr>
    <w:rPr>
      <w:rFonts w:ascii="仿宋_GB2312" w:hAnsi="仿宋_GB2312" w:eastAsia="宋体"/>
      <w:b/>
      <w:kern w:val="0"/>
      <w:sz w:val="28"/>
    </w:rPr>
  </w:style>
  <w:style w:type="paragraph" w:styleId="3">
    <w:name w:val="heading 2"/>
    <w:basedOn w:val="1"/>
    <w:next w:val="1"/>
    <w:qFormat/>
    <w:uiPriority w:val="99"/>
    <w:pPr>
      <w:keepNext/>
      <w:numPr>
        <w:ilvl w:val="0"/>
        <w:numId w:val="1"/>
      </w:numPr>
      <w:tabs>
        <w:tab w:val="left" w:pos="420"/>
        <w:tab w:val="clear" w:pos="330"/>
      </w:tabs>
      <w:spacing w:line="360" w:lineRule="auto"/>
      <w:outlineLvl w:val="1"/>
    </w:pPr>
    <w:rPr>
      <w:b/>
      <w:sz w:val="24"/>
      <w:szCs w:val="2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numPr>
        <w:ilvl w:val="0"/>
        <w:numId w:val="2"/>
      </w:numPr>
      <w:outlineLvl w:val="3"/>
    </w:pPr>
    <w:rPr>
      <w:b/>
      <w:color w:val="000000"/>
      <w:sz w:val="28"/>
      <w:szCs w:val="24"/>
      <w:u w:val="single"/>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pPr>
  </w:style>
  <w:style w:type="paragraph" w:styleId="7">
    <w:name w:val="Body Text"/>
    <w:basedOn w:val="1"/>
    <w:next w:val="1"/>
    <w:qFormat/>
    <w:uiPriority w:val="0"/>
    <w:pPr>
      <w:spacing w:after="120" w:afterLines="0"/>
    </w:pPr>
  </w:style>
  <w:style w:type="paragraph" w:styleId="8">
    <w:name w:val="Body Text Indent"/>
    <w:basedOn w:val="1"/>
    <w:next w:val="1"/>
    <w:qFormat/>
    <w:uiPriority w:val="0"/>
    <w:pPr>
      <w:spacing w:line="800" w:lineRule="exact"/>
      <w:ind w:left="315" w:leftChars="150" w:firstLine="664" w:firstLineChars="237"/>
    </w:pPr>
    <w:rPr>
      <w:rFonts w:ascii="仿宋_GB2312" w:eastAsia="仿宋_GB2312"/>
      <w:sz w:val="28"/>
    </w:rPr>
  </w:style>
  <w:style w:type="paragraph" w:styleId="9">
    <w:name w:val="Plain Text"/>
    <w:basedOn w:val="1"/>
    <w:next w:val="1"/>
    <w:unhideWhenUsed/>
    <w:qFormat/>
    <w:uiPriority w:val="0"/>
    <w:rPr>
      <w:rFonts w:ascii="宋体" w:hAnsi="Courier New"/>
    </w:rPr>
  </w:style>
  <w:style w:type="paragraph" w:styleId="10">
    <w:name w:val="Body Text Indent 2"/>
    <w:basedOn w:val="1"/>
    <w:qFormat/>
    <w:uiPriority w:val="0"/>
    <w:pPr>
      <w:spacing w:line="360" w:lineRule="auto"/>
      <w:ind w:firstLine="555"/>
    </w:pPr>
    <w:rPr>
      <w:rFonts w:ascii="仿宋_GB2312" w:eastAsia="仿宋_GB2312"/>
      <w:sz w:val="2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style>
  <w:style w:type="paragraph" w:styleId="14">
    <w:name w:val="index heading"/>
    <w:basedOn w:val="1"/>
    <w:next w:val="15"/>
    <w:unhideWhenUsed/>
    <w:qFormat/>
    <w:uiPriority w:val="0"/>
    <w:rPr>
      <w:rFonts w:ascii="Arial" w:hAnsi="Arial" w:cs="Arial"/>
      <w:szCs w:val="22"/>
    </w:rPr>
  </w:style>
  <w:style w:type="paragraph" w:styleId="15">
    <w:name w:val="index 1"/>
    <w:basedOn w:val="1"/>
    <w:next w:val="1"/>
    <w:unhideWhenUsed/>
    <w:qFormat/>
    <w:uiPriority w:val="0"/>
    <w:pPr>
      <w:adjustRightInd w:val="0"/>
      <w:snapToGrid w:val="0"/>
      <w:jc w:val="center"/>
    </w:pPr>
    <w:rPr>
      <w:rFonts w:hint="eastAsia" w:ascii="仿宋_GB2312" w:hAnsi="Plotter" w:eastAsia="仿宋_GB2312"/>
      <w:szCs w:val="21"/>
    </w:rPr>
  </w:style>
  <w:style w:type="paragraph" w:styleId="16">
    <w:name w:val="Subtitle"/>
    <w:next w:val="1"/>
    <w:qFormat/>
    <w:uiPriority w:val="0"/>
    <w:pPr>
      <w:wordWrap w:val="0"/>
      <w:spacing w:after="60"/>
      <w:ind w:left="1024" w:firstLine="18"/>
      <w:jc w:val="center"/>
    </w:pPr>
    <w:rPr>
      <w:rFonts w:ascii="Calibri" w:hAnsi="Calibri" w:eastAsia="宋体" w:cs="Times New Roman"/>
      <w:sz w:val="21"/>
      <w:szCs w:val="22"/>
      <w:lang w:val="en-US" w:eastAsia="zh-CN" w:bidi="ar-SA"/>
    </w:rPr>
  </w:style>
  <w:style w:type="paragraph" w:styleId="17">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8">
    <w:name w:val="footnote text"/>
    <w:basedOn w:val="1"/>
    <w:qFormat/>
    <w:uiPriority w:val="0"/>
    <w:pPr>
      <w:snapToGrid w:val="0"/>
      <w:jc w:val="left"/>
    </w:pPr>
    <w:rPr>
      <w:rFonts w:eastAsia="楷体_GB2312"/>
      <w:sz w:val="18"/>
      <w:szCs w:val="18"/>
    </w:rPr>
  </w:style>
  <w:style w:type="paragraph" w:styleId="19">
    <w:name w:val="toc 2"/>
    <w:basedOn w:val="1"/>
    <w:next w:val="1"/>
    <w:qFormat/>
    <w:uiPriority w:val="0"/>
    <w:pPr>
      <w:ind w:left="420" w:leftChars="200"/>
    </w:pPr>
  </w:style>
  <w:style w:type="paragraph" w:styleId="20">
    <w:name w:val="Body Text 2"/>
    <w:basedOn w:val="1"/>
    <w:unhideWhenUsed/>
    <w:qFormat/>
    <w:uiPriority w:val="0"/>
    <w:pPr>
      <w:spacing w:after="120" w:line="480" w:lineRule="auto"/>
    </w:pPr>
  </w:style>
  <w:style w:type="paragraph" w:styleId="21">
    <w:name w:val="Normal (Web)"/>
    <w:basedOn w:val="1"/>
    <w:qFormat/>
    <w:uiPriority w:val="0"/>
    <w:pPr>
      <w:widowControl/>
      <w:jc w:val="left"/>
    </w:pPr>
    <w:rPr>
      <w:rFonts w:ascii="宋体" w:hAnsi="宋体" w:cs="宋体"/>
      <w:kern w:val="0"/>
      <w:sz w:val="24"/>
      <w:szCs w:val="24"/>
    </w:rPr>
  </w:style>
  <w:style w:type="paragraph" w:styleId="22">
    <w:name w:val="Body Text First Indent"/>
    <w:basedOn w:val="7"/>
    <w:unhideWhenUsed/>
    <w:qFormat/>
    <w:uiPriority w:val="0"/>
    <w:pPr>
      <w:ind w:firstLine="420" w:firstLineChars="100"/>
    </w:pPr>
  </w:style>
  <w:style w:type="paragraph" w:styleId="23">
    <w:name w:val="Body Text First Indent 2"/>
    <w:basedOn w:val="8"/>
    <w:next w:val="6"/>
    <w:qFormat/>
    <w:uiPriority w:val="0"/>
    <w:pPr>
      <w:spacing w:after="0" w:line="360" w:lineRule="auto"/>
      <w:ind w:firstLine="20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Emphasis"/>
    <w:basedOn w:val="26"/>
    <w:qFormat/>
    <w:uiPriority w:val="0"/>
    <w:rPr>
      <w:i/>
    </w:rPr>
  </w:style>
  <w:style w:type="character" w:styleId="29">
    <w:name w:val="Hyperlink"/>
    <w:basedOn w:val="26"/>
    <w:qFormat/>
    <w:uiPriority w:val="0"/>
    <w:rPr>
      <w:color w:val="0000FF"/>
      <w:u w:val="single"/>
    </w:rPr>
  </w:style>
  <w:style w:type="character" w:styleId="30">
    <w:name w:val="HTML Sample"/>
    <w:basedOn w:val="26"/>
    <w:qFormat/>
    <w:uiPriority w:val="0"/>
    <w:rPr>
      <w:rFonts w:ascii="Courier New" w:hAnsi="Courier New"/>
    </w:rPr>
  </w:style>
  <w:style w:type="paragraph" w:customStyle="1" w:styleId="31">
    <w:name w:val="段"/>
    <w:next w:val="1"/>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paragraph" w:customStyle="1" w:styleId="32">
    <w:name w:val="Style1"/>
    <w:basedOn w:val="1"/>
    <w:qFormat/>
    <w:uiPriority w:val="0"/>
    <w:pPr>
      <w:widowControl/>
      <w:tabs>
        <w:tab w:val="left" w:pos="-720"/>
      </w:tabs>
      <w:spacing w:after="120"/>
    </w:pPr>
    <w:rPr>
      <w:spacing w:val="-3"/>
      <w:kern w:val="0"/>
      <w:sz w:val="24"/>
      <w:lang w:val="en-AU" w:eastAsia="en-US"/>
    </w:rPr>
  </w:style>
  <w:style w:type="paragraph" w:customStyle="1" w:styleId="33">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4">
    <w:name w:val="_Style 3"/>
    <w:basedOn w:val="1"/>
    <w:qFormat/>
    <w:uiPriority w:val="99"/>
    <w:pPr>
      <w:autoSpaceDE w:val="0"/>
      <w:autoSpaceDN w:val="0"/>
      <w:spacing w:line="360" w:lineRule="auto"/>
      <w:ind w:firstLine="420" w:firstLineChars="200"/>
      <w:jc w:val="left"/>
    </w:pPr>
    <w:rPr>
      <w:rFonts w:cs="Times New Roman"/>
      <w:color w:val="auto"/>
      <w:kern w:val="0"/>
      <w:sz w:val="24"/>
      <w:szCs w:val="21"/>
      <w:lang w:val="zh-CN"/>
    </w:rPr>
  </w:style>
  <w:style w:type="character" w:customStyle="1" w:styleId="35">
    <w:name w:val="标题 2 字符"/>
    <w:qFormat/>
    <w:uiPriority w:val="99"/>
    <w:rPr>
      <w:b/>
      <w:kern w:val="2"/>
      <w:sz w:val="24"/>
      <w:szCs w:val="24"/>
    </w:rPr>
  </w:style>
  <w:style w:type="paragraph" w:styleId="36">
    <w:name w:val="List Paragraph"/>
    <w:basedOn w:val="1"/>
    <w:qFormat/>
    <w:uiPriority w:val="0"/>
    <w:pPr>
      <w:ind w:firstLine="420" w:firstLineChars="200"/>
    </w:pPr>
    <w:rPr>
      <w:szCs w:val="24"/>
    </w:rPr>
  </w:style>
  <w:style w:type="character" w:customStyle="1" w:styleId="37">
    <w:name w:val="标题 1 Char"/>
    <w:link w:val="2"/>
    <w:qFormat/>
    <w:uiPriority w:val="0"/>
    <w:rPr>
      <w:rFonts w:ascii="仿宋_GB2312" w:hAnsi="仿宋_GB2312" w:eastAsia="宋体"/>
      <w:b/>
      <w:kern w:val="0"/>
      <w:sz w:val="28"/>
    </w:rPr>
  </w:style>
  <w:style w:type="character" w:customStyle="1" w:styleId="38">
    <w:name w:val="font112"/>
    <w:basedOn w:val="26"/>
    <w:qFormat/>
    <w:uiPriority w:val="0"/>
    <w:rPr>
      <w:rFonts w:ascii="Wingdings 2" w:hAnsi="Wingdings 2" w:eastAsia="Wingdings 2" w:cs="Wingdings 2"/>
      <w:color w:val="000000"/>
      <w:sz w:val="18"/>
      <w:szCs w:val="18"/>
      <w:u w:val="none"/>
    </w:rPr>
  </w:style>
  <w:style w:type="paragraph" w:customStyle="1" w:styleId="39">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character" w:customStyle="1" w:styleId="40">
    <w:name w:val="font141"/>
    <w:basedOn w:val="26"/>
    <w:qFormat/>
    <w:uiPriority w:val="0"/>
    <w:rPr>
      <w:rFonts w:ascii="Wingdings" w:hAnsi="Wingdings" w:cs="Wingdings"/>
      <w:color w:val="000000"/>
      <w:sz w:val="18"/>
      <w:szCs w:val="18"/>
      <w:u w:val="none"/>
    </w:rPr>
  </w:style>
  <w:style w:type="character" w:customStyle="1" w:styleId="41">
    <w:name w:val="font151"/>
    <w:basedOn w:val="26"/>
    <w:qFormat/>
    <w:uiPriority w:val="0"/>
    <w:rPr>
      <w:rFonts w:ascii="Calibri" w:hAnsi="Calibri" w:cs="Calibri"/>
      <w:color w:val="000000"/>
      <w:sz w:val="18"/>
      <w:szCs w:val="18"/>
      <w:u w:val="none"/>
    </w:rPr>
  </w:style>
  <w:style w:type="paragraph" w:customStyle="1" w:styleId="42">
    <w:name w:val="Char"/>
    <w:basedOn w:val="1"/>
    <w:qFormat/>
    <w:uiPriority w:val="0"/>
    <w:pPr>
      <w:numPr>
        <w:ilvl w:val="0"/>
        <w:numId w:val="3"/>
      </w:numPr>
      <w:spacing w:line="360" w:lineRule="auto"/>
      <w:ind w:left="0" w:firstLine="0"/>
    </w:pPr>
    <w:rPr>
      <w:rFonts w:ascii="新宋体" w:hAnsi="新宋体" w:eastAsia="新宋体"/>
      <w:b/>
      <w:sz w:val="24"/>
      <w:szCs w:val="24"/>
    </w:rPr>
  </w:style>
  <w:style w:type="paragraph" w:customStyle="1" w:styleId="43">
    <w:name w:val="中文正文、"/>
    <w:basedOn w:val="1"/>
    <w:qFormat/>
    <w:uiPriority w:val="0"/>
    <w:pPr>
      <w:spacing w:line="360" w:lineRule="auto"/>
      <w:ind w:firstLine="420" w:firstLineChars="200"/>
      <w:jc w:val="left"/>
    </w:pPr>
    <w:rPr>
      <w:szCs w:val="21"/>
    </w:rPr>
  </w:style>
  <w:style w:type="paragraph" w:customStyle="1" w:styleId="44">
    <w:name w:val="Table Text"/>
    <w:basedOn w:val="1"/>
    <w:semiHidden/>
    <w:qFormat/>
    <w:uiPriority w:val="0"/>
    <w:rPr>
      <w:rFonts w:ascii="宋体" w:hAnsi="宋体" w:eastAsia="宋体" w:cs="宋体"/>
      <w:sz w:val="23"/>
      <w:szCs w:val="23"/>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7">
    <w:name w:val="封面字体3"/>
    <w:basedOn w:val="1"/>
    <w:qFormat/>
    <w:uiPriority w:val="0"/>
    <w:pPr>
      <w:spacing w:line="240" w:lineRule="atLeast"/>
    </w:pPr>
    <w:rPr>
      <w:rFonts w:ascii="黑体" w:hAnsi="华文细黑" w:eastAsia="黑体" w:cs="Arial"/>
      <w:bCs/>
      <w:spacing w:val="100"/>
      <w:kern w:val="0"/>
      <w:sz w:val="44"/>
      <w:szCs w:val="28"/>
    </w:rPr>
  </w:style>
  <w:style w:type="character" w:customStyle="1" w:styleId="48">
    <w:name w:val="标题 1 字符"/>
    <w:link w:val="2"/>
    <w:qFormat/>
    <w:uiPriority w:val="0"/>
    <w:rPr>
      <w:rFonts w:ascii="Times New Roman" w:hAnsi="Times New Roman" w:eastAsia="宋体" w:cs="Times New Roman"/>
      <w:b/>
      <w:bCs/>
      <w:kern w:val="2"/>
      <w:sz w:val="24"/>
      <w:szCs w:val="20"/>
    </w:rPr>
  </w:style>
  <w:style w:type="paragraph" w:styleId="4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1_0"/>
    <w:basedOn w:val="51"/>
    <w:next w:val="53"/>
    <w:qFormat/>
    <w:uiPriority w:val="0"/>
    <w:pPr>
      <w:widowControl w:val="0"/>
      <w:jc w:val="both"/>
    </w:pPr>
    <w:rPr>
      <w:rFonts w:eastAsia="宋体"/>
      <w:kern w:val="2"/>
      <w:sz w:val="21"/>
      <w:szCs w:val="24"/>
      <w:lang w:val="en-US" w:eastAsia="zh-CN" w:bidi="ar-SA"/>
    </w:rPr>
  </w:style>
  <w:style w:type="paragraph" w:customStyle="1" w:styleId="51">
    <w:name w:val="正文_2"/>
    <w:next w:val="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文本_1"/>
    <w:basedOn w:val="50"/>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53">
    <w:name w:val="正文首行缩进1"/>
    <w:basedOn w:val="54"/>
    <w:unhideWhenUsed/>
    <w:qFormat/>
    <w:uiPriority w:val="99"/>
    <w:pPr>
      <w:ind w:firstLine="420" w:firstLineChars="100"/>
    </w:pPr>
    <w:rPr>
      <w:szCs w:val="22"/>
    </w:rPr>
  </w:style>
  <w:style w:type="paragraph" w:customStyle="1" w:styleId="54">
    <w:name w:val="正文文本_0_0"/>
    <w:basedOn w:val="55"/>
    <w:qFormat/>
    <w:uiPriority w:val="0"/>
    <w:pPr>
      <w:spacing w:before="100" w:beforeAutospacing="1" w:after="120"/>
    </w:pPr>
    <w:rPr>
      <w:rFonts w:ascii="Calibri" w:hAnsi="Calibri"/>
    </w:rPr>
  </w:style>
  <w:style w:type="paragraph" w:customStyle="1" w:styleId="55">
    <w:name w:val="正文_1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25e25b76-8436-4fe8-b143-c50338090121</errorID>
      <errorWord>三个</errorWord>
      <group>L1_Knowledge</group>
      <groupName>知识性问题</groupName>
      <ability>L2_Knowledge</ability>
      <abilityName>其他知识</abilityName>
      <candidateList>
        <item>三类</item>
      </candidateList>
      <explain/>
      <paraID>74262306</paraID>
      <start>17</start>
      <end>19</end>
      <status>ignored</status>
      <modifiedWord/>
      <trackRevisions>false</trackRevisions>
    </reviewItem>
    <reviewItem>
      <errorID>305e7aac-ae5c-4c16-b43f-3889bc3b5cd7</errorID>
      <errorWord>（</errorWord>
      <group>L1_Punc</group>
      <groupName>标点问题</groupName>
      <ability>L2_Punc_CN</ability>
      <abilityName/>
      <candidateList/>
      <explain>此处标点可能未正确匹配，请检查句子中是否存在标点冗余、缺失或使用错误的情况。</explain>
      <paraID>34699C70</paraID>
      <start>18</start>
      <end>19</end>
      <status>ignored</status>
      <modifiedWord/>
      <trackRevisions>false</trackRevisions>
    </reviewItem>
    <reviewItem>
      <errorID>f65d541c-a97e-466b-a281-be7a750814a1</errorID>
      <errorWord>（</errorWord>
      <group>L1_Punc</group>
      <groupName>标点问题</groupName>
      <ability>L2_Punc_CN</ability>
      <abilityName/>
      <candidateList/>
      <explain>同一形式括号套用。</explain>
      <paraID>54B1B22F</paraID>
      <start>31</start>
      <end>32</end>
      <status>ignored</status>
      <modifiedWord/>
      <trackRevisions>false</trackRevisions>
    </reviewItem>
    <reviewItem>
      <errorID>7d773f3b-a0bd-475a-9066-4dcb3168b28e</errorID>
      <errorWord>）</errorWord>
      <group>L1_Punc</group>
      <groupName>标点问题</groupName>
      <ability>L2_Punc_CN</ability>
      <abilityName/>
      <candidateList/>
      <explain>同一形式括号套用。</explain>
      <paraID>54B1B22F</paraID>
      <start>45</start>
      <end>46</end>
      <status>ignored</status>
      <modifiedWord/>
      <trackRevisions>false</trackRevisions>
    </reviewItem>
    <reviewItem>
      <errorID>d22b046a-8dce-4bb3-8542-ae19bf421da8</errorID>
      <errorWord>证书证书</errorWord>
      <group>L1_Word</group>
      <groupName>字词问题</groupName>
      <ability>L2_Typo</ability>
      <abilityName>字词错误</abilityName>
      <candidateList>
        <item>证书</item>
      </candidateList>
      <explain/>
      <paraID>47E27A14</paraID>
      <start>76</start>
      <end>78</end>
      <status>modified</status>
      <modifiedWord>证书</modifiedWord>
      <trackRevisions>false</trackRevisions>
    </reviewItem>
    <reviewItem>
      <errorID>869f7514-f355-4746-9146-4263c558c092</errorID>
      <errorWord>作</errorWord>
      <group>L1_Word</group>
      <groupName>字词问题</groupName>
      <ability>L2_Typo</ability>
      <abilityName>字词错误</abilityName>
      <candidateList>
        <item>做</item>
      </candidateList>
      <explain>存在发音相同字词的误用。</explain>
      <paraID>6DC138D2</paraID>
      <start>5</start>
      <end>6</end>
      <status>ignored</status>
      <modifiedWord/>
      <trackRevisions>false</trackRevisions>
    </reviewItem>
    <reviewItem>
      <errorID>90e3642f-dd16-40d4-8eff-2c941df2636c</errorID>
      <errorWord>）</errorWord>
      <group>L1_Punc</group>
      <groupName>标点问题</groupName>
      <ability>L2_Punc_CN</ability>
      <abilityName/>
      <candidateList/>
      <explain>此处标点可能未正确匹配，请检查句子中是否存在标点冗余、缺失或使用错误的情况。</explain>
      <paraID>71DFBA77</paraID>
      <start>46</start>
      <end>47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4a9d58-6cc2-4858-913f-6b70677dbd8d}">
  <ds:schemaRefs/>
</ds:datastoreItem>
</file>

<file path=docProps/app.xml><?xml version="1.0" encoding="utf-8"?>
<Properties xmlns="http://schemas.openxmlformats.org/officeDocument/2006/extended-properties" xmlns:vt="http://schemas.openxmlformats.org/officeDocument/2006/docPropsVTypes">
  <Template>Normal.dotm</Template>
  <Pages>54</Pages>
  <Words>6218</Words>
  <Characters>6918</Characters>
  <Lines>0</Lines>
  <Paragraphs>0</Paragraphs>
  <TotalTime>3</TotalTime>
  <ScaleCrop>false</ScaleCrop>
  <LinksUpToDate>false</LinksUpToDate>
  <CharactersWithSpaces>7166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2021-12-02T07:07:00Z</dcterms:created>
  <dc:creator>Administrator</dc:creator>
  <cp:lastModifiedBy>缘来是你</cp:lastModifiedBy>
  <cp:lastPrinted>2021-12-10T03:37:00Z</cp:lastPrinted>
  <dcterms:modified xsi:type="dcterms:W3CDTF">2026-05-23T01:59:05Z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6481340C280A45CE8EEFA42413D2AA61_13</vt:lpwstr>
  </property>
  <property fmtid="{D5CDD505-2E9C-101B-9397-08002B2CF9AE}" pid="4" name="KSOTemplateDocerSaveRecord">
    <vt:lpwstr>eyJoZGlkIjoiNzc5NTk4NDczN2Y0ZGVjMDNiZDJmZDBhMDI3YThjYzkiLCJ1c2VySWQiOiI1MDA5ODYzODkifQ==</vt:lpwstr>
  </property>
</Properties>
</file>