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A496DA6">
      <w:pPr>
        <w:pStyle w:val="9"/>
        <w:numPr>
          <w:ilvl w:val="5"/>
          <w:numId w:val="0"/>
        </w:numPr>
        <w:spacing w:line="360" w:lineRule="auto"/>
        <w:ind w:left="0" w:leftChars="0" w:firstLine="0" w:firstLineChars="0"/>
        <w:outlineLvl w:val="9"/>
        <w:rPr>
          <w:rFonts w:hint="eastAsia" w:ascii="宋体" w:hAnsi="宋体" w:eastAsia="宋体" w:cs="宋体"/>
          <w:color w:val="auto"/>
          <w:sz w:val="24"/>
          <w:szCs w:val="24"/>
          <w:highlight w:val="none"/>
        </w:rPr>
      </w:pPr>
    </w:p>
    <w:p w14:paraId="24C39CCA">
      <w:pPr>
        <w:widowControl/>
        <w:adjustRightInd/>
        <w:spacing w:line="360" w:lineRule="auto"/>
        <w:jc w:val="both"/>
        <w:rPr>
          <w:rFonts w:hint="eastAsia" w:ascii="宋体" w:hAnsi="宋体" w:eastAsia="宋体" w:cs="宋体"/>
          <w:color w:val="auto"/>
          <w:kern w:val="2"/>
          <w:sz w:val="21"/>
          <w:szCs w:val="24"/>
          <w:highlight w:val="none"/>
        </w:rPr>
      </w:pPr>
    </w:p>
    <w:p w14:paraId="1CA8498E">
      <w:pPr>
        <w:widowControl/>
        <w:adjustRightInd/>
        <w:spacing w:line="480" w:lineRule="auto"/>
        <w:jc w:val="center"/>
        <w:outlineLvl w:val="0"/>
        <w:rPr>
          <w:rFonts w:hint="eastAsia" w:hAnsi="宋体" w:cs="宋体"/>
          <w:b/>
          <w:color w:val="auto"/>
          <w:kern w:val="2"/>
          <w:sz w:val="44"/>
          <w:szCs w:val="44"/>
          <w:highlight w:val="none"/>
          <w:lang w:val="en-US" w:eastAsia="zh-CN"/>
        </w:rPr>
      </w:pPr>
      <w:bookmarkStart w:id="0" w:name="_Toc823"/>
      <w:bookmarkStart w:id="1" w:name="_Toc27088"/>
      <w:r>
        <w:rPr>
          <w:rFonts w:hint="eastAsia" w:hAnsi="宋体" w:cs="宋体"/>
          <w:b/>
          <w:color w:val="auto"/>
          <w:kern w:val="2"/>
          <w:sz w:val="44"/>
          <w:szCs w:val="44"/>
          <w:highlight w:val="none"/>
          <w:lang w:val="en-US" w:eastAsia="zh-CN"/>
        </w:rPr>
        <w:t>乌鲁木齐市市属某单位警械装备采购项目</w:t>
      </w:r>
    </w:p>
    <w:p w14:paraId="05BDDCD5">
      <w:pPr>
        <w:widowControl/>
        <w:adjustRightInd/>
        <w:spacing w:line="480" w:lineRule="auto"/>
        <w:jc w:val="center"/>
        <w:outlineLvl w:val="0"/>
        <w:rPr>
          <w:rFonts w:hint="default" w:ascii="宋体" w:hAnsi="宋体" w:eastAsia="宋体" w:cs="宋体"/>
          <w:b/>
          <w:color w:val="auto"/>
          <w:kern w:val="2"/>
          <w:sz w:val="44"/>
          <w:szCs w:val="44"/>
          <w:highlight w:val="none"/>
          <w:lang w:val="en-US"/>
        </w:rPr>
      </w:pPr>
      <w:r>
        <w:rPr>
          <w:rFonts w:hint="eastAsia" w:hAnsi="宋体" w:cs="宋体"/>
          <w:b/>
          <w:color w:val="auto"/>
          <w:kern w:val="2"/>
          <w:sz w:val="44"/>
          <w:szCs w:val="44"/>
          <w:highlight w:val="none"/>
          <w:lang w:val="en-US" w:eastAsia="zh-CN"/>
        </w:rPr>
        <w:t>公开招标文件</w:t>
      </w:r>
      <w:bookmarkEnd w:id="0"/>
      <w:bookmarkEnd w:id="1"/>
    </w:p>
    <w:p w14:paraId="0F909CE2">
      <w:pPr>
        <w:widowControl/>
        <w:adjustRightInd/>
        <w:snapToGrid w:val="0"/>
        <w:spacing w:line="360" w:lineRule="auto"/>
        <w:jc w:val="center"/>
        <w:rPr>
          <w:rFonts w:hint="eastAsia" w:ascii="宋体" w:hAnsi="宋体" w:eastAsia="宋体" w:cs="宋体"/>
          <w:b/>
          <w:color w:val="auto"/>
          <w:kern w:val="2"/>
          <w:sz w:val="36"/>
          <w:szCs w:val="32"/>
          <w:highlight w:val="none"/>
        </w:rPr>
      </w:pPr>
      <w:bookmarkStart w:id="2" w:name="_Toc589"/>
      <w:bookmarkStart w:id="3" w:name="_Toc19905"/>
      <w:bookmarkStart w:id="4" w:name="_Toc27649"/>
      <w:bookmarkStart w:id="5" w:name="_Toc8462"/>
      <w:bookmarkStart w:id="6" w:name="_Toc20354"/>
      <w:r>
        <w:rPr>
          <w:rFonts w:hint="eastAsia" w:ascii="宋体" w:hAnsi="宋体" w:eastAsia="宋体" w:cs="宋体"/>
          <w:b/>
          <w:color w:val="auto"/>
          <w:sz w:val="32"/>
          <w:szCs w:val="32"/>
          <w:highlight w:val="none"/>
        </w:rPr>
        <w:t>项目编号：</w:t>
      </w:r>
      <w:bookmarkEnd w:id="2"/>
      <w:bookmarkEnd w:id="3"/>
      <w:bookmarkEnd w:id="4"/>
      <w:bookmarkEnd w:id="5"/>
      <w:bookmarkEnd w:id="6"/>
      <w:r>
        <w:rPr>
          <w:rFonts w:hint="eastAsia" w:hAnsi="宋体" w:cs="宋体"/>
          <w:b/>
          <w:color w:val="auto"/>
          <w:sz w:val="32"/>
          <w:szCs w:val="32"/>
          <w:highlight w:val="none"/>
          <w:lang w:eastAsia="zh-CN"/>
        </w:rPr>
        <w:t>TJZB20260601</w:t>
      </w:r>
    </w:p>
    <w:p w14:paraId="3E73958F">
      <w:pPr>
        <w:pStyle w:val="34"/>
        <w:ind w:left="0" w:leftChars="0" w:firstLine="0" w:firstLineChars="0"/>
        <w:rPr>
          <w:rFonts w:hint="eastAsia" w:ascii="宋体" w:hAnsi="宋体" w:eastAsia="宋体" w:cs="宋体"/>
          <w:color w:val="auto"/>
          <w:highlight w:val="none"/>
        </w:rPr>
      </w:pPr>
    </w:p>
    <w:p w14:paraId="2AA8F696">
      <w:pPr>
        <w:snapToGrid w:val="0"/>
        <w:spacing w:line="480" w:lineRule="auto"/>
        <w:ind w:left="1559" w:leftChars="104" w:right="-585" w:rightChars="-172" w:hanging="1205" w:hangingChars="500"/>
        <w:jc w:val="left"/>
        <w:outlineLvl w:val="9"/>
        <w:rPr>
          <w:rFonts w:hint="eastAsia" w:ascii="宋体" w:hAnsi="宋体" w:eastAsia="宋体" w:cs="宋体"/>
          <w:b/>
          <w:color w:val="auto"/>
          <w:kern w:val="2"/>
          <w:sz w:val="24"/>
          <w:szCs w:val="24"/>
          <w:highlight w:val="none"/>
        </w:rPr>
      </w:pPr>
      <w:bookmarkStart w:id="7" w:name="_Toc14547"/>
      <w:bookmarkStart w:id="8" w:name="_Toc12609"/>
      <w:bookmarkStart w:id="9" w:name="_Toc22077"/>
      <w:bookmarkStart w:id="10" w:name="_Toc9807"/>
      <w:bookmarkStart w:id="11" w:name="_Toc1989"/>
    </w:p>
    <w:p w14:paraId="199CF089">
      <w:pPr>
        <w:snapToGrid w:val="0"/>
        <w:spacing w:line="480" w:lineRule="auto"/>
        <w:ind w:left="1559" w:leftChars="104" w:right="-585" w:rightChars="-172" w:hanging="1205" w:hangingChars="500"/>
        <w:jc w:val="left"/>
        <w:outlineLvl w:val="9"/>
        <w:rPr>
          <w:rFonts w:hint="eastAsia" w:ascii="宋体" w:hAnsi="宋体" w:eastAsia="宋体" w:cs="宋体"/>
          <w:b/>
          <w:color w:val="auto"/>
          <w:kern w:val="2"/>
          <w:sz w:val="24"/>
          <w:szCs w:val="24"/>
          <w:highlight w:val="none"/>
        </w:rPr>
      </w:pPr>
    </w:p>
    <w:p w14:paraId="676A756B">
      <w:pPr>
        <w:snapToGrid w:val="0"/>
        <w:spacing w:line="480" w:lineRule="auto"/>
        <w:ind w:left="1559" w:leftChars="104" w:right="-585" w:rightChars="-172" w:hanging="1205" w:hangingChars="500"/>
        <w:jc w:val="left"/>
        <w:outlineLvl w:val="9"/>
        <w:rPr>
          <w:rFonts w:hint="eastAsia" w:ascii="宋体" w:hAnsi="宋体" w:eastAsia="宋体" w:cs="宋体"/>
          <w:b/>
          <w:color w:val="auto"/>
          <w:kern w:val="2"/>
          <w:sz w:val="24"/>
          <w:szCs w:val="24"/>
          <w:highlight w:val="none"/>
        </w:rPr>
      </w:pPr>
    </w:p>
    <w:p w14:paraId="5C0FEFF0">
      <w:pPr>
        <w:snapToGrid w:val="0"/>
        <w:spacing w:line="480" w:lineRule="auto"/>
        <w:ind w:left="1559" w:leftChars="104" w:right="-585" w:rightChars="-172" w:hanging="1205" w:hangingChars="500"/>
        <w:jc w:val="left"/>
        <w:outlineLvl w:val="9"/>
        <w:rPr>
          <w:rFonts w:hint="eastAsia" w:ascii="宋体" w:hAnsi="宋体" w:eastAsia="宋体" w:cs="宋体"/>
          <w:b/>
          <w:color w:val="auto"/>
          <w:kern w:val="2"/>
          <w:sz w:val="24"/>
          <w:szCs w:val="24"/>
          <w:highlight w:val="none"/>
          <w:lang w:eastAsia="zh-CN"/>
        </w:rPr>
      </w:pPr>
      <w:r>
        <w:rPr>
          <w:rFonts w:hint="eastAsia" w:ascii="宋体" w:hAnsi="宋体" w:eastAsia="宋体" w:cs="宋体"/>
          <w:b/>
          <w:color w:val="auto"/>
          <w:kern w:val="2"/>
          <w:sz w:val="24"/>
          <w:szCs w:val="24"/>
          <w:highlight w:val="none"/>
        </w:rPr>
        <w:t>项目名称</w:t>
      </w:r>
      <w:bookmarkEnd w:id="7"/>
      <w:bookmarkEnd w:id="8"/>
      <w:bookmarkEnd w:id="9"/>
      <w:bookmarkStart w:id="12" w:name="_Toc28673"/>
      <w:bookmarkStart w:id="13" w:name="_Toc13874"/>
      <w:bookmarkStart w:id="14" w:name="_Toc20204"/>
      <w:r>
        <w:rPr>
          <w:rFonts w:hint="eastAsia" w:hAnsi="宋体" w:cs="宋体"/>
          <w:b/>
          <w:color w:val="auto"/>
          <w:kern w:val="2"/>
          <w:sz w:val="24"/>
          <w:szCs w:val="24"/>
          <w:highlight w:val="none"/>
          <w:lang w:eastAsia="zh-CN"/>
        </w:rPr>
        <w:t>：</w:t>
      </w:r>
      <w:bookmarkEnd w:id="10"/>
      <w:bookmarkEnd w:id="11"/>
      <w:r>
        <w:rPr>
          <w:rFonts w:hint="eastAsia" w:hAnsi="宋体" w:cs="宋体"/>
          <w:b/>
          <w:color w:val="auto"/>
          <w:kern w:val="2"/>
          <w:sz w:val="24"/>
          <w:szCs w:val="24"/>
          <w:highlight w:val="none"/>
          <w:lang w:val="en-US" w:eastAsia="zh-CN"/>
        </w:rPr>
        <w:t>乌鲁木齐市市属某单位警械装备采购项目</w:t>
      </w:r>
    </w:p>
    <w:p w14:paraId="1F74FB75">
      <w:pPr>
        <w:snapToGrid w:val="0"/>
        <w:spacing w:line="480" w:lineRule="auto"/>
        <w:ind w:left="2228" w:leftChars="104" w:right="-585" w:rightChars="-172" w:hanging="1874" w:hangingChars="778"/>
        <w:jc w:val="left"/>
        <w:outlineLvl w:val="0"/>
        <w:rPr>
          <w:rFonts w:hint="eastAsia" w:ascii="宋体" w:hAnsi="宋体" w:eastAsia="宋体" w:cs="宋体"/>
          <w:b/>
          <w:color w:val="auto"/>
          <w:kern w:val="2"/>
          <w:sz w:val="24"/>
          <w:szCs w:val="24"/>
          <w:highlight w:val="none"/>
          <w:lang w:eastAsia="zh-CN"/>
        </w:rPr>
      </w:pPr>
      <w:bookmarkStart w:id="15" w:name="_Toc13237"/>
      <w:bookmarkStart w:id="16" w:name="_Toc12270"/>
      <w:r>
        <w:rPr>
          <w:rFonts w:hint="eastAsia" w:ascii="宋体" w:hAnsi="宋体" w:eastAsia="宋体" w:cs="宋体"/>
          <w:b/>
          <w:color w:val="auto"/>
          <w:kern w:val="2"/>
          <w:sz w:val="24"/>
          <w:szCs w:val="24"/>
          <w:highlight w:val="none"/>
        </w:rPr>
        <w:t>采 购 人（盖章）：</w:t>
      </w:r>
      <w:bookmarkEnd w:id="12"/>
      <w:bookmarkEnd w:id="13"/>
      <w:bookmarkEnd w:id="14"/>
      <w:bookmarkEnd w:id="15"/>
      <w:bookmarkEnd w:id="16"/>
      <w:r>
        <w:rPr>
          <w:rFonts w:hint="eastAsia" w:hAnsi="宋体" w:cs="宋体"/>
          <w:b/>
          <w:color w:val="auto"/>
          <w:kern w:val="2"/>
          <w:sz w:val="24"/>
          <w:szCs w:val="24"/>
          <w:highlight w:val="none"/>
          <w:lang w:eastAsia="zh-CN"/>
        </w:rPr>
        <w:t>乌鲁木齐市市属某单位</w:t>
      </w:r>
    </w:p>
    <w:p w14:paraId="21B4665C">
      <w:pPr>
        <w:snapToGrid w:val="0"/>
        <w:spacing w:line="480" w:lineRule="auto"/>
        <w:ind w:left="2228" w:leftChars="104" w:right="-585" w:rightChars="-172" w:hanging="1874" w:hangingChars="778"/>
        <w:jc w:val="left"/>
        <w:rPr>
          <w:rFonts w:hint="default" w:ascii="宋体" w:hAnsi="宋体" w:eastAsia="宋体" w:cs="宋体"/>
          <w:b/>
          <w:color w:val="auto"/>
          <w:kern w:val="2"/>
          <w:sz w:val="24"/>
          <w:szCs w:val="24"/>
          <w:highlight w:val="none"/>
          <w:u w:val="single"/>
          <w:lang w:val="en-US" w:eastAsia="zh-CN"/>
        </w:rPr>
      </w:pPr>
      <w:r>
        <w:rPr>
          <w:rFonts w:hint="eastAsia" w:ascii="宋体" w:hAnsi="宋体" w:eastAsia="宋体" w:cs="宋体"/>
          <w:b/>
          <w:color w:val="auto"/>
          <w:kern w:val="2"/>
          <w:sz w:val="24"/>
          <w:szCs w:val="24"/>
          <w:highlight w:val="none"/>
        </w:rPr>
        <w:t>联 系 人：</w:t>
      </w:r>
      <w:r>
        <w:rPr>
          <w:rFonts w:hint="eastAsia" w:hAnsi="宋体" w:cs="宋体"/>
          <w:b/>
          <w:color w:val="auto"/>
          <w:kern w:val="2"/>
          <w:sz w:val="24"/>
          <w:szCs w:val="24"/>
          <w:highlight w:val="none"/>
          <w:lang w:val="en-US" w:eastAsia="zh-CN"/>
        </w:rPr>
        <w:t>郑伟</w:t>
      </w:r>
    </w:p>
    <w:p w14:paraId="39E6A5F1">
      <w:pPr>
        <w:snapToGrid w:val="0"/>
        <w:spacing w:line="480" w:lineRule="auto"/>
        <w:ind w:left="2228" w:leftChars="104" w:hanging="1874" w:hangingChars="778"/>
        <w:jc w:val="left"/>
        <w:outlineLvl w:val="0"/>
        <w:rPr>
          <w:rFonts w:hint="eastAsia" w:ascii="宋体" w:hAnsi="宋体" w:eastAsia="宋体" w:cs="宋体"/>
          <w:b/>
          <w:color w:val="auto"/>
          <w:kern w:val="2"/>
          <w:sz w:val="24"/>
          <w:szCs w:val="24"/>
          <w:highlight w:val="none"/>
          <w:lang w:eastAsia="zh-CN"/>
        </w:rPr>
      </w:pPr>
      <w:bookmarkStart w:id="17" w:name="_Toc12752"/>
      <w:bookmarkStart w:id="18" w:name="_Toc32260"/>
      <w:r>
        <w:rPr>
          <w:rFonts w:hint="eastAsia" w:ascii="宋体" w:hAnsi="宋体" w:eastAsia="宋体" w:cs="宋体"/>
          <w:b/>
          <w:color w:val="auto"/>
          <w:kern w:val="2"/>
          <w:sz w:val="24"/>
          <w:szCs w:val="24"/>
          <w:highlight w:val="none"/>
        </w:rPr>
        <w:t>电    话：</w:t>
      </w:r>
      <w:bookmarkEnd w:id="17"/>
      <w:bookmarkEnd w:id="18"/>
      <w:r>
        <w:rPr>
          <w:rFonts w:hint="eastAsia" w:hAnsi="宋体" w:cs="宋体"/>
          <w:b/>
          <w:color w:val="auto"/>
          <w:kern w:val="2"/>
          <w:sz w:val="24"/>
          <w:szCs w:val="24"/>
          <w:highlight w:val="none"/>
          <w:lang w:eastAsia="zh-CN"/>
        </w:rPr>
        <w:t>18899198589</w:t>
      </w:r>
    </w:p>
    <w:p w14:paraId="73A9EF61">
      <w:pPr>
        <w:snapToGrid w:val="0"/>
        <w:spacing w:line="480" w:lineRule="auto"/>
        <w:ind w:left="2228" w:leftChars="104" w:right="-585" w:rightChars="-172" w:hanging="1874" w:hangingChars="778"/>
        <w:jc w:val="left"/>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94615</wp:posOffset>
                </wp:positionH>
                <wp:positionV relativeFrom="paragraph">
                  <wp:posOffset>93345</wp:posOffset>
                </wp:positionV>
                <wp:extent cx="5626735" cy="0"/>
                <wp:effectExtent l="0" t="0" r="0" b="0"/>
                <wp:wrapNone/>
                <wp:docPr id="1" name="直线 5"/>
                <wp:cNvGraphicFramePr/>
                <a:graphic xmlns:a="http://schemas.openxmlformats.org/drawingml/2006/main">
                  <a:graphicData uri="http://schemas.microsoft.com/office/word/2010/wordprocessingShape">
                    <wps:wsp>
                      <wps:cNvCnPr/>
                      <wps:spPr>
                        <a:xfrm>
                          <a:off x="0" y="0"/>
                          <a:ext cx="5626735" cy="0"/>
                        </a:xfrm>
                        <a:prstGeom prst="line">
                          <a:avLst/>
                        </a:prstGeom>
                        <a:ln w="12700" cap="flat" cmpd="sng">
                          <a:solidFill>
                            <a:srgbClr val="000000"/>
                          </a:solidFill>
                          <a:prstDash val="sysDot"/>
                          <a:headEnd type="none" w="med" len="med"/>
                          <a:tailEnd type="none" w="med" len="med"/>
                        </a:ln>
                      </wps:spPr>
                      <wps:bodyPr upright="1"/>
                    </wps:wsp>
                  </a:graphicData>
                </a:graphic>
              </wp:anchor>
            </w:drawing>
          </mc:Choice>
          <mc:Fallback>
            <w:pict>
              <v:line id="直线 5" o:spid="_x0000_s1026" o:spt="20" style="position:absolute;left:0pt;margin-left:7.45pt;margin-top:7.35pt;height:0pt;width:443.05pt;z-index:251659264;mso-width-relative:page;mso-height-relative:page;" filled="f" stroked="t" coordsize="21600,21600" o:gfxdata="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4sDrwNMA&#10;AAAIAQAADwAAAAAAAAABACAAAAAiAAAAZHJzL2Rvd25yZXYueG1sUEsBAhQAFAAAAAgAh07iQKo1&#10;2O3rAQAA3QMAAA4AAAAAAAAAAQAgAAAAIgEAAGRycy9lMm9Eb2MueG1sUEsFBgAAAAAGAAYAWQEA&#10;AH8FAAAAAA==&#10;">
                <v:fill on="f" focussize="0,0"/>
                <v:stroke weight="1pt" color="#000000" joinstyle="round" dashstyle="1 1"/>
                <v:imagedata o:title=""/>
                <o:lock v:ext="edit" aspectratio="f"/>
              </v:line>
            </w:pict>
          </mc:Fallback>
        </mc:AlternateContent>
      </w:r>
    </w:p>
    <w:p w14:paraId="1B1FED3A">
      <w:pPr>
        <w:snapToGrid w:val="0"/>
        <w:spacing w:line="480" w:lineRule="auto"/>
        <w:ind w:left="2228" w:leftChars="104" w:right="-585" w:rightChars="-172" w:hanging="1874" w:hangingChars="778"/>
        <w:jc w:val="left"/>
        <w:rPr>
          <w:rFonts w:hint="eastAsia" w:ascii="宋体" w:hAnsi="宋体" w:eastAsia="宋体" w:cs="宋体"/>
          <w:b/>
          <w:color w:val="auto"/>
          <w:kern w:val="2"/>
          <w:sz w:val="24"/>
          <w:szCs w:val="24"/>
          <w:highlight w:val="none"/>
          <w:lang w:eastAsia="zh-CN"/>
        </w:rPr>
      </w:pPr>
      <w:r>
        <w:rPr>
          <w:rFonts w:hint="eastAsia" w:ascii="宋体" w:hAnsi="宋体" w:eastAsia="宋体" w:cs="宋体"/>
          <w:b/>
          <w:color w:val="auto"/>
          <w:kern w:val="2"/>
          <w:sz w:val="24"/>
          <w:szCs w:val="24"/>
          <w:highlight w:val="none"/>
        </w:rPr>
        <w:t>采购代理机构（盖章）：</w:t>
      </w:r>
      <w:r>
        <w:rPr>
          <w:rFonts w:hint="eastAsia" w:hAnsi="宋体" w:cs="宋体"/>
          <w:b/>
          <w:color w:val="auto"/>
          <w:kern w:val="2"/>
          <w:sz w:val="24"/>
          <w:szCs w:val="24"/>
          <w:highlight w:val="none"/>
          <w:lang w:eastAsia="zh-CN"/>
        </w:rPr>
        <w:t>新疆砼聚工程项目管理有限公司</w:t>
      </w:r>
    </w:p>
    <w:p w14:paraId="24876D59">
      <w:pPr>
        <w:snapToGrid w:val="0"/>
        <w:spacing w:line="480" w:lineRule="auto"/>
        <w:ind w:left="2228" w:leftChars="104" w:right="-585" w:rightChars="-172" w:hanging="1874" w:hangingChars="778"/>
        <w:jc w:val="left"/>
        <w:rPr>
          <w:rFonts w:hint="default" w:ascii="宋体" w:hAnsi="宋体" w:eastAsia="宋体" w:cs="宋体"/>
          <w:b/>
          <w:color w:val="auto"/>
          <w:kern w:val="2"/>
          <w:sz w:val="24"/>
          <w:szCs w:val="24"/>
          <w:highlight w:val="none"/>
          <w:lang w:val="en-US" w:eastAsia="zh-CN"/>
        </w:rPr>
      </w:pPr>
      <w:r>
        <w:rPr>
          <w:rFonts w:hint="eastAsia" w:ascii="宋体" w:hAnsi="宋体" w:eastAsia="宋体" w:cs="宋体"/>
          <w:b/>
          <w:color w:val="auto"/>
          <w:kern w:val="2"/>
          <w:sz w:val="24"/>
          <w:szCs w:val="24"/>
          <w:highlight w:val="none"/>
        </w:rPr>
        <w:t>联 系 人：</w:t>
      </w:r>
      <w:r>
        <w:rPr>
          <w:rFonts w:hint="eastAsia" w:hAnsi="宋体" w:cs="宋体"/>
          <w:b/>
          <w:color w:val="auto"/>
          <w:kern w:val="2"/>
          <w:sz w:val="24"/>
          <w:szCs w:val="24"/>
          <w:highlight w:val="none"/>
          <w:lang w:eastAsia="zh-CN"/>
        </w:rPr>
        <w:t>陈保名、倪冬云</w:t>
      </w:r>
    </w:p>
    <w:p w14:paraId="32920033">
      <w:pPr>
        <w:snapToGrid w:val="0"/>
        <w:spacing w:line="480" w:lineRule="auto"/>
        <w:ind w:left="2228" w:leftChars="104" w:right="-585" w:rightChars="-172" w:hanging="1874" w:hangingChars="778"/>
        <w:jc w:val="left"/>
        <w:rPr>
          <w:rFonts w:hint="eastAsia" w:ascii="宋体" w:hAnsi="宋体" w:eastAsia="宋体" w:cs="宋体"/>
          <w:b/>
          <w:color w:val="auto"/>
          <w:kern w:val="2"/>
          <w:sz w:val="24"/>
          <w:szCs w:val="24"/>
          <w:highlight w:val="none"/>
          <w:lang w:eastAsia="zh-CN"/>
        </w:rPr>
      </w:pPr>
      <w:r>
        <w:rPr>
          <w:rFonts w:hint="eastAsia" w:ascii="宋体" w:hAnsi="宋体" w:eastAsia="宋体" w:cs="宋体"/>
          <w:b/>
          <w:color w:val="auto"/>
          <w:kern w:val="2"/>
          <w:sz w:val="24"/>
          <w:szCs w:val="24"/>
          <w:highlight w:val="none"/>
        </w:rPr>
        <w:t>电    话：</w:t>
      </w:r>
      <w:r>
        <w:rPr>
          <w:rFonts w:hint="eastAsia" w:hAnsi="宋体" w:cs="宋体"/>
          <w:b/>
          <w:color w:val="auto"/>
          <w:kern w:val="2"/>
          <w:sz w:val="24"/>
          <w:szCs w:val="24"/>
          <w:highlight w:val="none"/>
          <w:lang w:eastAsia="zh-CN"/>
        </w:rPr>
        <w:t>18119190546</w:t>
      </w:r>
    </w:p>
    <w:p w14:paraId="57A51957">
      <w:pPr>
        <w:snapToGrid w:val="0"/>
        <w:spacing w:line="480" w:lineRule="auto"/>
        <w:ind w:left="2228" w:leftChars="104" w:right="-585" w:rightChars="-172" w:hanging="1874" w:hangingChars="778"/>
        <w:jc w:val="left"/>
        <w:rPr>
          <w:rFonts w:hint="eastAsia" w:ascii="宋体" w:hAnsi="宋体" w:eastAsia="宋体" w:cs="宋体"/>
          <w:b/>
          <w:color w:val="auto"/>
          <w:kern w:val="2"/>
          <w:sz w:val="36"/>
          <w:szCs w:val="36"/>
          <w:highlight w:val="none"/>
        </w:rPr>
        <w:sectPr>
          <w:footerReference r:id="rId5" w:type="default"/>
          <w:pgSz w:w="11905" w:h="16838"/>
          <w:pgMar w:top="1247" w:right="1423" w:bottom="1247" w:left="1423" w:header="0" w:footer="907" w:gutter="0"/>
          <w:lnNumType w:countBy="0" w:distance="360"/>
          <w:cols w:space="0" w:num="1"/>
          <w:rtlGutter w:val="0"/>
          <w:docGrid w:linePitch="323" w:charSpace="0"/>
        </w:sectPr>
      </w:pPr>
      <w:r>
        <w:rPr>
          <w:rFonts w:hint="eastAsia" w:ascii="宋体" w:hAnsi="宋体" w:eastAsia="宋体" w:cs="宋体"/>
          <w:b/>
          <w:color w:val="auto"/>
          <w:kern w:val="2"/>
          <w:sz w:val="24"/>
          <w:szCs w:val="24"/>
          <w:highlight w:val="none"/>
        </w:rPr>
        <w:t>详细地址：</w:t>
      </w:r>
      <w:r>
        <w:rPr>
          <w:rFonts w:hint="eastAsia" w:hAnsi="宋体" w:cs="宋体"/>
          <w:b/>
          <w:color w:val="auto"/>
          <w:kern w:val="2"/>
          <w:sz w:val="24"/>
          <w:szCs w:val="24"/>
          <w:highlight w:val="none"/>
          <w:lang w:eastAsia="zh-CN"/>
        </w:rPr>
        <w:t>乌鲁木齐市水磨沟区龙盛街 898#中央万科公园 S2 栋 1504#</w:t>
      </w:r>
    </w:p>
    <w:p w14:paraId="09802563">
      <w:pPr>
        <w:spacing w:before="0" w:beforeLines="0" w:after="0" w:afterLines="0" w:line="240" w:lineRule="auto"/>
        <w:ind w:left="0" w:leftChars="0" w:right="0" w:rightChars="0" w:firstLine="0" w:firstLineChars="0"/>
        <w:jc w:val="center"/>
        <w:rPr>
          <w:rFonts w:hint="default" w:ascii="宋体" w:hAnsi="宋体" w:eastAsia="宋体" w:cs="Times New Roman"/>
          <w:sz w:val="21"/>
          <w:szCs w:val="24"/>
          <w:highlight w:val="none"/>
          <w:lang w:val="en-US" w:eastAsia="zh-CN" w:bidi="ar-SA"/>
        </w:rPr>
      </w:pPr>
    </w:p>
    <w:p w14:paraId="2F2D8717">
      <w:pPr>
        <w:spacing w:before="0" w:beforeLines="0" w:after="0" w:afterLines="0" w:line="240" w:lineRule="auto"/>
        <w:ind w:left="0" w:leftChars="0" w:right="0" w:rightChars="0" w:firstLine="0" w:firstLineChars="0"/>
        <w:jc w:val="center"/>
        <w:rPr>
          <w:rFonts w:ascii="宋体" w:hAnsi="宋体" w:eastAsia="宋体"/>
          <w:b/>
          <w:bCs/>
          <w:sz w:val="32"/>
          <w:szCs w:val="40"/>
          <w:highlight w:val="none"/>
        </w:rPr>
      </w:pPr>
      <w:r>
        <w:rPr>
          <w:rFonts w:ascii="宋体" w:hAnsi="宋体" w:eastAsia="宋体"/>
          <w:b/>
          <w:bCs/>
          <w:sz w:val="32"/>
          <w:szCs w:val="40"/>
          <w:highlight w:val="none"/>
        </w:rPr>
        <w:t>目录</w:t>
      </w:r>
    </w:p>
    <w:p w14:paraId="2CC5176B">
      <w:pPr>
        <w:pStyle w:val="27"/>
        <w:rPr>
          <w:sz w:val="20"/>
          <w:szCs w:val="22"/>
          <w:highlight w:val="none"/>
        </w:rPr>
      </w:pPr>
    </w:p>
    <w:p w14:paraId="3D80FF8E">
      <w:pPr>
        <w:pStyle w:val="27"/>
        <w:tabs>
          <w:tab w:val="right" w:leader="dot" w:pos="9013"/>
        </w:tabs>
        <w:spacing w:line="480" w:lineRule="auto"/>
        <w:rPr>
          <w:b/>
          <w:bCs/>
          <w:sz w:val="24"/>
          <w:highlight w:val="none"/>
        </w:rPr>
      </w:pPr>
      <w:r>
        <w:rPr>
          <w:b/>
          <w:bCs/>
          <w:sz w:val="28"/>
          <w:szCs w:val="28"/>
          <w:highlight w:val="none"/>
        </w:rPr>
        <w:fldChar w:fldCharType="begin"/>
      </w:r>
      <w:r>
        <w:rPr>
          <w:b/>
          <w:bCs/>
          <w:sz w:val="28"/>
          <w:szCs w:val="28"/>
          <w:highlight w:val="none"/>
        </w:rPr>
        <w:instrText xml:space="preserve">TOC \o "1-1" \h \u </w:instrText>
      </w:r>
      <w:r>
        <w:rPr>
          <w:b/>
          <w:bCs/>
          <w:sz w:val="28"/>
          <w:szCs w:val="28"/>
          <w:highlight w:val="none"/>
        </w:rPr>
        <w:fldChar w:fldCharType="separate"/>
      </w:r>
      <w:r>
        <w:rPr>
          <w:b/>
          <w:bCs/>
          <w:sz w:val="24"/>
          <w:szCs w:val="24"/>
          <w:highlight w:val="none"/>
        </w:rPr>
        <w:fldChar w:fldCharType="begin"/>
      </w:r>
      <w:r>
        <w:rPr>
          <w:b/>
          <w:bCs/>
          <w:sz w:val="24"/>
          <w:szCs w:val="24"/>
          <w:highlight w:val="none"/>
        </w:rPr>
        <w:instrText xml:space="preserve"> HYPERLINK \l _Toc20068 </w:instrText>
      </w:r>
      <w:r>
        <w:rPr>
          <w:b/>
          <w:bCs/>
          <w:sz w:val="24"/>
          <w:szCs w:val="24"/>
          <w:highlight w:val="none"/>
        </w:rPr>
        <w:fldChar w:fldCharType="separate"/>
      </w:r>
      <w:r>
        <w:rPr>
          <w:rFonts w:hint="eastAsia" w:hAnsi="宋体" w:cs="宋体"/>
          <w:b/>
          <w:bCs/>
          <w:sz w:val="24"/>
          <w:szCs w:val="24"/>
          <w:highlight w:val="none"/>
          <w:lang w:val="en-US" w:eastAsia="zh-CN"/>
        </w:rPr>
        <w:t>第一章  招标公告</w:t>
      </w:r>
      <w:r>
        <w:rPr>
          <w:b/>
          <w:bCs/>
          <w:sz w:val="24"/>
          <w:highlight w:val="none"/>
        </w:rPr>
        <w:tab/>
      </w:r>
      <w:r>
        <w:rPr>
          <w:b/>
          <w:bCs/>
          <w:sz w:val="24"/>
          <w:highlight w:val="none"/>
        </w:rPr>
        <w:fldChar w:fldCharType="begin"/>
      </w:r>
      <w:r>
        <w:rPr>
          <w:b/>
          <w:bCs/>
          <w:sz w:val="24"/>
          <w:highlight w:val="none"/>
        </w:rPr>
        <w:instrText xml:space="preserve"> PAGEREF _Toc20068 \h </w:instrText>
      </w:r>
      <w:r>
        <w:rPr>
          <w:b/>
          <w:bCs/>
          <w:sz w:val="24"/>
          <w:highlight w:val="none"/>
        </w:rPr>
        <w:fldChar w:fldCharType="separate"/>
      </w:r>
      <w:r>
        <w:rPr>
          <w:b/>
          <w:bCs/>
          <w:sz w:val="24"/>
          <w:highlight w:val="none"/>
        </w:rPr>
        <w:t>1</w:t>
      </w:r>
      <w:r>
        <w:rPr>
          <w:b/>
          <w:bCs/>
          <w:sz w:val="24"/>
          <w:highlight w:val="none"/>
        </w:rPr>
        <w:fldChar w:fldCharType="end"/>
      </w:r>
      <w:r>
        <w:rPr>
          <w:b/>
          <w:bCs/>
          <w:sz w:val="24"/>
          <w:szCs w:val="24"/>
          <w:highlight w:val="none"/>
        </w:rPr>
        <w:fldChar w:fldCharType="end"/>
      </w:r>
    </w:p>
    <w:p w14:paraId="39642DA0">
      <w:pPr>
        <w:pStyle w:val="27"/>
        <w:tabs>
          <w:tab w:val="right" w:leader="dot" w:pos="9013"/>
        </w:tabs>
        <w:spacing w:line="480" w:lineRule="auto"/>
        <w:rPr>
          <w:b/>
          <w:bCs/>
          <w:sz w:val="24"/>
          <w:highlight w:val="none"/>
        </w:rPr>
      </w:pPr>
      <w:r>
        <w:rPr>
          <w:b/>
          <w:bCs/>
          <w:sz w:val="24"/>
          <w:szCs w:val="24"/>
          <w:highlight w:val="none"/>
        </w:rPr>
        <w:fldChar w:fldCharType="begin"/>
      </w:r>
      <w:r>
        <w:rPr>
          <w:b/>
          <w:bCs/>
          <w:sz w:val="24"/>
          <w:szCs w:val="24"/>
          <w:highlight w:val="none"/>
        </w:rPr>
        <w:instrText xml:space="preserve"> HYPERLINK \l _Toc1387 </w:instrText>
      </w:r>
      <w:r>
        <w:rPr>
          <w:b/>
          <w:bCs/>
          <w:sz w:val="24"/>
          <w:szCs w:val="24"/>
          <w:highlight w:val="none"/>
        </w:rPr>
        <w:fldChar w:fldCharType="separate"/>
      </w:r>
      <w:r>
        <w:rPr>
          <w:rFonts w:hint="eastAsia"/>
          <w:b/>
          <w:bCs/>
          <w:sz w:val="24"/>
          <w:highlight w:val="none"/>
          <w:lang w:val="en-US" w:eastAsia="zh-CN"/>
        </w:rPr>
        <w:t>第二章  供应商须知</w:t>
      </w:r>
      <w:r>
        <w:rPr>
          <w:b/>
          <w:bCs/>
          <w:sz w:val="24"/>
          <w:highlight w:val="none"/>
        </w:rPr>
        <w:tab/>
      </w:r>
      <w:r>
        <w:rPr>
          <w:b/>
          <w:bCs/>
          <w:sz w:val="24"/>
          <w:highlight w:val="none"/>
        </w:rPr>
        <w:fldChar w:fldCharType="begin"/>
      </w:r>
      <w:r>
        <w:rPr>
          <w:b/>
          <w:bCs/>
          <w:sz w:val="24"/>
          <w:highlight w:val="none"/>
        </w:rPr>
        <w:instrText xml:space="preserve"> PAGEREF _Toc1387 \h </w:instrText>
      </w:r>
      <w:r>
        <w:rPr>
          <w:b/>
          <w:bCs/>
          <w:sz w:val="24"/>
          <w:highlight w:val="none"/>
        </w:rPr>
        <w:fldChar w:fldCharType="separate"/>
      </w:r>
      <w:r>
        <w:rPr>
          <w:b/>
          <w:bCs/>
          <w:sz w:val="24"/>
          <w:highlight w:val="none"/>
        </w:rPr>
        <w:t>5</w:t>
      </w:r>
      <w:r>
        <w:rPr>
          <w:b/>
          <w:bCs/>
          <w:sz w:val="24"/>
          <w:highlight w:val="none"/>
        </w:rPr>
        <w:fldChar w:fldCharType="end"/>
      </w:r>
      <w:r>
        <w:rPr>
          <w:b/>
          <w:bCs/>
          <w:sz w:val="24"/>
          <w:szCs w:val="24"/>
          <w:highlight w:val="none"/>
        </w:rPr>
        <w:fldChar w:fldCharType="end"/>
      </w:r>
    </w:p>
    <w:p w14:paraId="21BC1328">
      <w:pPr>
        <w:pStyle w:val="27"/>
        <w:tabs>
          <w:tab w:val="right" w:leader="dot" w:pos="9013"/>
        </w:tabs>
        <w:spacing w:line="480" w:lineRule="auto"/>
        <w:rPr>
          <w:b/>
          <w:bCs/>
          <w:sz w:val="24"/>
          <w:highlight w:val="none"/>
        </w:rPr>
      </w:pPr>
      <w:r>
        <w:rPr>
          <w:b/>
          <w:bCs/>
          <w:sz w:val="24"/>
          <w:szCs w:val="24"/>
          <w:highlight w:val="none"/>
        </w:rPr>
        <w:fldChar w:fldCharType="begin"/>
      </w:r>
      <w:r>
        <w:rPr>
          <w:b/>
          <w:bCs/>
          <w:sz w:val="24"/>
          <w:szCs w:val="24"/>
          <w:highlight w:val="none"/>
        </w:rPr>
        <w:instrText xml:space="preserve"> HYPERLINK \l _Toc21913 </w:instrText>
      </w:r>
      <w:r>
        <w:rPr>
          <w:b/>
          <w:bCs/>
          <w:sz w:val="24"/>
          <w:szCs w:val="24"/>
          <w:highlight w:val="none"/>
        </w:rPr>
        <w:fldChar w:fldCharType="separate"/>
      </w:r>
      <w:r>
        <w:rPr>
          <w:rFonts w:hint="eastAsia" w:ascii="宋体" w:hAnsi="宋体" w:eastAsia="宋体" w:cs="宋体"/>
          <w:b/>
          <w:bCs/>
          <w:kern w:val="2"/>
          <w:sz w:val="24"/>
          <w:szCs w:val="24"/>
          <w:highlight w:val="none"/>
        </w:rPr>
        <w:t>第三章  评标办法</w:t>
      </w:r>
      <w:r>
        <w:rPr>
          <w:b/>
          <w:bCs/>
          <w:sz w:val="24"/>
          <w:highlight w:val="none"/>
        </w:rPr>
        <w:tab/>
      </w:r>
      <w:r>
        <w:rPr>
          <w:b/>
          <w:bCs/>
          <w:sz w:val="24"/>
          <w:highlight w:val="none"/>
        </w:rPr>
        <w:fldChar w:fldCharType="begin"/>
      </w:r>
      <w:r>
        <w:rPr>
          <w:b/>
          <w:bCs/>
          <w:sz w:val="24"/>
          <w:highlight w:val="none"/>
        </w:rPr>
        <w:instrText xml:space="preserve"> PAGEREF _Toc21913 \h </w:instrText>
      </w:r>
      <w:r>
        <w:rPr>
          <w:b/>
          <w:bCs/>
          <w:sz w:val="24"/>
          <w:highlight w:val="none"/>
        </w:rPr>
        <w:fldChar w:fldCharType="separate"/>
      </w:r>
      <w:r>
        <w:rPr>
          <w:b/>
          <w:bCs/>
          <w:sz w:val="24"/>
          <w:highlight w:val="none"/>
        </w:rPr>
        <w:t>26</w:t>
      </w:r>
      <w:r>
        <w:rPr>
          <w:b/>
          <w:bCs/>
          <w:sz w:val="24"/>
          <w:highlight w:val="none"/>
        </w:rPr>
        <w:fldChar w:fldCharType="end"/>
      </w:r>
      <w:r>
        <w:rPr>
          <w:b/>
          <w:bCs/>
          <w:sz w:val="24"/>
          <w:szCs w:val="24"/>
          <w:highlight w:val="none"/>
        </w:rPr>
        <w:fldChar w:fldCharType="end"/>
      </w:r>
    </w:p>
    <w:p w14:paraId="7278B0B0">
      <w:pPr>
        <w:pStyle w:val="27"/>
        <w:tabs>
          <w:tab w:val="right" w:leader="dot" w:pos="9013"/>
        </w:tabs>
        <w:spacing w:line="480" w:lineRule="auto"/>
        <w:rPr>
          <w:b/>
          <w:bCs/>
          <w:sz w:val="24"/>
          <w:highlight w:val="none"/>
        </w:rPr>
      </w:pPr>
      <w:r>
        <w:rPr>
          <w:b/>
          <w:bCs/>
          <w:sz w:val="24"/>
          <w:szCs w:val="24"/>
          <w:highlight w:val="none"/>
        </w:rPr>
        <w:fldChar w:fldCharType="begin"/>
      </w:r>
      <w:r>
        <w:rPr>
          <w:b/>
          <w:bCs/>
          <w:sz w:val="24"/>
          <w:szCs w:val="24"/>
          <w:highlight w:val="none"/>
        </w:rPr>
        <w:instrText xml:space="preserve"> HYPERLINK \l _Toc14881 </w:instrText>
      </w:r>
      <w:r>
        <w:rPr>
          <w:b/>
          <w:bCs/>
          <w:sz w:val="24"/>
          <w:szCs w:val="24"/>
          <w:highlight w:val="none"/>
        </w:rPr>
        <w:fldChar w:fldCharType="separate"/>
      </w:r>
      <w:r>
        <w:rPr>
          <w:rFonts w:hint="eastAsia" w:ascii="宋体" w:hAnsi="宋体" w:eastAsia="宋体" w:cs="宋体"/>
          <w:b/>
          <w:bCs/>
          <w:spacing w:val="6"/>
          <w:sz w:val="24"/>
          <w:szCs w:val="24"/>
          <w:highlight w:val="none"/>
        </w:rPr>
        <w:t>第四章  合同条款及格式</w:t>
      </w:r>
      <w:r>
        <w:rPr>
          <w:b/>
          <w:bCs/>
          <w:sz w:val="24"/>
          <w:highlight w:val="none"/>
        </w:rPr>
        <w:tab/>
      </w:r>
      <w:r>
        <w:rPr>
          <w:b/>
          <w:bCs/>
          <w:sz w:val="24"/>
          <w:highlight w:val="none"/>
        </w:rPr>
        <w:fldChar w:fldCharType="begin"/>
      </w:r>
      <w:r>
        <w:rPr>
          <w:b/>
          <w:bCs/>
          <w:sz w:val="24"/>
          <w:highlight w:val="none"/>
        </w:rPr>
        <w:instrText xml:space="preserve"> PAGEREF _Toc14881 \h </w:instrText>
      </w:r>
      <w:r>
        <w:rPr>
          <w:b/>
          <w:bCs/>
          <w:sz w:val="24"/>
          <w:highlight w:val="none"/>
        </w:rPr>
        <w:fldChar w:fldCharType="separate"/>
      </w:r>
      <w:r>
        <w:rPr>
          <w:b/>
          <w:bCs/>
          <w:sz w:val="24"/>
          <w:highlight w:val="none"/>
        </w:rPr>
        <w:t>34</w:t>
      </w:r>
      <w:r>
        <w:rPr>
          <w:b/>
          <w:bCs/>
          <w:sz w:val="24"/>
          <w:highlight w:val="none"/>
        </w:rPr>
        <w:fldChar w:fldCharType="end"/>
      </w:r>
      <w:r>
        <w:rPr>
          <w:b/>
          <w:bCs/>
          <w:sz w:val="24"/>
          <w:szCs w:val="24"/>
          <w:highlight w:val="none"/>
        </w:rPr>
        <w:fldChar w:fldCharType="end"/>
      </w:r>
    </w:p>
    <w:p w14:paraId="661F38FC">
      <w:pPr>
        <w:pStyle w:val="27"/>
        <w:tabs>
          <w:tab w:val="right" w:leader="dot" w:pos="9013"/>
        </w:tabs>
        <w:spacing w:line="480" w:lineRule="auto"/>
        <w:rPr>
          <w:b/>
          <w:bCs/>
          <w:sz w:val="24"/>
          <w:highlight w:val="none"/>
        </w:rPr>
      </w:pPr>
      <w:r>
        <w:rPr>
          <w:b/>
          <w:bCs/>
          <w:sz w:val="24"/>
          <w:szCs w:val="24"/>
          <w:highlight w:val="none"/>
        </w:rPr>
        <w:fldChar w:fldCharType="begin"/>
      </w:r>
      <w:r>
        <w:rPr>
          <w:b/>
          <w:bCs/>
          <w:sz w:val="24"/>
          <w:szCs w:val="24"/>
          <w:highlight w:val="none"/>
        </w:rPr>
        <w:instrText xml:space="preserve"> HYPERLINK \l _Toc11750 </w:instrText>
      </w:r>
      <w:r>
        <w:rPr>
          <w:b/>
          <w:bCs/>
          <w:sz w:val="24"/>
          <w:szCs w:val="24"/>
          <w:highlight w:val="none"/>
        </w:rPr>
        <w:fldChar w:fldCharType="separate"/>
      </w:r>
      <w:r>
        <w:rPr>
          <w:rFonts w:hint="eastAsia" w:ascii="宋体" w:hAnsi="宋体" w:eastAsia="宋体" w:cs="宋体"/>
          <w:b/>
          <w:bCs/>
          <w:sz w:val="24"/>
          <w:szCs w:val="24"/>
          <w:highlight w:val="none"/>
          <w:lang w:eastAsia="zh-CN"/>
        </w:rPr>
        <w:t>第五章</w:t>
      </w:r>
      <w:r>
        <w:rPr>
          <w:rFonts w:hint="eastAsia" w:ascii="宋体" w:hAnsi="宋体" w:eastAsia="宋体" w:cs="宋体"/>
          <w:b/>
          <w:bCs/>
          <w:sz w:val="24"/>
          <w:szCs w:val="24"/>
          <w:highlight w:val="none"/>
          <w:lang w:val="en-US" w:eastAsia="zh-CN"/>
        </w:rPr>
        <w:t xml:space="preserve">  </w:t>
      </w:r>
      <w:r>
        <w:rPr>
          <w:rFonts w:hint="eastAsia" w:ascii="宋体" w:hAnsi="宋体" w:eastAsia="宋体" w:cs="宋体"/>
          <w:b/>
          <w:bCs/>
          <w:sz w:val="24"/>
          <w:szCs w:val="24"/>
          <w:highlight w:val="none"/>
          <w:lang w:eastAsia="zh-CN"/>
        </w:rPr>
        <w:t>采购需求</w:t>
      </w:r>
      <w:r>
        <w:rPr>
          <w:b/>
          <w:bCs/>
          <w:sz w:val="24"/>
          <w:highlight w:val="none"/>
        </w:rPr>
        <w:tab/>
      </w:r>
      <w:r>
        <w:rPr>
          <w:b/>
          <w:bCs/>
          <w:sz w:val="24"/>
          <w:highlight w:val="none"/>
        </w:rPr>
        <w:fldChar w:fldCharType="begin"/>
      </w:r>
      <w:r>
        <w:rPr>
          <w:b/>
          <w:bCs/>
          <w:sz w:val="24"/>
          <w:highlight w:val="none"/>
        </w:rPr>
        <w:instrText xml:space="preserve"> PAGEREF _Toc11750 \h </w:instrText>
      </w:r>
      <w:r>
        <w:rPr>
          <w:b/>
          <w:bCs/>
          <w:sz w:val="24"/>
          <w:highlight w:val="none"/>
        </w:rPr>
        <w:fldChar w:fldCharType="separate"/>
      </w:r>
      <w:r>
        <w:rPr>
          <w:b/>
          <w:bCs/>
          <w:sz w:val="24"/>
          <w:highlight w:val="none"/>
        </w:rPr>
        <w:t>41</w:t>
      </w:r>
      <w:r>
        <w:rPr>
          <w:b/>
          <w:bCs/>
          <w:sz w:val="24"/>
          <w:highlight w:val="none"/>
        </w:rPr>
        <w:fldChar w:fldCharType="end"/>
      </w:r>
      <w:r>
        <w:rPr>
          <w:b/>
          <w:bCs/>
          <w:sz w:val="24"/>
          <w:szCs w:val="24"/>
          <w:highlight w:val="none"/>
        </w:rPr>
        <w:fldChar w:fldCharType="end"/>
      </w:r>
    </w:p>
    <w:p w14:paraId="49C1B784">
      <w:pPr>
        <w:pStyle w:val="27"/>
        <w:tabs>
          <w:tab w:val="right" w:leader="dot" w:pos="9013"/>
        </w:tabs>
        <w:spacing w:line="480" w:lineRule="auto"/>
        <w:rPr>
          <w:rFonts w:hint="default" w:eastAsia="宋体"/>
          <w:highlight w:val="none"/>
          <w:lang w:val="en-US" w:eastAsia="zh-CN"/>
        </w:rPr>
      </w:pPr>
      <w:r>
        <w:rPr>
          <w:b/>
          <w:bCs/>
          <w:sz w:val="24"/>
          <w:szCs w:val="24"/>
          <w:highlight w:val="none"/>
        </w:rPr>
        <w:fldChar w:fldCharType="begin"/>
      </w:r>
      <w:r>
        <w:rPr>
          <w:b/>
          <w:bCs/>
          <w:sz w:val="24"/>
          <w:szCs w:val="24"/>
          <w:highlight w:val="none"/>
        </w:rPr>
        <w:instrText xml:space="preserve"> HYPERLINK \l _Toc14424 </w:instrText>
      </w:r>
      <w:r>
        <w:rPr>
          <w:b/>
          <w:bCs/>
          <w:sz w:val="24"/>
          <w:szCs w:val="24"/>
          <w:highlight w:val="none"/>
        </w:rPr>
        <w:fldChar w:fldCharType="separate"/>
      </w:r>
      <w:r>
        <w:rPr>
          <w:rFonts w:hint="eastAsia"/>
          <w:b/>
          <w:bCs/>
          <w:sz w:val="24"/>
          <w:highlight w:val="none"/>
        </w:rPr>
        <w:t>第六章</w:t>
      </w:r>
      <w:r>
        <w:rPr>
          <w:rFonts w:hint="eastAsia"/>
          <w:b/>
          <w:bCs/>
          <w:sz w:val="24"/>
          <w:highlight w:val="none"/>
          <w:lang w:val="en-US" w:eastAsia="zh-CN"/>
        </w:rPr>
        <w:t xml:space="preserve">  </w:t>
      </w:r>
      <w:r>
        <w:rPr>
          <w:rFonts w:hint="eastAsia"/>
          <w:b/>
          <w:bCs/>
          <w:sz w:val="24"/>
          <w:highlight w:val="none"/>
        </w:rPr>
        <w:t>投标文件格式</w:t>
      </w:r>
      <w:r>
        <w:rPr>
          <w:b/>
          <w:bCs/>
          <w:sz w:val="24"/>
          <w:highlight w:val="none"/>
        </w:rPr>
        <w:tab/>
      </w:r>
      <w:r>
        <w:rPr>
          <w:b/>
          <w:bCs/>
          <w:sz w:val="24"/>
          <w:szCs w:val="24"/>
          <w:highlight w:val="none"/>
        </w:rPr>
        <w:fldChar w:fldCharType="end"/>
      </w:r>
      <w:r>
        <w:rPr>
          <w:rFonts w:hint="eastAsia"/>
          <w:b/>
          <w:bCs/>
          <w:sz w:val="24"/>
          <w:highlight w:val="none"/>
          <w:lang w:val="en-US" w:eastAsia="zh-CN"/>
        </w:rPr>
        <w:t>44</w:t>
      </w:r>
    </w:p>
    <w:p w14:paraId="1D4F3C4C">
      <w:pPr>
        <w:pStyle w:val="27"/>
        <w:tabs>
          <w:tab w:val="right" w:leader="dot" w:pos="9013"/>
        </w:tabs>
        <w:spacing w:line="480" w:lineRule="auto"/>
        <w:rPr>
          <w:highlight w:val="none"/>
        </w:rPr>
      </w:pPr>
    </w:p>
    <w:p w14:paraId="20499033">
      <w:pPr>
        <w:spacing w:line="480" w:lineRule="auto"/>
        <w:rPr>
          <w:b/>
          <w:bCs/>
          <w:sz w:val="24"/>
          <w:highlight w:val="none"/>
        </w:rPr>
      </w:pPr>
      <w:r>
        <w:rPr>
          <w:b/>
          <w:bCs/>
          <w:sz w:val="21"/>
          <w:szCs w:val="21"/>
          <w:highlight w:val="none"/>
        </w:rPr>
        <w:fldChar w:fldCharType="end"/>
      </w:r>
    </w:p>
    <w:p w14:paraId="08DD2BE8">
      <w:pPr>
        <w:pStyle w:val="3"/>
        <w:numPr>
          <w:ilvl w:val="-1"/>
          <w:numId w:val="0"/>
        </w:numPr>
        <w:spacing w:before="0" w:beforeAutospacing="0" w:after="0" w:afterAutospacing="0" w:line="240" w:lineRule="auto"/>
        <w:jc w:val="both"/>
        <w:outlineLvl w:val="9"/>
        <w:rPr>
          <w:rFonts w:hint="eastAsia" w:ascii="宋体" w:hAnsi="宋体" w:eastAsia="宋体" w:cs="宋体"/>
          <w:b/>
          <w:bCs/>
          <w:color w:val="auto"/>
          <w:sz w:val="28"/>
          <w:szCs w:val="32"/>
          <w:highlight w:val="none"/>
          <w:lang w:eastAsia="zh-CN"/>
        </w:rPr>
        <w:sectPr>
          <w:footerReference r:id="rId6" w:type="default"/>
          <w:type w:val="nextColumn"/>
          <w:pgSz w:w="11906" w:h="16838"/>
          <w:pgMar w:top="1431" w:right="1436" w:bottom="1171" w:left="1457" w:header="0" w:footer="959" w:gutter="0"/>
          <w:pgNumType w:fmt="decimal"/>
          <w:cols w:space="720" w:num="1"/>
        </w:sectPr>
      </w:pPr>
      <w:bookmarkStart w:id="19" w:name="_Toc14196"/>
      <w:bookmarkStart w:id="20" w:name="_Toc19506"/>
      <w:bookmarkStart w:id="21" w:name="_Toc4957"/>
      <w:bookmarkStart w:id="22" w:name="_Toc22509"/>
      <w:bookmarkStart w:id="23" w:name="_Toc25946"/>
      <w:bookmarkStart w:id="24" w:name="_Toc15141"/>
    </w:p>
    <w:p w14:paraId="2F121EAE">
      <w:pPr>
        <w:pStyle w:val="3"/>
        <w:numPr>
          <w:ilvl w:val="-1"/>
          <w:numId w:val="0"/>
        </w:numPr>
        <w:spacing w:before="0" w:beforeAutospacing="0" w:after="0" w:afterAutospacing="0" w:line="360" w:lineRule="auto"/>
        <w:jc w:val="center"/>
        <w:outlineLvl w:val="9"/>
        <w:rPr>
          <w:rFonts w:hint="eastAsia" w:ascii="宋体" w:hAnsi="宋体" w:eastAsia="宋体" w:cs="宋体"/>
          <w:b/>
          <w:color w:val="auto"/>
          <w:sz w:val="30"/>
          <w:szCs w:val="30"/>
          <w:highlight w:val="none"/>
          <w:lang w:eastAsia="zh-CN"/>
        </w:rPr>
      </w:pPr>
      <w:r>
        <w:rPr>
          <w:rFonts w:hint="eastAsia" w:ascii="宋体" w:hAnsi="宋体" w:eastAsia="宋体" w:cs="宋体"/>
          <w:b/>
          <w:bCs/>
          <w:color w:val="auto"/>
          <w:sz w:val="28"/>
          <w:szCs w:val="32"/>
          <w:highlight w:val="none"/>
          <w:lang w:eastAsia="zh-CN"/>
        </w:rPr>
        <w:t xml:space="preserve">第一章 </w:t>
      </w:r>
      <w:r>
        <w:rPr>
          <w:rFonts w:hint="eastAsia" w:ascii="宋体" w:hAnsi="宋体" w:eastAsia="宋体" w:cs="宋体"/>
          <w:b/>
          <w:bCs/>
          <w:color w:val="auto"/>
          <w:sz w:val="28"/>
          <w:szCs w:val="32"/>
          <w:highlight w:val="none"/>
          <w:lang w:val="en-US" w:eastAsia="zh-CN"/>
        </w:rPr>
        <w:t xml:space="preserve"> </w:t>
      </w:r>
      <w:r>
        <w:rPr>
          <w:rFonts w:hint="eastAsia" w:ascii="宋体" w:hAnsi="宋体" w:eastAsia="宋体" w:cs="宋体"/>
          <w:b/>
          <w:bCs/>
          <w:color w:val="auto"/>
          <w:sz w:val="28"/>
          <w:szCs w:val="32"/>
          <w:highlight w:val="none"/>
        </w:rPr>
        <w:t>招标公告</w:t>
      </w:r>
      <w:bookmarkEnd w:id="19"/>
    </w:p>
    <w:p w14:paraId="5E64EBF5">
      <w:pPr>
        <w:pStyle w:val="17"/>
        <w:numPr>
          <w:ilvl w:val="0"/>
          <w:numId w:val="0"/>
        </w:numPr>
        <w:spacing w:before="75" w:beforeAutospacing="0" w:after="75" w:afterAutospacing="0" w:line="360" w:lineRule="auto"/>
        <w:jc w:val="center"/>
        <w:outlineLvl w:val="0"/>
        <w:rPr>
          <w:rFonts w:hint="eastAsia" w:ascii="宋体" w:hAnsi="宋体" w:eastAsia="宋体" w:cs="宋体"/>
          <w:b/>
          <w:color w:val="auto"/>
          <w:sz w:val="28"/>
          <w:szCs w:val="28"/>
          <w:highlight w:val="none"/>
        </w:rPr>
      </w:pPr>
      <w:bookmarkStart w:id="25" w:name="_Toc9356"/>
      <w:bookmarkStart w:id="26" w:name="_Toc13499"/>
      <w:bookmarkStart w:id="27" w:name="_Toc13539"/>
      <w:r>
        <w:rPr>
          <w:rFonts w:hint="eastAsia" w:cs="宋体"/>
          <w:b/>
          <w:color w:val="auto"/>
          <w:sz w:val="28"/>
          <w:szCs w:val="28"/>
          <w:highlight w:val="none"/>
          <w:lang w:val="en-US" w:eastAsia="zh-CN"/>
        </w:rPr>
        <w:t>乌鲁木齐市市属某单位警械装备采购项目</w:t>
      </w:r>
      <w:r>
        <w:rPr>
          <w:rFonts w:hint="eastAsia" w:ascii="宋体" w:hAnsi="宋体" w:eastAsia="宋体" w:cs="宋体"/>
          <w:b/>
          <w:color w:val="auto"/>
          <w:sz w:val="28"/>
          <w:szCs w:val="28"/>
          <w:highlight w:val="none"/>
        </w:rPr>
        <w:t>招标公告</w:t>
      </w:r>
      <w:bookmarkEnd w:id="20"/>
      <w:bookmarkEnd w:id="21"/>
      <w:bookmarkEnd w:id="22"/>
      <w:bookmarkEnd w:id="23"/>
      <w:bookmarkEnd w:id="25"/>
      <w:bookmarkEnd w:id="26"/>
    </w:p>
    <w:p w14:paraId="51AB5247">
      <w:pPr>
        <w:pStyle w:val="17"/>
        <w:numPr>
          <w:ilvl w:val="0"/>
          <w:numId w:val="0"/>
        </w:numPr>
        <w:spacing w:before="75" w:beforeAutospacing="0" w:after="75" w:afterAutospacing="0" w:line="360" w:lineRule="auto"/>
        <w:jc w:val="both"/>
        <w:outlineLvl w:val="0"/>
        <w:rPr>
          <w:rFonts w:hint="eastAsia" w:ascii="宋体" w:hAnsi="宋体" w:eastAsia="宋体" w:cs="宋体"/>
          <w:color w:val="auto"/>
          <w:sz w:val="24"/>
          <w:szCs w:val="24"/>
          <w:highlight w:val="none"/>
        </w:rPr>
      </w:pPr>
      <w:bookmarkStart w:id="28" w:name="_Toc20068"/>
      <w:bookmarkStart w:id="29" w:name="_Toc10251"/>
      <w:r>
        <w:rPr>
          <w:rFonts w:hint="eastAsia" w:ascii="宋体" w:hAnsi="宋体" w:eastAsia="宋体" w:cs="宋体"/>
          <w:color w:val="auto"/>
          <w:sz w:val="31"/>
          <w:szCs w:val="24"/>
          <w:highlight w:val="none"/>
        </w:rPr>
        <mc:AlternateContent>
          <mc:Choice Requires="wps">
            <w:drawing>
              <wp:anchor distT="0" distB="0" distL="114300" distR="114300" simplePos="0" relativeHeight="251660288" behindDoc="1" locked="0" layoutInCell="1" allowOverlap="1">
                <wp:simplePos x="0" y="0"/>
                <wp:positionH relativeFrom="column">
                  <wp:posOffset>-224790</wp:posOffset>
                </wp:positionH>
                <wp:positionV relativeFrom="paragraph">
                  <wp:posOffset>44450</wp:posOffset>
                </wp:positionV>
                <wp:extent cx="6275705" cy="1473200"/>
                <wp:effectExtent l="4445" t="4445" r="0" b="65405"/>
                <wp:wrapTight wrapText="bothSides">
                  <wp:wrapPolygon>
                    <wp:start x="-15" y="-74"/>
                    <wp:lineTo x="-15" y="21432"/>
                    <wp:lineTo x="21556" y="21432"/>
                    <wp:lineTo x="21556" y="-74"/>
                    <wp:lineTo x="-15" y="-74"/>
                  </wp:wrapPolygon>
                </wp:wrapTight>
                <wp:docPr id="2" name="文本框 1"/>
                <wp:cNvGraphicFramePr/>
                <a:graphic xmlns:a="http://schemas.openxmlformats.org/drawingml/2006/main">
                  <a:graphicData uri="http://schemas.microsoft.com/office/word/2010/wordprocessingShape">
                    <wps:wsp>
                      <wps:cNvSpPr txBox="1"/>
                      <wps:spPr>
                        <a:xfrm>
                          <a:off x="0" y="0"/>
                          <a:ext cx="6275705" cy="1473200"/>
                        </a:xfrm>
                        <a:prstGeom prst="rect">
                          <a:avLst/>
                        </a:prstGeom>
                        <a:solidFill>
                          <a:srgbClr val="FFFFFF"/>
                        </a:solidFill>
                        <a:ln w="6350" cap="flat" cmpd="sng">
                          <a:solidFill>
                            <a:srgbClr val="000000"/>
                          </a:solidFill>
                          <a:prstDash val="solid"/>
                          <a:round/>
                          <a:headEnd type="none" w="med" len="med"/>
                          <a:tailEnd type="none" w="med" len="med"/>
                        </a:ln>
                      </wps:spPr>
                      <wps:txbx>
                        <w:txbxContent>
                          <w:p w14:paraId="76099770">
                            <w:pPr>
                              <w:pStyle w:val="17"/>
                              <w:spacing w:before="75" w:beforeAutospacing="0" w:after="75" w:afterAutospacing="0" w:line="360" w:lineRule="auto"/>
                              <w:rPr>
                                <w:rFonts w:hint="default"/>
                                <w:sz w:val="24"/>
                                <w:szCs w:val="24"/>
                                <w:highlight w:val="none"/>
                              </w:rPr>
                            </w:pPr>
                            <w:r>
                              <w:rPr>
                                <w:rFonts w:hint="default"/>
                                <w:color w:val="000000"/>
                                <w:sz w:val="24"/>
                                <w:szCs w:val="24"/>
                              </w:rPr>
                              <w:t>项目概况</w:t>
                            </w:r>
                          </w:p>
                          <w:p w14:paraId="10837A6D">
                            <w:pPr>
                              <w:pStyle w:val="17"/>
                              <w:spacing w:before="75" w:beforeAutospacing="0" w:after="75" w:afterAutospacing="0" w:line="360" w:lineRule="auto"/>
                              <w:ind w:firstLine="480" w:firstLineChars="200"/>
                              <w:rPr>
                                <w:rFonts w:hint="default"/>
                                <w:kern w:val="2"/>
                                <w:sz w:val="21"/>
                                <w:szCs w:val="24"/>
                                <w:highlight w:val="none"/>
                              </w:rPr>
                            </w:pPr>
                            <w:r>
                              <w:rPr>
                                <w:rFonts w:hint="eastAsia"/>
                                <w:color w:val="000000"/>
                                <w:sz w:val="24"/>
                                <w:szCs w:val="24"/>
                                <w:highlight w:val="none"/>
                                <w:u w:val="single"/>
                                <w:lang w:val="en-US" w:eastAsia="zh-CN"/>
                              </w:rPr>
                              <w:t>乌鲁木齐市市属某单位警械装备采购项目</w:t>
                            </w:r>
                            <w:r>
                              <w:rPr>
                                <w:rFonts w:hint="default"/>
                                <w:color w:val="000000"/>
                                <w:sz w:val="24"/>
                                <w:szCs w:val="24"/>
                                <w:highlight w:val="none"/>
                              </w:rPr>
                              <w:t>招标项目的潜在供应商应在</w:t>
                            </w:r>
                            <w:r>
                              <w:rPr>
                                <w:rFonts w:hint="default"/>
                                <w:color w:val="000000"/>
                                <w:sz w:val="24"/>
                                <w:szCs w:val="24"/>
                                <w:highlight w:val="none"/>
                                <w:u w:val="single"/>
                              </w:rPr>
                              <w:t>新疆政府采购云平台https://www.zcygov.cn/</w:t>
                            </w:r>
                            <w:r>
                              <w:rPr>
                                <w:rFonts w:hint="default"/>
                                <w:color w:val="000000"/>
                                <w:sz w:val="24"/>
                                <w:szCs w:val="24"/>
                                <w:highlight w:val="none"/>
                              </w:rPr>
                              <w:t xml:space="preserve">获取采购文件，并于 </w:t>
                            </w:r>
                            <w:r>
                              <w:rPr>
                                <w:rFonts w:hint="eastAsia"/>
                                <w:color w:val="000000"/>
                                <w:sz w:val="24"/>
                                <w:szCs w:val="24"/>
                                <w:highlight w:val="none"/>
                                <w:u w:val="single"/>
                                <w:lang w:eastAsia="zh-CN"/>
                              </w:rPr>
                              <w:t>202</w:t>
                            </w:r>
                            <w:r>
                              <w:rPr>
                                <w:rFonts w:hint="eastAsia"/>
                                <w:color w:val="000000"/>
                                <w:sz w:val="24"/>
                                <w:szCs w:val="24"/>
                                <w:highlight w:val="none"/>
                                <w:u w:val="single"/>
                                <w:lang w:val="en-US" w:eastAsia="zh-CN"/>
                              </w:rPr>
                              <w:t>6</w:t>
                            </w:r>
                            <w:r>
                              <w:rPr>
                                <w:rFonts w:hint="eastAsia"/>
                                <w:color w:val="000000"/>
                                <w:sz w:val="24"/>
                                <w:szCs w:val="24"/>
                                <w:highlight w:val="none"/>
                                <w:u w:val="single"/>
                                <w:lang w:eastAsia="zh-CN"/>
                              </w:rPr>
                              <w:t>年0</w:t>
                            </w:r>
                            <w:r>
                              <w:rPr>
                                <w:rFonts w:hint="eastAsia"/>
                                <w:color w:val="000000"/>
                                <w:sz w:val="24"/>
                                <w:szCs w:val="24"/>
                                <w:highlight w:val="none"/>
                                <w:u w:val="single"/>
                                <w:lang w:val="en-US" w:eastAsia="zh-CN"/>
                              </w:rPr>
                              <w:t>6</w:t>
                            </w:r>
                            <w:r>
                              <w:rPr>
                                <w:rFonts w:hint="eastAsia"/>
                                <w:color w:val="000000"/>
                                <w:sz w:val="24"/>
                                <w:szCs w:val="24"/>
                                <w:highlight w:val="none"/>
                                <w:u w:val="single"/>
                                <w:lang w:eastAsia="zh-CN"/>
                              </w:rPr>
                              <w:t>月2</w:t>
                            </w:r>
                            <w:r>
                              <w:rPr>
                                <w:rFonts w:hint="eastAsia"/>
                                <w:color w:val="000000"/>
                                <w:sz w:val="24"/>
                                <w:szCs w:val="24"/>
                                <w:highlight w:val="none"/>
                                <w:u w:val="single"/>
                                <w:lang w:val="en-US" w:eastAsia="zh-CN"/>
                              </w:rPr>
                              <w:t>5</w:t>
                            </w:r>
                            <w:r>
                              <w:rPr>
                                <w:rFonts w:hint="eastAsia"/>
                                <w:color w:val="000000"/>
                                <w:sz w:val="24"/>
                                <w:szCs w:val="24"/>
                                <w:highlight w:val="none"/>
                                <w:u w:val="single"/>
                                <w:lang w:eastAsia="zh-CN"/>
                              </w:rPr>
                              <w:t>日11点00分</w:t>
                            </w:r>
                            <w:r>
                              <w:rPr>
                                <w:rFonts w:hint="default"/>
                                <w:color w:val="000000"/>
                                <w:sz w:val="24"/>
                                <w:szCs w:val="24"/>
                                <w:highlight w:val="none"/>
                              </w:rPr>
                              <w:t>（北京时间）前递交响应文件。</w:t>
                            </w:r>
                          </w:p>
                        </w:txbxContent>
                      </wps:txbx>
                      <wps:bodyPr vert="horz" wrap="square" anchor="t" anchorCtr="0" upright="1"/>
                    </wps:wsp>
                  </a:graphicData>
                </a:graphic>
              </wp:anchor>
            </w:drawing>
          </mc:Choice>
          <mc:Fallback>
            <w:pict>
              <v:shape id="文本框 1" o:spid="_x0000_s1026" o:spt="202" type="#_x0000_t202" style="position:absolute;left:0pt;margin-left:-17.7pt;margin-top:3.5pt;height:116pt;width:494.15pt;mso-wrap-distance-left:9pt;mso-wrap-distance-right:9pt;z-index:-251656192;mso-width-relative:page;mso-height-relative:page;" fillcolor="#FFFFFF" filled="t" stroked="t" coordsize="21600,21600" wrapcoords="-15 -74 -15 21432 21556 21432 21556 -74 -15 -74" o:gfxdata="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rSsm7XAAAACQEAAA8AAAAAAAAAAQAgAAAAIgAAAGRycy9kb3ducmV2LnhtbFBLAQIUABQA&#10;AAAIAIdO4kALW5ybKgIAAGoEAAAOAAAAAAAAAAEAIAAAACYBAABkcnMvZTJvRG9jLnhtbFBLBQYA&#10;AAAABgAGAFkBAADCBQAAAAA=&#10;">
                <v:fill on="t" focussize="0,0"/>
                <v:stroke weight="0.5pt" color="#000000" joinstyle="round"/>
                <v:imagedata o:title=""/>
                <o:lock v:ext="edit" aspectratio="f"/>
                <v:textbox>
                  <w:txbxContent>
                    <w:p w14:paraId="76099770">
                      <w:pPr>
                        <w:pStyle w:val="17"/>
                        <w:spacing w:before="75" w:beforeAutospacing="0" w:after="75" w:afterAutospacing="0" w:line="360" w:lineRule="auto"/>
                        <w:rPr>
                          <w:rFonts w:hint="default"/>
                          <w:sz w:val="24"/>
                          <w:szCs w:val="24"/>
                          <w:highlight w:val="none"/>
                        </w:rPr>
                      </w:pPr>
                      <w:r>
                        <w:rPr>
                          <w:rFonts w:hint="default"/>
                          <w:color w:val="000000"/>
                          <w:sz w:val="24"/>
                          <w:szCs w:val="24"/>
                        </w:rPr>
                        <w:t>项目概况</w:t>
                      </w:r>
                    </w:p>
                    <w:p w14:paraId="10837A6D">
                      <w:pPr>
                        <w:pStyle w:val="17"/>
                        <w:spacing w:before="75" w:beforeAutospacing="0" w:after="75" w:afterAutospacing="0" w:line="360" w:lineRule="auto"/>
                        <w:ind w:firstLine="480" w:firstLineChars="200"/>
                        <w:rPr>
                          <w:rFonts w:hint="default"/>
                          <w:kern w:val="2"/>
                          <w:sz w:val="21"/>
                          <w:szCs w:val="24"/>
                          <w:highlight w:val="none"/>
                        </w:rPr>
                      </w:pPr>
                      <w:r>
                        <w:rPr>
                          <w:rFonts w:hint="eastAsia"/>
                          <w:color w:val="000000"/>
                          <w:sz w:val="24"/>
                          <w:szCs w:val="24"/>
                          <w:highlight w:val="none"/>
                          <w:u w:val="single"/>
                          <w:lang w:val="en-US" w:eastAsia="zh-CN"/>
                        </w:rPr>
                        <w:t>乌鲁木齐市市属某单位警械装备采购项目</w:t>
                      </w:r>
                      <w:r>
                        <w:rPr>
                          <w:rFonts w:hint="default"/>
                          <w:color w:val="000000"/>
                          <w:sz w:val="24"/>
                          <w:szCs w:val="24"/>
                          <w:highlight w:val="none"/>
                        </w:rPr>
                        <w:t>招标项目的潜在供应商应在</w:t>
                      </w:r>
                      <w:r>
                        <w:rPr>
                          <w:rFonts w:hint="default"/>
                          <w:color w:val="000000"/>
                          <w:sz w:val="24"/>
                          <w:szCs w:val="24"/>
                          <w:highlight w:val="none"/>
                          <w:u w:val="single"/>
                        </w:rPr>
                        <w:t>新疆政府采购云平台https://www.zcygov.cn/</w:t>
                      </w:r>
                      <w:r>
                        <w:rPr>
                          <w:rFonts w:hint="default"/>
                          <w:color w:val="000000"/>
                          <w:sz w:val="24"/>
                          <w:szCs w:val="24"/>
                          <w:highlight w:val="none"/>
                        </w:rPr>
                        <w:t xml:space="preserve">获取采购文件，并于 </w:t>
                      </w:r>
                      <w:r>
                        <w:rPr>
                          <w:rFonts w:hint="eastAsia"/>
                          <w:color w:val="000000"/>
                          <w:sz w:val="24"/>
                          <w:szCs w:val="24"/>
                          <w:highlight w:val="none"/>
                          <w:u w:val="single"/>
                          <w:lang w:eastAsia="zh-CN"/>
                        </w:rPr>
                        <w:t>202</w:t>
                      </w:r>
                      <w:r>
                        <w:rPr>
                          <w:rFonts w:hint="eastAsia"/>
                          <w:color w:val="000000"/>
                          <w:sz w:val="24"/>
                          <w:szCs w:val="24"/>
                          <w:highlight w:val="none"/>
                          <w:u w:val="single"/>
                          <w:lang w:val="en-US" w:eastAsia="zh-CN"/>
                        </w:rPr>
                        <w:t>6</w:t>
                      </w:r>
                      <w:r>
                        <w:rPr>
                          <w:rFonts w:hint="eastAsia"/>
                          <w:color w:val="000000"/>
                          <w:sz w:val="24"/>
                          <w:szCs w:val="24"/>
                          <w:highlight w:val="none"/>
                          <w:u w:val="single"/>
                          <w:lang w:eastAsia="zh-CN"/>
                        </w:rPr>
                        <w:t>年0</w:t>
                      </w:r>
                      <w:r>
                        <w:rPr>
                          <w:rFonts w:hint="eastAsia"/>
                          <w:color w:val="000000"/>
                          <w:sz w:val="24"/>
                          <w:szCs w:val="24"/>
                          <w:highlight w:val="none"/>
                          <w:u w:val="single"/>
                          <w:lang w:val="en-US" w:eastAsia="zh-CN"/>
                        </w:rPr>
                        <w:t>6</w:t>
                      </w:r>
                      <w:r>
                        <w:rPr>
                          <w:rFonts w:hint="eastAsia"/>
                          <w:color w:val="000000"/>
                          <w:sz w:val="24"/>
                          <w:szCs w:val="24"/>
                          <w:highlight w:val="none"/>
                          <w:u w:val="single"/>
                          <w:lang w:eastAsia="zh-CN"/>
                        </w:rPr>
                        <w:t>月2</w:t>
                      </w:r>
                      <w:r>
                        <w:rPr>
                          <w:rFonts w:hint="eastAsia"/>
                          <w:color w:val="000000"/>
                          <w:sz w:val="24"/>
                          <w:szCs w:val="24"/>
                          <w:highlight w:val="none"/>
                          <w:u w:val="single"/>
                          <w:lang w:val="en-US" w:eastAsia="zh-CN"/>
                        </w:rPr>
                        <w:t>5</w:t>
                      </w:r>
                      <w:r>
                        <w:rPr>
                          <w:rFonts w:hint="eastAsia"/>
                          <w:color w:val="000000"/>
                          <w:sz w:val="24"/>
                          <w:szCs w:val="24"/>
                          <w:highlight w:val="none"/>
                          <w:u w:val="single"/>
                          <w:lang w:eastAsia="zh-CN"/>
                        </w:rPr>
                        <w:t>日11点00分</w:t>
                      </w:r>
                      <w:r>
                        <w:rPr>
                          <w:rFonts w:hint="default"/>
                          <w:color w:val="000000"/>
                          <w:sz w:val="24"/>
                          <w:szCs w:val="24"/>
                          <w:highlight w:val="none"/>
                        </w:rPr>
                        <w:t>（北京时间）前递交响应文件。</w:t>
                      </w:r>
                    </w:p>
                  </w:txbxContent>
                </v:textbox>
                <w10:wrap type="tight"/>
              </v:shape>
            </w:pict>
          </mc:Fallback>
        </mc:AlternateContent>
      </w:r>
      <w:bookmarkEnd w:id="27"/>
      <w:bookmarkStart w:id="30" w:name="_Toc1297"/>
      <w:bookmarkStart w:id="31" w:name="_Toc22866"/>
      <w:r>
        <w:rPr>
          <w:rStyle w:val="38"/>
          <w:rFonts w:hint="eastAsia" w:ascii="宋体" w:hAnsi="宋体" w:eastAsia="宋体" w:cs="宋体"/>
          <w:color w:val="auto"/>
          <w:sz w:val="24"/>
          <w:szCs w:val="24"/>
          <w:highlight w:val="none"/>
        </w:rPr>
        <w:t>一、项目基本情况</w:t>
      </w:r>
      <w:bookmarkEnd w:id="28"/>
      <w:bookmarkEnd w:id="29"/>
      <w:bookmarkEnd w:id="30"/>
      <w:bookmarkEnd w:id="31"/>
    </w:p>
    <w:p w14:paraId="5C1850D9">
      <w:pPr>
        <w:pStyle w:val="17"/>
        <w:spacing w:before="75" w:beforeAutospacing="0" w:after="75" w:afterAutospacing="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r>
        <w:rPr>
          <w:rFonts w:hint="eastAsia" w:cs="宋体"/>
          <w:color w:val="auto"/>
          <w:sz w:val="24"/>
          <w:szCs w:val="24"/>
          <w:highlight w:val="none"/>
          <w:lang w:eastAsia="zh-CN"/>
        </w:rPr>
        <w:t>TJZB20260601</w:t>
      </w:r>
    </w:p>
    <w:p w14:paraId="35B813D4">
      <w:pPr>
        <w:pStyle w:val="17"/>
        <w:spacing w:before="75" w:beforeAutospacing="0" w:after="75" w:afterAutospacing="0" w:line="360" w:lineRule="auto"/>
        <w:rPr>
          <w:rFonts w:hint="eastAsia" w:ascii="宋体" w:hAnsi="宋体" w:eastAsia="宋体" w:cs="宋体"/>
          <w:color w:val="auto"/>
          <w:sz w:val="24"/>
          <w:szCs w:val="24"/>
          <w:highlight w:val="none"/>
          <w:lang w:eastAsia="zh-CN"/>
        </w:rPr>
      </w:pPr>
      <w:bookmarkStart w:id="32" w:name="_Toc14020"/>
      <w:bookmarkStart w:id="33" w:name="_Toc21528"/>
      <w:bookmarkStart w:id="34" w:name="_Toc30034"/>
      <w:bookmarkStart w:id="35" w:name="_Toc15514"/>
      <w:bookmarkStart w:id="36" w:name="_Toc1603"/>
      <w:r>
        <w:rPr>
          <w:rFonts w:hint="eastAsia" w:ascii="宋体" w:hAnsi="宋体" w:eastAsia="宋体" w:cs="宋体"/>
          <w:color w:val="auto"/>
          <w:sz w:val="24"/>
          <w:szCs w:val="24"/>
          <w:highlight w:val="none"/>
        </w:rPr>
        <w:t>项目名称：</w:t>
      </w:r>
      <w:bookmarkEnd w:id="32"/>
      <w:bookmarkEnd w:id="33"/>
      <w:bookmarkEnd w:id="34"/>
      <w:r>
        <w:rPr>
          <w:rFonts w:hint="eastAsia" w:cs="宋体"/>
          <w:color w:val="auto"/>
          <w:sz w:val="24"/>
          <w:szCs w:val="24"/>
          <w:highlight w:val="none"/>
          <w:lang w:val="en-US" w:eastAsia="zh-CN"/>
        </w:rPr>
        <w:t>乌鲁木齐市市属某单位警械装备采购项目</w:t>
      </w:r>
    </w:p>
    <w:p w14:paraId="596CF2E7">
      <w:pPr>
        <w:pStyle w:val="17"/>
        <w:spacing w:before="75" w:beforeAutospacing="0" w:after="75" w:afterAutospacing="0" w:line="360" w:lineRule="auto"/>
        <w:rPr>
          <w:rFonts w:hint="eastAsia" w:ascii="宋体" w:hAnsi="宋体" w:eastAsia="宋体" w:cs="宋体"/>
          <w:color w:val="auto"/>
          <w:sz w:val="24"/>
          <w:szCs w:val="24"/>
          <w:highlight w:val="none"/>
        </w:rPr>
      </w:pPr>
      <w:bookmarkStart w:id="37" w:name="_Toc7387"/>
      <w:bookmarkStart w:id="38" w:name="_Toc3341"/>
      <w:bookmarkStart w:id="39" w:name="_Toc24414"/>
      <w:bookmarkStart w:id="40" w:name="_Toc30940"/>
      <w:r>
        <w:rPr>
          <w:rFonts w:hint="eastAsia" w:ascii="宋体" w:hAnsi="宋体" w:eastAsia="宋体" w:cs="宋体"/>
          <w:color w:val="auto"/>
          <w:sz w:val="24"/>
          <w:szCs w:val="24"/>
          <w:highlight w:val="none"/>
        </w:rPr>
        <w:t>采购方式：公开招标</w:t>
      </w:r>
      <w:bookmarkEnd w:id="37"/>
      <w:bookmarkEnd w:id="38"/>
      <w:bookmarkEnd w:id="39"/>
      <w:bookmarkEnd w:id="40"/>
    </w:p>
    <w:p w14:paraId="27E90AEC">
      <w:pPr>
        <w:pStyle w:val="17"/>
        <w:spacing w:before="75" w:beforeAutospacing="0" w:after="75" w:afterAutospacing="0" w:line="360" w:lineRule="auto"/>
        <w:rPr>
          <w:rFonts w:hint="eastAsia" w:ascii="宋体" w:hAnsi="宋体" w:eastAsia="宋体" w:cs="宋体"/>
          <w:color w:val="auto"/>
          <w:sz w:val="24"/>
          <w:szCs w:val="24"/>
          <w:highlight w:val="none"/>
          <w:lang w:val="en-US" w:eastAsia="zh-CN"/>
        </w:rPr>
      </w:pPr>
      <w:bookmarkStart w:id="41" w:name="_Toc28894"/>
      <w:bookmarkStart w:id="42" w:name="_Toc28738"/>
      <w:bookmarkStart w:id="43" w:name="_Toc18514"/>
      <w:bookmarkStart w:id="44" w:name="_Toc26171"/>
      <w:r>
        <w:rPr>
          <w:rFonts w:hint="eastAsia" w:ascii="宋体" w:hAnsi="宋体" w:eastAsia="宋体" w:cs="宋体"/>
          <w:color w:val="auto"/>
          <w:sz w:val="24"/>
          <w:szCs w:val="24"/>
          <w:highlight w:val="none"/>
        </w:rPr>
        <w:t>预算金额（元）：</w:t>
      </w:r>
      <w:bookmarkEnd w:id="41"/>
      <w:bookmarkEnd w:id="42"/>
      <w:bookmarkEnd w:id="43"/>
      <w:bookmarkEnd w:id="44"/>
      <w:r>
        <w:rPr>
          <w:rFonts w:hint="eastAsia" w:cs="宋体"/>
          <w:color w:val="auto"/>
          <w:sz w:val="24"/>
          <w:szCs w:val="24"/>
          <w:highlight w:val="none"/>
          <w:lang w:eastAsia="zh-CN"/>
        </w:rPr>
        <w:t>459000.00</w:t>
      </w:r>
      <w:r>
        <w:rPr>
          <w:rFonts w:hint="eastAsia" w:ascii="宋体" w:hAnsi="宋体" w:eastAsia="宋体" w:cs="宋体"/>
          <w:color w:val="auto"/>
          <w:sz w:val="24"/>
          <w:szCs w:val="24"/>
          <w:highlight w:val="none"/>
          <w:lang w:eastAsia="zh-CN"/>
        </w:rPr>
        <w:t>元</w:t>
      </w:r>
    </w:p>
    <w:p w14:paraId="24392773">
      <w:pPr>
        <w:pStyle w:val="17"/>
        <w:spacing w:before="75" w:beforeAutospacing="0" w:after="75" w:afterAutospacing="0" w:line="360" w:lineRule="auto"/>
        <w:rPr>
          <w:rFonts w:hint="eastAsia" w:ascii="宋体" w:hAnsi="宋体" w:eastAsia="宋体" w:cs="宋体"/>
          <w:color w:val="auto"/>
          <w:sz w:val="24"/>
          <w:szCs w:val="24"/>
          <w:highlight w:val="none"/>
          <w:lang w:eastAsia="zh-CN"/>
        </w:rPr>
      </w:pPr>
      <w:bookmarkStart w:id="45" w:name="_Toc8757"/>
      <w:bookmarkStart w:id="46" w:name="_Toc6994"/>
      <w:bookmarkStart w:id="47" w:name="_Toc19846"/>
      <w:bookmarkStart w:id="48" w:name="_Toc24770"/>
      <w:r>
        <w:rPr>
          <w:rFonts w:hint="eastAsia" w:ascii="宋体" w:hAnsi="宋体" w:eastAsia="宋体" w:cs="宋体"/>
          <w:color w:val="auto"/>
          <w:sz w:val="24"/>
          <w:szCs w:val="24"/>
          <w:highlight w:val="none"/>
        </w:rPr>
        <w:t>最高限价（元）：</w:t>
      </w:r>
      <w:bookmarkEnd w:id="45"/>
      <w:bookmarkEnd w:id="46"/>
      <w:bookmarkEnd w:id="47"/>
      <w:bookmarkEnd w:id="48"/>
      <w:r>
        <w:rPr>
          <w:rFonts w:hint="eastAsia" w:cs="宋体"/>
          <w:color w:val="auto"/>
          <w:sz w:val="24"/>
          <w:szCs w:val="24"/>
          <w:highlight w:val="none"/>
          <w:lang w:eastAsia="zh-CN"/>
        </w:rPr>
        <w:t>459000.00</w:t>
      </w:r>
      <w:r>
        <w:rPr>
          <w:rFonts w:hint="eastAsia" w:ascii="宋体" w:hAnsi="宋体" w:eastAsia="宋体" w:cs="宋体"/>
          <w:color w:val="auto"/>
          <w:sz w:val="24"/>
          <w:szCs w:val="24"/>
          <w:highlight w:val="none"/>
          <w:lang w:eastAsia="zh-CN"/>
        </w:rPr>
        <w:t>元</w:t>
      </w:r>
    </w:p>
    <w:p w14:paraId="195147DE">
      <w:pPr>
        <w:pStyle w:val="17"/>
        <w:spacing w:before="75" w:beforeAutospacing="0" w:after="75" w:afterAutospacing="0" w:line="360" w:lineRule="auto"/>
        <w:ind w:firstLine="0" w:firstLineChars="0"/>
        <w:rPr>
          <w:rFonts w:hint="default" w:ascii="宋体" w:hAnsi="宋体" w:eastAsia="宋体" w:cs="宋体"/>
          <w:color w:val="auto"/>
          <w:sz w:val="24"/>
          <w:szCs w:val="24"/>
          <w:highlight w:val="none"/>
          <w:lang w:val="en-US"/>
        </w:rPr>
      </w:pPr>
      <w:bookmarkStart w:id="49" w:name="_Toc12114"/>
      <w:bookmarkStart w:id="50" w:name="_Toc26690"/>
      <w:bookmarkStart w:id="51" w:name="_Toc17911"/>
      <w:bookmarkStart w:id="52" w:name="_Toc4182"/>
      <w:r>
        <w:rPr>
          <w:rFonts w:hint="eastAsia" w:ascii="宋体" w:hAnsi="宋体" w:eastAsia="宋体" w:cs="宋体"/>
          <w:color w:val="auto"/>
          <w:sz w:val="24"/>
          <w:szCs w:val="24"/>
          <w:highlight w:val="none"/>
        </w:rPr>
        <w:t>采购需求：</w:t>
      </w:r>
      <w:bookmarkEnd w:id="49"/>
      <w:bookmarkEnd w:id="50"/>
      <w:bookmarkEnd w:id="51"/>
      <w:bookmarkEnd w:id="52"/>
      <w:bookmarkStart w:id="53" w:name="_Toc23388"/>
      <w:bookmarkStart w:id="54" w:name="_Toc27457"/>
      <w:bookmarkStart w:id="55" w:name="_Toc15563"/>
      <w:bookmarkStart w:id="56" w:name="_Toc14843"/>
      <w:r>
        <w:rPr>
          <w:rFonts w:hint="eastAsia" w:cs="宋体"/>
          <w:color w:val="auto"/>
          <w:sz w:val="24"/>
          <w:szCs w:val="24"/>
          <w:highlight w:val="none"/>
          <w:lang w:val="en-US" w:eastAsia="zh-CN"/>
        </w:rPr>
        <w:t>乌鲁木齐市市属某单位警械装备采购项目</w:t>
      </w:r>
      <w:r>
        <w:rPr>
          <w:rFonts w:hint="eastAsia" w:ascii="宋体" w:hAnsi="宋体" w:eastAsia="宋体" w:cs="宋体"/>
          <w:color w:val="auto"/>
          <w:sz w:val="24"/>
          <w:szCs w:val="24"/>
          <w:highlight w:val="none"/>
          <w:lang w:val="en-US" w:eastAsia="zh-CN"/>
        </w:rPr>
        <w:t>，具体详见采购需求。</w:t>
      </w:r>
    </w:p>
    <w:p w14:paraId="2DB5EFC9">
      <w:pPr>
        <w:pStyle w:val="17"/>
        <w:spacing w:before="75" w:beforeAutospacing="0" w:after="75" w:afterAutospacing="0" w:line="360" w:lineRule="auto"/>
        <w:ind w:firstLine="0" w:firstLineChars="0"/>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合同履约期限：</w:t>
      </w:r>
      <w:r>
        <w:rPr>
          <w:rFonts w:hint="eastAsia" w:cs="宋体"/>
          <w:color w:val="auto"/>
          <w:sz w:val="24"/>
          <w:szCs w:val="24"/>
          <w:highlight w:val="none"/>
          <w:lang w:eastAsia="zh-CN"/>
        </w:rPr>
        <w:t>合同签订后 15 个工作日内完成全部货物的交付</w:t>
      </w:r>
      <w:r>
        <w:rPr>
          <w:rFonts w:hint="eastAsia" w:ascii="宋体" w:hAnsi="宋体" w:eastAsia="宋体" w:cs="宋体"/>
          <w:color w:val="auto"/>
          <w:sz w:val="24"/>
          <w:szCs w:val="24"/>
          <w:highlight w:val="none"/>
          <w:lang w:val="en-US" w:eastAsia="zh-CN"/>
        </w:rPr>
        <w:t>。</w:t>
      </w:r>
    </w:p>
    <w:p w14:paraId="5BFD4BC9">
      <w:pPr>
        <w:pStyle w:val="17"/>
        <w:spacing w:before="75" w:beforeAutospacing="0" w:after="75" w:afterAutospacing="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本项目（否）接受联合体投标。</w:t>
      </w:r>
      <w:bookmarkEnd w:id="53"/>
      <w:bookmarkEnd w:id="54"/>
      <w:bookmarkEnd w:id="55"/>
      <w:bookmarkEnd w:id="56"/>
    </w:p>
    <w:p w14:paraId="2BD2146C">
      <w:pPr>
        <w:pStyle w:val="17"/>
        <w:spacing w:before="255" w:beforeAutospacing="0" w:after="255" w:afterAutospacing="0" w:line="360" w:lineRule="auto"/>
        <w:jc w:val="both"/>
        <w:outlineLvl w:val="0"/>
        <w:rPr>
          <w:rFonts w:hint="eastAsia" w:ascii="宋体" w:hAnsi="宋体" w:eastAsia="宋体" w:cs="宋体"/>
          <w:color w:val="auto"/>
          <w:sz w:val="24"/>
          <w:szCs w:val="24"/>
          <w:highlight w:val="none"/>
        </w:rPr>
      </w:pPr>
      <w:bookmarkStart w:id="57" w:name="_Toc10000"/>
      <w:bookmarkStart w:id="58" w:name="_Toc13057"/>
      <w:bookmarkStart w:id="59" w:name="_Toc18724"/>
      <w:bookmarkStart w:id="60" w:name="_Toc5344"/>
      <w:bookmarkStart w:id="61" w:name="_Toc13523"/>
      <w:r>
        <w:rPr>
          <w:rStyle w:val="38"/>
          <w:rFonts w:hint="eastAsia" w:ascii="宋体" w:hAnsi="宋体" w:eastAsia="宋体" w:cs="宋体"/>
          <w:color w:val="auto"/>
          <w:sz w:val="24"/>
          <w:szCs w:val="24"/>
          <w:highlight w:val="none"/>
        </w:rPr>
        <w:t>二、申请人的资格要求：</w:t>
      </w:r>
      <w:bookmarkEnd w:id="35"/>
      <w:bookmarkEnd w:id="36"/>
      <w:bookmarkEnd w:id="57"/>
      <w:bookmarkEnd w:id="58"/>
      <w:bookmarkEnd w:id="59"/>
      <w:bookmarkEnd w:id="60"/>
      <w:bookmarkEnd w:id="61"/>
    </w:p>
    <w:p w14:paraId="6D97F861">
      <w:pPr>
        <w:pStyle w:val="17"/>
        <w:spacing w:before="75" w:beforeAutospacing="0" w:after="75" w:afterAutospacing="0" w:line="360" w:lineRule="auto"/>
        <w:rPr>
          <w:rFonts w:hint="eastAsia" w:ascii="宋体" w:hAnsi="宋体" w:eastAsia="宋体" w:cs="宋体"/>
          <w:color w:val="auto"/>
          <w:sz w:val="24"/>
          <w:szCs w:val="24"/>
          <w:highlight w:val="none"/>
          <w:lang w:val="en-US" w:eastAsia="zh-CN"/>
        </w:rPr>
      </w:pPr>
      <w:bookmarkStart w:id="62" w:name="_Toc16470"/>
      <w:bookmarkStart w:id="63" w:name="_Toc11778"/>
      <w:bookmarkStart w:id="64" w:name="_Toc6780"/>
      <w:bookmarkStart w:id="65" w:name="_Toc31780"/>
      <w:bookmarkStart w:id="66" w:name="_Toc12837"/>
      <w:r>
        <w:rPr>
          <w:rFonts w:hint="eastAsia" w:ascii="宋体" w:hAnsi="宋体" w:eastAsia="宋体" w:cs="宋体"/>
          <w:color w:val="auto"/>
          <w:sz w:val="24"/>
          <w:szCs w:val="24"/>
          <w:highlight w:val="none"/>
          <w:lang w:val="en-US" w:eastAsia="zh-CN"/>
        </w:rPr>
        <w:t>1、满足《中华人民共和国政府采购法》第二十二条规定</w:t>
      </w:r>
    </w:p>
    <w:p w14:paraId="70E30B74">
      <w:pPr>
        <w:pStyle w:val="17"/>
        <w:spacing w:before="75" w:beforeAutospacing="0" w:after="75" w:afterAutospacing="0" w:line="360" w:lineRule="auto"/>
        <w:rPr>
          <w:rFonts w:hint="eastAsia"/>
          <w:color w:val="000000"/>
          <w:lang w:val="en-US" w:eastAsia="zh-CN"/>
        </w:rPr>
      </w:pPr>
      <w:r>
        <w:rPr>
          <w:rFonts w:hint="eastAsia" w:ascii="宋体" w:hAnsi="宋体" w:eastAsia="宋体" w:cs="宋体"/>
          <w:color w:val="auto"/>
          <w:sz w:val="24"/>
          <w:szCs w:val="24"/>
          <w:highlight w:val="none"/>
          <w:lang w:val="en-US" w:eastAsia="zh-CN"/>
        </w:rPr>
        <w:t>2、</w:t>
      </w:r>
      <w:r>
        <w:rPr>
          <w:rFonts w:hint="eastAsia"/>
          <w:color w:val="000000"/>
        </w:rPr>
        <w:t>落实政府采购政策需满足的资格要求：本项目专门面向中小</w:t>
      </w:r>
      <w:r>
        <w:rPr>
          <w:rFonts w:hint="eastAsia"/>
          <w:color w:val="000000"/>
          <w:lang w:val="en-US" w:eastAsia="zh-CN"/>
        </w:rPr>
        <w:t>微</w:t>
      </w:r>
      <w:r>
        <w:rPr>
          <w:rFonts w:hint="eastAsia"/>
          <w:color w:val="000000"/>
        </w:rPr>
        <w:t>企业</w:t>
      </w:r>
      <w:r>
        <w:rPr>
          <w:rFonts w:hint="eastAsia"/>
          <w:color w:val="000000"/>
          <w:lang w:val="en-US" w:eastAsia="zh-CN"/>
        </w:rPr>
        <w:t>采购</w:t>
      </w:r>
    </w:p>
    <w:p w14:paraId="4E160775">
      <w:pPr>
        <w:pStyle w:val="17"/>
        <w:spacing w:before="75" w:beforeAutospacing="0" w:after="75" w:afterAutospacing="0"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3、本项目特定资格要求：</w:t>
      </w:r>
      <w:r>
        <w:rPr>
          <w:rFonts w:hint="eastAsia" w:cs="宋体"/>
          <w:color w:val="auto"/>
          <w:sz w:val="24"/>
          <w:szCs w:val="24"/>
          <w:highlight w:val="none"/>
          <w:lang w:val="en-US" w:eastAsia="zh-CN"/>
        </w:rPr>
        <w:t>/</w:t>
      </w:r>
    </w:p>
    <w:p w14:paraId="46F91AF9">
      <w:pPr>
        <w:pStyle w:val="17"/>
        <w:numPr>
          <w:ilvl w:val="-1"/>
          <w:numId w:val="0"/>
        </w:numPr>
        <w:spacing w:before="75" w:beforeAutospacing="0" w:after="75" w:afterAutospacing="0" w:line="360" w:lineRule="auto"/>
        <w:jc w:val="left"/>
        <w:outlineLvl w:val="9"/>
        <w:rPr>
          <w:rFonts w:hint="eastAsia" w:ascii="宋体" w:hAnsi="宋体" w:eastAsia="宋体" w:cs="宋体"/>
          <w:color w:val="auto"/>
          <w:sz w:val="24"/>
          <w:szCs w:val="24"/>
          <w:highlight w:val="none"/>
        </w:rPr>
      </w:pPr>
      <w:r>
        <w:rPr>
          <w:rStyle w:val="38"/>
          <w:rFonts w:hint="eastAsia" w:ascii="宋体" w:hAnsi="宋体" w:eastAsia="宋体" w:cs="宋体"/>
          <w:color w:val="auto"/>
          <w:sz w:val="24"/>
          <w:szCs w:val="24"/>
          <w:highlight w:val="none"/>
        </w:rPr>
        <w:t>三、获取</w:t>
      </w:r>
      <w:bookmarkEnd w:id="62"/>
      <w:bookmarkEnd w:id="63"/>
      <w:r>
        <w:rPr>
          <w:rStyle w:val="38"/>
          <w:rFonts w:hint="eastAsia" w:ascii="宋体" w:hAnsi="宋体" w:eastAsia="宋体" w:cs="宋体"/>
          <w:color w:val="auto"/>
          <w:sz w:val="24"/>
          <w:szCs w:val="24"/>
          <w:highlight w:val="none"/>
        </w:rPr>
        <w:t>采购文件</w:t>
      </w:r>
      <w:bookmarkEnd w:id="64"/>
      <w:bookmarkEnd w:id="65"/>
      <w:bookmarkEnd w:id="66"/>
    </w:p>
    <w:p w14:paraId="43133461">
      <w:pPr>
        <w:pStyle w:val="17"/>
        <w:spacing w:before="75" w:beforeAutospacing="0" w:after="75" w:afterAutospacing="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rPr>
        <w:t>20</w:t>
      </w:r>
      <w:r>
        <w:rPr>
          <w:rFonts w:hint="eastAsia" w:cs="宋体"/>
          <w:color w:val="auto"/>
          <w:sz w:val="24"/>
          <w:szCs w:val="24"/>
          <w:highlight w:val="none"/>
          <w:u w:val="single"/>
          <w:lang w:val="en-US" w:eastAsia="zh-CN"/>
        </w:rPr>
        <w:t>26</w:t>
      </w:r>
      <w:r>
        <w:rPr>
          <w:rFonts w:hint="eastAsia" w:ascii="宋体" w:hAnsi="宋体" w:eastAsia="宋体" w:cs="宋体"/>
          <w:color w:val="auto"/>
          <w:sz w:val="24"/>
          <w:szCs w:val="24"/>
          <w:highlight w:val="none"/>
          <w:u w:val="single"/>
        </w:rPr>
        <w:t>年</w:t>
      </w:r>
      <w:r>
        <w:rPr>
          <w:rFonts w:hint="eastAsia" w:cs="宋体"/>
          <w:color w:val="auto"/>
          <w:sz w:val="24"/>
          <w:szCs w:val="24"/>
          <w:highlight w:val="none"/>
          <w:u w:val="single"/>
          <w:lang w:val="en-US" w:eastAsia="zh-CN"/>
        </w:rPr>
        <w:t>06</w:t>
      </w:r>
      <w:r>
        <w:rPr>
          <w:rFonts w:hint="eastAsia" w:ascii="宋体" w:hAnsi="宋体" w:eastAsia="宋体" w:cs="宋体"/>
          <w:color w:val="auto"/>
          <w:sz w:val="24"/>
          <w:szCs w:val="24"/>
          <w:highlight w:val="none"/>
          <w:u w:val="single"/>
        </w:rPr>
        <w:t>月</w:t>
      </w:r>
      <w:r>
        <w:rPr>
          <w:rFonts w:hint="eastAsia" w:cs="宋体"/>
          <w:color w:val="auto"/>
          <w:sz w:val="24"/>
          <w:szCs w:val="24"/>
          <w:highlight w:val="none"/>
          <w:u w:val="single"/>
          <w:lang w:val="en-US" w:eastAsia="zh-CN"/>
        </w:rPr>
        <w:t>05</w:t>
      </w:r>
      <w:r>
        <w:rPr>
          <w:rFonts w:hint="eastAsia" w:ascii="宋体" w:hAnsi="宋体" w:eastAsia="宋体" w:cs="宋体"/>
          <w:color w:val="auto"/>
          <w:sz w:val="24"/>
          <w:szCs w:val="24"/>
          <w:highlight w:val="none"/>
          <w:u w:val="single"/>
        </w:rPr>
        <w:t>日</w:t>
      </w:r>
      <w:r>
        <w:rPr>
          <w:rFonts w:hint="eastAsia" w:ascii="宋体" w:hAnsi="宋体" w:eastAsia="宋体" w:cs="宋体"/>
          <w:color w:val="auto"/>
          <w:sz w:val="24"/>
          <w:szCs w:val="24"/>
          <w:highlight w:val="none"/>
        </w:rPr>
        <w:t>至</w:t>
      </w:r>
      <w:r>
        <w:rPr>
          <w:rFonts w:hint="eastAsia" w:ascii="宋体" w:hAnsi="宋体" w:eastAsia="宋体" w:cs="宋体"/>
          <w:color w:val="auto"/>
          <w:sz w:val="24"/>
          <w:szCs w:val="24"/>
          <w:highlight w:val="none"/>
          <w:u w:val="single"/>
        </w:rPr>
        <w:t>202</w:t>
      </w:r>
      <w:r>
        <w:rPr>
          <w:rFonts w:hint="eastAsia" w:cs="宋体"/>
          <w:color w:val="auto"/>
          <w:sz w:val="24"/>
          <w:szCs w:val="24"/>
          <w:highlight w:val="none"/>
          <w:u w:val="single"/>
          <w:lang w:val="en-US" w:eastAsia="zh-CN"/>
        </w:rPr>
        <w:t>6</w:t>
      </w:r>
      <w:r>
        <w:rPr>
          <w:rFonts w:hint="eastAsia" w:ascii="宋体" w:hAnsi="宋体" w:eastAsia="宋体" w:cs="宋体"/>
          <w:color w:val="auto"/>
          <w:sz w:val="24"/>
          <w:szCs w:val="24"/>
          <w:highlight w:val="none"/>
          <w:u w:val="single"/>
        </w:rPr>
        <w:t>年</w:t>
      </w:r>
      <w:r>
        <w:rPr>
          <w:rFonts w:hint="eastAsia" w:cs="宋体"/>
          <w:color w:val="auto"/>
          <w:sz w:val="24"/>
          <w:szCs w:val="24"/>
          <w:highlight w:val="none"/>
          <w:u w:val="single"/>
          <w:lang w:val="en-US" w:eastAsia="zh-CN"/>
        </w:rPr>
        <w:t>06</w:t>
      </w:r>
      <w:r>
        <w:rPr>
          <w:rFonts w:hint="eastAsia" w:ascii="宋体" w:hAnsi="宋体" w:eastAsia="宋体" w:cs="宋体"/>
          <w:color w:val="auto"/>
          <w:sz w:val="24"/>
          <w:szCs w:val="24"/>
          <w:highlight w:val="none"/>
          <w:u w:val="single"/>
        </w:rPr>
        <w:t>月</w:t>
      </w:r>
      <w:r>
        <w:rPr>
          <w:rFonts w:hint="eastAsia" w:cs="宋体"/>
          <w:color w:val="auto"/>
          <w:sz w:val="24"/>
          <w:szCs w:val="24"/>
          <w:highlight w:val="none"/>
          <w:u w:val="single"/>
          <w:lang w:val="en-US" w:eastAsia="zh-CN"/>
        </w:rPr>
        <w:t>12</w:t>
      </w:r>
      <w:r>
        <w:rPr>
          <w:rFonts w:hint="eastAsia" w:ascii="宋体" w:hAnsi="宋体" w:eastAsia="宋体" w:cs="宋体"/>
          <w:color w:val="auto"/>
          <w:sz w:val="24"/>
          <w:szCs w:val="24"/>
          <w:highlight w:val="none"/>
          <w:u w:val="single"/>
        </w:rPr>
        <w:t>日</w:t>
      </w:r>
      <w:r>
        <w:rPr>
          <w:rFonts w:hint="eastAsia" w:ascii="宋体" w:hAnsi="宋体" w:eastAsia="宋体" w:cs="宋体"/>
          <w:color w:val="auto"/>
          <w:sz w:val="24"/>
          <w:szCs w:val="24"/>
          <w:highlight w:val="none"/>
        </w:rPr>
        <w:t>，每天上午</w:t>
      </w:r>
      <w:r>
        <w:rPr>
          <w:rFonts w:hint="eastAsia" w:ascii="宋体" w:hAnsi="宋体" w:eastAsia="宋体" w:cs="宋体"/>
          <w:color w:val="auto"/>
          <w:sz w:val="24"/>
          <w:szCs w:val="24"/>
          <w:highlight w:val="none"/>
          <w:u w:val="single"/>
          <w:lang w:val="en-US" w:eastAsia="zh-CN"/>
        </w:rPr>
        <w:t>00</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00</w:t>
      </w:r>
      <w:r>
        <w:rPr>
          <w:rFonts w:hint="eastAsia" w:ascii="宋体" w:hAnsi="宋体" w:eastAsia="宋体" w:cs="宋体"/>
          <w:color w:val="auto"/>
          <w:sz w:val="24"/>
          <w:szCs w:val="24"/>
          <w:highlight w:val="none"/>
          <w:u w:val="single"/>
        </w:rPr>
        <w:t>至</w:t>
      </w:r>
      <w:r>
        <w:rPr>
          <w:rFonts w:hint="eastAsia" w:ascii="宋体" w:hAnsi="宋体" w:eastAsia="宋体" w:cs="宋体"/>
          <w:color w:val="auto"/>
          <w:sz w:val="24"/>
          <w:szCs w:val="24"/>
          <w:highlight w:val="none"/>
          <w:u w:val="single"/>
          <w:lang w:val="en-US" w:eastAsia="zh-CN"/>
        </w:rPr>
        <w:t>12</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00</w:t>
      </w:r>
      <w:r>
        <w:rPr>
          <w:rFonts w:hint="eastAsia" w:ascii="宋体" w:hAnsi="宋体" w:eastAsia="宋体" w:cs="宋体"/>
          <w:color w:val="auto"/>
          <w:sz w:val="24"/>
          <w:szCs w:val="24"/>
          <w:highlight w:val="none"/>
        </w:rPr>
        <w:t>，下午</w:t>
      </w:r>
      <w:r>
        <w:rPr>
          <w:rFonts w:hint="eastAsia" w:ascii="宋体" w:hAnsi="宋体" w:eastAsia="宋体" w:cs="宋体"/>
          <w:color w:val="auto"/>
          <w:sz w:val="24"/>
          <w:szCs w:val="24"/>
          <w:highlight w:val="none"/>
          <w:u w:val="single"/>
          <w:lang w:val="en-US" w:eastAsia="zh-CN"/>
        </w:rPr>
        <w:t>12</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0</w:t>
      </w:r>
      <w:r>
        <w:rPr>
          <w:rFonts w:hint="eastAsia" w:ascii="宋体" w:hAnsi="宋体" w:eastAsia="宋体" w:cs="宋体"/>
          <w:color w:val="auto"/>
          <w:sz w:val="24"/>
          <w:szCs w:val="24"/>
          <w:highlight w:val="none"/>
          <w:u w:val="single"/>
        </w:rPr>
        <w:t>0至</w:t>
      </w:r>
      <w:r>
        <w:rPr>
          <w:rFonts w:hint="eastAsia" w:ascii="宋体" w:hAnsi="宋体" w:eastAsia="宋体" w:cs="宋体"/>
          <w:color w:val="auto"/>
          <w:sz w:val="24"/>
          <w:szCs w:val="24"/>
          <w:highlight w:val="none"/>
          <w:u w:val="single"/>
          <w:lang w:val="en-US" w:eastAsia="zh-CN"/>
        </w:rPr>
        <w:t>23</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59</w:t>
      </w:r>
      <w:r>
        <w:rPr>
          <w:rFonts w:hint="eastAsia" w:ascii="宋体" w:hAnsi="宋体" w:eastAsia="宋体" w:cs="宋体"/>
          <w:color w:val="auto"/>
          <w:sz w:val="24"/>
          <w:szCs w:val="24"/>
          <w:highlight w:val="none"/>
        </w:rPr>
        <w:t>（北京时间；获取文件法定节假日除外）</w:t>
      </w:r>
    </w:p>
    <w:p w14:paraId="626085C4">
      <w:pPr>
        <w:pStyle w:val="17"/>
        <w:spacing w:before="75" w:beforeAutospacing="0" w:after="75" w:afterAutospacing="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地点：政采云平台https://www.zcygov.cn/</w:t>
      </w:r>
    </w:p>
    <w:p w14:paraId="32E13A79">
      <w:pPr>
        <w:pStyle w:val="17"/>
        <w:spacing w:before="75" w:beforeAutospacing="0" w:after="75" w:afterAutospacing="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方式：供应商登录新疆政府采购云平台https://www.zcygov.cn/在线申请获取采购文件（进入“项目采购”应用，在获取采购文件菜单中选择项目，申请获取采购文件）</w:t>
      </w:r>
    </w:p>
    <w:p w14:paraId="1947EA82">
      <w:pPr>
        <w:pStyle w:val="17"/>
        <w:spacing w:before="75" w:beforeAutospacing="0" w:after="75" w:afterAutospacing="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售价（元）：0</w:t>
      </w:r>
    </w:p>
    <w:p w14:paraId="40251A43">
      <w:pPr>
        <w:pStyle w:val="17"/>
        <w:spacing w:before="255" w:beforeAutospacing="0" w:after="255" w:afterAutospacing="0" w:line="360" w:lineRule="auto"/>
        <w:jc w:val="both"/>
        <w:outlineLvl w:val="0"/>
        <w:rPr>
          <w:rFonts w:hint="eastAsia" w:ascii="宋体" w:hAnsi="宋体" w:eastAsia="宋体" w:cs="宋体"/>
          <w:color w:val="auto"/>
          <w:sz w:val="24"/>
          <w:szCs w:val="24"/>
          <w:highlight w:val="none"/>
        </w:rPr>
      </w:pPr>
      <w:bookmarkStart w:id="67" w:name="_Toc21979"/>
      <w:bookmarkStart w:id="68" w:name="_Toc13498"/>
      <w:bookmarkStart w:id="69" w:name="_Toc11063"/>
      <w:bookmarkStart w:id="70" w:name="_Toc8583"/>
      <w:bookmarkStart w:id="71" w:name="_Toc18265"/>
      <w:bookmarkStart w:id="72" w:name="_Toc30982"/>
      <w:bookmarkStart w:id="73" w:name="_Toc31807"/>
      <w:bookmarkStart w:id="74" w:name="_Toc14263"/>
      <w:r>
        <w:rPr>
          <w:rStyle w:val="38"/>
          <w:rFonts w:hint="eastAsia" w:ascii="宋体" w:hAnsi="宋体" w:eastAsia="宋体" w:cs="宋体"/>
          <w:color w:val="auto"/>
          <w:sz w:val="24"/>
          <w:szCs w:val="24"/>
          <w:highlight w:val="none"/>
        </w:rPr>
        <w:t>四、提交响应文件截止时间、开标时间和地点</w:t>
      </w:r>
      <w:bookmarkEnd w:id="67"/>
      <w:bookmarkEnd w:id="68"/>
      <w:bookmarkEnd w:id="69"/>
      <w:bookmarkEnd w:id="70"/>
      <w:bookmarkEnd w:id="71"/>
      <w:bookmarkEnd w:id="72"/>
      <w:bookmarkEnd w:id="73"/>
      <w:bookmarkEnd w:id="74"/>
    </w:p>
    <w:p w14:paraId="4458F154">
      <w:pPr>
        <w:pStyle w:val="17"/>
        <w:spacing w:before="75" w:beforeAutospacing="0" w:after="75" w:afterAutospacing="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提交响应文件截止时间：</w:t>
      </w:r>
      <w:r>
        <w:rPr>
          <w:rFonts w:hint="eastAsia" w:cs="宋体"/>
          <w:color w:val="auto"/>
          <w:sz w:val="24"/>
          <w:szCs w:val="24"/>
          <w:highlight w:val="none"/>
          <w:u w:val="single"/>
          <w:lang w:eastAsia="zh-CN"/>
        </w:rPr>
        <w:t>202</w:t>
      </w:r>
      <w:r>
        <w:rPr>
          <w:rFonts w:hint="eastAsia" w:cs="宋体"/>
          <w:color w:val="auto"/>
          <w:sz w:val="24"/>
          <w:szCs w:val="24"/>
          <w:highlight w:val="none"/>
          <w:u w:val="single"/>
          <w:lang w:val="en-US" w:eastAsia="zh-CN"/>
        </w:rPr>
        <w:t>6</w:t>
      </w:r>
      <w:r>
        <w:rPr>
          <w:rFonts w:hint="eastAsia" w:cs="宋体"/>
          <w:color w:val="auto"/>
          <w:sz w:val="24"/>
          <w:szCs w:val="24"/>
          <w:highlight w:val="none"/>
          <w:u w:val="single"/>
          <w:lang w:eastAsia="zh-CN"/>
        </w:rPr>
        <w:t>年0</w:t>
      </w:r>
      <w:r>
        <w:rPr>
          <w:rFonts w:hint="eastAsia" w:cs="宋体"/>
          <w:color w:val="auto"/>
          <w:sz w:val="24"/>
          <w:szCs w:val="24"/>
          <w:highlight w:val="none"/>
          <w:u w:val="single"/>
          <w:lang w:val="en-US" w:eastAsia="zh-CN"/>
        </w:rPr>
        <w:t>6</w:t>
      </w:r>
      <w:r>
        <w:rPr>
          <w:rFonts w:hint="eastAsia" w:cs="宋体"/>
          <w:color w:val="auto"/>
          <w:sz w:val="24"/>
          <w:szCs w:val="24"/>
          <w:highlight w:val="none"/>
          <w:u w:val="single"/>
          <w:lang w:eastAsia="zh-CN"/>
        </w:rPr>
        <w:t>月</w:t>
      </w:r>
      <w:r>
        <w:rPr>
          <w:rFonts w:hint="eastAsia" w:cs="宋体"/>
          <w:color w:val="auto"/>
          <w:sz w:val="24"/>
          <w:szCs w:val="24"/>
          <w:highlight w:val="none"/>
          <w:u w:val="single"/>
          <w:lang w:val="en-US" w:eastAsia="zh-CN"/>
        </w:rPr>
        <w:t>25</w:t>
      </w:r>
      <w:r>
        <w:rPr>
          <w:rFonts w:hint="eastAsia" w:cs="宋体"/>
          <w:color w:val="auto"/>
          <w:sz w:val="24"/>
          <w:szCs w:val="24"/>
          <w:highlight w:val="none"/>
          <w:u w:val="single"/>
          <w:lang w:eastAsia="zh-CN"/>
        </w:rPr>
        <w:t>日11点00分</w:t>
      </w:r>
      <w:r>
        <w:rPr>
          <w:rFonts w:hint="eastAsia" w:ascii="宋体" w:hAnsi="宋体" w:eastAsia="宋体" w:cs="宋体"/>
          <w:color w:val="auto"/>
          <w:sz w:val="24"/>
          <w:szCs w:val="24"/>
          <w:highlight w:val="none"/>
        </w:rPr>
        <w:t>（北京时间）</w:t>
      </w:r>
    </w:p>
    <w:p w14:paraId="5A69A3B2">
      <w:pPr>
        <w:pStyle w:val="17"/>
        <w:spacing w:before="75" w:beforeAutospacing="0" w:after="75" w:afterAutospacing="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投标地点（网址）：</w:t>
      </w:r>
      <w:r>
        <w:rPr>
          <w:rFonts w:hint="eastAsia" w:ascii="宋体" w:hAnsi="宋体" w:eastAsia="宋体" w:cs="宋体"/>
          <w:color w:val="auto"/>
          <w:sz w:val="24"/>
          <w:szCs w:val="24"/>
          <w:highlight w:val="none"/>
          <w:u w:val="single"/>
        </w:rPr>
        <w:t>政采云平台http://www.zcygov.cn</w:t>
      </w:r>
    </w:p>
    <w:p w14:paraId="598DDBC3">
      <w:pPr>
        <w:pStyle w:val="17"/>
        <w:spacing w:before="75" w:beforeAutospacing="0" w:after="75" w:afterAutospacing="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开标时间：</w:t>
      </w:r>
      <w:r>
        <w:rPr>
          <w:rFonts w:hint="eastAsia" w:cs="宋体"/>
          <w:color w:val="auto"/>
          <w:sz w:val="24"/>
          <w:szCs w:val="24"/>
          <w:highlight w:val="none"/>
          <w:u w:val="single"/>
          <w:lang w:eastAsia="zh-CN"/>
        </w:rPr>
        <w:t>202</w:t>
      </w:r>
      <w:r>
        <w:rPr>
          <w:rFonts w:hint="eastAsia" w:cs="宋体"/>
          <w:color w:val="auto"/>
          <w:sz w:val="24"/>
          <w:szCs w:val="24"/>
          <w:highlight w:val="none"/>
          <w:u w:val="single"/>
          <w:lang w:val="en-US" w:eastAsia="zh-CN"/>
        </w:rPr>
        <w:t>6</w:t>
      </w:r>
      <w:r>
        <w:rPr>
          <w:rFonts w:hint="eastAsia" w:cs="宋体"/>
          <w:color w:val="auto"/>
          <w:sz w:val="24"/>
          <w:szCs w:val="24"/>
          <w:highlight w:val="none"/>
          <w:u w:val="single"/>
          <w:lang w:eastAsia="zh-CN"/>
        </w:rPr>
        <w:t>年0</w:t>
      </w:r>
      <w:r>
        <w:rPr>
          <w:rFonts w:hint="eastAsia" w:cs="宋体"/>
          <w:color w:val="auto"/>
          <w:sz w:val="24"/>
          <w:szCs w:val="24"/>
          <w:highlight w:val="none"/>
          <w:u w:val="single"/>
          <w:lang w:val="en-US" w:eastAsia="zh-CN"/>
        </w:rPr>
        <w:t>6</w:t>
      </w:r>
      <w:r>
        <w:rPr>
          <w:rFonts w:hint="eastAsia" w:cs="宋体"/>
          <w:color w:val="auto"/>
          <w:sz w:val="24"/>
          <w:szCs w:val="24"/>
          <w:highlight w:val="none"/>
          <w:u w:val="single"/>
          <w:lang w:eastAsia="zh-CN"/>
        </w:rPr>
        <w:t>月2</w:t>
      </w:r>
      <w:r>
        <w:rPr>
          <w:rFonts w:hint="eastAsia" w:cs="宋体"/>
          <w:color w:val="auto"/>
          <w:sz w:val="24"/>
          <w:szCs w:val="24"/>
          <w:highlight w:val="none"/>
          <w:u w:val="single"/>
          <w:lang w:val="en-US" w:eastAsia="zh-CN"/>
        </w:rPr>
        <w:t>5</w:t>
      </w:r>
      <w:r>
        <w:rPr>
          <w:rFonts w:hint="eastAsia" w:cs="宋体"/>
          <w:color w:val="auto"/>
          <w:sz w:val="24"/>
          <w:szCs w:val="24"/>
          <w:highlight w:val="none"/>
          <w:u w:val="single"/>
          <w:lang w:eastAsia="zh-CN"/>
        </w:rPr>
        <w:t>日11点00分</w:t>
      </w:r>
      <w:r>
        <w:rPr>
          <w:rFonts w:hint="eastAsia" w:ascii="宋体" w:hAnsi="宋体" w:eastAsia="宋体" w:cs="宋体"/>
          <w:color w:val="auto"/>
          <w:sz w:val="24"/>
          <w:szCs w:val="24"/>
          <w:highlight w:val="none"/>
        </w:rPr>
        <w:t>（北京时间）</w:t>
      </w:r>
    </w:p>
    <w:p w14:paraId="7E821865">
      <w:pPr>
        <w:pStyle w:val="17"/>
        <w:spacing w:before="75" w:beforeAutospacing="0" w:after="75" w:afterAutospacing="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开标地点（网址）：</w:t>
      </w:r>
      <w:r>
        <w:rPr>
          <w:rFonts w:hint="eastAsia" w:ascii="宋体" w:hAnsi="宋体" w:eastAsia="宋体" w:cs="宋体"/>
          <w:color w:val="auto"/>
          <w:sz w:val="24"/>
          <w:szCs w:val="24"/>
          <w:highlight w:val="none"/>
          <w:u w:val="single"/>
        </w:rPr>
        <w:t>政采云平台http://www.zcygov.cn</w:t>
      </w:r>
    </w:p>
    <w:p w14:paraId="29054187">
      <w:pPr>
        <w:pStyle w:val="17"/>
        <w:spacing w:before="255" w:beforeAutospacing="0" w:after="255" w:afterAutospacing="0" w:line="360" w:lineRule="auto"/>
        <w:jc w:val="both"/>
        <w:outlineLvl w:val="0"/>
        <w:rPr>
          <w:rFonts w:hint="eastAsia" w:ascii="宋体" w:hAnsi="宋体" w:eastAsia="宋体" w:cs="宋体"/>
          <w:color w:val="auto"/>
          <w:sz w:val="24"/>
          <w:szCs w:val="24"/>
          <w:highlight w:val="none"/>
        </w:rPr>
      </w:pPr>
      <w:bookmarkStart w:id="75" w:name="_Toc20587"/>
      <w:bookmarkStart w:id="76" w:name="_Toc19990"/>
      <w:bookmarkStart w:id="77" w:name="_Toc15296"/>
      <w:bookmarkStart w:id="78" w:name="_Toc24127"/>
      <w:bookmarkStart w:id="79" w:name="_Toc24740"/>
      <w:bookmarkStart w:id="80" w:name="_Toc19407"/>
      <w:bookmarkStart w:id="81" w:name="_Toc27516"/>
      <w:bookmarkStart w:id="82" w:name="_Toc14271"/>
      <w:r>
        <w:rPr>
          <w:rStyle w:val="38"/>
          <w:rFonts w:hint="eastAsia" w:ascii="宋体" w:hAnsi="宋体" w:eastAsia="宋体" w:cs="宋体"/>
          <w:color w:val="auto"/>
          <w:sz w:val="24"/>
          <w:szCs w:val="24"/>
          <w:highlight w:val="none"/>
        </w:rPr>
        <w:t>五、公告期限</w:t>
      </w:r>
      <w:bookmarkEnd w:id="75"/>
      <w:bookmarkEnd w:id="76"/>
      <w:bookmarkEnd w:id="77"/>
      <w:bookmarkEnd w:id="78"/>
      <w:bookmarkEnd w:id="79"/>
      <w:bookmarkEnd w:id="80"/>
      <w:bookmarkEnd w:id="81"/>
      <w:bookmarkEnd w:id="82"/>
    </w:p>
    <w:p w14:paraId="69DDA084">
      <w:pPr>
        <w:pStyle w:val="17"/>
        <w:spacing w:before="75" w:beforeAutospacing="0" w:after="75" w:afterAutospacing="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自本公告发布之日起5个工作日。</w:t>
      </w:r>
      <w:bookmarkStart w:id="83" w:name="_Toc25577"/>
      <w:bookmarkStart w:id="84" w:name="_Toc28085"/>
    </w:p>
    <w:p w14:paraId="0ED5197A">
      <w:pPr>
        <w:pStyle w:val="17"/>
        <w:spacing w:before="75" w:beforeAutospacing="0" w:after="75" w:afterAutospacing="0" w:line="360" w:lineRule="auto"/>
        <w:outlineLvl w:val="0"/>
        <w:rPr>
          <w:rStyle w:val="38"/>
          <w:rFonts w:hint="eastAsia" w:ascii="宋体" w:hAnsi="宋体" w:eastAsia="宋体" w:cs="宋体"/>
          <w:color w:val="auto"/>
          <w:sz w:val="24"/>
          <w:szCs w:val="24"/>
          <w:highlight w:val="none"/>
        </w:rPr>
      </w:pPr>
      <w:bookmarkStart w:id="85" w:name="_Toc229"/>
      <w:bookmarkStart w:id="86" w:name="_Toc16178"/>
      <w:bookmarkStart w:id="87" w:name="_Toc32244"/>
      <w:bookmarkStart w:id="88" w:name="_Toc8489"/>
      <w:bookmarkStart w:id="89" w:name="_Toc19498"/>
      <w:r>
        <w:rPr>
          <w:rStyle w:val="38"/>
          <w:rFonts w:hint="eastAsia" w:ascii="宋体" w:hAnsi="宋体" w:eastAsia="宋体" w:cs="宋体"/>
          <w:color w:val="auto"/>
          <w:sz w:val="24"/>
          <w:szCs w:val="24"/>
          <w:highlight w:val="none"/>
        </w:rPr>
        <w:t>六、其他补充事宜</w:t>
      </w:r>
      <w:bookmarkEnd w:id="85"/>
      <w:bookmarkEnd w:id="86"/>
      <w:bookmarkEnd w:id="87"/>
      <w:bookmarkEnd w:id="88"/>
      <w:bookmarkEnd w:id="89"/>
    </w:p>
    <w:p w14:paraId="0F2C6363">
      <w:pPr>
        <w:pStyle w:val="17"/>
        <w:spacing w:before="75" w:beforeAutospacing="0" w:after="75" w:afterAutospacing="0" w:line="360" w:lineRule="auto"/>
        <w:rPr>
          <w:rFonts w:hint="eastAsia" w:ascii="宋体" w:hAnsi="宋体" w:eastAsia="宋体" w:cs="宋体"/>
          <w:color w:val="auto"/>
          <w:sz w:val="24"/>
          <w:szCs w:val="24"/>
          <w:highlight w:val="none"/>
        </w:rPr>
      </w:pPr>
      <w:bookmarkStart w:id="90" w:name="_Toc7175"/>
      <w:bookmarkStart w:id="91" w:name="_Toc20049"/>
      <w:bookmarkStart w:id="92" w:name="_Toc21288"/>
      <w:bookmarkStart w:id="93" w:name="_Toc23638"/>
      <w:r>
        <w:rPr>
          <w:rFonts w:hint="eastAsia" w:ascii="宋体" w:hAnsi="宋体" w:eastAsia="宋体" w:cs="宋体"/>
          <w:color w:val="auto"/>
          <w:sz w:val="24"/>
          <w:szCs w:val="24"/>
          <w:highlight w:val="none"/>
        </w:rPr>
        <w:t>1、本次采购采用电子交易方式，电子交易平台为“政采云平台（https://www.zcygov.cn/）”。供应商参与本项目电子交易活动前，应注册成为政府采购云平台正式供应商。编制电子响应文件前还需申领CA证书并绑定帐号。供应商应充分考虑完成平台注册、申领CA证书等所需的时间。因未注册入库、未办理CA数字证书等原因造成无法投标或投标失败等后果由供应商自行承担。 2、供应商将政采云电子交易客户端下载、安装完成后，可通过账号密码或CA登录客户端进行响应文件制作。在使用政采云投标客户端时，建议使用WIN7及以上操作系统。客户端请至新疆政府采购网（www.ccgp-xinjiang.gov.cn）下载专区查看，如有问题可拨打政采云客户服务热线95763进行咨询。 3、加密的电子响应文件应在响应文件递交截止时间前通过政采云平台上传完成。逾期上传或者未上传指定地点的响应文件，不予受理。 4、供应商在开标前须提前配置好电脑浏览器，开标时请使用制作加密电子响应文件的CA锁进行解密及报价确认。本项目响应文件解密时间定为30分钟，如因自身原因导致无法正常解密，后果由供应商自行承担。 5、如遇“政采云平台（https://www.zcygov.cn/）”电子交易规则调整，以最新要求为准。</w:t>
      </w:r>
      <w:bookmarkEnd w:id="90"/>
      <w:bookmarkEnd w:id="91"/>
      <w:bookmarkEnd w:id="92"/>
      <w:bookmarkEnd w:id="93"/>
    </w:p>
    <w:p w14:paraId="1CE671F6">
      <w:pPr>
        <w:pStyle w:val="17"/>
        <w:spacing w:before="75" w:beforeAutospacing="0" w:after="75" w:afterAutospacing="0"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特别提示：</w:t>
      </w:r>
    </w:p>
    <w:p w14:paraId="0FFA36D5">
      <w:pPr>
        <w:pStyle w:val="17"/>
        <w:spacing w:before="75" w:beforeAutospacing="0" w:after="75" w:afterAutospacing="0"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1、采购限额标准以上，200万元以下的货物和服务采购项目、400万元以下的工程采购项目，适宜由中小企业提供的，采购人应当专门面向中小企业采购。</w:t>
      </w:r>
    </w:p>
    <w:p w14:paraId="15EE77EB">
      <w:pPr>
        <w:pStyle w:val="17"/>
        <w:spacing w:before="75" w:beforeAutospacing="0" w:after="75" w:afterAutospacing="0"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2、超过200万元的货物和服务采购项目，预留该部分采购项目预算总额的30%以上专门面向中小企业采购，其中预留给小微企业的比例不低于60%。</w:t>
      </w:r>
    </w:p>
    <w:p w14:paraId="08BC38F2">
      <w:pPr>
        <w:pStyle w:val="17"/>
        <w:spacing w:before="75" w:beforeAutospacing="0" w:after="75" w:afterAutospacing="0"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3、超过400万元的工程采购项目中适宜由中小企业提供的，预留该部分采购项目预算总额的40%以上专门面向中小企业采购，其中预留给小微企业的比例不低于60%。</w:t>
      </w:r>
    </w:p>
    <w:p w14:paraId="3A8BB23D">
      <w:pPr>
        <w:pStyle w:val="17"/>
        <w:spacing w:before="75" w:beforeAutospacing="0" w:after="75" w:afterAutospacing="0"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5E6461C9">
      <w:pPr>
        <w:pStyle w:val="17"/>
        <w:spacing w:before="75" w:beforeAutospacing="0" w:after="75" w:afterAutospacing="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072FB002">
      <w:pPr>
        <w:pStyle w:val="17"/>
        <w:spacing w:before="255" w:beforeAutospacing="0" w:after="255" w:afterAutospacing="0" w:line="360" w:lineRule="auto"/>
        <w:jc w:val="both"/>
        <w:outlineLvl w:val="0"/>
        <w:rPr>
          <w:rFonts w:hint="eastAsia" w:ascii="宋体" w:hAnsi="宋体" w:eastAsia="宋体" w:cs="宋体"/>
          <w:color w:val="auto"/>
          <w:sz w:val="24"/>
          <w:szCs w:val="24"/>
          <w:highlight w:val="none"/>
        </w:rPr>
      </w:pPr>
      <w:bookmarkStart w:id="94" w:name="_Toc24086"/>
      <w:bookmarkStart w:id="95" w:name="_Toc22747"/>
      <w:bookmarkStart w:id="96" w:name="_Toc9596"/>
      <w:bookmarkStart w:id="97" w:name="_Toc2177"/>
      <w:bookmarkStart w:id="98" w:name="_Toc28137"/>
      <w:bookmarkStart w:id="99" w:name="_Toc9605"/>
      <w:r>
        <w:rPr>
          <w:rStyle w:val="38"/>
          <w:rFonts w:hint="eastAsia" w:ascii="宋体" w:hAnsi="宋体" w:eastAsia="宋体" w:cs="宋体"/>
          <w:color w:val="auto"/>
          <w:sz w:val="24"/>
          <w:szCs w:val="24"/>
          <w:highlight w:val="none"/>
        </w:rPr>
        <w:t>七、对本次招标提出询问，请按以下方式联系。</w:t>
      </w:r>
      <w:bookmarkEnd w:id="83"/>
      <w:bookmarkEnd w:id="84"/>
      <w:bookmarkEnd w:id="94"/>
      <w:bookmarkEnd w:id="95"/>
      <w:bookmarkEnd w:id="96"/>
      <w:bookmarkEnd w:id="97"/>
      <w:bookmarkEnd w:id="98"/>
      <w:bookmarkEnd w:id="99"/>
      <w:r>
        <w:rPr>
          <w:rFonts w:hint="eastAsia" w:ascii="宋体" w:hAnsi="宋体" w:eastAsia="宋体" w:cs="宋体"/>
          <w:color w:val="auto"/>
          <w:sz w:val="24"/>
          <w:szCs w:val="24"/>
          <w:highlight w:val="none"/>
        </w:rPr>
        <w:t>　　　　　　　　　　　　</w:t>
      </w:r>
    </w:p>
    <w:p w14:paraId="1584971E">
      <w:pPr>
        <w:rPr>
          <w:rFonts w:hint="eastAsia" w:ascii="宋体" w:hAnsi="宋体" w:eastAsia="宋体" w:cs="宋体"/>
          <w:color w:val="auto"/>
          <w:sz w:val="24"/>
          <w:szCs w:val="24"/>
          <w:highlight w:val="none"/>
        </w:rPr>
      </w:pPr>
      <w:bookmarkStart w:id="100" w:name="_Toc30614"/>
      <w:bookmarkStart w:id="101" w:name="_Toc17577"/>
      <w:r>
        <w:rPr>
          <w:rFonts w:hint="eastAsia" w:ascii="宋体" w:hAnsi="宋体" w:eastAsia="宋体" w:cs="宋体"/>
          <w:color w:val="auto"/>
          <w:sz w:val="24"/>
          <w:szCs w:val="24"/>
          <w:highlight w:val="none"/>
        </w:rPr>
        <w:br w:type="page"/>
      </w:r>
    </w:p>
    <w:p w14:paraId="1194CF55">
      <w:pPr>
        <w:pStyle w:val="17"/>
        <w:spacing w:before="75" w:beforeAutospacing="0" w:after="75" w:afterAutospacing="0" w:line="360" w:lineRule="auto"/>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1.采购人信息</w:t>
      </w:r>
      <w:bookmarkEnd w:id="100"/>
      <w:bookmarkEnd w:id="101"/>
    </w:p>
    <w:p w14:paraId="2AFC4028">
      <w:pPr>
        <w:pStyle w:val="17"/>
        <w:spacing w:before="75" w:beforeAutospacing="0" w:after="75" w:afterAutospacing="0" w:line="360" w:lineRule="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名 </w:t>
      </w:r>
      <w:r>
        <w:rPr>
          <w:rFonts w:hint="eastAsia" w:ascii="宋体" w:hAnsi="宋体" w:eastAsia="宋体" w:cs="宋体"/>
          <w:color w:val="auto"/>
          <w:sz w:val="24"/>
          <w:szCs w:val="24"/>
          <w:highlight w:val="none"/>
          <w:u w:val="none"/>
        </w:rPr>
        <w:t>   称：</w:t>
      </w:r>
      <w:r>
        <w:rPr>
          <w:rFonts w:hint="eastAsia" w:cs="宋体"/>
          <w:color w:val="auto"/>
          <w:sz w:val="24"/>
          <w:szCs w:val="24"/>
          <w:highlight w:val="none"/>
          <w:u w:val="none"/>
          <w:lang w:eastAsia="zh-CN"/>
        </w:rPr>
        <w:t>乌鲁木齐市市属某单位</w:t>
      </w:r>
      <w:r>
        <w:rPr>
          <w:rFonts w:hint="eastAsia" w:ascii="宋体" w:hAnsi="宋体" w:eastAsia="宋体" w:cs="宋体"/>
          <w:color w:val="auto"/>
          <w:sz w:val="24"/>
          <w:szCs w:val="24"/>
          <w:highlight w:val="none"/>
          <w:u w:val="none"/>
        </w:rPr>
        <w:t>　　　　　　　</w:t>
      </w:r>
    </w:p>
    <w:p w14:paraId="349B96A0">
      <w:pPr>
        <w:pStyle w:val="17"/>
        <w:spacing w:before="75" w:beforeAutospacing="0" w:after="75" w:afterAutospacing="0" w:line="360" w:lineRule="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地    址：</w:t>
      </w:r>
      <w:r>
        <w:rPr>
          <w:rFonts w:hint="eastAsia" w:cs="宋体"/>
          <w:color w:val="auto"/>
          <w:sz w:val="24"/>
          <w:szCs w:val="24"/>
          <w:highlight w:val="none"/>
          <w:u w:val="none"/>
          <w:lang w:val="en-US" w:eastAsia="zh-CN"/>
        </w:rPr>
        <w:t>乌鲁木齐市市属某单位</w:t>
      </w:r>
      <w:r>
        <w:rPr>
          <w:rFonts w:hint="eastAsia" w:ascii="宋体" w:hAnsi="宋体" w:eastAsia="宋体" w:cs="宋体"/>
          <w:color w:val="auto"/>
          <w:sz w:val="24"/>
          <w:szCs w:val="24"/>
          <w:highlight w:val="none"/>
          <w:u w:val="none"/>
        </w:rPr>
        <w:t xml:space="preserve"> </w:t>
      </w:r>
    </w:p>
    <w:p w14:paraId="7B68B52C">
      <w:pPr>
        <w:pStyle w:val="17"/>
        <w:spacing w:before="75" w:beforeAutospacing="0" w:after="75" w:afterAutospacing="0" w:line="360" w:lineRule="auto"/>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lang w:eastAsia="zh-CN"/>
        </w:rPr>
        <w:t>项目联系人：</w:t>
      </w:r>
      <w:r>
        <w:rPr>
          <w:rFonts w:hint="eastAsia" w:cs="宋体"/>
          <w:color w:val="auto"/>
          <w:sz w:val="24"/>
          <w:szCs w:val="24"/>
          <w:highlight w:val="none"/>
          <w:u w:val="none"/>
          <w:lang w:eastAsia="zh-CN"/>
        </w:rPr>
        <w:t>郑伟</w:t>
      </w:r>
    </w:p>
    <w:p w14:paraId="0F516DC5">
      <w:pPr>
        <w:pStyle w:val="17"/>
        <w:spacing w:before="75" w:beforeAutospacing="0" w:after="75" w:afterAutospacing="0" w:line="360" w:lineRule="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eastAsia="zh-CN"/>
        </w:rPr>
        <w:t>项目联系方式：</w:t>
      </w:r>
      <w:r>
        <w:rPr>
          <w:rFonts w:hint="eastAsia" w:cs="宋体"/>
          <w:color w:val="auto"/>
          <w:sz w:val="24"/>
          <w:szCs w:val="24"/>
          <w:highlight w:val="none"/>
          <w:u w:val="none"/>
          <w:lang w:eastAsia="zh-CN"/>
        </w:rPr>
        <w:t>18899198589</w:t>
      </w:r>
    </w:p>
    <w:p w14:paraId="48283DCD">
      <w:pPr>
        <w:pStyle w:val="17"/>
        <w:spacing w:before="75" w:beforeAutospacing="0" w:after="75" w:afterAutospacing="0" w:line="360" w:lineRule="auto"/>
        <w:outlineLvl w:val="1"/>
        <w:rPr>
          <w:rFonts w:hint="eastAsia" w:ascii="宋体" w:hAnsi="宋体" w:eastAsia="宋体" w:cs="宋体"/>
          <w:color w:val="auto"/>
          <w:sz w:val="24"/>
          <w:szCs w:val="24"/>
          <w:highlight w:val="none"/>
          <w:u w:val="none"/>
        </w:rPr>
      </w:pPr>
      <w:bookmarkStart w:id="102" w:name="_Toc30904"/>
      <w:bookmarkStart w:id="103" w:name="_Toc23213"/>
      <w:r>
        <w:rPr>
          <w:rFonts w:hint="eastAsia" w:ascii="宋体" w:hAnsi="宋体" w:eastAsia="宋体" w:cs="宋体"/>
          <w:color w:val="auto"/>
          <w:sz w:val="24"/>
          <w:szCs w:val="24"/>
          <w:highlight w:val="none"/>
          <w:u w:val="none"/>
        </w:rPr>
        <w:t>2.采购代理机构信息</w:t>
      </w:r>
      <w:bookmarkEnd w:id="102"/>
      <w:bookmarkEnd w:id="103"/>
    </w:p>
    <w:p w14:paraId="300D2CE0">
      <w:pPr>
        <w:pStyle w:val="17"/>
        <w:spacing w:before="75" w:beforeAutospacing="0" w:after="75" w:afterAutospacing="0" w:line="360" w:lineRule="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名      称：</w:t>
      </w:r>
      <w:r>
        <w:rPr>
          <w:rFonts w:hint="eastAsia" w:cs="宋体"/>
          <w:color w:val="auto"/>
          <w:sz w:val="24"/>
          <w:szCs w:val="24"/>
          <w:highlight w:val="none"/>
          <w:u w:val="none"/>
          <w:lang w:eastAsia="zh-CN"/>
        </w:rPr>
        <w:t>新疆砼聚工程项目管理有限公司</w:t>
      </w:r>
      <w:r>
        <w:rPr>
          <w:rFonts w:hint="eastAsia" w:ascii="宋体" w:hAnsi="宋体" w:eastAsia="宋体" w:cs="宋体"/>
          <w:color w:val="auto"/>
          <w:sz w:val="24"/>
          <w:szCs w:val="24"/>
          <w:highlight w:val="none"/>
          <w:u w:val="none"/>
        </w:rPr>
        <w:t>　　　　　　　　　　　</w:t>
      </w:r>
    </w:p>
    <w:p w14:paraId="365955BC">
      <w:pPr>
        <w:pStyle w:val="17"/>
        <w:spacing w:before="75" w:beforeAutospacing="0" w:after="75" w:afterAutospacing="0" w:line="360" w:lineRule="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项目联系人：</w:t>
      </w:r>
      <w:r>
        <w:rPr>
          <w:rFonts w:hint="eastAsia" w:cs="宋体"/>
          <w:color w:val="auto"/>
          <w:sz w:val="24"/>
          <w:szCs w:val="24"/>
          <w:highlight w:val="none"/>
          <w:u w:val="none"/>
          <w:lang w:eastAsia="zh-CN"/>
        </w:rPr>
        <w:t>陈保名、倪冬云</w:t>
      </w:r>
      <w:r>
        <w:rPr>
          <w:rFonts w:hint="eastAsia" w:ascii="宋体" w:hAnsi="宋体" w:eastAsia="宋体" w:cs="宋体"/>
          <w:color w:val="auto"/>
          <w:sz w:val="24"/>
          <w:szCs w:val="24"/>
          <w:highlight w:val="none"/>
          <w:u w:val="none"/>
        </w:rPr>
        <w:t>　　　　　　　　　　</w:t>
      </w:r>
    </w:p>
    <w:p w14:paraId="7DF094FE">
      <w:pPr>
        <w:pStyle w:val="17"/>
        <w:spacing w:before="75" w:beforeAutospacing="0" w:after="75" w:afterAutospacing="0" w:line="360" w:lineRule="auto"/>
        <w:jc w:val="both"/>
        <w:rPr>
          <w:rFonts w:hint="eastAsia" w:ascii="宋体" w:hAnsi="宋体" w:eastAsia="宋体" w:cs="宋体"/>
          <w:b/>
          <w:color w:val="auto"/>
          <w:kern w:val="2"/>
          <w:sz w:val="24"/>
          <w:szCs w:val="24"/>
          <w:highlight w:val="none"/>
        </w:rPr>
      </w:pPr>
      <w:r>
        <w:rPr>
          <w:rFonts w:hint="eastAsia" w:ascii="宋体" w:hAnsi="宋体" w:eastAsia="宋体" w:cs="宋体"/>
          <w:color w:val="auto"/>
          <w:sz w:val="24"/>
          <w:szCs w:val="24"/>
          <w:highlight w:val="none"/>
          <w:u w:val="none"/>
        </w:rPr>
        <w:t>项目联系方式：</w:t>
      </w:r>
      <w:r>
        <w:rPr>
          <w:rFonts w:hint="eastAsia" w:cs="宋体"/>
          <w:color w:val="auto"/>
          <w:sz w:val="24"/>
          <w:szCs w:val="24"/>
          <w:highlight w:val="none"/>
          <w:u w:val="none"/>
          <w:lang w:eastAsia="zh-CN"/>
        </w:rPr>
        <w:t>18119190546</w:t>
      </w:r>
      <w:r>
        <w:rPr>
          <w:rFonts w:hint="eastAsia" w:ascii="宋体" w:hAnsi="宋体" w:eastAsia="宋体" w:cs="宋体"/>
          <w:b/>
          <w:color w:val="auto"/>
          <w:kern w:val="2"/>
          <w:sz w:val="24"/>
          <w:szCs w:val="24"/>
          <w:highlight w:val="none"/>
        </w:rPr>
        <w:br w:type="page"/>
      </w:r>
    </w:p>
    <w:p w14:paraId="4C16F9C9">
      <w:pPr>
        <w:pStyle w:val="3"/>
        <w:numPr>
          <w:ilvl w:val="-1"/>
          <w:numId w:val="0"/>
        </w:numPr>
        <w:spacing w:before="75" w:beforeAutospacing="0" w:after="75" w:afterAutospacing="0" w:line="360" w:lineRule="auto"/>
        <w:jc w:val="center"/>
        <w:rPr>
          <w:rFonts w:hint="eastAsia"/>
          <w:highlight w:val="none"/>
          <w:lang w:val="en-US" w:eastAsia="zh-CN"/>
        </w:rPr>
      </w:pPr>
      <w:bookmarkStart w:id="104" w:name="_Toc1387"/>
      <w:bookmarkStart w:id="105" w:name="_Toc11144"/>
      <w:r>
        <w:rPr>
          <w:rFonts w:hint="eastAsia"/>
          <w:highlight w:val="none"/>
          <w:lang w:val="en-US" w:eastAsia="zh-CN"/>
        </w:rPr>
        <w:t xml:space="preserve">第二章  </w:t>
      </w:r>
      <w:bookmarkEnd w:id="24"/>
      <w:r>
        <w:rPr>
          <w:rFonts w:hint="eastAsia"/>
          <w:highlight w:val="none"/>
          <w:lang w:val="en-US" w:eastAsia="zh-CN"/>
        </w:rPr>
        <w:t>供应商须知</w:t>
      </w:r>
      <w:bookmarkEnd w:id="104"/>
      <w:bookmarkEnd w:id="105"/>
    </w:p>
    <w:p w14:paraId="4237042B">
      <w:pPr>
        <w:widowControl/>
        <w:adjustRightInd/>
        <w:snapToGrid w:val="0"/>
        <w:spacing w:line="360" w:lineRule="auto"/>
        <w:jc w:val="center"/>
        <w:rPr>
          <w:rFonts w:hint="eastAsia" w:ascii="宋体" w:hAnsi="宋体" w:eastAsia="宋体" w:cs="宋体"/>
          <w:b/>
          <w:color w:val="auto"/>
          <w:kern w:val="2"/>
          <w:sz w:val="28"/>
          <w:szCs w:val="28"/>
          <w:highlight w:val="none"/>
        </w:rPr>
      </w:pPr>
      <w:r>
        <w:rPr>
          <w:rFonts w:hint="eastAsia" w:ascii="宋体" w:hAnsi="宋体" w:eastAsia="宋体" w:cs="宋体"/>
          <w:b/>
          <w:color w:val="auto"/>
          <w:kern w:val="2"/>
          <w:sz w:val="28"/>
          <w:szCs w:val="28"/>
          <w:highlight w:val="none"/>
        </w:rPr>
        <w:t>供应商须知前附表</w:t>
      </w:r>
    </w:p>
    <w:tbl>
      <w:tblPr>
        <w:tblStyle w:val="35"/>
        <w:tblW w:w="104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1548"/>
        <w:gridCol w:w="8039"/>
      </w:tblGrid>
      <w:tr w14:paraId="57723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jc w:val="center"/>
        </w:trPr>
        <w:tc>
          <w:tcPr>
            <w:tcW w:w="8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7F4E72">
            <w:pPr>
              <w:widowControl/>
              <w:adjustRightInd/>
              <w:spacing w:line="360" w:lineRule="auto"/>
              <w:jc w:val="center"/>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条款号</w:t>
            </w:r>
          </w:p>
        </w:tc>
        <w:tc>
          <w:tcPr>
            <w:tcW w:w="154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316343A">
            <w:pPr>
              <w:widowControl/>
              <w:adjustRightInd/>
              <w:spacing w:line="360" w:lineRule="auto"/>
              <w:jc w:val="center"/>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条款名称</w:t>
            </w:r>
          </w:p>
        </w:tc>
        <w:tc>
          <w:tcPr>
            <w:tcW w:w="80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09119D1">
            <w:pPr>
              <w:widowControl/>
              <w:adjustRightInd/>
              <w:spacing w:line="360" w:lineRule="auto"/>
              <w:jc w:val="center"/>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编列内容</w:t>
            </w:r>
          </w:p>
        </w:tc>
      </w:tr>
      <w:tr w14:paraId="24160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869" w:type="dxa"/>
            <w:vMerge w:val="restart"/>
            <w:tcBorders>
              <w:top w:val="single" w:color="auto" w:sz="4" w:space="0"/>
              <w:left w:val="single" w:color="auto" w:sz="4" w:space="0"/>
              <w:right w:val="single" w:color="auto" w:sz="4" w:space="0"/>
              <w:tl2br w:val="nil"/>
              <w:tr2bl w:val="nil"/>
            </w:tcBorders>
            <w:noWrap w:val="0"/>
            <w:vAlign w:val="center"/>
          </w:tcPr>
          <w:p w14:paraId="35E382FF">
            <w:pPr>
              <w:widowControl/>
              <w:adjustRightInd/>
              <w:snapToGrid w:val="0"/>
              <w:spacing w:line="360" w:lineRule="auto"/>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1.1</w:t>
            </w:r>
          </w:p>
        </w:tc>
        <w:tc>
          <w:tcPr>
            <w:tcW w:w="154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959CBC7">
            <w:pPr>
              <w:pStyle w:val="99"/>
              <w:spacing w:before="1" w:line="360" w:lineRule="auto"/>
              <w:ind w:left="120"/>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项目名称</w:t>
            </w:r>
          </w:p>
        </w:tc>
        <w:tc>
          <w:tcPr>
            <w:tcW w:w="80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A01B4FF">
            <w:pPr>
              <w:pStyle w:val="17"/>
              <w:spacing w:before="75" w:beforeAutospacing="0" w:after="75" w:afterAutospacing="0" w:line="360" w:lineRule="auto"/>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乌鲁木齐市市属某单位警械装备采购项目</w:t>
            </w:r>
          </w:p>
        </w:tc>
      </w:tr>
      <w:tr w14:paraId="6FB1C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69" w:type="dxa"/>
            <w:vMerge w:val="continue"/>
            <w:tcBorders>
              <w:left w:val="single" w:color="auto" w:sz="4" w:space="0"/>
              <w:right w:val="single" w:color="auto" w:sz="4" w:space="0"/>
              <w:tl2br w:val="nil"/>
              <w:tr2bl w:val="nil"/>
            </w:tcBorders>
            <w:noWrap w:val="0"/>
            <w:vAlign w:val="center"/>
          </w:tcPr>
          <w:p w14:paraId="5B963463">
            <w:pPr>
              <w:widowControl/>
              <w:adjustRightInd/>
              <w:spacing w:line="360" w:lineRule="auto"/>
              <w:jc w:val="center"/>
              <w:rPr>
                <w:rFonts w:hint="eastAsia" w:ascii="宋体" w:hAnsi="宋体" w:eastAsia="宋体" w:cs="宋体"/>
                <w:b/>
                <w:color w:val="auto"/>
                <w:kern w:val="2"/>
                <w:sz w:val="24"/>
                <w:szCs w:val="24"/>
                <w:highlight w:val="none"/>
              </w:rPr>
            </w:pPr>
          </w:p>
        </w:tc>
        <w:tc>
          <w:tcPr>
            <w:tcW w:w="154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9E3A51D">
            <w:pPr>
              <w:pStyle w:val="99"/>
              <w:spacing w:before="1" w:line="360" w:lineRule="auto"/>
              <w:ind w:left="120"/>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采购人</w:t>
            </w:r>
          </w:p>
        </w:tc>
        <w:tc>
          <w:tcPr>
            <w:tcW w:w="80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1685165">
            <w:pPr>
              <w:pStyle w:val="17"/>
              <w:spacing w:before="75" w:beforeAutospacing="0" w:after="75" w:afterAutospacing="0" w:line="360" w:lineRule="auto"/>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乌鲁木齐市市属某单位</w:t>
            </w:r>
          </w:p>
        </w:tc>
      </w:tr>
      <w:tr w14:paraId="25612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869" w:type="dxa"/>
            <w:vMerge w:val="continue"/>
            <w:tcBorders>
              <w:left w:val="single" w:color="auto" w:sz="4" w:space="0"/>
              <w:right w:val="single" w:color="auto" w:sz="4" w:space="0"/>
              <w:tl2br w:val="nil"/>
              <w:tr2bl w:val="nil"/>
            </w:tcBorders>
            <w:noWrap w:val="0"/>
            <w:vAlign w:val="center"/>
          </w:tcPr>
          <w:p w14:paraId="251689DB">
            <w:pPr>
              <w:widowControl/>
              <w:adjustRightInd/>
              <w:snapToGrid w:val="0"/>
              <w:spacing w:line="360" w:lineRule="auto"/>
              <w:jc w:val="center"/>
              <w:rPr>
                <w:rFonts w:hint="eastAsia" w:ascii="宋体" w:hAnsi="宋体" w:eastAsia="宋体" w:cs="宋体"/>
                <w:color w:val="auto"/>
                <w:kern w:val="2"/>
                <w:sz w:val="24"/>
                <w:szCs w:val="24"/>
                <w:highlight w:val="none"/>
              </w:rPr>
            </w:pPr>
          </w:p>
        </w:tc>
        <w:tc>
          <w:tcPr>
            <w:tcW w:w="154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2012510">
            <w:pPr>
              <w:pStyle w:val="99"/>
              <w:spacing w:before="1" w:line="360" w:lineRule="auto"/>
              <w:ind w:left="120"/>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采购代理人</w:t>
            </w:r>
          </w:p>
        </w:tc>
        <w:tc>
          <w:tcPr>
            <w:tcW w:w="80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E26520">
            <w:pPr>
              <w:pStyle w:val="17"/>
              <w:spacing w:before="75" w:beforeAutospacing="0" w:after="75" w:afterAutospacing="0" w:line="360" w:lineRule="auto"/>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新疆砼聚工程项目管理有限公司</w:t>
            </w:r>
          </w:p>
        </w:tc>
      </w:tr>
      <w:tr w14:paraId="3C214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869" w:type="dxa"/>
            <w:vMerge w:val="continue"/>
            <w:tcBorders>
              <w:left w:val="single" w:color="auto" w:sz="4" w:space="0"/>
              <w:right w:val="single" w:color="auto" w:sz="4" w:space="0"/>
              <w:tl2br w:val="nil"/>
              <w:tr2bl w:val="nil"/>
            </w:tcBorders>
            <w:noWrap w:val="0"/>
            <w:vAlign w:val="center"/>
          </w:tcPr>
          <w:p w14:paraId="727D2EC6">
            <w:pPr>
              <w:widowControl/>
              <w:adjustRightInd/>
              <w:snapToGrid w:val="0"/>
              <w:spacing w:line="360" w:lineRule="auto"/>
              <w:jc w:val="center"/>
              <w:rPr>
                <w:rFonts w:hint="eastAsia" w:ascii="宋体" w:hAnsi="宋体" w:eastAsia="宋体" w:cs="宋体"/>
                <w:color w:val="auto"/>
                <w:kern w:val="2"/>
                <w:sz w:val="24"/>
                <w:szCs w:val="24"/>
                <w:highlight w:val="none"/>
              </w:rPr>
            </w:pPr>
          </w:p>
        </w:tc>
        <w:tc>
          <w:tcPr>
            <w:tcW w:w="154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1DD379B">
            <w:pPr>
              <w:pStyle w:val="99"/>
              <w:spacing w:before="1" w:line="360" w:lineRule="auto"/>
              <w:ind w:left="120"/>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招标范围</w:t>
            </w:r>
          </w:p>
        </w:tc>
        <w:tc>
          <w:tcPr>
            <w:tcW w:w="80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F3B4FB6">
            <w:pPr>
              <w:pStyle w:val="17"/>
              <w:spacing w:before="75" w:beforeAutospacing="0" w:after="75" w:afterAutospacing="0" w:line="360" w:lineRule="auto"/>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乌鲁木齐市市属某单位</w:t>
            </w:r>
            <w:r>
              <w:rPr>
                <w:rFonts w:hint="eastAsia" w:ascii="宋体" w:hAnsi="宋体" w:eastAsia="宋体" w:cs="宋体"/>
                <w:color w:val="auto"/>
                <w:sz w:val="24"/>
                <w:szCs w:val="24"/>
                <w:highlight w:val="none"/>
                <w:lang w:eastAsia="zh-CN"/>
              </w:rPr>
              <w:t>警械装备</w:t>
            </w:r>
            <w:r>
              <w:rPr>
                <w:rFonts w:hint="eastAsia" w:ascii="宋体" w:hAnsi="宋体" w:eastAsia="宋体" w:cs="宋体"/>
                <w:color w:val="auto"/>
                <w:sz w:val="24"/>
                <w:szCs w:val="24"/>
                <w:highlight w:val="none"/>
              </w:rPr>
              <w:t>采购项目</w:t>
            </w:r>
            <w:r>
              <w:rPr>
                <w:rFonts w:hint="eastAsia" w:ascii="宋体" w:hAnsi="宋体" w:eastAsia="宋体" w:cs="宋体"/>
                <w:color w:val="auto"/>
                <w:sz w:val="24"/>
                <w:szCs w:val="24"/>
                <w:highlight w:val="none"/>
                <w:lang w:val="en-US" w:eastAsia="zh-CN"/>
              </w:rPr>
              <w:t>，具体详见采购需求。</w:t>
            </w:r>
          </w:p>
        </w:tc>
      </w:tr>
      <w:tr w14:paraId="45AD0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869" w:type="dxa"/>
            <w:vMerge w:val="continue"/>
            <w:tcBorders>
              <w:left w:val="single" w:color="auto" w:sz="4" w:space="0"/>
              <w:right w:val="single" w:color="auto" w:sz="4" w:space="0"/>
              <w:tl2br w:val="nil"/>
              <w:tr2bl w:val="nil"/>
            </w:tcBorders>
            <w:noWrap w:val="0"/>
            <w:vAlign w:val="center"/>
          </w:tcPr>
          <w:p w14:paraId="26155403">
            <w:pPr>
              <w:widowControl/>
              <w:adjustRightInd/>
              <w:snapToGrid w:val="0"/>
              <w:spacing w:line="360" w:lineRule="auto"/>
              <w:jc w:val="center"/>
              <w:rPr>
                <w:rFonts w:hint="eastAsia" w:ascii="宋体" w:hAnsi="宋体" w:eastAsia="宋体" w:cs="宋体"/>
                <w:color w:val="auto"/>
                <w:kern w:val="2"/>
                <w:sz w:val="24"/>
                <w:szCs w:val="24"/>
                <w:highlight w:val="none"/>
              </w:rPr>
            </w:pPr>
          </w:p>
        </w:tc>
        <w:tc>
          <w:tcPr>
            <w:tcW w:w="154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D56DEDB">
            <w:pPr>
              <w:pStyle w:val="99"/>
              <w:spacing w:before="1" w:line="360" w:lineRule="auto"/>
              <w:ind w:left="120"/>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项目编号</w:t>
            </w:r>
          </w:p>
        </w:tc>
        <w:tc>
          <w:tcPr>
            <w:tcW w:w="80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4F2A309">
            <w:pPr>
              <w:pStyle w:val="17"/>
              <w:spacing w:before="75" w:beforeAutospacing="0" w:after="75" w:afterAutospacing="0" w:line="360" w:lineRule="auto"/>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TJZB20260601</w:t>
            </w:r>
          </w:p>
        </w:tc>
      </w:tr>
      <w:tr w14:paraId="56D82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69" w:type="dxa"/>
            <w:vMerge w:val="continue"/>
            <w:tcBorders>
              <w:left w:val="single" w:color="auto" w:sz="4" w:space="0"/>
              <w:right w:val="single" w:color="auto" w:sz="4" w:space="0"/>
              <w:tl2br w:val="nil"/>
              <w:tr2bl w:val="nil"/>
            </w:tcBorders>
            <w:noWrap w:val="0"/>
            <w:vAlign w:val="center"/>
          </w:tcPr>
          <w:p w14:paraId="0C4A9110">
            <w:pPr>
              <w:widowControl/>
              <w:adjustRightInd/>
              <w:snapToGrid w:val="0"/>
              <w:spacing w:line="360" w:lineRule="auto"/>
              <w:jc w:val="center"/>
              <w:rPr>
                <w:rFonts w:hint="eastAsia" w:ascii="宋体" w:hAnsi="宋体" w:eastAsia="宋体" w:cs="宋体"/>
                <w:color w:val="auto"/>
                <w:kern w:val="2"/>
                <w:sz w:val="24"/>
                <w:szCs w:val="24"/>
                <w:highlight w:val="none"/>
              </w:rPr>
            </w:pPr>
          </w:p>
        </w:tc>
        <w:tc>
          <w:tcPr>
            <w:tcW w:w="154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3DE3FA5">
            <w:pPr>
              <w:pStyle w:val="99"/>
              <w:spacing w:before="1" w:line="360" w:lineRule="auto"/>
              <w:ind w:left="120"/>
              <w:rPr>
                <w:rFonts w:hint="eastAsia" w:ascii="宋体" w:hAnsi="宋体" w:eastAsia="宋体" w:cs="宋体"/>
                <w:snapToGrid w:val="0"/>
                <w:color w:val="auto"/>
                <w:kern w:val="0"/>
                <w:sz w:val="24"/>
                <w:szCs w:val="24"/>
                <w:highlight w:val="none"/>
                <w:lang w:val="en-US" w:eastAsia="zh-CN" w:bidi="ar-SA"/>
              </w:rPr>
            </w:pPr>
            <w:r>
              <w:rPr>
                <w:rFonts w:hint="eastAsia" w:cs="宋体"/>
                <w:snapToGrid w:val="0"/>
                <w:color w:val="auto"/>
                <w:kern w:val="0"/>
                <w:sz w:val="24"/>
                <w:szCs w:val="24"/>
                <w:highlight w:val="none"/>
                <w:lang w:val="en-US" w:eastAsia="zh-CN" w:bidi="ar-SA"/>
              </w:rPr>
              <w:t>供货期</w:t>
            </w:r>
          </w:p>
        </w:tc>
        <w:tc>
          <w:tcPr>
            <w:tcW w:w="80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D3A3EA2">
            <w:pPr>
              <w:pStyle w:val="17"/>
              <w:spacing w:before="75" w:beforeAutospacing="0" w:after="75" w:afterAutospacing="0" w:line="360" w:lineRule="auto"/>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合同签订后 15 个工作日内完成全部货物的交付</w:t>
            </w:r>
            <w:r>
              <w:rPr>
                <w:rFonts w:hint="eastAsia" w:ascii="宋体" w:hAnsi="宋体" w:eastAsia="宋体" w:cs="宋体"/>
                <w:color w:val="auto"/>
                <w:sz w:val="24"/>
                <w:szCs w:val="24"/>
                <w:highlight w:val="none"/>
                <w:lang w:val="en-US" w:eastAsia="zh-CN"/>
              </w:rPr>
              <w:t>。</w:t>
            </w:r>
          </w:p>
        </w:tc>
      </w:tr>
      <w:tr w14:paraId="1083A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69" w:type="dxa"/>
            <w:vMerge w:val="continue"/>
            <w:tcBorders>
              <w:left w:val="single" w:color="auto" w:sz="4" w:space="0"/>
              <w:right w:val="single" w:color="auto" w:sz="4" w:space="0"/>
              <w:tl2br w:val="nil"/>
              <w:tr2bl w:val="nil"/>
            </w:tcBorders>
            <w:noWrap w:val="0"/>
            <w:vAlign w:val="center"/>
          </w:tcPr>
          <w:p w14:paraId="1552FBB8">
            <w:pPr>
              <w:widowControl/>
              <w:adjustRightInd/>
              <w:snapToGrid w:val="0"/>
              <w:spacing w:line="360" w:lineRule="auto"/>
              <w:jc w:val="center"/>
              <w:rPr>
                <w:rFonts w:hint="eastAsia" w:ascii="宋体" w:hAnsi="宋体" w:eastAsia="宋体" w:cs="宋体"/>
                <w:color w:val="auto"/>
                <w:kern w:val="2"/>
                <w:sz w:val="24"/>
                <w:szCs w:val="24"/>
                <w:highlight w:val="none"/>
              </w:rPr>
            </w:pPr>
          </w:p>
        </w:tc>
        <w:tc>
          <w:tcPr>
            <w:tcW w:w="154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65D979">
            <w:pPr>
              <w:pStyle w:val="99"/>
              <w:spacing w:before="1" w:line="360" w:lineRule="auto"/>
              <w:ind w:left="120"/>
              <w:rPr>
                <w:rFonts w:hint="default" w:ascii="宋体" w:hAnsi="宋体" w:eastAsia="宋体" w:cs="宋体"/>
                <w:snapToGrid w:val="0"/>
                <w:color w:val="auto"/>
                <w:kern w:val="0"/>
                <w:sz w:val="24"/>
                <w:szCs w:val="24"/>
                <w:highlight w:val="none"/>
                <w:lang w:val="en-US" w:eastAsia="zh-CN" w:bidi="ar-SA"/>
              </w:rPr>
            </w:pPr>
            <w:r>
              <w:rPr>
                <w:rFonts w:hint="eastAsia" w:cs="宋体"/>
                <w:snapToGrid w:val="0"/>
                <w:color w:val="auto"/>
                <w:kern w:val="0"/>
                <w:sz w:val="24"/>
                <w:szCs w:val="24"/>
                <w:highlight w:val="none"/>
                <w:lang w:val="en-US" w:eastAsia="zh-CN" w:bidi="ar-SA"/>
              </w:rPr>
              <w:t>质保期</w:t>
            </w:r>
          </w:p>
        </w:tc>
        <w:tc>
          <w:tcPr>
            <w:tcW w:w="80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95DDC28">
            <w:pPr>
              <w:pStyle w:val="17"/>
              <w:spacing w:before="75" w:beforeAutospacing="0" w:after="75" w:afterAutospacing="0" w:line="360" w:lineRule="auto"/>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1年。</w:t>
            </w:r>
          </w:p>
        </w:tc>
      </w:tr>
      <w:tr w14:paraId="3B5A5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69" w:type="dxa"/>
            <w:vMerge w:val="continue"/>
            <w:tcBorders>
              <w:left w:val="single" w:color="auto" w:sz="4" w:space="0"/>
              <w:right w:val="single" w:color="auto" w:sz="4" w:space="0"/>
              <w:tl2br w:val="nil"/>
              <w:tr2bl w:val="nil"/>
            </w:tcBorders>
            <w:noWrap w:val="0"/>
            <w:vAlign w:val="center"/>
          </w:tcPr>
          <w:p w14:paraId="59610A82">
            <w:pPr>
              <w:widowControl/>
              <w:adjustRightInd/>
              <w:snapToGrid w:val="0"/>
              <w:spacing w:line="360" w:lineRule="auto"/>
              <w:jc w:val="center"/>
              <w:rPr>
                <w:rFonts w:hint="eastAsia" w:ascii="宋体" w:hAnsi="宋体" w:eastAsia="宋体" w:cs="宋体"/>
                <w:color w:val="auto"/>
                <w:kern w:val="2"/>
                <w:sz w:val="24"/>
                <w:szCs w:val="24"/>
                <w:highlight w:val="none"/>
              </w:rPr>
            </w:pPr>
          </w:p>
        </w:tc>
        <w:tc>
          <w:tcPr>
            <w:tcW w:w="154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60C7FBF">
            <w:pPr>
              <w:pStyle w:val="99"/>
              <w:spacing w:before="1" w:line="360" w:lineRule="auto"/>
              <w:ind w:left="120"/>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质量</w:t>
            </w:r>
          </w:p>
        </w:tc>
        <w:tc>
          <w:tcPr>
            <w:tcW w:w="80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BCB3EEE">
            <w:pPr>
              <w:pStyle w:val="17"/>
              <w:spacing w:before="75" w:beforeAutospacing="0" w:after="75" w:afterAutospacing="0"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合格</w:t>
            </w:r>
          </w:p>
        </w:tc>
      </w:tr>
      <w:tr w14:paraId="6F00B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69" w:type="dxa"/>
            <w:vMerge w:val="continue"/>
            <w:tcBorders>
              <w:left w:val="single" w:color="auto" w:sz="4" w:space="0"/>
              <w:right w:val="single" w:color="auto" w:sz="4" w:space="0"/>
              <w:tl2br w:val="nil"/>
              <w:tr2bl w:val="nil"/>
            </w:tcBorders>
            <w:noWrap w:val="0"/>
            <w:vAlign w:val="center"/>
          </w:tcPr>
          <w:p w14:paraId="43D09B04">
            <w:pPr>
              <w:widowControl/>
              <w:adjustRightInd/>
              <w:snapToGrid w:val="0"/>
              <w:spacing w:line="360" w:lineRule="auto"/>
              <w:jc w:val="center"/>
              <w:rPr>
                <w:rFonts w:hint="eastAsia" w:ascii="宋体" w:hAnsi="宋体" w:eastAsia="宋体" w:cs="宋体"/>
                <w:color w:val="auto"/>
                <w:kern w:val="2"/>
                <w:sz w:val="24"/>
                <w:szCs w:val="24"/>
                <w:highlight w:val="none"/>
              </w:rPr>
            </w:pPr>
          </w:p>
        </w:tc>
        <w:tc>
          <w:tcPr>
            <w:tcW w:w="154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B562793">
            <w:pPr>
              <w:pStyle w:val="99"/>
              <w:spacing w:before="1" w:line="360" w:lineRule="auto"/>
              <w:ind w:left="120"/>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项目地点</w:t>
            </w:r>
          </w:p>
        </w:tc>
        <w:tc>
          <w:tcPr>
            <w:tcW w:w="80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DD417EA">
            <w:pPr>
              <w:pStyle w:val="17"/>
              <w:spacing w:before="75" w:beforeAutospacing="0" w:after="75" w:afterAutospacing="0" w:line="360" w:lineRule="auto"/>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乌鲁木齐市市属某单位。</w:t>
            </w:r>
          </w:p>
        </w:tc>
      </w:tr>
      <w:tr w14:paraId="11002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69" w:type="dxa"/>
            <w:vMerge w:val="continue"/>
            <w:tcBorders>
              <w:left w:val="single" w:color="auto" w:sz="4" w:space="0"/>
              <w:right w:val="single" w:color="auto" w:sz="4" w:space="0"/>
              <w:tl2br w:val="nil"/>
              <w:tr2bl w:val="nil"/>
            </w:tcBorders>
            <w:noWrap w:val="0"/>
            <w:vAlign w:val="center"/>
          </w:tcPr>
          <w:p w14:paraId="35B7EB1F">
            <w:pPr>
              <w:widowControl/>
              <w:adjustRightInd/>
              <w:snapToGrid w:val="0"/>
              <w:spacing w:line="360" w:lineRule="auto"/>
              <w:jc w:val="center"/>
              <w:rPr>
                <w:rFonts w:hint="eastAsia" w:ascii="宋体" w:hAnsi="宋体" w:eastAsia="宋体" w:cs="宋体"/>
                <w:color w:val="auto"/>
                <w:kern w:val="2"/>
                <w:sz w:val="24"/>
                <w:szCs w:val="24"/>
                <w:highlight w:val="none"/>
              </w:rPr>
            </w:pPr>
          </w:p>
        </w:tc>
        <w:tc>
          <w:tcPr>
            <w:tcW w:w="154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8311D66">
            <w:pPr>
              <w:pStyle w:val="99"/>
              <w:spacing w:before="1" w:line="360" w:lineRule="auto"/>
              <w:ind w:left="120"/>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资金来源</w:t>
            </w:r>
          </w:p>
        </w:tc>
        <w:tc>
          <w:tcPr>
            <w:tcW w:w="80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C82E736">
            <w:pPr>
              <w:pStyle w:val="17"/>
              <w:spacing w:before="75" w:beforeAutospacing="0" w:after="75" w:afterAutospacing="0" w:line="360" w:lineRule="auto"/>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财政资金</w:t>
            </w:r>
          </w:p>
        </w:tc>
      </w:tr>
      <w:tr w14:paraId="101D9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69" w:type="dxa"/>
            <w:vMerge w:val="continue"/>
            <w:tcBorders>
              <w:left w:val="single" w:color="auto" w:sz="4" w:space="0"/>
              <w:bottom w:val="single" w:color="auto" w:sz="4" w:space="0"/>
              <w:right w:val="single" w:color="auto" w:sz="4" w:space="0"/>
              <w:tl2br w:val="nil"/>
              <w:tr2bl w:val="nil"/>
            </w:tcBorders>
            <w:noWrap w:val="0"/>
            <w:vAlign w:val="center"/>
          </w:tcPr>
          <w:p w14:paraId="14D8DBDB">
            <w:pPr>
              <w:widowControl/>
              <w:adjustRightInd/>
              <w:snapToGrid w:val="0"/>
              <w:spacing w:line="360" w:lineRule="auto"/>
              <w:jc w:val="center"/>
              <w:rPr>
                <w:rFonts w:hint="eastAsia" w:ascii="宋体" w:hAnsi="宋体" w:eastAsia="宋体" w:cs="宋体"/>
                <w:color w:val="auto"/>
                <w:kern w:val="2"/>
                <w:sz w:val="24"/>
                <w:szCs w:val="24"/>
                <w:highlight w:val="none"/>
              </w:rPr>
            </w:pPr>
          </w:p>
        </w:tc>
        <w:tc>
          <w:tcPr>
            <w:tcW w:w="154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95B26DC">
            <w:pPr>
              <w:pStyle w:val="99"/>
              <w:spacing w:before="1" w:line="360" w:lineRule="auto"/>
              <w:ind w:left="120"/>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现场踏勘</w:t>
            </w:r>
          </w:p>
        </w:tc>
        <w:tc>
          <w:tcPr>
            <w:tcW w:w="80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BCBDAD7">
            <w:pPr>
              <w:pStyle w:val="17"/>
              <w:spacing w:before="75" w:beforeAutospacing="0" w:after="75" w:afterAutospacing="0"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不组织</w:t>
            </w:r>
          </w:p>
        </w:tc>
      </w:tr>
      <w:tr w14:paraId="22072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8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3F15DA6">
            <w:pPr>
              <w:widowControl/>
              <w:adjustRightInd/>
              <w:snapToGrid w:val="0"/>
              <w:spacing w:line="360" w:lineRule="auto"/>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1.3</w:t>
            </w:r>
          </w:p>
        </w:tc>
        <w:tc>
          <w:tcPr>
            <w:tcW w:w="154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7E50FF0">
            <w:pPr>
              <w:pStyle w:val="99"/>
              <w:spacing w:before="1" w:line="360" w:lineRule="auto"/>
              <w:ind w:left="120"/>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资格要求</w:t>
            </w:r>
          </w:p>
        </w:tc>
        <w:tc>
          <w:tcPr>
            <w:tcW w:w="80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3ACB0C3">
            <w:pPr>
              <w:pStyle w:val="99"/>
              <w:spacing w:before="1" w:line="360" w:lineRule="auto"/>
              <w:ind w:left="12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1、满足《中华人民共和国政府采购法》第二十二条规定</w:t>
            </w:r>
          </w:p>
          <w:p w14:paraId="63F1ED5A">
            <w:pPr>
              <w:pStyle w:val="99"/>
              <w:spacing w:before="1" w:line="360" w:lineRule="auto"/>
              <w:ind w:left="12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2、落实政府采购政策需满足的资格要求：</w:t>
            </w:r>
            <w:r>
              <w:rPr>
                <w:rFonts w:hint="eastAsia" w:cs="宋体"/>
                <w:color w:val="auto"/>
                <w:sz w:val="24"/>
                <w:szCs w:val="24"/>
                <w:highlight w:val="none"/>
                <w:lang w:val="en-US" w:eastAsia="zh-CN"/>
              </w:rPr>
              <w:t>本项目为专门面向中小企业采购项目</w:t>
            </w:r>
            <w:r>
              <w:rPr>
                <w:rFonts w:hint="eastAsia" w:ascii="宋体" w:hAnsi="宋体" w:eastAsia="宋体" w:cs="宋体"/>
                <w:color w:val="auto"/>
                <w:sz w:val="24"/>
                <w:szCs w:val="24"/>
                <w:highlight w:val="none"/>
                <w:lang w:val="en-US" w:eastAsia="zh-CN"/>
              </w:rPr>
              <w:t>。</w:t>
            </w:r>
          </w:p>
          <w:p w14:paraId="0B44CC9F">
            <w:pPr>
              <w:pStyle w:val="99"/>
              <w:spacing w:before="1" w:line="360" w:lineRule="auto"/>
              <w:ind w:left="12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落实政府采购政策需满足的资格要求：本项目专门面向中小</w:t>
            </w:r>
            <w:r>
              <w:rPr>
                <w:rFonts w:hint="eastAsia" w:cs="宋体"/>
                <w:color w:val="auto"/>
                <w:sz w:val="24"/>
                <w:szCs w:val="24"/>
                <w:highlight w:val="none"/>
                <w:lang w:val="en-US" w:eastAsia="zh-CN"/>
              </w:rPr>
              <w:t>微</w:t>
            </w:r>
            <w:r>
              <w:rPr>
                <w:rFonts w:hint="eastAsia" w:ascii="宋体" w:hAnsi="宋体" w:eastAsia="宋体" w:cs="宋体"/>
                <w:color w:val="auto"/>
                <w:sz w:val="24"/>
                <w:szCs w:val="24"/>
                <w:highlight w:val="none"/>
                <w:lang w:val="en-US" w:eastAsia="zh-CN"/>
              </w:rPr>
              <w:t>企业</w:t>
            </w:r>
          </w:p>
          <w:p w14:paraId="0009838B">
            <w:pPr>
              <w:pStyle w:val="99"/>
              <w:spacing w:before="1" w:line="360" w:lineRule="auto"/>
              <w:ind w:left="12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3、本项目特定资格要求：</w:t>
            </w:r>
            <w:r>
              <w:rPr>
                <w:rFonts w:hint="eastAsia" w:cs="宋体"/>
                <w:color w:val="auto"/>
                <w:sz w:val="24"/>
                <w:szCs w:val="24"/>
                <w:highlight w:val="none"/>
                <w:lang w:val="en-US" w:eastAsia="zh-CN"/>
              </w:rPr>
              <w:t>/</w:t>
            </w:r>
          </w:p>
        </w:tc>
      </w:tr>
      <w:tr w14:paraId="7783E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1" w:hRule="atLeast"/>
          <w:jc w:val="center"/>
        </w:trPr>
        <w:tc>
          <w:tcPr>
            <w:tcW w:w="8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459ED5">
            <w:pPr>
              <w:widowControl/>
              <w:adjustRightInd/>
              <w:snapToGrid w:val="0"/>
              <w:spacing w:line="360" w:lineRule="auto"/>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2.2</w:t>
            </w:r>
          </w:p>
        </w:tc>
        <w:tc>
          <w:tcPr>
            <w:tcW w:w="154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60A5306">
            <w:pPr>
              <w:pStyle w:val="99"/>
              <w:spacing w:before="1" w:line="360" w:lineRule="auto"/>
              <w:ind w:left="120"/>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澄清或修改</w:t>
            </w:r>
          </w:p>
        </w:tc>
        <w:tc>
          <w:tcPr>
            <w:tcW w:w="80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560F5A">
            <w:pPr>
              <w:pStyle w:val="17"/>
              <w:spacing w:before="75" w:beforeAutospacing="0" w:after="75" w:afterAutospacing="0"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获取采购文件的供应商如认为采购文件如有表述不清晰、缺页、漏页、损页或疑问等，应当在投标截止时间前的15日前，以书面形式要求采购人做出书面解释、澄清或补齐；采购人（采购代理机构）将在收到书面函的3个工作日内组织澄清或补齐；澄清或补齐内容是采购文件的组成部份，并将以采购文件的补充文件形式在规定的发布渠道（招标公告发布网站）书面发布通知所有已获取采购文件的供应商。供应商应自行留意采购人（采购代理机构）发出的对采购文件的澄清、修改或补充文件，并及时在发布的网站自行下载获取相应的文本文件获取即可，无须回签确认收到的函。供应商未按规定时间在发布渠道的网站下载的，视同已收到。因其他紧急情况影响本项目正常招标活动的，采购方将在规定的发布渠道书面通知所有已参加投标的供应商。</w:t>
            </w:r>
          </w:p>
        </w:tc>
      </w:tr>
      <w:tr w14:paraId="08948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jc w:val="center"/>
        </w:trPr>
        <w:tc>
          <w:tcPr>
            <w:tcW w:w="8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176ED60">
            <w:pPr>
              <w:widowControl/>
              <w:adjustRightInd/>
              <w:snapToGrid w:val="0"/>
              <w:spacing w:line="360" w:lineRule="auto"/>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3.2</w:t>
            </w:r>
          </w:p>
        </w:tc>
        <w:tc>
          <w:tcPr>
            <w:tcW w:w="154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D052369">
            <w:pPr>
              <w:pStyle w:val="99"/>
              <w:spacing w:before="1" w:line="360" w:lineRule="auto"/>
              <w:ind w:left="120"/>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最高限价</w:t>
            </w:r>
          </w:p>
          <w:p w14:paraId="35035D75">
            <w:pPr>
              <w:pStyle w:val="99"/>
              <w:spacing w:before="1" w:line="360" w:lineRule="auto"/>
              <w:ind w:left="120"/>
              <w:rPr>
                <w:rFonts w:hint="eastAsia" w:ascii="宋体" w:hAnsi="宋体" w:eastAsia="宋体" w:cs="宋体"/>
                <w:snapToGrid w:val="0"/>
                <w:color w:val="auto"/>
                <w:kern w:val="0"/>
                <w:sz w:val="24"/>
                <w:szCs w:val="24"/>
                <w:highlight w:val="none"/>
                <w:lang w:val="en-US" w:eastAsia="zh-CN" w:bidi="ar-SA"/>
              </w:rPr>
            </w:pPr>
          </w:p>
        </w:tc>
        <w:tc>
          <w:tcPr>
            <w:tcW w:w="80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EADCE14">
            <w:pPr>
              <w:pStyle w:val="17"/>
              <w:spacing w:before="75" w:beforeAutospacing="0" w:after="75" w:afterAutospacing="0"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本项目的预算金额</w:t>
            </w:r>
            <w:r>
              <w:rPr>
                <w:rFonts w:hint="eastAsia" w:cs="宋体"/>
                <w:color w:val="auto"/>
                <w:sz w:val="24"/>
                <w:szCs w:val="24"/>
                <w:highlight w:val="none"/>
                <w:lang w:val="en-US" w:eastAsia="zh-CN"/>
              </w:rPr>
              <w:t>459000.00</w:t>
            </w:r>
            <w:r>
              <w:rPr>
                <w:rFonts w:hint="eastAsia" w:ascii="宋体" w:hAnsi="宋体" w:eastAsia="宋体" w:cs="宋体"/>
                <w:color w:val="auto"/>
                <w:sz w:val="24"/>
                <w:szCs w:val="24"/>
                <w:highlight w:val="none"/>
                <w:lang w:val="en-US" w:eastAsia="zh-CN"/>
              </w:rPr>
              <w:t>元。</w:t>
            </w:r>
          </w:p>
          <w:p w14:paraId="30BCDDE4">
            <w:pPr>
              <w:pStyle w:val="17"/>
              <w:spacing w:before="75" w:beforeAutospacing="0" w:after="75" w:afterAutospacing="0"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（2）最高限价：</w:t>
            </w:r>
            <w:r>
              <w:rPr>
                <w:rFonts w:hint="eastAsia" w:cs="宋体"/>
                <w:color w:val="auto"/>
                <w:sz w:val="24"/>
                <w:szCs w:val="24"/>
                <w:highlight w:val="none"/>
                <w:lang w:val="en-US" w:eastAsia="zh-CN"/>
              </w:rPr>
              <w:t>459000.00</w:t>
            </w:r>
            <w:r>
              <w:rPr>
                <w:rFonts w:hint="eastAsia" w:ascii="宋体" w:hAnsi="宋体" w:eastAsia="宋体" w:cs="宋体"/>
                <w:color w:val="auto"/>
                <w:sz w:val="24"/>
                <w:szCs w:val="24"/>
                <w:highlight w:val="none"/>
                <w:lang w:val="en-US" w:eastAsia="zh-CN"/>
              </w:rPr>
              <w:t>元。</w:t>
            </w:r>
          </w:p>
          <w:p w14:paraId="72906BB7">
            <w:pPr>
              <w:pStyle w:val="17"/>
              <w:spacing w:before="75" w:beforeAutospacing="0" w:after="75" w:afterAutospacing="0" w:line="360" w:lineRule="auto"/>
              <w:rPr>
                <w:rFonts w:hint="eastAsia" w:ascii="宋体" w:hAnsi="宋体" w:eastAsia="宋体" w:cs="宋体"/>
                <w:color w:val="auto"/>
                <w:sz w:val="24"/>
                <w:szCs w:val="24"/>
                <w:highlight w:val="none"/>
                <w:lang w:val="en-US" w:eastAsia="zh-CN"/>
              </w:rPr>
            </w:pPr>
            <w:r>
              <w:rPr>
                <w:rFonts w:hint="eastAsia" w:hAnsi="宋体" w:cs="宋体"/>
                <w:color w:val="auto"/>
                <w:kern w:val="2"/>
                <w:sz w:val="24"/>
                <w:szCs w:val="24"/>
                <w:highlight w:val="none"/>
                <w:lang w:val="en-US" w:eastAsia="zh-CN"/>
              </w:rPr>
              <w:t>★</w:t>
            </w:r>
            <w:r>
              <w:rPr>
                <w:rFonts w:hint="eastAsia" w:ascii="宋体" w:hAnsi="宋体" w:eastAsia="宋体" w:cs="宋体"/>
                <w:b/>
                <w:bCs/>
                <w:color w:val="auto"/>
                <w:sz w:val="24"/>
                <w:szCs w:val="24"/>
                <w:highlight w:val="none"/>
                <w:lang w:val="en-US" w:eastAsia="zh-CN"/>
              </w:rPr>
              <w:t>注：投标人投标报价不得高于最高限价</w:t>
            </w:r>
            <w:r>
              <w:rPr>
                <w:rFonts w:hint="eastAsia" w:cs="宋体"/>
                <w:b/>
                <w:bCs/>
                <w:color w:val="auto"/>
                <w:sz w:val="24"/>
                <w:szCs w:val="24"/>
                <w:highlight w:val="none"/>
                <w:lang w:val="en-US" w:eastAsia="zh-CN"/>
              </w:rPr>
              <w:t>，</w:t>
            </w:r>
            <w:r>
              <w:rPr>
                <w:rFonts w:hint="eastAsia" w:ascii="宋体" w:hAnsi="宋体" w:eastAsia="宋体" w:cs="宋体"/>
                <w:b/>
                <w:bCs/>
                <w:color w:val="auto"/>
                <w:sz w:val="24"/>
                <w:szCs w:val="24"/>
                <w:highlight w:val="none"/>
                <w:lang w:val="en-US" w:eastAsia="zh-CN"/>
              </w:rPr>
              <w:t>高于最高限价作无效报价处理。</w:t>
            </w:r>
          </w:p>
        </w:tc>
      </w:tr>
      <w:tr w14:paraId="3D6F2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8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817C620">
            <w:pPr>
              <w:widowControl/>
              <w:adjustRightInd/>
              <w:snapToGrid w:val="0"/>
              <w:spacing w:line="360" w:lineRule="auto"/>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3.5</w:t>
            </w:r>
          </w:p>
        </w:tc>
        <w:tc>
          <w:tcPr>
            <w:tcW w:w="154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B213145">
            <w:pPr>
              <w:pStyle w:val="99"/>
              <w:spacing w:before="1" w:line="360" w:lineRule="auto"/>
              <w:ind w:left="120"/>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投标有效期</w:t>
            </w:r>
          </w:p>
        </w:tc>
        <w:tc>
          <w:tcPr>
            <w:tcW w:w="80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8CA39F">
            <w:pPr>
              <w:pStyle w:val="17"/>
              <w:spacing w:before="75" w:beforeAutospacing="0" w:after="75" w:afterAutospacing="0"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投标有效期为：投标截止期结束后90日历日，有效期不足将导致其响应文件被拒绝。</w:t>
            </w:r>
          </w:p>
        </w:tc>
      </w:tr>
      <w:tr w14:paraId="6816A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9" w:hRule="atLeast"/>
          <w:jc w:val="center"/>
        </w:trPr>
        <w:tc>
          <w:tcPr>
            <w:tcW w:w="8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ECE62DE">
            <w:pPr>
              <w:widowControl/>
              <w:adjustRightInd/>
              <w:snapToGrid w:val="0"/>
              <w:spacing w:line="360" w:lineRule="auto"/>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3.6</w:t>
            </w:r>
          </w:p>
        </w:tc>
        <w:tc>
          <w:tcPr>
            <w:tcW w:w="154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C2568E6">
            <w:pPr>
              <w:pStyle w:val="99"/>
              <w:spacing w:before="1" w:line="360" w:lineRule="auto"/>
              <w:ind w:left="120"/>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投标保证金</w:t>
            </w:r>
          </w:p>
        </w:tc>
        <w:tc>
          <w:tcPr>
            <w:tcW w:w="80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27123B2">
            <w:pPr>
              <w:pStyle w:val="17"/>
              <w:spacing w:before="75" w:beforeAutospacing="0" w:after="75" w:afterAutospacing="0"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1、投标保证金金额：</w:t>
            </w:r>
            <w:r>
              <w:rPr>
                <w:rFonts w:hint="eastAsia" w:cs="宋体"/>
                <w:color w:val="auto"/>
                <w:sz w:val="24"/>
                <w:szCs w:val="24"/>
                <w:highlight w:val="none"/>
                <w:lang w:val="en-US" w:eastAsia="zh-CN"/>
              </w:rPr>
              <w:t>8000</w:t>
            </w:r>
            <w:r>
              <w:rPr>
                <w:rFonts w:hint="eastAsia" w:ascii="宋体" w:hAnsi="宋体" w:eastAsia="宋体" w:cs="宋体"/>
                <w:color w:val="auto"/>
                <w:sz w:val="24"/>
                <w:szCs w:val="24"/>
                <w:highlight w:val="none"/>
                <w:lang w:val="en-US" w:eastAsia="zh-CN"/>
              </w:rPr>
              <w:t>.00元（</w:t>
            </w:r>
            <w:r>
              <w:rPr>
                <w:rFonts w:hint="eastAsia" w:cs="宋体"/>
                <w:color w:val="auto"/>
                <w:sz w:val="24"/>
                <w:szCs w:val="24"/>
                <w:highlight w:val="none"/>
                <w:lang w:val="en-US" w:eastAsia="zh-CN"/>
              </w:rPr>
              <w:t>捌仟元整</w:t>
            </w:r>
            <w:r>
              <w:rPr>
                <w:rFonts w:hint="eastAsia" w:ascii="宋体" w:hAnsi="宋体" w:eastAsia="宋体" w:cs="宋体"/>
                <w:color w:val="auto"/>
                <w:sz w:val="24"/>
                <w:szCs w:val="24"/>
                <w:highlight w:val="none"/>
                <w:lang w:val="en-US" w:eastAsia="zh-CN"/>
              </w:rPr>
              <w:t>）。</w:t>
            </w:r>
          </w:p>
          <w:p w14:paraId="5938C96E">
            <w:pPr>
              <w:pStyle w:val="17"/>
              <w:spacing w:before="75" w:beforeAutospacing="0" w:after="75" w:afterAutospacing="0"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2、投标保证金到账截止时间：</w:t>
            </w:r>
            <w:r>
              <w:rPr>
                <w:rFonts w:hint="eastAsia" w:cs="宋体"/>
                <w:color w:val="auto"/>
                <w:sz w:val="24"/>
                <w:szCs w:val="24"/>
                <w:highlight w:val="none"/>
                <w:lang w:val="en-US" w:eastAsia="zh-CN"/>
              </w:rPr>
              <w:t>2026年06月25日11</w:t>
            </w:r>
            <w:r>
              <w:rPr>
                <w:rFonts w:hint="eastAsia" w:ascii="宋体" w:hAnsi="宋体" w:eastAsia="宋体" w:cs="宋体"/>
                <w:color w:val="auto"/>
                <w:sz w:val="24"/>
                <w:szCs w:val="24"/>
                <w:highlight w:val="none"/>
                <w:lang w:val="en-US" w:eastAsia="zh-CN"/>
              </w:rPr>
              <w:t>：00分（北京时间）。</w:t>
            </w:r>
          </w:p>
          <w:p w14:paraId="5C4FD0E7">
            <w:pPr>
              <w:pStyle w:val="17"/>
              <w:spacing w:before="75" w:beforeAutospacing="0" w:after="75" w:afterAutospacing="0"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开户单位名称：</w:t>
            </w:r>
            <w:r>
              <w:rPr>
                <w:rFonts w:hint="eastAsia" w:cs="宋体"/>
                <w:color w:val="auto"/>
                <w:sz w:val="24"/>
                <w:szCs w:val="24"/>
                <w:highlight w:val="none"/>
                <w:lang w:val="en-US" w:eastAsia="zh-CN"/>
              </w:rPr>
              <w:t>新疆砼聚工程项目管理有限公司</w:t>
            </w:r>
          </w:p>
          <w:p w14:paraId="08B20E0D">
            <w:pPr>
              <w:pStyle w:val="17"/>
              <w:spacing w:before="75" w:beforeAutospacing="0" w:after="75" w:afterAutospacing="0"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开户银行：</w:t>
            </w:r>
            <w:r>
              <w:rPr>
                <w:rFonts w:hint="eastAsia" w:ascii="宋体" w:hAnsi="宋体" w:eastAsia="宋体" w:cs="宋体"/>
                <w:color w:val="auto"/>
                <w:szCs w:val="24"/>
                <w:highlight w:val="none"/>
              </w:rPr>
              <w:t>中国建设银行股份有限公司新疆维吾尔自治区分行营业部</w:t>
            </w:r>
          </w:p>
          <w:p w14:paraId="76A36E6B">
            <w:pPr>
              <w:pStyle w:val="17"/>
              <w:spacing w:before="75" w:beforeAutospacing="0" w:after="75" w:afterAutospacing="0"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账户账号：</w:t>
            </w:r>
            <w:r>
              <w:rPr>
                <w:rFonts w:hint="eastAsia" w:asciiTheme="minorEastAsia" w:hAnsiTheme="minorEastAsia" w:eastAsiaTheme="minorEastAsia" w:cstheme="minorEastAsia"/>
                <w:color w:val="000000"/>
                <w:szCs w:val="21"/>
              </w:rPr>
              <w:t>65050161415000002451</w:t>
            </w:r>
          </w:p>
          <w:p w14:paraId="266CD17E">
            <w:pPr>
              <w:pStyle w:val="17"/>
              <w:spacing w:before="75" w:beforeAutospacing="0" w:after="75" w:afterAutospacing="0"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开户行行号：</w:t>
            </w:r>
            <w:r>
              <w:rPr>
                <w:rFonts w:hint="eastAsia" w:asciiTheme="minorEastAsia" w:hAnsiTheme="minorEastAsia" w:eastAsiaTheme="minorEastAsia" w:cstheme="minorEastAsia"/>
                <w:color w:val="000000"/>
                <w:szCs w:val="21"/>
              </w:rPr>
              <w:t>105881000108</w:t>
            </w:r>
          </w:p>
          <w:p w14:paraId="3064E966">
            <w:pPr>
              <w:pStyle w:val="17"/>
              <w:spacing w:before="75" w:beforeAutospacing="0" w:after="75" w:afterAutospacing="0"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投标保证金的形式：电汇、支票、汇票、本票或者金融机构、担保机构出具的保函等非现金形式。</w:t>
            </w:r>
          </w:p>
          <w:p w14:paraId="35BF3867">
            <w:pPr>
              <w:pStyle w:val="17"/>
              <w:spacing w:before="75" w:beforeAutospacing="0" w:after="75" w:afterAutospacing="0"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备注：1、未按上述要求缴纳投标保证金的，投标文件将被拒绝评审。</w:t>
            </w:r>
          </w:p>
          <w:p w14:paraId="0DC48473">
            <w:pPr>
              <w:pStyle w:val="17"/>
              <w:spacing w:before="75" w:beforeAutospacing="0" w:after="75" w:afterAutospacing="0"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投标保证金有效期：自投标截止之日起90天。</w:t>
            </w:r>
          </w:p>
          <w:p w14:paraId="6C42D0E1">
            <w:pPr>
              <w:pStyle w:val="17"/>
              <w:spacing w:before="75" w:beforeAutospacing="0" w:after="75" w:afterAutospacing="0"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投标保证金须在电汇凭据附言栏中写明采购编号或采购项目简称及用途(投标保证金)。</w:t>
            </w:r>
            <w:r>
              <w:rPr>
                <w:rFonts w:hint="eastAsia" w:ascii="宋体" w:hAnsi="宋体" w:eastAsia="宋体" w:cs="宋体"/>
                <w:color w:val="auto"/>
                <w:sz w:val="24"/>
                <w:szCs w:val="24"/>
                <w:highlight w:val="none"/>
                <w:lang w:val="zh-CN" w:eastAsia="zh-CN"/>
              </w:rPr>
              <w:t>其复印件放在投标文件中</w:t>
            </w:r>
            <w:r>
              <w:rPr>
                <w:rFonts w:hint="eastAsia" w:ascii="宋体" w:hAnsi="宋体" w:eastAsia="宋体" w:cs="宋体"/>
                <w:color w:val="auto"/>
                <w:sz w:val="24"/>
                <w:szCs w:val="24"/>
                <w:highlight w:val="none"/>
                <w:lang w:val="en-US" w:eastAsia="zh-CN"/>
              </w:rPr>
              <w:t>其</w:t>
            </w:r>
            <w:r>
              <w:rPr>
                <w:rFonts w:hint="eastAsia" w:ascii="宋体" w:hAnsi="宋体" w:eastAsia="宋体" w:cs="宋体"/>
                <w:color w:val="auto"/>
                <w:sz w:val="24"/>
                <w:szCs w:val="24"/>
                <w:highlight w:val="none"/>
                <w:lang w:val="zh-CN" w:eastAsia="zh-CN"/>
              </w:rPr>
              <w:t>复印件放在投标文件中。</w:t>
            </w:r>
          </w:p>
        </w:tc>
      </w:tr>
      <w:tr w14:paraId="7C107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FCC30E5">
            <w:pPr>
              <w:widowControl/>
              <w:adjustRightInd/>
              <w:snapToGrid w:val="0"/>
              <w:spacing w:line="360" w:lineRule="auto"/>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3.7</w:t>
            </w:r>
          </w:p>
        </w:tc>
        <w:tc>
          <w:tcPr>
            <w:tcW w:w="154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82677D5">
            <w:pPr>
              <w:pStyle w:val="99"/>
              <w:spacing w:before="1" w:line="360" w:lineRule="auto"/>
              <w:ind w:left="120"/>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付款方式</w:t>
            </w:r>
          </w:p>
        </w:tc>
        <w:tc>
          <w:tcPr>
            <w:tcW w:w="80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02EE5F">
            <w:pPr>
              <w:pStyle w:val="17"/>
              <w:spacing w:before="75" w:beforeAutospacing="0" w:after="75" w:afterAutospacing="0" w:line="360" w:lineRule="auto"/>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以实际签订合同为准。</w:t>
            </w:r>
          </w:p>
        </w:tc>
      </w:tr>
      <w:tr w14:paraId="43593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8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CF9E3B5">
            <w:pPr>
              <w:keepNext w:val="0"/>
              <w:keepLines w:val="0"/>
              <w:pageBreakBefore w:val="0"/>
              <w:widowControl/>
              <w:kinsoku/>
              <w:wordWrap/>
              <w:overflowPunct/>
              <w:topLinePunct w:val="0"/>
              <w:bidi w:val="0"/>
              <w:adjustRightInd/>
              <w:spacing w:line="360" w:lineRule="auto"/>
              <w:jc w:val="center"/>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4.2</w:t>
            </w:r>
          </w:p>
        </w:tc>
        <w:tc>
          <w:tcPr>
            <w:tcW w:w="154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A48E6C7">
            <w:pPr>
              <w:pStyle w:val="99"/>
              <w:spacing w:before="1" w:line="360" w:lineRule="auto"/>
              <w:ind w:left="120"/>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响应文件递交</w:t>
            </w:r>
          </w:p>
        </w:tc>
        <w:tc>
          <w:tcPr>
            <w:tcW w:w="80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20FB93">
            <w:pPr>
              <w:pStyle w:val="17"/>
              <w:spacing w:before="75" w:beforeAutospacing="0" w:after="75" w:afterAutospacing="0"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投标截止时间（开标时间）：</w:t>
            </w:r>
            <w:r>
              <w:rPr>
                <w:rFonts w:hint="eastAsia" w:cs="宋体"/>
                <w:color w:val="auto"/>
                <w:sz w:val="24"/>
                <w:szCs w:val="24"/>
                <w:highlight w:val="none"/>
                <w:lang w:val="en-US" w:eastAsia="zh-CN"/>
              </w:rPr>
              <w:t>2026年06月25日11</w:t>
            </w:r>
            <w:r>
              <w:rPr>
                <w:rFonts w:hint="eastAsia" w:ascii="宋体" w:hAnsi="宋体" w:eastAsia="宋体" w:cs="宋体"/>
                <w:color w:val="auto"/>
                <w:sz w:val="24"/>
                <w:szCs w:val="24"/>
                <w:highlight w:val="none"/>
                <w:lang w:val="en-US" w:eastAsia="zh-CN"/>
              </w:rPr>
              <w:t xml:space="preserve"> 时00 分。</w:t>
            </w:r>
          </w:p>
          <w:p w14:paraId="7C8DDF09">
            <w:pPr>
              <w:pStyle w:val="17"/>
              <w:spacing w:before="75" w:beforeAutospacing="0" w:after="75" w:afterAutospacing="0"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响应文件递交地址：政采云平台http://www.zcygov.cn</w:t>
            </w:r>
          </w:p>
        </w:tc>
      </w:tr>
      <w:tr w14:paraId="32BC0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E94A58">
            <w:pPr>
              <w:keepNext w:val="0"/>
              <w:keepLines w:val="0"/>
              <w:pageBreakBefore w:val="0"/>
              <w:widowControl/>
              <w:kinsoku/>
              <w:wordWrap/>
              <w:overflowPunct/>
              <w:topLinePunct w:val="0"/>
              <w:bidi w:val="0"/>
              <w:adjustRightInd/>
              <w:spacing w:line="360" w:lineRule="auto"/>
              <w:jc w:val="center"/>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5.1.1</w:t>
            </w:r>
          </w:p>
        </w:tc>
        <w:tc>
          <w:tcPr>
            <w:tcW w:w="154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3D37D9">
            <w:pPr>
              <w:pStyle w:val="99"/>
              <w:spacing w:before="1" w:line="360" w:lineRule="auto"/>
              <w:ind w:left="120"/>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开标时间和地点</w:t>
            </w:r>
          </w:p>
        </w:tc>
        <w:tc>
          <w:tcPr>
            <w:tcW w:w="80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C265BEB">
            <w:pPr>
              <w:pStyle w:val="17"/>
              <w:spacing w:before="75" w:beforeAutospacing="0" w:after="75" w:afterAutospacing="0"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开标时间：同投标截止时间；开标地点：同响应文件递交地点。</w:t>
            </w:r>
          </w:p>
        </w:tc>
      </w:tr>
      <w:tr w14:paraId="22329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jc w:val="center"/>
        </w:trPr>
        <w:tc>
          <w:tcPr>
            <w:tcW w:w="8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F15C710">
            <w:pPr>
              <w:keepNext w:val="0"/>
              <w:keepLines w:val="0"/>
              <w:pageBreakBefore w:val="0"/>
              <w:widowControl/>
              <w:kinsoku/>
              <w:wordWrap/>
              <w:overflowPunct/>
              <w:topLinePunct w:val="0"/>
              <w:bidi w:val="0"/>
              <w:adjustRightInd/>
              <w:spacing w:line="360" w:lineRule="auto"/>
              <w:jc w:val="center"/>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6.1</w:t>
            </w:r>
          </w:p>
        </w:tc>
        <w:tc>
          <w:tcPr>
            <w:tcW w:w="154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769A4E3">
            <w:pPr>
              <w:pStyle w:val="99"/>
              <w:spacing w:before="1" w:line="360" w:lineRule="auto"/>
              <w:ind w:left="120"/>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评标委员会</w:t>
            </w:r>
          </w:p>
        </w:tc>
        <w:tc>
          <w:tcPr>
            <w:tcW w:w="80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10CD3A8">
            <w:pPr>
              <w:pStyle w:val="17"/>
              <w:spacing w:before="75" w:beforeAutospacing="0" w:after="75" w:afterAutospacing="0"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按照《中华人民共和国政府采购法》、《中华人民共和国政府采购法实施条例》及本项目本级和上级财政部门的有关规定依法组建由采购人代表和相关专业专家共5人及以上的单数组成的评标委员会，负责评标工作。评审专家从自治区政采云专家库中随机抽取。</w:t>
            </w:r>
          </w:p>
        </w:tc>
      </w:tr>
      <w:tr w14:paraId="6A70D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8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0008938">
            <w:pPr>
              <w:keepNext w:val="0"/>
              <w:keepLines w:val="0"/>
              <w:pageBreakBefore w:val="0"/>
              <w:widowControl/>
              <w:kinsoku/>
              <w:wordWrap/>
              <w:overflowPunct/>
              <w:topLinePunct w:val="0"/>
              <w:bidi w:val="0"/>
              <w:adjustRightInd/>
              <w:spacing w:line="360" w:lineRule="auto"/>
              <w:jc w:val="center"/>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6.2.1</w:t>
            </w:r>
          </w:p>
        </w:tc>
        <w:tc>
          <w:tcPr>
            <w:tcW w:w="154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4BB8AD">
            <w:pPr>
              <w:pStyle w:val="99"/>
              <w:spacing w:before="1" w:line="360" w:lineRule="auto"/>
              <w:ind w:left="120"/>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评标办法</w:t>
            </w:r>
          </w:p>
        </w:tc>
        <w:tc>
          <w:tcPr>
            <w:tcW w:w="80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460F9B">
            <w:pPr>
              <w:pStyle w:val="17"/>
              <w:spacing w:before="75" w:beforeAutospacing="0" w:after="75" w:afterAutospacing="0"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综合评分法</w:t>
            </w:r>
          </w:p>
        </w:tc>
      </w:tr>
      <w:tr w14:paraId="3EDE9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569EBFE">
            <w:pPr>
              <w:keepNext w:val="0"/>
              <w:keepLines w:val="0"/>
              <w:pageBreakBefore w:val="0"/>
              <w:widowControl/>
              <w:kinsoku/>
              <w:wordWrap/>
              <w:overflowPunct/>
              <w:topLinePunct w:val="0"/>
              <w:bidi w:val="0"/>
              <w:adjustRightInd/>
              <w:spacing w:line="360" w:lineRule="auto"/>
              <w:jc w:val="center"/>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6.2.2</w:t>
            </w:r>
          </w:p>
        </w:tc>
        <w:tc>
          <w:tcPr>
            <w:tcW w:w="154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73B5752">
            <w:pPr>
              <w:pStyle w:val="99"/>
              <w:spacing w:before="1" w:line="360" w:lineRule="auto"/>
              <w:ind w:left="120"/>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评标</w:t>
            </w:r>
          </w:p>
        </w:tc>
        <w:tc>
          <w:tcPr>
            <w:tcW w:w="80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5895B26">
            <w:pPr>
              <w:pStyle w:val="17"/>
              <w:spacing w:before="75" w:beforeAutospacing="0" w:after="75" w:afterAutospacing="0"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（1）由采购人及评标委员会依据有关法律、法规及采购文件的有关规定，对各供应商提供的响应文件资格性、符合性审查进行审查，只有通过审查的供应商才能进入下一阶段的评审！</w:t>
            </w:r>
          </w:p>
          <w:p w14:paraId="691BC910">
            <w:pPr>
              <w:pStyle w:val="17"/>
              <w:spacing w:before="75" w:beforeAutospacing="0" w:after="75" w:afterAutospacing="0"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（2）通过资格性、符合性审查（响应文件在商务、技术等满足采购文件全部实质性要求）的有效供应商，且综合得分最高的供应商为中标候选人；</w:t>
            </w:r>
          </w:p>
          <w:p w14:paraId="34B64A51">
            <w:pPr>
              <w:pStyle w:val="17"/>
              <w:spacing w:before="75" w:beforeAutospacing="0" w:after="75" w:afterAutospacing="0"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各供应商的响应文件将提交评标委员会审核。供应商应对其提交的响应文件中资料的真实性、合法性负责并承担相应的法律责任，即使供应商所提交的响应文件通过了审查，乃至已确定了成交供应商后，如发现供应商所提供的资格类文件不合法或不真实，或存在虚假资料的，仍可废除其成交资格并追究成交供应商的法律责任。</w:t>
            </w:r>
          </w:p>
        </w:tc>
      </w:tr>
      <w:tr w14:paraId="567FA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8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7CD88F2">
            <w:pPr>
              <w:keepNext w:val="0"/>
              <w:keepLines w:val="0"/>
              <w:pageBreakBefore w:val="0"/>
              <w:widowControl/>
              <w:kinsoku/>
              <w:wordWrap/>
              <w:overflowPunct/>
              <w:topLinePunct w:val="0"/>
              <w:bidi w:val="0"/>
              <w:adjustRightInd/>
              <w:snapToGrid w:val="0"/>
              <w:spacing w:line="360" w:lineRule="auto"/>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7.2.1</w:t>
            </w:r>
          </w:p>
        </w:tc>
        <w:tc>
          <w:tcPr>
            <w:tcW w:w="154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9C48544">
            <w:pPr>
              <w:pStyle w:val="99"/>
              <w:spacing w:before="1" w:line="360" w:lineRule="auto"/>
              <w:ind w:left="120"/>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中标</w:t>
            </w:r>
            <w:r>
              <w:rPr>
                <w:rFonts w:hint="eastAsia" w:cs="宋体"/>
                <w:snapToGrid w:val="0"/>
                <w:color w:val="auto"/>
                <w:kern w:val="0"/>
                <w:sz w:val="24"/>
                <w:szCs w:val="24"/>
                <w:highlight w:val="none"/>
                <w:lang w:val="en-US" w:eastAsia="zh-CN" w:bidi="ar-SA"/>
              </w:rPr>
              <w:t>公告</w:t>
            </w:r>
          </w:p>
        </w:tc>
        <w:tc>
          <w:tcPr>
            <w:tcW w:w="80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13E0DF7">
            <w:pPr>
              <w:pStyle w:val="17"/>
              <w:spacing w:before="75" w:beforeAutospacing="0" w:after="75" w:afterAutospacing="0"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对中标结果在规定的媒体上进行公示，中标公告期限为1个工作日</w:t>
            </w:r>
          </w:p>
        </w:tc>
      </w:tr>
      <w:tr w14:paraId="3EA30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0" w:hRule="atLeast"/>
          <w:jc w:val="center"/>
        </w:trPr>
        <w:tc>
          <w:tcPr>
            <w:tcW w:w="8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1E8A970">
            <w:pPr>
              <w:keepNext w:val="0"/>
              <w:keepLines w:val="0"/>
              <w:pageBreakBefore w:val="0"/>
              <w:widowControl/>
              <w:kinsoku/>
              <w:wordWrap/>
              <w:overflowPunct/>
              <w:topLinePunct w:val="0"/>
              <w:bidi w:val="0"/>
              <w:adjustRightInd/>
              <w:spacing w:line="360" w:lineRule="auto"/>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8.2</w:t>
            </w:r>
          </w:p>
        </w:tc>
        <w:tc>
          <w:tcPr>
            <w:tcW w:w="154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9CC734F">
            <w:pPr>
              <w:pStyle w:val="99"/>
              <w:spacing w:before="1" w:line="360" w:lineRule="auto"/>
              <w:ind w:left="120"/>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重新招标或其他方式采购</w:t>
            </w:r>
          </w:p>
        </w:tc>
        <w:tc>
          <w:tcPr>
            <w:tcW w:w="80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C7155C3">
            <w:pPr>
              <w:pStyle w:val="17"/>
              <w:spacing w:before="75" w:beforeAutospacing="0" w:after="75" w:afterAutospacing="0"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公开招标数额标准以上的采购项目，投标截止后供应商不足3家或者通过资格审查或符合性审查的供应商不足3家的，除采购任务取消情形外，根据《政府采购货物和服务招标投标管理办法》（中华人民共和国财政部令第87号）第四十三条规定，按照以下方式处理：</w:t>
            </w:r>
          </w:p>
          <w:p w14:paraId="06622587">
            <w:pPr>
              <w:pStyle w:val="17"/>
              <w:spacing w:before="75" w:beforeAutospacing="0" w:after="75" w:afterAutospacing="0"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（1）采购文件存在不合理条款或者招标程序不符合规定的，采购人、采购代理机构改正后依法重新招标；</w:t>
            </w:r>
          </w:p>
          <w:p w14:paraId="0BB0E428">
            <w:pPr>
              <w:pStyle w:val="17"/>
              <w:spacing w:before="75" w:beforeAutospacing="0" w:after="75" w:afterAutospacing="0"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（2）采购文件没有不合理条款、招标程序符合规定，需要采用其他采购方式采购的，采购人应当依法报财政部门批准。</w:t>
            </w:r>
          </w:p>
        </w:tc>
      </w:tr>
      <w:tr w14:paraId="57B98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jc w:val="center"/>
        </w:trPr>
        <w:tc>
          <w:tcPr>
            <w:tcW w:w="8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FDFA96">
            <w:pPr>
              <w:keepNext w:val="0"/>
              <w:keepLines w:val="0"/>
              <w:pageBreakBefore w:val="0"/>
              <w:widowControl/>
              <w:kinsoku/>
              <w:wordWrap/>
              <w:overflowPunct/>
              <w:topLinePunct w:val="0"/>
              <w:bidi w:val="0"/>
              <w:adjustRightInd/>
              <w:snapToGrid w:val="0"/>
              <w:spacing w:line="360" w:lineRule="auto"/>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9.1</w:t>
            </w:r>
          </w:p>
        </w:tc>
        <w:tc>
          <w:tcPr>
            <w:tcW w:w="154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156AA6A">
            <w:pPr>
              <w:pStyle w:val="99"/>
              <w:spacing w:before="1" w:line="360" w:lineRule="auto"/>
              <w:ind w:left="120"/>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质疑和投诉</w:t>
            </w:r>
          </w:p>
        </w:tc>
        <w:tc>
          <w:tcPr>
            <w:tcW w:w="80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7CACD33">
            <w:pPr>
              <w:pStyle w:val="17"/>
              <w:spacing w:before="75" w:beforeAutospacing="0" w:after="75" w:afterAutospacing="0"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供应商认为采购文件、招标过程或中标结果使自己的合法权益受到损害的，应当在知道或者应知其权益受到损害之日起在规定的期限内，以书面形式向采购人或采购代理机构提出质疑。采购人或采购代理机构收到供应商书面质疑后在规定的时间内，对质疑内容作出答复，供应商对采购人或采购代理机构的质疑答复不满意或者采购人或采购代理机构未在规定时间内作出答复的，可以在答复期满后15个工作日内向有关监管部门进行投诉。投诉人对政府采购监督管理部门的投诉处理决定不服或者政府采购监督管理部门逾期未作处理的，可以依法申请行政复议或者向人民法院提起行政诉讼。</w:t>
            </w:r>
          </w:p>
          <w:p w14:paraId="035B354B">
            <w:pPr>
              <w:pStyle w:val="17"/>
              <w:spacing w:before="75" w:beforeAutospacing="0" w:after="75" w:afterAutospacing="0"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质疑、投诉应当采用书面形式，质疑、投诉均应明确阐述采购文件、招标过程或中标结果中使自己合法权益受到损害的实质性内容，提供相关事实、依据和证据及其来源或线索，便于有关单位调查、答复和处理。</w:t>
            </w:r>
          </w:p>
          <w:p w14:paraId="0915CFE7">
            <w:pPr>
              <w:pStyle w:val="17"/>
              <w:spacing w:before="75" w:beforeAutospacing="0" w:after="75" w:afterAutospacing="0"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（3）针对同一采购程序环节的质疑次数：一次性提出</w:t>
            </w:r>
          </w:p>
          <w:p w14:paraId="4282C260">
            <w:pPr>
              <w:pStyle w:val="17"/>
              <w:spacing w:before="75" w:beforeAutospacing="0" w:after="75" w:afterAutospacing="0"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（4）本项目采购文件公告期限与项目在新疆政府采购网公告期限一致，即：自本公告发布之日起5个工作日。</w:t>
            </w:r>
          </w:p>
        </w:tc>
      </w:tr>
      <w:tr w14:paraId="46B95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jc w:val="center"/>
        </w:trPr>
        <w:tc>
          <w:tcPr>
            <w:tcW w:w="8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3350D4">
            <w:pPr>
              <w:keepNext w:val="0"/>
              <w:keepLines w:val="0"/>
              <w:pageBreakBefore w:val="0"/>
              <w:widowControl/>
              <w:kinsoku/>
              <w:wordWrap/>
              <w:overflowPunct/>
              <w:topLinePunct w:val="0"/>
              <w:bidi w:val="0"/>
              <w:adjustRightInd/>
              <w:snapToGrid w:val="0"/>
              <w:spacing w:line="360" w:lineRule="auto"/>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10.3</w:t>
            </w:r>
          </w:p>
        </w:tc>
        <w:tc>
          <w:tcPr>
            <w:tcW w:w="154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E3CAC35">
            <w:pPr>
              <w:pStyle w:val="99"/>
              <w:spacing w:before="1" w:line="360" w:lineRule="auto"/>
              <w:ind w:left="120"/>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中小微企业投标价格扣除</w:t>
            </w:r>
          </w:p>
        </w:tc>
        <w:tc>
          <w:tcPr>
            <w:tcW w:w="80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72883C">
            <w:pPr>
              <w:pStyle w:val="17"/>
              <w:spacing w:before="75" w:beforeAutospacing="0" w:after="75" w:afterAutospacing="0"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本项目专门面向中小</w:t>
            </w:r>
            <w:r>
              <w:rPr>
                <w:rFonts w:hint="eastAsia" w:cs="宋体"/>
                <w:color w:val="auto"/>
                <w:sz w:val="24"/>
                <w:szCs w:val="24"/>
                <w:highlight w:val="none"/>
                <w:lang w:val="en-US" w:eastAsia="zh-CN"/>
              </w:rPr>
              <w:t>微</w:t>
            </w:r>
            <w:r>
              <w:rPr>
                <w:rFonts w:hint="eastAsia" w:ascii="宋体" w:hAnsi="宋体" w:eastAsia="宋体" w:cs="宋体"/>
                <w:color w:val="auto"/>
                <w:sz w:val="24"/>
                <w:szCs w:val="24"/>
                <w:highlight w:val="none"/>
                <w:lang w:val="en-US" w:eastAsia="zh-CN"/>
              </w:rPr>
              <w:t>企业</w:t>
            </w:r>
          </w:p>
          <w:p w14:paraId="06C6429A">
            <w:pPr>
              <w:pStyle w:val="17"/>
              <w:spacing w:before="75" w:beforeAutospacing="0" w:after="75" w:afterAutospacing="0"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根据《政府采购促进中小企业发展管理办法》（财库﹝2020﹞46 号）；《财政部、司法部关于政府采购支持监狱企业发展有关问题的通知》（财库〔2014〕68号）、（财库〔2017〕141 号）的规定；</w:t>
            </w:r>
          </w:p>
          <w:p w14:paraId="3E205F46">
            <w:pPr>
              <w:pStyle w:val="17"/>
              <w:spacing w:before="75" w:beforeAutospacing="0" w:after="75" w:afterAutospacing="0" w:line="360" w:lineRule="auto"/>
              <w:rPr>
                <w:rFonts w:hint="default"/>
                <w:highlight w:val="none"/>
                <w:lang w:val="en-US" w:eastAsia="zh-CN"/>
              </w:rPr>
            </w:pPr>
            <w:r>
              <w:rPr>
                <w:rFonts w:hint="eastAsia" w:ascii="宋体" w:hAnsi="宋体" w:eastAsia="宋体" w:cs="宋体"/>
                <w:color w:val="auto"/>
                <w:sz w:val="24"/>
                <w:szCs w:val="24"/>
                <w:highlight w:val="none"/>
                <w:lang w:val="en-US" w:eastAsia="zh-CN"/>
              </w:rPr>
              <w:t>根据《政府采购促进中小企业发展暂行办法》（财库〔2020〕46号）文的有关规定，供应商属于符合本办法第二条之规定的小微企业者，应在响应文件中按财库〔2020〕46号文规定的《中小企业声明函》格式提供《中小企业声明函》（详见：第七章响应文件格式）。供应商如为监狱企业或残疾人福利性单位的，视同为小、微企业。</w:t>
            </w:r>
          </w:p>
        </w:tc>
      </w:tr>
      <w:tr w14:paraId="51E36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 w:hRule="atLeast"/>
          <w:jc w:val="center"/>
        </w:trPr>
        <w:tc>
          <w:tcPr>
            <w:tcW w:w="8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E6BE197">
            <w:pPr>
              <w:keepNext w:val="0"/>
              <w:keepLines w:val="0"/>
              <w:pageBreakBefore w:val="0"/>
              <w:widowControl/>
              <w:kinsoku/>
              <w:wordWrap/>
              <w:overflowPunct/>
              <w:topLinePunct w:val="0"/>
              <w:bidi w:val="0"/>
              <w:adjustRightInd/>
              <w:snapToGrid w:val="0"/>
              <w:spacing w:line="360" w:lineRule="auto"/>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10.4</w:t>
            </w:r>
          </w:p>
        </w:tc>
        <w:tc>
          <w:tcPr>
            <w:tcW w:w="154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E62252">
            <w:pPr>
              <w:pStyle w:val="99"/>
              <w:spacing w:before="1" w:line="360" w:lineRule="auto"/>
              <w:ind w:left="120"/>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代理服务费</w:t>
            </w:r>
          </w:p>
        </w:tc>
        <w:tc>
          <w:tcPr>
            <w:tcW w:w="80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3A1CD31">
            <w:pPr>
              <w:pStyle w:val="17"/>
              <w:spacing w:before="75" w:beforeAutospacing="0" w:after="75" w:afterAutospacing="0" w:line="360" w:lineRule="auto"/>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根据采购代理合同约定，本次招标代理服务费由成交供应商按照采购代理收费标准向采购代理机构支付</w:t>
            </w:r>
            <w:r>
              <w:rPr>
                <w:rFonts w:hint="eastAsia" w:ascii="宋体" w:hAnsi="宋体" w:eastAsia="宋体" w:cs="宋体"/>
                <w:snapToGrid w:val="0"/>
                <w:color w:val="auto"/>
                <w:kern w:val="0"/>
                <w:sz w:val="24"/>
                <w:szCs w:val="24"/>
                <w:highlight w:val="none"/>
                <w:lang w:val="en-US" w:eastAsia="zh-CN" w:bidi="ar-SA"/>
              </w:rPr>
              <w:t>代理服务费</w:t>
            </w:r>
            <w:r>
              <w:rPr>
                <w:rFonts w:hint="eastAsia" w:cs="宋体"/>
                <w:color w:val="auto"/>
                <w:sz w:val="24"/>
                <w:szCs w:val="24"/>
                <w:highlight w:val="none"/>
                <w:lang w:val="en-US" w:eastAsia="zh-CN"/>
              </w:rPr>
              <w:t>。</w:t>
            </w:r>
          </w:p>
        </w:tc>
      </w:tr>
      <w:tr w14:paraId="4986E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548D3D">
            <w:pPr>
              <w:keepNext w:val="0"/>
              <w:keepLines w:val="0"/>
              <w:pageBreakBefore w:val="0"/>
              <w:widowControl/>
              <w:kinsoku/>
              <w:wordWrap/>
              <w:overflowPunct/>
              <w:topLinePunct w:val="0"/>
              <w:bidi w:val="0"/>
              <w:adjustRightInd/>
              <w:snapToGrid w:val="0"/>
              <w:spacing w:line="360" w:lineRule="auto"/>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10.5</w:t>
            </w:r>
          </w:p>
        </w:tc>
        <w:tc>
          <w:tcPr>
            <w:tcW w:w="154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34C6982">
            <w:pPr>
              <w:pStyle w:val="99"/>
              <w:spacing w:before="1" w:line="360" w:lineRule="auto"/>
              <w:ind w:left="120"/>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履约保证金</w:t>
            </w:r>
          </w:p>
        </w:tc>
        <w:tc>
          <w:tcPr>
            <w:tcW w:w="80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2CA37A">
            <w:pPr>
              <w:pStyle w:val="17"/>
              <w:spacing w:before="75" w:beforeAutospacing="0" w:after="75" w:afterAutospacing="0"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乙方在收到成交通知书后 7 个工作日内，以转账或保函的形式（由甲乙双方协商确定）向甲方提供成交价</w:t>
            </w:r>
            <w:r>
              <w:rPr>
                <w:rFonts w:hint="eastAsia"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%的履约保证金。</w:t>
            </w:r>
          </w:p>
          <w:p w14:paraId="38C31E24">
            <w:pPr>
              <w:pStyle w:val="17"/>
              <w:spacing w:before="75" w:beforeAutospacing="0" w:after="75" w:afterAutospacing="0"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履约保证金退还：以转账方式提供履约保证金的，待项目验收合格后一次性无息退还；以银行保函方式提供履约保证金的，银行保函待项目验收合格后甲方协助办理保函退付事宜。</w:t>
            </w:r>
          </w:p>
        </w:tc>
      </w:tr>
      <w:tr w14:paraId="4F434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9" w:hRule="atLeast"/>
          <w:jc w:val="center"/>
        </w:trPr>
        <w:tc>
          <w:tcPr>
            <w:tcW w:w="8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D0C1AA2">
            <w:pPr>
              <w:keepNext w:val="0"/>
              <w:keepLines w:val="0"/>
              <w:pageBreakBefore w:val="0"/>
              <w:widowControl/>
              <w:kinsoku/>
              <w:wordWrap/>
              <w:overflowPunct/>
              <w:topLinePunct w:val="0"/>
              <w:bidi w:val="0"/>
              <w:adjustRightInd/>
              <w:snapToGrid w:val="0"/>
              <w:spacing w:line="360" w:lineRule="auto"/>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10.6</w:t>
            </w:r>
          </w:p>
        </w:tc>
        <w:tc>
          <w:tcPr>
            <w:tcW w:w="154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1A0190A">
            <w:pPr>
              <w:pStyle w:val="99"/>
              <w:spacing w:before="1" w:line="360" w:lineRule="auto"/>
              <w:ind w:left="120"/>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开标程序</w:t>
            </w:r>
          </w:p>
        </w:tc>
        <w:tc>
          <w:tcPr>
            <w:tcW w:w="80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8E69EE5">
            <w:pPr>
              <w:pStyle w:val="17"/>
              <w:spacing w:before="75" w:beforeAutospacing="0" w:after="75" w:afterAutospacing="0"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本次采购采用电子交易方式，电子交易平台为“政府采购云平台（www.zcygov.cn）”。供应商参与本项目电子交易活动前，应注册成为政府采购云平台供应商。编制电子响应文件前还需申领CA证书并绑定帐号。供应商应充分考虑完成平台注册、申领CA证书等所需的时间。因未注册入库、未办理CA数字证书等原因造成无法响应或响应失败等后果由供应商自行承担。</w:t>
            </w:r>
          </w:p>
          <w:p w14:paraId="6ECDB1DB">
            <w:pPr>
              <w:pStyle w:val="17"/>
              <w:spacing w:before="75" w:beforeAutospacing="0" w:after="75" w:afterAutospacing="0"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供应商须在在提交响应文件截止时间前通过CA在政采云平台上传加密的电子响应文件。供应商在开标时须使用制作加密电子响应文件所使用的CA锁解密，供应商须提前配置好浏览器（建议使用360浏览器或谷歌浏览器），并确保开标期间电脑网络环境畅通，以便开标时解密。本项目解密时间定为30分钟，如因供应商自身原因导致无法正常解密，后果由供应商自行承担。</w:t>
            </w:r>
          </w:p>
          <w:p w14:paraId="498618C7">
            <w:pPr>
              <w:pStyle w:val="17"/>
              <w:spacing w:before="75" w:beforeAutospacing="0" w:after="75" w:afterAutospacing="0"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参与电子投标供应商，“不见面开标”大厅操作提示：①开标前一小时在系统进行在线签到②30分钟内完成在线解密③开标结束后30分钟内完成“开标一览表”在线签章。注意：如未在规定时间进行以上操作，将导致投标（响应）无效。</w:t>
            </w:r>
          </w:p>
          <w:p w14:paraId="633BFC8F">
            <w:pPr>
              <w:pStyle w:val="17"/>
              <w:spacing w:before="75" w:beforeAutospacing="0" w:after="75" w:afterAutospacing="0"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各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tc>
      </w:tr>
      <w:tr w14:paraId="21973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atLeast"/>
          <w:jc w:val="center"/>
        </w:trPr>
        <w:tc>
          <w:tcPr>
            <w:tcW w:w="8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CFAB13C">
            <w:pPr>
              <w:keepNext w:val="0"/>
              <w:keepLines w:val="0"/>
              <w:pageBreakBefore w:val="0"/>
              <w:widowControl/>
              <w:kinsoku/>
              <w:wordWrap/>
              <w:overflowPunct/>
              <w:topLinePunct w:val="0"/>
              <w:bidi w:val="0"/>
              <w:adjustRightInd/>
              <w:snapToGrid w:val="0"/>
              <w:spacing w:line="360" w:lineRule="auto"/>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10.7</w:t>
            </w:r>
          </w:p>
        </w:tc>
        <w:tc>
          <w:tcPr>
            <w:tcW w:w="154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74526D">
            <w:pPr>
              <w:pStyle w:val="99"/>
              <w:spacing w:before="1" w:line="360" w:lineRule="auto"/>
              <w:ind w:left="120"/>
              <w:rPr>
                <w:rFonts w:hint="eastAsia" w:ascii="宋体" w:hAnsi="宋体" w:eastAsia="宋体" w:cs="宋体"/>
                <w:b/>
                <w:bCs/>
                <w:snapToGrid w:val="0"/>
                <w:color w:val="auto"/>
                <w:kern w:val="0"/>
                <w:sz w:val="24"/>
                <w:szCs w:val="24"/>
                <w:highlight w:val="none"/>
                <w:lang w:val="en-US" w:eastAsia="zh-CN" w:bidi="ar-SA"/>
              </w:rPr>
            </w:pPr>
            <w:r>
              <w:rPr>
                <w:rFonts w:hint="eastAsia" w:ascii="宋体" w:hAnsi="宋体" w:eastAsia="宋体" w:cs="宋体"/>
                <w:b/>
                <w:bCs/>
                <w:snapToGrid w:val="0"/>
                <w:color w:val="auto"/>
                <w:kern w:val="0"/>
                <w:sz w:val="24"/>
                <w:szCs w:val="24"/>
                <w:highlight w:val="none"/>
                <w:lang w:val="en-US" w:eastAsia="zh-CN" w:bidi="ar-SA"/>
              </w:rPr>
              <w:t>备注</w:t>
            </w:r>
          </w:p>
        </w:tc>
        <w:tc>
          <w:tcPr>
            <w:tcW w:w="80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8953842">
            <w:pPr>
              <w:pStyle w:val="17"/>
              <w:spacing w:before="75" w:beforeAutospacing="0" w:after="75" w:afterAutospacing="0" w:line="36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本项目为不见面开标，开标当天不需要提供纸质版投标文件，开标结束后根据招标人或招标代理要求提供纸质版投标文件及电子投标文件。</w:t>
            </w:r>
          </w:p>
          <w:p w14:paraId="6C66E102">
            <w:pPr>
              <w:rPr>
                <w:rFonts w:hint="default"/>
                <w:b/>
                <w:bCs/>
                <w:highlight w:val="none"/>
                <w:lang w:val="en-US" w:eastAsia="zh-CN"/>
              </w:rPr>
            </w:pPr>
            <w:r>
              <w:rPr>
                <w:rFonts w:hint="eastAsia" w:hAnsi="宋体" w:cs="宋体"/>
                <w:b/>
                <w:bCs/>
                <w:color w:val="FF0000"/>
                <w:sz w:val="24"/>
                <w:szCs w:val="24"/>
                <w:highlight w:val="none"/>
                <w:lang w:val="en-US" w:eastAsia="zh-CN"/>
              </w:rPr>
              <w:t>本项目所属行业为“工业”</w:t>
            </w:r>
          </w:p>
        </w:tc>
      </w:tr>
    </w:tbl>
    <w:p w14:paraId="2866C691">
      <w:pPr>
        <w:widowControl/>
        <w:adjustRightInd/>
        <w:snapToGrid w:val="0"/>
        <w:spacing w:line="360" w:lineRule="auto"/>
        <w:jc w:val="both"/>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注：</w:t>
      </w:r>
      <w:r>
        <w:rPr>
          <w:rFonts w:hint="eastAsia" w:ascii="宋体" w:hAnsi="宋体" w:eastAsia="宋体" w:cs="宋体"/>
          <w:color w:val="auto"/>
          <w:kern w:val="2"/>
          <w:sz w:val="24"/>
          <w:szCs w:val="24"/>
          <w:highlight w:val="none"/>
        </w:rPr>
        <w:t>本须知前附表的条款号是与《供应商须知》正文中条款的项号相对应的。“供应商须知前附表”用于进一步明确“供应商须知”正文中的未尽事宜，但须知前附表中的内容与“供应商须知”正文内容相抵触的，以“供应商须知前附表”为准。</w:t>
      </w:r>
    </w:p>
    <w:p w14:paraId="1B59A0E3">
      <w:pPr>
        <w:widowControl/>
        <w:adjustRightInd/>
        <w:spacing w:line="360" w:lineRule="auto"/>
        <w:jc w:val="center"/>
        <w:rPr>
          <w:rFonts w:hint="eastAsia" w:ascii="宋体" w:hAnsi="宋体" w:eastAsia="宋体" w:cs="宋体"/>
          <w:b/>
          <w:color w:val="auto"/>
          <w:kern w:val="2"/>
          <w:sz w:val="30"/>
          <w:szCs w:val="30"/>
          <w:highlight w:val="none"/>
        </w:rPr>
      </w:pPr>
      <w:r>
        <w:rPr>
          <w:rFonts w:hint="eastAsia" w:ascii="宋体" w:hAnsi="宋体" w:eastAsia="宋体" w:cs="宋体"/>
          <w:b/>
          <w:color w:val="auto"/>
          <w:kern w:val="2"/>
          <w:sz w:val="30"/>
          <w:szCs w:val="30"/>
          <w:highlight w:val="none"/>
        </w:rPr>
        <w:br w:type="page"/>
      </w:r>
      <w:bookmarkStart w:id="106" w:name="_Toc20058"/>
      <w:r>
        <w:rPr>
          <w:rFonts w:hint="eastAsia" w:ascii="宋体" w:hAnsi="宋体" w:eastAsia="宋体" w:cs="宋体"/>
          <w:b/>
          <w:color w:val="auto"/>
          <w:kern w:val="2"/>
          <w:sz w:val="30"/>
          <w:szCs w:val="30"/>
          <w:highlight w:val="none"/>
        </w:rPr>
        <w:t>供应商须知（正文）</w:t>
      </w:r>
    </w:p>
    <w:p w14:paraId="29C4A1D9">
      <w:pPr>
        <w:widowControl/>
        <w:adjustRightInd/>
        <w:spacing w:line="360" w:lineRule="auto"/>
        <w:jc w:val="center"/>
        <w:outlineLvl w:val="1"/>
        <w:rPr>
          <w:rFonts w:hint="eastAsia" w:ascii="宋体" w:hAnsi="宋体" w:eastAsia="宋体" w:cs="宋体"/>
          <w:color w:val="auto"/>
          <w:kern w:val="2"/>
          <w:sz w:val="24"/>
          <w:szCs w:val="24"/>
          <w:highlight w:val="none"/>
        </w:rPr>
      </w:pPr>
      <w:bookmarkStart w:id="107" w:name="_Toc4351"/>
      <w:bookmarkStart w:id="108" w:name="_Toc17111"/>
      <w:r>
        <w:rPr>
          <w:rFonts w:hint="eastAsia" w:ascii="宋体" w:hAnsi="宋体" w:eastAsia="宋体" w:cs="宋体"/>
          <w:b/>
          <w:color w:val="auto"/>
          <w:kern w:val="2"/>
          <w:sz w:val="24"/>
          <w:szCs w:val="24"/>
          <w:highlight w:val="none"/>
        </w:rPr>
        <w:t>1、总则</w:t>
      </w:r>
      <w:bookmarkEnd w:id="107"/>
      <w:bookmarkEnd w:id="108"/>
    </w:p>
    <w:p w14:paraId="458B9AE4">
      <w:pPr>
        <w:widowControl/>
        <w:adjustRightInd/>
        <w:spacing w:line="360" w:lineRule="auto"/>
        <w:jc w:val="left"/>
        <w:outlineLvl w:val="2"/>
        <w:rPr>
          <w:rFonts w:hint="eastAsia" w:ascii="宋体" w:hAnsi="宋体" w:eastAsia="宋体" w:cs="宋体"/>
          <w:b/>
          <w:color w:val="auto"/>
          <w:kern w:val="2"/>
          <w:sz w:val="24"/>
          <w:szCs w:val="24"/>
          <w:highlight w:val="none"/>
        </w:rPr>
      </w:pPr>
      <w:bookmarkStart w:id="109" w:name="_Toc27358"/>
      <w:bookmarkStart w:id="110" w:name="_Toc4848"/>
      <w:r>
        <w:rPr>
          <w:rFonts w:hint="eastAsia" w:ascii="宋体" w:hAnsi="宋体" w:eastAsia="宋体" w:cs="宋体"/>
          <w:b/>
          <w:color w:val="auto"/>
          <w:kern w:val="2"/>
          <w:sz w:val="24"/>
          <w:szCs w:val="24"/>
          <w:highlight w:val="none"/>
        </w:rPr>
        <w:t>1.1 项目概况</w:t>
      </w:r>
      <w:bookmarkEnd w:id="109"/>
      <w:bookmarkEnd w:id="110"/>
    </w:p>
    <w:p w14:paraId="35BE7EE5">
      <w:pPr>
        <w:widowControl/>
        <w:adjustRightInd/>
        <w:spacing w:line="360" w:lineRule="auto"/>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1.1.1 根据《中华人民共和国政府采购法》、《中华人民共和国政府采购法实施条例》等有关法律、法规和规章的规定，本招标项目已具备招标条件，现对本项目进行招标。</w:t>
      </w:r>
    </w:p>
    <w:p w14:paraId="6777D361">
      <w:pPr>
        <w:widowControl/>
        <w:adjustRightInd/>
        <w:spacing w:line="360" w:lineRule="auto"/>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1.1.2 本项目采购人：见供应商须知前附表。</w:t>
      </w:r>
    </w:p>
    <w:p w14:paraId="62755DCB">
      <w:pPr>
        <w:widowControl/>
        <w:adjustRightInd/>
        <w:spacing w:line="360" w:lineRule="auto"/>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1.1.3 本标段采购代理机构：见供应商须知前附表。</w:t>
      </w:r>
    </w:p>
    <w:p w14:paraId="4070B1EC">
      <w:pPr>
        <w:widowControl/>
        <w:adjustRightInd/>
        <w:spacing w:line="360" w:lineRule="auto"/>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1.1.4 本招标项目名称：见供应商须知前附表。</w:t>
      </w:r>
    </w:p>
    <w:p w14:paraId="72620536">
      <w:pPr>
        <w:widowControl/>
        <w:adjustRightInd/>
        <w:spacing w:line="360" w:lineRule="auto"/>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1.1.5 适用范围：本采购文件仅适用于采购文件中所叙述项目的招标。</w:t>
      </w:r>
    </w:p>
    <w:p w14:paraId="337FF540">
      <w:pPr>
        <w:widowControl/>
        <w:adjustRightInd/>
        <w:spacing w:line="360" w:lineRule="auto"/>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1.1.6 本招标项目的资金来源：见供应商须知前附表。</w:t>
      </w:r>
    </w:p>
    <w:p w14:paraId="05C3F494">
      <w:pPr>
        <w:widowControl/>
        <w:adjustRightInd/>
        <w:spacing w:line="360" w:lineRule="auto"/>
        <w:jc w:val="left"/>
        <w:outlineLvl w:val="2"/>
        <w:rPr>
          <w:rFonts w:hint="eastAsia" w:ascii="宋体" w:hAnsi="宋体" w:eastAsia="宋体" w:cs="宋体"/>
          <w:color w:val="auto"/>
          <w:kern w:val="2"/>
          <w:sz w:val="24"/>
          <w:szCs w:val="24"/>
          <w:highlight w:val="none"/>
        </w:rPr>
      </w:pPr>
      <w:bookmarkStart w:id="111" w:name="_Toc24829"/>
      <w:bookmarkStart w:id="112" w:name="_Toc24813"/>
      <w:r>
        <w:rPr>
          <w:rFonts w:hint="eastAsia" w:ascii="宋体" w:hAnsi="宋体" w:eastAsia="宋体" w:cs="宋体"/>
          <w:b/>
          <w:color w:val="auto"/>
          <w:kern w:val="2"/>
          <w:sz w:val="24"/>
          <w:szCs w:val="24"/>
          <w:highlight w:val="none"/>
        </w:rPr>
        <w:t>1.2. 定义</w:t>
      </w:r>
      <w:bookmarkEnd w:id="111"/>
      <w:bookmarkEnd w:id="112"/>
    </w:p>
    <w:p w14:paraId="17094555">
      <w:pPr>
        <w:widowControl/>
        <w:adjustRightInd/>
        <w:spacing w:line="360" w:lineRule="auto"/>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1.2.1 “采购代理人”系指组织本次招标活动的采购代理机构。</w:t>
      </w:r>
    </w:p>
    <w:p w14:paraId="5D39E908">
      <w:pPr>
        <w:widowControl/>
        <w:adjustRightInd/>
        <w:spacing w:line="360" w:lineRule="auto"/>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1.2.2 “采购人”系指</w:t>
      </w:r>
      <w:r>
        <w:rPr>
          <w:rFonts w:hint="eastAsia" w:hAnsi="宋体" w:cs="宋体"/>
          <w:color w:val="auto"/>
          <w:kern w:val="2"/>
          <w:sz w:val="24"/>
          <w:szCs w:val="24"/>
          <w:highlight w:val="none"/>
          <w:lang w:eastAsia="zh-CN"/>
        </w:rPr>
        <w:t>乌鲁木齐市市属某单位</w:t>
      </w:r>
      <w:r>
        <w:rPr>
          <w:rFonts w:hint="eastAsia" w:ascii="宋体" w:hAnsi="宋体" w:eastAsia="宋体" w:cs="宋体"/>
          <w:color w:val="auto"/>
          <w:kern w:val="2"/>
          <w:sz w:val="24"/>
          <w:szCs w:val="24"/>
          <w:highlight w:val="none"/>
        </w:rPr>
        <w:t>。</w:t>
      </w:r>
    </w:p>
    <w:p w14:paraId="4E5D2203">
      <w:pPr>
        <w:widowControl/>
        <w:adjustRightInd/>
        <w:spacing w:line="360" w:lineRule="auto"/>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1.2.3 “潜在供应商”系指购买了本采购文件的供应商。</w:t>
      </w:r>
    </w:p>
    <w:p w14:paraId="2AD57531">
      <w:pPr>
        <w:widowControl/>
        <w:adjustRightInd/>
        <w:spacing w:line="360" w:lineRule="auto"/>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1.2.4 “供应商”系指购买了本采购文件，且已经提交本次响应文件的供应商。</w:t>
      </w:r>
    </w:p>
    <w:p w14:paraId="529FA6F0">
      <w:pPr>
        <w:widowControl/>
        <w:adjustRightInd/>
        <w:spacing w:line="360" w:lineRule="auto"/>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1.2.5 “产品”系指供方按采购文件规定，须向采购人提供的一切货物、保险、税金、备品备件、工具、手册及其它有关技术资料和材料。</w:t>
      </w:r>
    </w:p>
    <w:p w14:paraId="0269A9DD">
      <w:pPr>
        <w:widowControl/>
        <w:adjustRightInd/>
        <w:spacing w:line="360" w:lineRule="auto"/>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1.2.6 “服务”系指采购文件规定供应商须承担的安装、调试、技术协助、校准、培训、保修、保养、提供售后服务以及其他类似的义务。</w:t>
      </w:r>
    </w:p>
    <w:p w14:paraId="3E9895DD">
      <w:pPr>
        <w:widowControl/>
        <w:adjustRightInd/>
        <w:spacing w:line="360" w:lineRule="auto"/>
        <w:jc w:val="left"/>
        <w:outlineLvl w:val="2"/>
        <w:rPr>
          <w:rFonts w:hint="eastAsia" w:ascii="宋体" w:hAnsi="宋体" w:eastAsia="宋体" w:cs="宋体"/>
          <w:color w:val="auto"/>
          <w:kern w:val="2"/>
          <w:sz w:val="24"/>
          <w:szCs w:val="24"/>
          <w:highlight w:val="none"/>
        </w:rPr>
      </w:pPr>
      <w:bookmarkStart w:id="113" w:name="_Toc13238"/>
      <w:bookmarkStart w:id="114" w:name="_Toc11060"/>
      <w:r>
        <w:rPr>
          <w:rFonts w:hint="eastAsia" w:ascii="宋体" w:hAnsi="宋体" w:eastAsia="宋体" w:cs="宋体"/>
          <w:b/>
          <w:color w:val="auto"/>
          <w:kern w:val="2"/>
          <w:sz w:val="24"/>
          <w:szCs w:val="24"/>
          <w:highlight w:val="none"/>
        </w:rPr>
        <w:t>1.3. 合格的供应商</w:t>
      </w:r>
      <w:bookmarkEnd w:id="113"/>
      <w:bookmarkEnd w:id="114"/>
    </w:p>
    <w:p w14:paraId="755BCD62">
      <w:pPr>
        <w:widowControl/>
        <w:adjustRightInd/>
        <w:spacing w:line="360" w:lineRule="auto"/>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1.3.1符合第二章供应商须知前附表中资格要求中的各条要求。</w:t>
      </w:r>
    </w:p>
    <w:p w14:paraId="59695535">
      <w:pPr>
        <w:widowControl/>
        <w:adjustRightInd/>
        <w:spacing w:line="360" w:lineRule="auto"/>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1.3.2 供应商应依法纳税及缴纳社会保障金。</w:t>
      </w:r>
    </w:p>
    <w:p w14:paraId="34D9D445">
      <w:pPr>
        <w:widowControl/>
        <w:adjustRightInd/>
        <w:spacing w:line="360" w:lineRule="auto"/>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1.3.3供应商应遵守中国的有关法律、法规和规章的规定。</w:t>
      </w:r>
    </w:p>
    <w:p w14:paraId="522A5756">
      <w:pPr>
        <w:widowControl/>
        <w:adjustRightInd/>
        <w:spacing w:line="360" w:lineRule="auto"/>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1.3.4一个供应商只能提交一个响应文件。但如果供应商之间存在下列互为关联关系的情形之一的，不得同时参加本项目投标：</w:t>
      </w:r>
    </w:p>
    <w:p w14:paraId="21FADAF7">
      <w:pPr>
        <w:widowControl/>
        <w:adjustRightInd/>
        <w:spacing w:line="360" w:lineRule="auto"/>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 法定代表人为同一人的两个及两个以上法人；</w:t>
      </w:r>
    </w:p>
    <w:p w14:paraId="6E1E85D3">
      <w:pPr>
        <w:widowControl/>
        <w:adjustRightInd/>
        <w:spacing w:line="360" w:lineRule="auto"/>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 母公司、直接或间接持股50％及以上的被投资公司;</w:t>
      </w:r>
    </w:p>
    <w:p w14:paraId="4096FE55">
      <w:pPr>
        <w:widowControl/>
        <w:adjustRightInd/>
        <w:spacing w:line="360" w:lineRule="auto"/>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 均为同一家母公司直接或间接持股50％及以上的被投资公司。</w:t>
      </w:r>
    </w:p>
    <w:p w14:paraId="7559B525">
      <w:pPr>
        <w:widowControl/>
        <w:adjustRightInd/>
        <w:spacing w:line="360" w:lineRule="auto"/>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 xml:space="preserve">1.3.5 供应商不得与本次招标项下设计、编制技术规格和其它文件的公司或提供咨询服务的公司包括其附属机构有任何关联。 </w:t>
      </w:r>
    </w:p>
    <w:p w14:paraId="16DC4C7A">
      <w:pPr>
        <w:widowControl/>
        <w:adjustRightInd/>
        <w:spacing w:line="360" w:lineRule="auto"/>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1.3.6一个供应商代表在同一个项目中只能接受一个供应商的委托参加投标。</w:t>
      </w:r>
    </w:p>
    <w:p w14:paraId="788EA172">
      <w:pPr>
        <w:widowControl/>
        <w:adjustRightInd/>
        <w:spacing w:line="360" w:lineRule="auto"/>
        <w:jc w:val="left"/>
        <w:outlineLvl w:val="2"/>
        <w:rPr>
          <w:rFonts w:hint="eastAsia" w:ascii="宋体" w:hAnsi="宋体" w:eastAsia="宋体" w:cs="宋体"/>
          <w:b/>
          <w:color w:val="auto"/>
          <w:kern w:val="2"/>
          <w:sz w:val="24"/>
          <w:szCs w:val="24"/>
          <w:highlight w:val="none"/>
        </w:rPr>
      </w:pPr>
      <w:bookmarkStart w:id="115" w:name="_Toc7309"/>
      <w:bookmarkStart w:id="116" w:name="_Toc8516"/>
      <w:r>
        <w:rPr>
          <w:rFonts w:hint="eastAsia" w:ascii="宋体" w:hAnsi="宋体" w:eastAsia="宋体" w:cs="宋体"/>
          <w:b/>
          <w:color w:val="auto"/>
          <w:kern w:val="2"/>
          <w:sz w:val="24"/>
          <w:szCs w:val="24"/>
          <w:highlight w:val="none"/>
        </w:rPr>
        <w:t>1.4联合体</w:t>
      </w:r>
      <w:bookmarkEnd w:id="115"/>
      <w:bookmarkEnd w:id="116"/>
    </w:p>
    <w:p w14:paraId="33CE5659">
      <w:pPr>
        <w:widowControl/>
        <w:adjustRightInd/>
        <w:spacing w:line="360" w:lineRule="auto"/>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 xml:space="preserve">1.4.1本项目不接受联合体投标；若供应商须知前附表规定接受联合体的，除应符合本章第1.4.1项和供应商须知前附表的要求外，还应遵守以下规定： </w:t>
      </w:r>
    </w:p>
    <w:p w14:paraId="3416FA71">
      <w:pPr>
        <w:widowControl/>
        <w:adjustRightInd/>
        <w:spacing w:line="360" w:lineRule="auto"/>
        <w:ind w:firstLine="120" w:firstLineChars="5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（1）两个以上的自然人、法人或者其他组织可以组成一个联合体，以一个供应商的身份共同参加政府采购。</w:t>
      </w:r>
    </w:p>
    <w:p w14:paraId="446F052B">
      <w:pPr>
        <w:widowControl/>
        <w:adjustRightInd/>
        <w:spacing w:line="360" w:lineRule="auto"/>
        <w:ind w:firstLine="120" w:firstLineChars="5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以联合体形式参加政府采购的，参加联合体的供应商均应当具备《政府采购法》第二十二条规定的条件，并应当向采购人提交联合协议，载明联合体各方承担的工作和义务。联合体各方应当共同与采购人签订采购合同，就采购合同约定的事项对采购人承担连带责任。</w:t>
      </w:r>
    </w:p>
    <w:p w14:paraId="0A6132C0">
      <w:pPr>
        <w:widowControl/>
        <w:adjustRightInd/>
        <w:spacing w:line="360" w:lineRule="auto"/>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1.4.2联合体中有同类资质的供应商按照联合体分工承担相同工作的，应当按照资质等级较低的供应商确定资质等级。</w:t>
      </w:r>
    </w:p>
    <w:p w14:paraId="2F7CFA35">
      <w:pPr>
        <w:widowControl/>
        <w:adjustRightInd/>
        <w:spacing w:line="360" w:lineRule="auto"/>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1.4.3以联合体形式参加政府采购活动的，联合体各方不得再单独参加或者与其他供应商另外组成联合体参加同一合同项下的政府采购活动。</w:t>
      </w:r>
    </w:p>
    <w:p w14:paraId="193CD7CF">
      <w:pPr>
        <w:widowControl/>
        <w:adjustRightInd/>
        <w:spacing w:line="360" w:lineRule="auto"/>
        <w:jc w:val="left"/>
        <w:outlineLvl w:val="2"/>
        <w:rPr>
          <w:rFonts w:hint="eastAsia" w:ascii="宋体" w:hAnsi="宋体" w:eastAsia="宋体" w:cs="宋体"/>
          <w:b/>
          <w:color w:val="auto"/>
          <w:kern w:val="2"/>
          <w:sz w:val="24"/>
          <w:szCs w:val="24"/>
          <w:highlight w:val="none"/>
        </w:rPr>
      </w:pPr>
      <w:bookmarkStart w:id="117" w:name="_Toc14370"/>
      <w:bookmarkStart w:id="118" w:name="_Toc29096"/>
      <w:r>
        <w:rPr>
          <w:rFonts w:hint="eastAsia" w:ascii="宋体" w:hAnsi="宋体" w:eastAsia="宋体" w:cs="宋体"/>
          <w:b/>
          <w:color w:val="auto"/>
          <w:kern w:val="2"/>
          <w:sz w:val="24"/>
          <w:szCs w:val="24"/>
          <w:highlight w:val="none"/>
        </w:rPr>
        <w:t>1.5. 投标费用</w:t>
      </w:r>
      <w:bookmarkEnd w:id="117"/>
      <w:bookmarkEnd w:id="118"/>
    </w:p>
    <w:p w14:paraId="5041DC0E">
      <w:pPr>
        <w:widowControl/>
        <w:adjustRightInd/>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rPr>
        <w:t>1.5.1</w:t>
      </w:r>
      <w:r>
        <w:rPr>
          <w:rFonts w:hint="eastAsia" w:ascii="宋体" w:hAnsi="宋体" w:eastAsia="宋体" w:cs="宋体"/>
          <w:color w:val="auto"/>
          <w:sz w:val="24"/>
          <w:szCs w:val="24"/>
          <w:highlight w:val="none"/>
        </w:rPr>
        <w:t>供应商准备和参加投标活动所发生的一切费用（包括报名资料、采购文件购买、投标、中标服务费等）均由供应商自理。</w:t>
      </w:r>
    </w:p>
    <w:p w14:paraId="1DE72501">
      <w:pPr>
        <w:widowControl/>
        <w:adjustRightInd/>
        <w:spacing w:line="360" w:lineRule="auto"/>
        <w:jc w:val="left"/>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color w:val="auto"/>
          <w:sz w:val="24"/>
          <w:szCs w:val="24"/>
          <w:highlight w:val="none"/>
        </w:rPr>
        <w:t xml:space="preserve">1.5.2 </w:t>
      </w:r>
      <w:r>
        <w:rPr>
          <w:rFonts w:hint="eastAsia" w:ascii="宋体" w:hAnsi="宋体" w:eastAsia="宋体" w:cs="宋体"/>
          <w:b/>
          <w:color w:val="auto"/>
          <w:kern w:val="2"/>
          <w:sz w:val="24"/>
          <w:szCs w:val="24"/>
          <w:highlight w:val="none"/>
          <w:lang w:val="en-US" w:eastAsia="zh-CN" w:bidi="ar-SA"/>
        </w:rPr>
        <w:t>招标代理费收取：</w:t>
      </w:r>
    </w:p>
    <w:p w14:paraId="4A55A633">
      <w:pPr>
        <w:tabs>
          <w:tab w:val="left" w:pos="2835"/>
        </w:tabs>
        <w:spacing w:line="360" w:lineRule="auto"/>
        <w:ind w:firstLine="480" w:firstLineChars="200"/>
        <w:rPr>
          <w:rFonts w:hint="eastAsia" w:ascii="宋体" w:hAnsi="宋体" w:cs="宋体"/>
          <w:sz w:val="24"/>
          <w:szCs w:val="21"/>
          <w:highlight w:val="none"/>
        </w:rPr>
      </w:pPr>
      <w:r>
        <w:rPr>
          <w:rFonts w:hint="eastAsia" w:ascii="宋体" w:hAnsi="宋体" w:cs="宋体"/>
          <w:sz w:val="24"/>
          <w:szCs w:val="21"/>
          <w:highlight w:val="none"/>
        </w:rPr>
        <w:t>根据采购代理合同约定，本</w:t>
      </w:r>
      <w:r>
        <w:rPr>
          <w:rFonts w:hint="eastAsia" w:ascii="宋体" w:hAnsi="宋体" w:cs="宋体"/>
          <w:sz w:val="24"/>
          <w:szCs w:val="21"/>
          <w:highlight w:val="none"/>
          <w:lang w:val="en-US" w:eastAsia="zh-CN"/>
        </w:rPr>
        <w:t>项目</w:t>
      </w:r>
      <w:r>
        <w:rPr>
          <w:rFonts w:hint="eastAsia" w:ascii="宋体" w:hAnsi="宋体" w:cs="宋体"/>
          <w:sz w:val="24"/>
          <w:szCs w:val="21"/>
          <w:highlight w:val="none"/>
        </w:rPr>
        <w:t>由成交供应商</w:t>
      </w:r>
      <w:r>
        <w:rPr>
          <w:rFonts w:hint="eastAsia" w:ascii="宋体" w:hAnsi="宋体" w:cs="宋体"/>
          <w:sz w:val="24"/>
          <w:szCs w:val="21"/>
          <w:highlight w:val="none"/>
          <w:lang w:val="en-US" w:eastAsia="zh-CN"/>
        </w:rPr>
        <w:t>按照采购代理收费标准（</w:t>
      </w:r>
      <w:r>
        <w:rPr>
          <w:rFonts w:hint="eastAsia" w:hAnsi="宋体" w:cs="宋体"/>
          <w:b/>
          <w:bCs/>
          <w:sz w:val="24"/>
          <w:szCs w:val="21"/>
          <w:highlight w:val="none"/>
          <w:lang w:val="en-US" w:eastAsia="zh-CN"/>
        </w:rPr>
        <w:t>货物</w:t>
      </w:r>
      <w:r>
        <w:rPr>
          <w:rFonts w:hint="eastAsia" w:ascii="宋体" w:hAnsi="宋体" w:cs="宋体"/>
          <w:b/>
          <w:bCs/>
          <w:sz w:val="24"/>
          <w:szCs w:val="21"/>
          <w:highlight w:val="none"/>
        </w:rPr>
        <w:t>取费标准</w:t>
      </w:r>
      <w:r>
        <w:rPr>
          <w:rFonts w:hint="eastAsia" w:ascii="宋体" w:hAnsi="宋体" w:cs="宋体"/>
          <w:sz w:val="24"/>
          <w:szCs w:val="21"/>
          <w:highlight w:val="none"/>
          <w:lang w:val="en-US" w:eastAsia="zh-CN"/>
        </w:rPr>
        <w:t>）</w:t>
      </w:r>
      <w:r>
        <w:rPr>
          <w:rFonts w:hint="eastAsia" w:ascii="宋体" w:hAnsi="宋体" w:cs="宋体"/>
          <w:sz w:val="24"/>
          <w:szCs w:val="21"/>
          <w:highlight w:val="none"/>
        </w:rPr>
        <w:t>向采购代理机构支付采购代理费。成交供应商必须在成交通知书发出前向采购代理机构支付采购代理费。</w:t>
      </w:r>
    </w:p>
    <w:p w14:paraId="60E05BD7">
      <w:pPr>
        <w:tabs>
          <w:tab w:val="left" w:pos="2835"/>
        </w:tabs>
        <w:spacing w:line="360" w:lineRule="auto"/>
        <w:ind w:firstLine="480" w:firstLineChars="200"/>
        <w:rPr>
          <w:rFonts w:hint="eastAsia" w:ascii="宋体" w:hAnsi="宋体" w:cs="宋体"/>
          <w:sz w:val="24"/>
          <w:szCs w:val="21"/>
          <w:highlight w:val="none"/>
        </w:rPr>
      </w:pPr>
      <w:r>
        <w:rPr>
          <w:rFonts w:hint="eastAsia" w:ascii="宋体" w:hAnsi="宋体" w:cs="宋体"/>
          <w:sz w:val="24"/>
          <w:szCs w:val="21"/>
          <w:highlight w:val="none"/>
          <w:lang w:val="en-US" w:eastAsia="zh-CN"/>
        </w:rPr>
        <w:t>采购代理收费标准：</w:t>
      </w:r>
    </w:p>
    <w:tbl>
      <w:tblPr>
        <w:tblStyle w:val="100"/>
        <w:tblW w:w="945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643"/>
        <w:gridCol w:w="2099"/>
        <w:gridCol w:w="1924"/>
        <w:gridCol w:w="1785"/>
      </w:tblGrid>
      <w:tr w14:paraId="20E2AC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3643" w:type="dxa"/>
            <w:tcBorders>
              <w:right w:val="single" w:color="000000" w:sz="4" w:space="0"/>
              <w:tl2br w:val="single" w:color="000000" w:sz="4" w:space="0"/>
            </w:tcBorders>
            <w:vAlign w:val="top"/>
          </w:tcPr>
          <w:p w14:paraId="727F6388">
            <w:pPr>
              <w:tabs>
                <w:tab w:val="left" w:pos="2835"/>
              </w:tabs>
              <w:spacing w:line="360" w:lineRule="auto"/>
              <w:ind w:firstLine="1920" w:firstLineChars="800"/>
              <w:rPr>
                <w:rFonts w:hint="eastAsia" w:ascii="宋体" w:hAnsi="宋体" w:cs="宋体"/>
                <w:sz w:val="24"/>
                <w:szCs w:val="21"/>
                <w:highlight w:val="none"/>
              </w:rPr>
            </w:pPr>
            <w:r>
              <w:rPr>
                <w:rFonts w:hint="eastAsia" w:ascii="宋体" w:hAnsi="宋体" w:cs="宋体"/>
                <w:sz w:val="24"/>
                <w:szCs w:val="21"/>
                <w:highlight w:val="none"/>
              </w:rPr>
              <w:t>采购类别</w:t>
            </w:r>
          </w:p>
          <w:p w14:paraId="43E196CC">
            <w:pPr>
              <w:tabs>
                <w:tab w:val="left" w:pos="2835"/>
              </w:tabs>
              <w:spacing w:line="360" w:lineRule="auto"/>
              <w:ind w:firstLine="480" w:firstLineChars="200"/>
              <w:rPr>
                <w:rFonts w:hint="eastAsia" w:ascii="宋体" w:hAnsi="宋体" w:cs="宋体"/>
                <w:sz w:val="24"/>
                <w:szCs w:val="21"/>
                <w:highlight w:val="none"/>
              </w:rPr>
            </w:pPr>
            <w:r>
              <w:rPr>
                <w:rFonts w:hint="eastAsia" w:ascii="宋体" w:hAnsi="宋体" w:cs="宋体"/>
                <w:sz w:val="24"/>
                <w:szCs w:val="21"/>
                <w:highlight w:val="none"/>
              </w:rPr>
              <w:t>成交价 (万)</w:t>
            </w:r>
          </w:p>
        </w:tc>
        <w:tc>
          <w:tcPr>
            <w:tcW w:w="2099" w:type="dxa"/>
            <w:tcBorders>
              <w:left w:val="single" w:color="000000" w:sz="4" w:space="0"/>
              <w:right w:val="single" w:color="000000" w:sz="4" w:space="0"/>
            </w:tcBorders>
            <w:vAlign w:val="center"/>
          </w:tcPr>
          <w:p w14:paraId="447DE0DC">
            <w:pPr>
              <w:tabs>
                <w:tab w:val="left" w:pos="2835"/>
              </w:tabs>
              <w:spacing w:line="360" w:lineRule="auto"/>
              <w:jc w:val="center"/>
              <w:rPr>
                <w:rFonts w:hint="eastAsia" w:ascii="宋体" w:hAnsi="宋体" w:cs="宋体"/>
                <w:sz w:val="24"/>
                <w:szCs w:val="21"/>
                <w:highlight w:val="none"/>
              </w:rPr>
            </w:pPr>
            <w:r>
              <w:rPr>
                <w:rFonts w:hint="eastAsia" w:ascii="宋体" w:hAnsi="宋体" w:cs="宋体"/>
                <w:b/>
                <w:bCs/>
                <w:sz w:val="24"/>
                <w:szCs w:val="21"/>
                <w:highlight w:val="none"/>
              </w:rPr>
              <w:t>货物取费标准</w:t>
            </w:r>
          </w:p>
        </w:tc>
        <w:tc>
          <w:tcPr>
            <w:tcW w:w="1924" w:type="dxa"/>
            <w:tcBorders>
              <w:left w:val="single" w:color="000000" w:sz="4" w:space="0"/>
              <w:right w:val="single" w:color="000000" w:sz="4" w:space="0"/>
            </w:tcBorders>
            <w:vAlign w:val="center"/>
          </w:tcPr>
          <w:p w14:paraId="4199B8D8">
            <w:pPr>
              <w:tabs>
                <w:tab w:val="left" w:pos="2835"/>
              </w:tabs>
              <w:spacing w:line="360" w:lineRule="auto"/>
              <w:jc w:val="center"/>
              <w:rPr>
                <w:rFonts w:hint="eastAsia" w:ascii="宋体" w:hAnsi="宋体" w:cs="宋体"/>
                <w:sz w:val="24"/>
                <w:szCs w:val="21"/>
                <w:highlight w:val="none"/>
              </w:rPr>
            </w:pPr>
            <w:r>
              <w:rPr>
                <w:rFonts w:hint="eastAsia" w:ascii="宋体" w:hAnsi="宋体" w:cs="宋体"/>
                <w:b w:val="0"/>
                <w:bCs w:val="0"/>
                <w:sz w:val="24"/>
                <w:szCs w:val="21"/>
                <w:highlight w:val="none"/>
              </w:rPr>
              <w:t>服务取费标准</w:t>
            </w:r>
          </w:p>
        </w:tc>
        <w:tc>
          <w:tcPr>
            <w:tcW w:w="1785" w:type="dxa"/>
            <w:tcBorders>
              <w:left w:val="single" w:color="000000" w:sz="4" w:space="0"/>
            </w:tcBorders>
            <w:vAlign w:val="center"/>
          </w:tcPr>
          <w:p w14:paraId="084D14BD">
            <w:pPr>
              <w:tabs>
                <w:tab w:val="left" w:pos="2835"/>
              </w:tabs>
              <w:spacing w:line="360" w:lineRule="auto"/>
              <w:jc w:val="center"/>
              <w:rPr>
                <w:rFonts w:hint="eastAsia" w:ascii="宋体" w:hAnsi="宋体" w:cs="宋体"/>
                <w:sz w:val="24"/>
                <w:szCs w:val="21"/>
                <w:highlight w:val="none"/>
              </w:rPr>
            </w:pPr>
            <w:r>
              <w:rPr>
                <w:rFonts w:hint="eastAsia" w:ascii="宋体" w:hAnsi="宋体" w:cs="宋体"/>
                <w:sz w:val="24"/>
                <w:szCs w:val="21"/>
                <w:highlight w:val="none"/>
              </w:rPr>
              <w:t>工程取费标准</w:t>
            </w:r>
          </w:p>
        </w:tc>
      </w:tr>
      <w:tr w14:paraId="129C71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3643" w:type="dxa"/>
            <w:tcBorders>
              <w:right w:val="single" w:color="000000" w:sz="4" w:space="0"/>
            </w:tcBorders>
            <w:vAlign w:val="top"/>
          </w:tcPr>
          <w:p w14:paraId="5828AD34">
            <w:pPr>
              <w:tabs>
                <w:tab w:val="left" w:pos="2835"/>
              </w:tabs>
              <w:spacing w:line="360" w:lineRule="auto"/>
              <w:ind w:firstLine="480" w:firstLineChars="200"/>
              <w:rPr>
                <w:rFonts w:hint="eastAsia" w:ascii="宋体" w:hAnsi="宋体" w:cs="宋体"/>
                <w:sz w:val="24"/>
                <w:szCs w:val="21"/>
                <w:highlight w:val="none"/>
              </w:rPr>
            </w:pPr>
            <w:r>
              <w:rPr>
                <w:rFonts w:hint="eastAsia" w:ascii="宋体" w:hAnsi="宋体" w:cs="宋体"/>
                <w:sz w:val="24"/>
                <w:szCs w:val="21"/>
                <w:highlight w:val="none"/>
              </w:rPr>
              <w:t>100 以下</w:t>
            </w:r>
          </w:p>
        </w:tc>
        <w:tc>
          <w:tcPr>
            <w:tcW w:w="2099" w:type="dxa"/>
            <w:tcBorders>
              <w:left w:val="single" w:color="000000" w:sz="4" w:space="0"/>
              <w:right w:val="single" w:color="000000" w:sz="4" w:space="0"/>
            </w:tcBorders>
            <w:vAlign w:val="top"/>
          </w:tcPr>
          <w:p w14:paraId="5DCA250D">
            <w:pPr>
              <w:tabs>
                <w:tab w:val="left" w:pos="2835"/>
              </w:tabs>
              <w:spacing w:line="360" w:lineRule="auto"/>
              <w:ind w:firstLine="480" w:firstLineChars="200"/>
              <w:rPr>
                <w:rFonts w:hint="eastAsia" w:ascii="宋体" w:hAnsi="宋体" w:cs="宋体"/>
                <w:sz w:val="24"/>
                <w:szCs w:val="21"/>
                <w:highlight w:val="none"/>
              </w:rPr>
            </w:pPr>
            <w:r>
              <w:rPr>
                <w:rFonts w:hint="eastAsia" w:ascii="宋体" w:hAnsi="宋体" w:cs="宋体"/>
                <w:sz w:val="24"/>
                <w:szCs w:val="21"/>
                <w:highlight w:val="none"/>
              </w:rPr>
              <w:t>1.5%</w:t>
            </w:r>
          </w:p>
        </w:tc>
        <w:tc>
          <w:tcPr>
            <w:tcW w:w="1924" w:type="dxa"/>
            <w:tcBorders>
              <w:left w:val="single" w:color="000000" w:sz="4" w:space="0"/>
              <w:right w:val="single" w:color="000000" w:sz="4" w:space="0"/>
            </w:tcBorders>
            <w:vAlign w:val="top"/>
          </w:tcPr>
          <w:p w14:paraId="079CC2D9">
            <w:pPr>
              <w:tabs>
                <w:tab w:val="left" w:pos="2835"/>
              </w:tabs>
              <w:spacing w:line="360" w:lineRule="auto"/>
              <w:ind w:firstLine="480" w:firstLineChars="200"/>
              <w:rPr>
                <w:rFonts w:hint="eastAsia" w:ascii="宋体" w:hAnsi="宋体" w:cs="宋体"/>
                <w:sz w:val="24"/>
                <w:szCs w:val="21"/>
                <w:highlight w:val="none"/>
              </w:rPr>
            </w:pPr>
            <w:r>
              <w:rPr>
                <w:rFonts w:hint="eastAsia" w:ascii="宋体" w:hAnsi="宋体" w:cs="宋体"/>
                <w:sz w:val="24"/>
                <w:szCs w:val="21"/>
                <w:highlight w:val="none"/>
              </w:rPr>
              <w:t>1.5%</w:t>
            </w:r>
          </w:p>
        </w:tc>
        <w:tc>
          <w:tcPr>
            <w:tcW w:w="1785" w:type="dxa"/>
            <w:tcBorders>
              <w:left w:val="single" w:color="000000" w:sz="4" w:space="0"/>
            </w:tcBorders>
            <w:vAlign w:val="top"/>
          </w:tcPr>
          <w:p w14:paraId="4570E145">
            <w:pPr>
              <w:tabs>
                <w:tab w:val="left" w:pos="2835"/>
              </w:tabs>
              <w:spacing w:line="360" w:lineRule="auto"/>
              <w:ind w:firstLine="480" w:firstLineChars="200"/>
              <w:rPr>
                <w:rFonts w:hint="eastAsia" w:ascii="宋体" w:hAnsi="宋体" w:cs="宋体"/>
                <w:sz w:val="24"/>
                <w:szCs w:val="21"/>
                <w:highlight w:val="none"/>
              </w:rPr>
            </w:pPr>
            <w:r>
              <w:rPr>
                <w:rFonts w:hint="eastAsia" w:ascii="宋体" w:hAnsi="宋体" w:cs="宋体"/>
                <w:sz w:val="24"/>
                <w:szCs w:val="21"/>
                <w:highlight w:val="none"/>
              </w:rPr>
              <w:t>1.0%</w:t>
            </w:r>
          </w:p>
        </w:tc>
      </w:tr>
      <w:tr w14:paraId="2084BD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3643" w:type="dxa"/>
            <w:tcBorders>
              <w:right w:val="single" w:color="000000" w:sz="4" w:space="0"/>
            </w:tcBorders>
            <w:vAlign w:val="top"/>
          </w:tcPr>
          <w:p w14:paraId="5D0AA6AD">
            <w:pPr>
              <w:tabs>
                <w:tab w:val="left" w:pos="2835"/>
              </w:tabs>
              <w:spacing w:line="360" w:lineRule="auto"/>
              <w:ind w:firstLine="480" w:firstLineChars="200"/>
              <w:rPr>
                <w:rFonts w:hint="eastAsia" w:ascii="宋体" w:hAnsi="宋体" w:cs="宋体"/>
                <w:sz w:val="24"/>
                <w:szCs w:val="21"/>
                <w:highlight w:val="none"/>
              </w:rPr>
            </w:pPr>
            <w:r>
              <w:rPr>
                <w:rFonts w:hint="eastAsia" w:ascii="宋体" w:hAnsi="宋体" w:cs="宋体"/>
                <w:sz w:val="24"/>
                <w:szCs w:val="21"/>
                <w:highlight w:val="none"/>
              </w:rPr>
              <w:t>100-500</w:t>
            </w:r>
          </w:p>
        </w:tc>
        <w:tc>
          <w:tcPr>
            <w:tcW w:w="2099" w:type="dxa"/>
            <w:tcBorders>
              <w:left w:val="single" w:color="000000" w:sz="4" w:space="0"/>
              <w:right w:val="single" w:color="000000" w:sz="4" w:space="0"/>
            </w:tcBorders>
            <w:vAlign w:val="top"/>
          </w:tcPr>
          <w:p w14:paraId="4075F1A0">
            <w:pPr>
              <w:tabs>
                <w:tab w:val="left" w:pos="2835"/>
              </w:tabs>
              <w:spacing w:line="360" w:lineRule="auto"/>
              <w:ind w:firstLine="480" w:firstLineChars="200"/>
              <w:rPr>
                <w:rFonts w:hint="eastAsia" w:ascii="宋体" w:hAnsi="宋体" w:cs="宋体"/>
                <w:sz w:val="24"/>
                <w:szCs w:val="21"/>
                <w:highlight w:val="none"/>
              </w:rPr>
            </w:pPr>
            <w:r>
              <w:rPr>
                <w:rFonts w:hint="eastAsia" w:ascii="宋体" w:hAnsi="宋体" w:cs="宋体"/>
                <w:sz w:val="24"/>
                <w:szCs w:val="21"/>
                <w:highlight w:val="none"/>
              </w:rPr>
              <w:t>1.1%</w:t>
            </w:r>
          </w:p>
        </w:tc>
        <w:tc>
          <w:tcPr>
            <w:tcW w:w="1924" w:type="dxa"/>
            <w:tcBorders>
              <w:left w:val="single" w:color="000000" w:sz="4" w:space="0"/>
              <w:right w:val="single" w:color="000000" w:sz="4" w:space="0"/>
            </w:tcBorders>
            <w:vAlign w:val="top"/>
          </w:tcPr>
          <w:p w14:paraId="79C7A8C6">
            <w:pPr>
              <w:tabs>
                <w:tab w:val="left" w:pos="2835"/>
              </w:tabs>
              <w:spacing w:line="360" w:lineRule="auto"/>
              <w:ind w:firstLine="480" w:firstLineChars="200"/>
              <w:rPr>
                <w:rFonts w:hint="eastAsia" w:ascii="宋体" w:hAnsi="宋体" w:cs="宋体"/>
                <w:sz w:val="24"/>
                <w:szCs w:val="21"/>
                <w:highlight w:val="none"/>
              </w:rPr>
            </w:pPr>
            <w:r>
              <w:rPr>
                <w:rFonts w:hint="eastAsia" w:ascii="宋体" w:hAnsi="宋体" w:cs="宋体"/>
                <w:sz w:val="24"/>
                <w:szCs w:val="21"/>
                <w:highlight w:val="none"/>
              </w:rPr>
              <w:t>0.8%</w:t>
            </w:r>
          </w:p>
        </w:tc>
        <w:tc>
          <w:tcPr>
            <w:tcW w:w="1785" w:type="dxa"/>
            <w:tcBorders>
              <w:left w:val="single" w:color="000000" w:sz="4" w:space="0"/>
            </w:tcBorders>
            <w:vAlign w:val="top"/>
          </w:tcPr>
          <w:p w14:paraId="7F9EE124">
            <w:pPr>
              <w:tabs>
                <w:tab w:val="left" w:pos="2835"/>
              </w:tabs>
              <w:spacing w:line="360" w:lineRule="auto"/>
              <w:ind w:firstLine="480" w:firstLineChars="200"/>
              <w:rPr>
                <w:rFonts w:hint="eastAsia" w:ascii="宋体" w:hAnsi="宋体" w:cs="宋体"/>
                <w:sz w:val="24"/>
                <w:szCs w:val="21"/>
                <w:highlight w:val="none"/>
              </w:rPr>
            </w:pPr>
            <w:r>
              <w:rPr>
                <w:rFonts w:hint="eastAsia" w:ascii="宋体" w:hAnsi="宋体" w:cs="宋体"/>
                <w:sz w:val="24"/>
                <w:szCs w:val="21"/>
                <w:highlight w:val="none"/>
              </w:rPr>
              <w:t>0.7%</w:t>
            </w:r>
          </w:p>
        </w:tc>
      </w:tr>
    </w:tbl>
    <w:p w14:paraId="344C6B6F">
      <w:pPr>
        <w:rPr>
          <w:rFonts w:hint="eastAsia" w:ascii="宋体" w:hAnsi="宋体" w:eastAsia="宋体" w:cs="宋体"/>
          <w:b/>
          <w:color w:val="auto"/>
          <w:kern w:val="2"/>
          <w:sz w:val="24"/>
          <w:szCs w:val="24"/>
          <w:highlight w:val="none"/>
        </w:rPr>
      </w:pPr>
      <w:bookmarkStart w:id="119" w:name="_Toc179632556"/>
      <w:bookmarkStart w:id="120" w:name="_Toc152045539"/>
      <w:bookmarkStart w:id="121" w:name="_Toc144974507"/>
      <w:bookmarkStart w:id="122" w:name="_Toc152042315"/>
      <w:bookmarkStart w:id="123" w:name="_Toc5812"/>
      <w:bookmarkStart w:id="124" w:name="_Toc13835"/>
      <w:r>
        <w:rPr>
          <w:rFonts w:hint="eastAsia" w:ascii="宋体" w:hAnsi="宋体" w:eastAsia="宋体" w:cs="宋体"/>
          <w:b/>
          <w:color w:val="auto"/>
          <w:kern w:val="2"/>
          <w:sz w:val="24"/>
          <w:szCs w:val="24"/>
          <w:highlight w:val="none"/>
        </w:rPr>
        <w:br w:type="page"/>
      </w:r>
    </w:p>
    <w:p w14:paraId="0B10CF84">
      <w:pPr>
        <w:widowControl/>
        <w:adjustRightInd/>
        <w:spacing w:line="360" w:lineRule="auto"/>
        <w:jc w:val="left"/>
        <w:outlineLvl w:val="2"/>
        <w:rPr>
          <w:rFonts w:hint="eastAsia" w:ascii="宋体" w:hAnsi="宋体" w:eastAsia="宋体" w:cs="宋体"/>
          <w:b/>
          <w:color w:val="auto"/>
          <w:kern w:val="2"/>
          <w:sz w:val="24"/>
          <w:szCs w:val="24"/>
          <w:highlight w:val="none"/>
          <w:lang w:eastAsia="zh-CN"/>
        </w:rPr>
      </w:pPr>
      <w:r>
        <w:rPr>
          <w:rFonts w:hint="eastAsia" w:ascii="宋体" w:hAnsi="宋体" w:eastAsia="宋体" w:cs="宋体"/>
          <w:b/>
          <w:color w:val="auto"/>
          <w:kern w:val="2"/>
          <w:sz w:val="24"/>
          <w:szCs w:val="24"/>
          <w:highlight w:val="none"/>
        </w:rPr>
        <w:t>1.6 踏勘现场</w:t>
      </w:r>
      <w:bookmarkEnd w:id="119"/>
      <w:bookmarkEnd w:id="120"/>
      <w:bookmarkEnd w:id="121"/>
      <w:bookmarkEnd w:id="122"/>
      <w:r>
        <w:rPr>
          <w:rFonts w:hint="eastAsia" w:ascii="宋体" w:hAnsi="宋体" w:eastAsia="宋体" w:cs="宋体"/>
          <w:b/>
          <w:color w:val="auto"/>
          <w:kern w:val="2"/>
          <w:sz w:val="24"/>
          <w:szCs w:val="24"/>
          <w:highlight w:val="none"/>
        </w:rPr>
        <w:t>投标前答疑会</w:t>
      </w:r>
      <w:bookmarkEnd w:id="123"/>
      <w:bookmarkEnd w:id="124"/>
      <w:r>
        <w:rPr>
          <w:rFonts w:hint="eastAsia" w:hAnsi="宋体" w:cs="宋体"/>
          <w:b/>
          <w:color w:val="auto"/>
          <w:kern w:val="2"/>
          <w:sz w:val="24"/>
          <w:szCs w:val="24"/>
          <w:highlight w:val="none"/>
          <w:lang w:eastAsia="zh-CN"/>
        </w:rPr>
        <w:t>（</w:t>
      </w:r>
      <w:r>
        <w:rPr>
          <w:rFonts w:hint="eastAsia" w:hAnsi="宋体" w:cs="宋体"/>
          <w:b/>
          <w:color w:val="auto"/>
          <w:kern w:val="2"/>
          <w:sz w:val="24"/>
          <w:szCs w:val="24"/>
          <w:highlight w:val="none"/>
          <w:lang w:val="en-US" w:eastAsia="zh-CN"/>
        </w:rPr>
        <w:t>本项目不组织</w:t>
      </w:r>
      <w:r>
        <w:rPr>
          <w:rFonts w:hint="eastAsia" w:hAnsi="宋体" w:cs="宋体"/>
          <w:b/>
          <w:color w:val="auto"/>
          <w:kern w:val="2"/>
          <w:sz w:val="24"/>
          <w:szCs w:val="24"/>
          <w:highlight w:val="none"/>
          <w:lang w:eastAsia="zh-CN"/>
        </w:rPr>
        <w:t>）</w:t>
      </w:r>
    </w:p>
    <w:p w14:paraId="55EB60BD">
      <w:pPr>
        <w:widowControl/>
        <w:adjustRightInd/>
        <w:spacing w:line="360" w:lineRule="auto"/>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1.6.1采购人、采购代理机构可以视采购项目的具体情况，组织供应商进行现场考察或召开投标前答疑会，但不得单独或分别组织只有一个供应商参加的现场考察和答疑会。</w:t>
      </w:r>
    </w:p>
    <w:p w14:paraId="5595BA9F">
      <w:pPr>
        <w:widowControl/>
        <w:adjustRightInd/>
        <w:spacing w:line="360" w:lineRule="auto"/>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 xml:space="preserve">1.6.2供应商须知前附表规定组织踏勘现场的，采购人应按供应商须知前附表规定的时间、地点组织供应商踏勘项目现场。 </w:t>
      </w:r>
    </w:p>
    <w:p w14:paraId="5D6B3038">
      <w:pPr>
        <w:widowControl/>
        <w:adjustRightInd/>
        <w:spacing w:line="360" w:lineRule="auto"/>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1.6.3 供应商踏勘现场所发生的一切费用自理。</w:t>
      </w:r>
    </w:p>
    <w:p w14:paraId="2F308009">
      <w:pPr>
        <w:widowControl/>
        <w:adjustRightInd/>
        <w:spacing w:line="360" w:lineRule="auto"/>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1.6.4 除采购人的原因外，供应商自行负责在踏勘现场中所发生的人员伤亡和财产损失。</w:t>
      </w:r>
    </w:p>
    <w:p w14:paraId="54E63739">
      <w:pPr>
        <w:widowControl/>
        <w:adjustRightInd/>
        <w:spacing w:line="360" w:lineRule="auto"/>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1.6.5采购人在踏勘现场中介绍的项目情况，仅供供应商在编制响应文件时参考，采购人不对供应商据此作出的判断和决策负责。</w:t>
      </w:r>
    </w:p>
    <w:p w14:paraId="5CE9640C">
      <w:pPr>
        <w:widowControl/>
        <w:adjustRightInd/>
        <w:spacing w:line="360" w:lineRule="auto"/>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1.6.6 供应商须知前附表规定召开投标前答疑会的，采购人按供应商须知前附表规定的时间和地点召开投标前答疑会，澄清供应商提出的问题。</w:t>
      </w:r>
    </w:p>
    <w:p w14:paraId="34DDF058">
      <w:pPr>
        <w:widowControl/>
        <w:adjustRightInd/>
        <w:spacing w:line="360" w:lineRule="auto"/>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1.6.7本采购项目采购人（采购代理机构）不组织供应商进行现场考察或召开投标前答疑会。供应商应在投标须知前附表规定的时间前，以书面形式将提出的问题送达采购人，采购人或采购代理机构在供应商须知前附表规定的时间内，将对供应商所提问题的进行澄清，以书面方式在规定的发布渠道通知所有获取响应文件的供应商。该澄清内容为采购文件的组成部分。</w:t>
      </w:r>
    </w:p>
    <w:p w14:paraId="5E82A294">
      <w:pPr>
        <w:widowControl/>
        <w:adjustRightInd/>
        <w:spacing w:line="360" w:lineRule="auto"/>
        <w:jc w:val="center"/>
        <w:outlineLvl w:val="1"/>
        <w:rPr>
          <w:rFonts w:hint="eastAsia" w:ascii="宋体" w:hAnsi="宋体" w:eastAsia="宋体" w:cs="宋体"/>
          <w:b/>
          <w:color w:val="auto"/>
          <w:kern w:val="2"/>
          <w:sz w:val="24"/>
          <w:szCs w:val="24"/>
          <w:highlight w:val="none"/>
        </w:rPr>
      </w:pPr>
      <w:bookmarkStart w:id="125" w:name="_Toc6935"/>
      <w:bookmarkStart w:id="126" w:name="_Toc4488"/>
      <w:r>
        <w:rPr>
          <w:rFonts w:hint="eastAsia" w:ascii="宋体" w:hAnsi="宋体" w:eastAsia="宋体" w:cs="宋体"/>
          <w:b/>
          <w:color w:val="auto"/>
          <w:kern w:val="2"/>
          <w:sz w:val="24"/>
          <w:szCs w:val="24"/>
          <w:highlight w:val="none"/>
        </w:rPr>
        <w:t>2、采购文件</w:t>
      </w:r>
      <w:bookmarkEnd w:id="125"/>
      <w:bookmarkEnd w:id="126"/>
    </w:p>
    <w:p w14:paraId="154DF837">
      <w:pPr>
        <w:widowControl/>
        <w:adjustRightInd/>
        <w:spacing w:line="360" w:lineRule="auto"/>
        <w:jc w:val="left"/>
        <w:outlineLvl w:val="2"/>
        <w:rPr>
          <w:rFonts w:hint="eastAsia" w:ascii="宋体" w:hAnsi="宋体" w:eastAsia="宋体" w:cs="宋体"/>
          <w:color w:val="auto"/>
          <w:kern w:val="2"/>
          <w:sz w:val="24"/>
          <w:szCs w:val="24"/>
          <w:highlight w:val="none"/>
        </w:rPr>
      </w:pPr>
      <w:bookmarkStart w:id="127" w:name="_Toc27096"/>
      <w:bookmarkStart w:id="128" w:name="_Toc20678"/>
      <w:r>
        <w:rPr>
          <w:rFonts w:hint="eastAsia" w:ascii="宋体" w:hAnsi="宋体" w:eastAsia="宋体" w:cs="宋体"/>
          <w:b/>
          <w:color w:val="auto"/>
          <w:kern w:val="2"/>
          <w:sz w:val="24"/>
          <w:szCs w:val="24"/>
          <w:highlight w:val="none"/>
        </w:rPr>
        <w:t>2.1. 采购文件的组成</w:t>
      </w:r>
      <w:bookmarkEnd w:id="127"/>
      <w:bookmarkEnd w:id="128"/>
    </w:p>
    <w:p w14:paraId="65C82E48">
      <w:pPr>
        <w:widowControl/>
        <w:adjustRightInd/>
        <w:spacing w:line="360" w:lineRule="auto"/>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2.1.1采购文件用以阐明所需货物及服务招标程序和合同主要条款。采购文件由下述部分组成：</w:t>
      </w:r>
    </w:p>
    <w:p w14:paraId="1A1D916E">
      <w:pPr>
        <w:widowControl/>
        <w:adjustRightInd/>
        <w:spacing w:line="360" w:lineRule="auto"/>
        <w:ind w:left="16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（一）招标公告；</w:t>
      </w:r>
    </w:p>
    <w:p w14:paraId="7283241E">
      <w:pPr>
        <w:widowControl/>
        <w:adjustRightInd/>
        <w:spacing w:line="360" w:lineRule="auto"/>
        <w:ind w:left="16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（二）供应商须知（包括响应文件的签署、盖章要求等）；</w:t>
      </w:r>
    </w:p>
    <w:p w14:paraId="422CD5CF">
      <w:pPr>
        <w:widowControl/>
        <w:adjustRightInd/>
        <w:spacing w:line="360" w:lineRule="auto"/>
        <w:ind w:left="16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（三）供应商应当提交的资格、资信证明文件；</w:t>
      </w:r>
    </w:p>
    <w:p w14:paraId="00C504FC">
      <w:pPr>
        <w:widowControl/>
        <w:adjustRightInd/>
        <w:spacing w:line="360" w:lineRule="auto"/>
        <w:ind w:left="16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（四）为落实政府采购政策，采购标的需满足的要求，以及供应商须提供的证明材料；</w:t>
      </w:r>
    </w:p>
    <w:p w14:paraId="20788601">
      <w:pPr>
        <w:widowControl/>
        <w:adjustRightInd/>
        <w:spacing w:line="360" w:lineRule="auto"/>
        <w:ind w:left="16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（五）响应文件编制要求、投标报价要求和投标保证金交纳、退还方式以及不予退还投标保证金的情形；</w:t>
      </w:r>
    </w:p>
    <w:p w14:paraId="2A694E48">
      <w:pPr>
        <w:widowControl/>
        <w:adjustRightInd/>
        <w:spacing w:line="360" w:lineRule="auto"/>
        <w:ind w:left="16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（六）采购项目预算金额；</w:t>
      </w:r>
    </w:p>
    <w:p w14:paraId="786DD5E4">
      <w:pPr>
        <w:widowControl/>
        <w:adjustRightInd/>
        <w:spacing w:line="360" w:lineRule="auto"/>
        <w:ind w:left="16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（七）采购项目的技术规格、数量、服务标准、验收等要求，包括附件、图纸等；</w:t>
      </w:r>
    </w:p>
    <w:p w14:paraId="08878A1C">
      <w:pPr>
        <w:widowControl/>
        <w:adjustRightInd/>
        <w:spacing w:line="360" w:lineRule="auto"/>
        <w:ind w:left="16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（八）拟签订的合同文本；</w:t>
      </w:r>
    </w:p>
    <w:p w14:paraId="00CDA439">
      <w:pPr>
        <w:widowControl/>
        <w:adjustRightInd/>
        <w:spacing w:line="360" w:lineRule="auto"/>
        <w:ind w:left="16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（九）货物、服务提供的时间、地点、方式；</w:t>
      </w:r>
    </w:p>
    <w:p w14:paraId="1588CBB2">
      <w:pPr>
        <w:widowControl/>
        <w:adjustRightInd/>
        <w:spacing w:line="360" w:lineRule="auto"/>
        <w:ind w:left="16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（十）采购资金的支付方式、时间、条件；</w:t>
      </w:r>
    </w:p>
    <w:p w14:paraId="20485DFC">
      <w:pPr>
        <w:widowControl/>
        <w:adjustRightInd/>
        <w:spacing w:line="360" w:lineRule="auto"/>
        <w:ind w:left="16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（十一）评标方法、评标标准和投标无效情形；</w:t>
      </w:r>
    </w:p>
    <w:p w14:paraId="5D6845D8">
      <w:pPr>
        <w:widowControl/>
        <w:adjustRightInd/>
        <w:spacing w:line="360" w:lineRule="auto"/>
        <w:ind w:left="16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（十二）投标有效期；</w:t>
      </w:r>
    </w:p>
    <w:p w14:paraId="4F842E3F">
      <w:pPr>
        <w:widowControl/>
        <w:adjustRightInd/>
        <w:spacing w:line="360" w:lineRule="auto"/>
        <w:ind w:left="16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（十三）投标截止时间、开标时间及地点；</w:t>
      </w:r>
    </w:p>
    <w:p w14:paraId="3FABFA64">
      <w:pPr>
        <w:widowControl/>
        <w:adjustRightInd/>
        <w:spacing w:line="360" w:lineRule="auto"/>
        <w:ind w:left="16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（十四）采购代理机构代理费用的收取标准和方式；</w:t>
      </w:r>
    </w:p>
    <w:p w14:paraId="3A189016">
      <w:pPr>
        <w:widowControl/>
        <w:adjustRightInd/>
        <w:spacing w:line="360" w:lineRule="auto"/>
        <w:ind w:left="16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（十五）供应商信用信息查询渠道及截止时点、信用信息查询记录和证据留存的具体方式、信用信息的使用规则等；</w:t>
      </w:r>
    </w:p>
    <w:p w14:paraId="6A9EF01A">
      <w:pPr>
        <w:widowControl/>
        <w:adjustRightInd/>
        <w:spacing w:line="360" w:lineRule="auto"/>
        <w:ind w:left="16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（十六）省级以上财政部门规定的其他事项；</w:t>
      </w:r>
    </w:p>
    <w:p w14:paraId="360A1F0B">
      <w:pPr>
        <w:widowControl/>
        <w:adjustRightInd/>
        <w:spacing w:line="360" w:lineRule="auto"/>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2.1.2除非有特殊要求，采购文件不单独提供招标货物使用地的自然环境、气候条件、公用设施等情况，供应商被视为熟悉上述与履行合同有关的一切情况。</w:t>
      </w:r>
    </w:p>
    <w:p w14:paraId="7316BA7B">
      <w:pPr>
        <w:widowControl/>
        <w:adjustRightInd/>
        <w:spacing w:line="360" w:lineRule="auto"/>
        <w:jc w:val="left"/>
        <w:outlineLvl w:val="2"/>
        <w:rPr>
          <w:rFonts w:hint="eastAsia" w:ascii="宋体" w:hAnsi="宋体" w:eastAsia="宋体" w:cs="宋体"/>
          <w:b/>
          <w:color w:val="auto"/>
          <w:kern w:val="2"/>
          <w:sz w:val="24"/>
          <w:szCs w:val="24"/>
          <w:highlight w:val="none"/>
        </w:rPr>
      </w:pPr>
      <w:bookmarkStart w:id="129" w:name="_Toc152045544"/>
      <w:bookmarkStart w:id="130" w:name="_Toc152042320"/>
      <w:bookmarkStart w:id="131" w:name="_Toc8510"/>
      <w:bookmarkStart w:id="132" w:name="_Toc179632562"/>
      <w:bookmarkStart w:id="133" w:name="_Toc144974512"/>
      <w:bookmarkStart w:id="134" w:name="_Toc20199"/>
      <w:bookmarkStart w:id="135" w:name="_Toc430488644"/>
      <w:bookmarkStart w:id="136" w:name="_Toc430489119"/>
      <w:bookmarkStart w:id="137" w:name="_Toc415567497"/>
      <w:bookmarkStart w:id="138" w:name="_Toc430488851"/>
      <w:bookmarkStart w:id="139" w:name="_Toc430490612"/>
      <w:bookmarkStart w:id="140" w:name="_Toc430492126"/>
      <w:bookmarkStart w:id="141" w:name="_Toc430422413"/>
      <w:r>
        <w:rPr>
          <w:rFonts w:hint="eastAsia" w:ascii="宋体" w:hAnsi="宋体" w:eastAsia="宋体" w:cs="宋体"/>
          <w:b/>
          <w:color w:val="auto"/>
          <w:kern w:val="2"/>
          <w:sz w:val="24"/>
          <w:szCs w:val="24"/>
          <w:highlight w:val="none"/>
        </w:rPr>
        <w:t>2.2 采购文件的澄清</w:t>
      </w:r>
      <w:bookmarkEnd w:id="129"/>
      <w:bookmarkEnd w:id="130"/>
      <w:bookmarkEnd w:id="131"/>
      <w:bookmarkEnd w:id="132"/>
      <w:bookmarkEnd w:id="133"/>
      <w:bookmarkEnd w:id="134"/>
    </w:p>
    <w:p w14:paraId="3580DF36">
      <w:pPr>
        <w:widowControl/>
        <w:adjustRightInd/>
        <w:spacing w:line="360" w:lineRule="auto"/>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2.2.1采购人或者采购代理机构可以对已发出的采购文件、投标邀请书进行必要的澄清或者修改，但不得改变采购标的和资格条件。澄清或者修改应当在原公告发布媒体上发布澄清公告。</w:t>
      </w:r>
    </w:p>
    <w:p w14:paraId="47A668F2">
      <w:pPr>
        <w:widowControl/>
        <w:adjustRightInd/>
        <w:spacing w:line="360" w:lineRule="auto"/>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2.2.2供应商应仔细阅读和检查采购文件的全部内容。如发现缺页或附件不全，应及时向采购人提出，以便补齐。如有疑问，应在供应商须知前附表规定的时间前以书面形式（包括信函、电报、传真等可以有形地表现所载内容的形式，下同），要求采购人对采购文件予以澄清。采购人将视情况将不标明澄清问题查询来源的书面答复发给所有供应商，该澄清内容为采购文件的组成部分。</w:t>
      </w:r>
    </w:p>
    <w:p w14:paraId="3E1AD2D0">
      <w:pPr>
        <w:widowControl/>
        <w:adjustRightInd/>
        <w:spacing w:line="360" w:lineRule="auto"/>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2.2.3采购文件的澄清将在供应商须知前附表规定的投标截止时间15天前以书面形式发给所有购买采购文件的供应商，采购人只对投标须知前附表中规定的截止时间以前收到的要求澄清的问题予以答复。如果澄清发出的时间因距投标截止时间不足15天，供应商认为该澄清影响到对响应文件的修编，造成在原投标截止时间前修编响应文件的时间不足，供应商应以书面形式通知采购人要求酌情延长投标截止时间，以保证供应商有合理的时间修编响应文件，采购人应按规定酌情延长投标截止时间。否则，采购人仍将按原投标截止时间执行。</w:t>
      </w:r>
    </w:p>
    <w:p w14:paraId="61C9B96B">
      <w:pPr>
        <w:widowControl/>
        <w:adjustRightInd/>
        <w:spacing w:line="360" w:lineRule="auto"/>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2.2.4 供应商在收到澄清后，应在供应商须知前附表规定的时间内以书面形式通知采购人，确认已收到该澄清。</w:t>
      </w:r>
    </w:p>
    <w:p w14:paraId="250CC993">
      <w:pPr>
        <w:widowControl/>
        <w:adjustRightInd/>
        <w:spacing w:line="360" w:lineRule="auto"/>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2.2.5 在投标截止时间15天前，采购人可以书面形式修改采购文件，并通知所有已购买采购文件的供应商，该修改内容为采购文件的组成部分。如果修改采购文件的时间距投标截止时间不足15天，供应商认为因采购文件的修改影响到对响应文件的修编，造成在原投标截止时间前修编响应文件的时间不足，供应商应以书面形式通知采购人要求酌情延长投标截止时间和开标时间（但应当至少在投标截止时间三个日历日前将变更时间以书面形式通知所有供应商），以保证供应商有合理的时间修编响应文件，采购人应按规定酌情延长投标截止时间。否则，采购人仍将按原投标截止时间执行。在此情况下，采购人和供应商受投标截止期制约的所有权利和义务均应延长至新的截止日期。</w:t>
      </w:r>
    </w:p>
    <w:p w14:paraId="739BFA25">
      <w:pPr>
        <w:widowControl/>
        <w:adjustRightInd/>
        <w:spacing w:line="360" w:lineRule="auto"/>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2.2.6 供应商收到修改内容后，应在供应商须知前附表规定的时间内以书面形式通知采购人，确认已收到该修改。该修改内容为采购文件的组成部分。</w:t>
      </w:r>
    </w:p>
    <w:p w14:paraId="0F69AC0C">
      <w:pPr>
        <w:widowControl/>
        <w:adjustRightInd/>
        <w:spacing w:line="360" w:lineRule="auto"/>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2.2.7采购人在投标须知前附表中标明了澄清、补充或修改采购文件发布的渠道，供应商应自行留意采购人发出的澄清、修改或补充以及与之有关的文本文件，并及时按采购人在投标须知前附表中标明澄清、补充或修改通知发布的渠道获取相应的文本文件，无须回签确认收到的函。供应商未按规定时间在发布渠道的网站下载澄清、补充或修改采购文件（包括开标时间、地点的变更等）通知的，视同已收到。</w:t>
      </w:r>
    </w:p>
    <w:bookmarkEnd w:id="135"/>
    <w:bookmarkEnd w:id="136"/>
    <w:bookmarkEnd w:id="137"/>
    <w:bookmarkEnd w:id="138"/>
    <w:bookmarkEnd w:id="139"/>
    <w:bookmarkEnd w:id="140"/>
    <w:bookmarkEnd w:id="141"/>
    <w:p w14:paraId="082044A2">
      <w:pPr>
        <w:widowControl/>
        <w:adjustRightInd/>
        <w:spacing w:line="360" w:lineRule="auto"/>
        <w:jc w:val="center"/>
        <w:outlineLvl w:val="1"/>
        <w:rPr>
          <w:rFonts w:hint="eastAsia" w:ascii="宋体" w:hAnsi="宋体" w:eastAsia="宋体" w:cs="宋体"/>
          <w:color w:val="auto"/>
          <w:kern w:val="2"/>
          <w:sz w:val="24"/>
          <w:szCs w:val="24"/>
          <w:highlight w:val="none"/>
        </w:rPr>
      </w:pPr>
      <w:bookmarkStart w:id="142" w:name="_Toc30712"/>
      <w:bookmarkStart w:id="143" w:name="_Toc32746"/>
      <w:r>
        <w:rPr>
          <w:rFonts w:hint="eastAsia" w:ascii="宋体" w:hAnsi="宋体" w:eastAsia="宋体" w:cs="宋体"/>
          <w:b/>
          <w:color w:val="auto"/>
          <w:kern w:val="2"/>
          <w:sz w:val="24"/>
          <w:szCs w:val="24"/>
          <w:highlight w:val="none"/>
        </w:rPr>
        <w:t>3、响应文件</w:t>
      </w:r>
      <w:bookmarkEnd w:id="142"/>
      <w:bookmarkEnd w:id="143"/>
    </w:p>
    <w:p w14:paraId="6AA01F2D">
      <w:pPr>
        <w:widowControl/>
        <w:adjustRightInd/>
        <w:spacing w:line="360" w:lineRule="auto"/>
        <w:jc w:val="left"/>
        <w:outlineLvl w:val="2"/>
        <w:rPr>
          <w:rFonts w:hint="eastAsia" w:ascii="宋体" w:hAnsi="宋体" w:eastAsia="宋体" w:cs="宋体"/>
          <w:color w:val="auto"/>
          <w:kern w:val="2"/>
          <w:sz w:val="24"/>
          <w:szCs w:val="24"/>
          <w:highlight w:val="none"/>
        </w:rPr>
      </w:pPr>
      <w:bookmarkStart w:id="144" w:name="_Toc822"/>
      <w:bookmarkStart w:id="145" w:name="_Toc4060"/>
      <w:r>
        <w:rPr>
          <w:rFonts w:hint="eastAsia" w:ascii="宋体" w:hAnsi="宋体" w:eastAsia="宋体" w:cs="宋体"/>
          <w:b/>
          <w:color w:val="auto"/>
          <w:kern w:val="2"/>
          <w:sz w:val="24"/>
          <w:szCs w:val="24"/>
          <w:highlight w:val="none"/>
        </w:rPr>
        <w:t xml:space="preserve">3.1. </w:t>
      </w:r>
      <w:r>
        <w:rPr>
          <w:rFonts w:hint="eastAsia" w:ascii="宋体" w:hAnsi="宋体" w:eastAsia="宋体" w:cs="宋体"/>
          <w:b/>
          <w:color w:val="auto"/>
          <w:sz w:val="24"/>
          <w:szCs w:val="24"/>
          <w:highlight w:val="none"/>
        </w:rPr>
        <w:t>响应文件的组成</w:t>
      </w:r>
      <w:bookmarkEnd w:id="144"/>
      <w:bookmarkEnd w:id="145"/>
    </w:p>
    <w:p w14:paraId="419865B9">
      <w:pPr>
        <w:widowControl/>
        <w:shd w:val="clear" w:color="auto" w:fill="FFFFFF"/>
        <w:adjustRightInd/>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3.1.1供应商应当按照采购文件的要求编制响应文件。响应文件应当对采购文件提出的要求和条件作出明确响应。</w:t>
      </w:r>
      <w:r>
        <w:rPr>
          <w:rFonts w:hint="eastAsia" w:ascii="宋体" w:hAnsi="宋体" w:eastAsia="宋体" w:cs="宋体"/>
          <w:b/>
          <w:color w:val="auto"/>
          <w:kern w:val="2"/>
          <w:sz w:val="24"/>
          <w:szCs w:val="24"/>
          <w:highlight w:val="none"/>
        </w:rPr>
        <w:t>并保证所提供的全部资料的真实性，否则其投标将按无效投标处理。</w:t>
      </w:r>
    </w:p>
    <w:p w14:paraId="12DB182C">
      <w:pPr>
        <w:widowControl/>
        <w:shd w:val="clear" w:color="auto" w:fill="FFFFFF"/>
        <w:adjustRightInd/>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3.1.2供应商须知前附表规定接受联合体投标的，或接受供应商组成联合体的，响应文件应包括联合体协议书。</w:t>
      </w:r>
    </w:p>
    <w:p w14:paraId="72E5B9DC">
      <w:pPr>
        <w:widowControl/>
        <w:adjustRightInd/>
        <w:spacing w:line="360" w:lineRule="auto"/>
        <w:jc w:val="left"/>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3.1.3响应文件</w:t>
      </w:r>
    </w:p>
    <w:p w14:paraId="217B51C0">
      <w:pPr>
        <w:pStyle w:val="2"/>
        <w:spacing w:line="360" w:lineRule="auto"/>
        <w:outlineLvl w:val="2"/>
        <w:rPr>
          <w:rFonts w:hint="eastAsia" w:ascii="宋体" w:hAnsi="宋体" w:eastAsia="宋体" w:cs="宋体"/>
          <w:color w:val="auto"/>
          <w:sz w:val="24"/>
          <w:szCs w:val="24"/>
          <w:highlight w:val="none"/>
        </w:rPr>
      </w:pPr>
      <w:bookmarkStart w:id="146" w:name="_Toc24744"/>
      <w:bookmarkStart w:id="147" w:name="_Toc18313"/>
      <w:r>
        <w:rPr>
          <w:rFonts w:hint="eastAsia" w:ascii="宋体" w:hAnsi="宋体" w:eastAsia="宋体" w:cs="宋体"/>
          <w:color w:val="auto"/>
          <w:sz w:val="24"/>
          <w:szCs w:val="24"/>
          <w:highlight w:val="none"/>
        </w:rPr>
        <w:t>具体格式详见第六章投标文件格式</w:t>
      </w:r>
      <w:bookmarkEnd w:id="146"/>
      <w:bookmarkEnd w:id="147"/>
    </w:p>
    <w:p w14:paraId="10A4F064">
      <w:pPr>
        <w:widowControl/>
        <w:adjustRightInd/>
        <w:spacing w:line="360" w:lineRule="auto"/>
        <w:jc w:val="left"/>
        <w:outlineLvl w:val="2"/>
        <w:rPr>
          <w:rFonts w:hint="eastAsia" w:ascii="宋体" w:hAnsi="宋体" w:eastAsia="宋体" w:cs="宋体"/>
          <w:color w:val="auto"/>
          <w:sz w:val="24"/>
          <w:szCs w:val="24"/>
          <w:highlight w:val="none"/>
        </w:rPr>
      </w:pPr>
      <w:bookmarkStart w:id="148" w:name="_Toc644"/>
      <w:bookmarkStart w:id="149" w:name="_Toc14502"/>
      <w:r>
        <w:rPr>
          <w:rFonts w:hint="eastAsia" w:ascii="宋体" w:hAnsi="宋体" w:eastAsia="宋体" w:cs="宋体"/>
          <w:b/>
          <w:color w:val="auto"/>
          <w:kern w:val="2"/>
          <w:sz w:val="24"/>
          <w:szCs w:val="24"/>
          <w:highlight w:val="none"/>
        </w:rPr>
        <w:t>3.2. 投标报价</w:t>
      </w:r>
      <w:bookmarkEnd w:id="148"/>
      <w:bookmarkEnd w:id="149"/>
      <w:r>
        <w:rPr>
          <w:rFonts w:hint="eastAsia" w:ascii="宋体" w:hAnsi="宋体" w:eastAsia="宋体" w:cs="宋体"/>
          <w:color w:val="auto"/>
          <w:sz w:val="24"/>
          <w:szCs w:val="24"/>
          <w:highlight w:val="none"/>
        </w:rPr>
        <w:t xml:space="preserve"> </w:t>
      </w:r>
    </w:p>
    <w:p w14:paraId="1688B948">
      <w:pPr>
        <w:widowControl/>
        <w:shd w:val="clear" w:color="auto" w:fill="FFFFFF"/>
        <w:adjustRightInd/>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3.2.1 供应商应按采购文件的要求填写相应投标报价表格。</w:t>
      </w:r>
    </w:p>
    <w:p w14:paraId="674BB09E">
      <w:pPr>
        <w:widowControl/>
        <w:adjustRightInd/>
        <w:spacing w:line="360" w:lineRule="auto"/>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3.2.2 除非有另外的规定，供应商可对招标项目一览表所列的全部合同包或部分合同包进行投标。采购代理机构不接受有任何可选择性的报价，每一种货物</w:t>
      </w:r>
      <w:r>
        <w:rPr>
          <w:rFonts w:hint="eastAsia" w:ascii="宋体" w:hAnsi="宋体" w:eastAsia="宋体" w:cs="宋体"/>
          <w:color w:val="auto"/>
          <w:kern w:val="2"/>
          <w:sz w:val="24"/>
          <w:szCs w:val="24"/>
          <w:highlight w:val="none"/>
          <w:lang w:val="en-US" w:eastAsia="zh-CN"/>
        </w:rPr>
        <w:t>或服务</w:t>
      </w:r>
      <w:r>
        <w:rPr>
          <w:rFonts w:hint="eastAsia" w:ascii="宋体" w:hAnsi="宋体" w:eastAsia="宋体" w:cs="宋体"/>
          <w:color w:val="auto"/>
          <w:kern w:val="2"/>
          <w:sz w:val="24"/>
          <w:szCs w:val="24"/>
          <w:highlight w:val="none"/>
        </w:rPr>
        <w:t>只能有一个报价。且每一合同包的投标总（单）报价</w:t>
      </w:r>
      <w:r>
        <w:rPr>
          <w:rFonts w:hint="eastAsia" w:ascii="宋体" w:hAnsi="宋体" w:eastAsia="宋体" w:cs="宋体"/>
          <w:color w:val="auto"/>
          <w:sz w:val="24"/>
          <w:szCs w:val="24"/>
          <w:highlight w:val="none"/>
        </w:rPr>
        <w:t>不得超过规定的最高投标限价，</w:t>
      </w:r>
      <w:r>
        <w:rPr>
          <w:rFonts w:hint="eastAsia" w:ascii="宋体" w:hAnsi="宋体" w:eastAsia="宋体" w:cs="宋体"/>
          <w:b/>
          <w:color w:val="auto"/>
          <w:sz w:val="24"/>
          <w:szCs w:val="24"/>
          <w:highlight w:val="none"/>
        </w:rPr>
        <w:t>否则其投标将被拒绝！</w:t>
      </w:r>
    </w:p>
    <w:p w14:paraId="35A09063">
      <w:pPr>
        <w:widowControl/>
        <w:adjustRightInd/>
        <w:spacing w:line="360" w:lineRule="auto"/>
        <w:jc w:val="left"/>
        <w:outlineLvl w:val="2"/>
        <w:rPr>
          <w:rFonts w:hint="eastAsia" w:ascii="宋体" w:hAnsi="宋体" w:eastAsia="宋体" w:cs="宋体"/>
          <w:color w:val="auto"/>
          <w:kern w:val="2"/>
          <w:sz w:val="24"/>
          <w:szCs w:val="24"/>
          <w:highlight w:val="none"/>
        </w:rPr>
      </w:pPr>
      <w:bookmarkStart w:id="150" w:name="_Toc1865"/>
      <w:bookmarkStart w:id="151" w:name="_Toc28881"/>
      <w:r>
        <w:rPr>
          <w:rFonts w:hint="eastAsia" w:ascii="宋体" w:hAnsi="宋体" w:eastAsia="宋体" w:cs="宋体"/>
          <w:b/>
          <w:color w:val="auto"/>
          <w:kern w:val="2"/>
          <w:sz w:val="24"/>
          <w:szCs w:val="24"/>
          <w:highlight w:val="none"/>
        </w:rPr>
        <w:t>3.3. 响应文件语言</w:t>
      </w:r>
      <w:bookmarkEnd w:id="150"/>
      <w:bookmarkEnd w:id="151"/>
    </w:p>
    <w:p w14:paraId="7BF0FAD6">
      <w:pPr>
        <w:widowControl/>
        <w:adjustRightInd/>
        <w:spacing w:line="360" w:lineRule="auto"/>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3.2.1响应文件应用中文书写。响应文件中所附或所引用的原件不是中文时，应附中文译本。各种计量单位及符号应采用国际上统一使用的公制计量单位和符号。</w:t>
      </w:r>
    </w:p>
    <w:p w14:paraId="76C0626F">
      <w:pPr>
        <w:widowControl/>
        <w:adjustRightInd/>
        <w:spacing w:line="360" w:lineRule="auto"/>
        <w:jc w:val="left"/>
        <w:outlineLvl w:val="2"/>
        <w:rPr>
          <w:rFonts w:hint="eastAsia" w:ascii="宋体" w:hAnsi="宋体" w:eastAsia="宋体" w:cs="宋体"/>
          <w:b/>
          <w:color w:val="auto"/>
          <w:kern w:val="2"/>
          <w:sz w:val="24"/>
          <w:szCs w:val="24"/>
          <w:highlight w:val="none"/>
        </w:rPr>
      </w:pPr>
      <w:bookmarkStart w:id="152" w:name="_Toc12056"/>
      <w:bookmarkStart w:id="153" w:name="_Toc27127"/>
      <w:r>
        <w:rPr>
          <w:rFonts w:hint="eastAsia" w:ascii="宋体" w:hAnsi="宋体" w:eastAsia="宋体" w:cs="宋体"/>
          <w:b/>
          <w:color w:val="auto"/>
          <w:kern w:val="2"/>
          <w:sz w:val="24"/>
          <w:szCs w:val="24"/>
          <w:highlight w:val="none"/>
        </w:rPr>
        <w:t>3.4. 响应文件的编制</w:t>
      </w:r>
      <w:bookmarkEnd w:id="152"/>
      <w:bookmarkEnd w:id="153"/>
    </w:p>
    <w:p w14:paraId="7F1E90FD">
      <w:pPr>
        <w:widowControl/>
        <w:adjustRightInd/>
        <w:spacing w:line="360" w:lineRule="auto"/>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3.4.1响应文件应按采购文件“响应文件格式”进行编写，如有必要，可以增加附页，作为响应文件的组成部分。其中，投标函附录在满足采购文件实质性要求的基础上，可以提出比采购文件要求更有利于采购人的承诺。</w:t>
      </w:r>
    </w:p>
    <w:p w14:paraId="46A55CF2">
      <w:pPr>
        <w:widowControl/>
        <w:adjustRightInd/>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3.4.2 响应文件应当对采购文件有关供货计划、投标有效期、质量要求、技术标准和其他要求、招标范围等实质性内容做出响应。</w:t>
      </w:r>
    </w:p>
    <w:p w14:paraId="4C0EE244">
      <w:pPr>
        <w:widowControl/>
        <w:adjustRightInd/>
        <w:spacing w:line="360" w:lineRule="auto"/>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3.4.7除非有另外的规定或许可，投标使用货币为：人民币。</w:t>
      </w:r>
    </w:p>
    <w:p w14:paraId="41C3C02C">
      <w:pPr>
        <w:widowControl/>
        <w:adjustRightInd/>
        <w:spacing w:line="360" w:lineRule="auto"/>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 xml:space="preserve">3.4.8供应商应提交证明其拟供货物符合采购文件要求的技术文件，该文件可以是包括文字资料、图纸和数据等组成，并须提供货物主要技术性能的详细描述。 </w:t>
      </w:r>
    </w:p>
    <w:p w14:paraId="5DB069EF">
      <w:pPr>
        <w:widowControl/>
        <w:adjustRightInd/>
        <w:spacing w:line="360" w:lineRule="auto"/>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3.4.9</w:t>
      </w:r>
      <w:r>
        <w:rPr>
          <w:rFonts w:hint="eastAsia" w:hAnsi="宋体" w:cs="宋体"/>
          <w:color w:val="auto"/>
          <w:kern w:val="2"/>
          <w:sz w:val="24"/>
          <w:szCs w:val="24"/>
          <w:highlight w:val="none"/>
          <w:lang w:val="en-US" w:eastAsia="zh-CN"/>
        </w:rPr>
        <w:t>★</w:t>
      </w:r>
      <w:r>
        <w:rPr>
          <w:rFonts w:hint="eastAsia" w:ascii="宋体" w:hAnsi="宋体" w:eastAsia="宋体" w:cs="宋体"/>
          <w:b/>
          <w:color w:val="auto"/>
          <w:kern w:val="2"/>
          <w:sz w:val="24"/>
          <w:szCs w:val="24"/>
          <w:highlight w:val="none"/>
        </w:rPr>
        <w:t>未按采购文件规定的内容编写的响应文件，无法辨认其价格、关键参数或指标等的，其投标无效。</w:t>
      </w:r>
    </w:p>
    <w:p w14:paraId="1700F60E">
      <w:pPr>
        <w:widowControl/>
        <w:adjustRightInd/>
        <w:spacing w:line="360" w:lineRule="auto"/>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3.4.10所有资格证明文件复印件须加盖供应商</w:t>
      </w:r>
      <w:r>
        <w:rPr>
          <w:rFonts w:hint="eastAsia" w:ascii="宋体" w:hAnsi="宋体" w:eastAsia="宋体" w:cs="宋体"/>
          <w:color w:val="auto"/>
          <w:kern w:val="2"/>
          <w:sz w:val="24"/>
          <w:szCs w:val="24"/>
          <w:highlight w:val="none"/>
          <w:lang w:eastAsia="zh-CN"/>
        </w:rPr>
        <w:t>盖章</w:t>
      </w:r>
      <w:r>
        <w:rPr>
          <w:rFonts w:hint="eastAsia" w:ascii="宋体" w:hAnsi="宋体" w:eastAsia="宋体" w:cs="宋体"/>
          <w:color w:val="auto"/>
          <w:kern w:val="2"/>
          <w:sz w:val="24"/>
          <w:szCs w:val="24"/>
          <w:highlight w:val="none"/>
        </w:rPr>
        <w:t>。</w:t>
      </w:r>
    </w:p>
    <w:p w14:paraId="05297B24">
      <w:pPr>
        <w:widowControl/>
        <w:adjustRightInd/>
        <w:spacing w:line="360" w:lineRule="auto"/>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3.4.11供应商可对本次招标的所有货物</w:t>
      </w:r>
      <w:r>
        <w:rPr>
          <w:rFonts w:hint="eastAsia" w:ascii="宋体" w:hAnsi="宋体" w:eastAsia="宋体" w:cs="宋体"/>
          <w:color w:val="auto"/>
          <w:kern w:val="2"/>
          <w:sz w:val="24"/>
          <w:szCs w:val="24"/>
          <w:highlight w:val="none"/>
          <w:lang w:val="en-US" w:eastAsia="zh-CN"/>
        </w:rPr>
        <w:t>或服务</w:t>
      </w:r>
      <w:r>
        <w:rPr>
          <w:rFonts w:hint="eastAsia" w:ascii="宋体" w:hAnsi="宋体" w:eastAsia="宋体" w:cs="宋体"/>
          <w:color w:val="auto"/>
          <w:kern w:val="2"/>
          <w:sz w:val="24"/>
          <w:szCs w:val="24"/>
          <w:highlight w:val="none"/>
        </w:rPr>
        <w:t>进行投标，也可只对其中一个包（或标段）或几个包（或标段）的货物</w:t>
      </w:r>
      <w:r>
        <w:rPr>
          <w:rFonts w:hint="eastAsia" w:ascii="宋体" w:hAnsi="宋体" w:eastAsia="宋体" w:cs="宋体"/>
          <w:color w:val="auto"/>
          <w:kern w:val="2"/>
          <w:sz w:val="24"/>
          <w:szCs w:val="24"/>
          <w:highlight w:val="none"/>
          <w:lang w:val="en-US" w:eastAsia="zh-CN"/>
        </w:rPr>
        <w:t>过服务</w:t>
      </w:r>
      <w:r>
        <w:rPr>
          <w:rFonts w:hint="eastAsia" w:ascii="宋体" w:hAnsi="宋体" w:eastAsia="宋体" w:cs="宋体"/>
          <w:color w:val="auto"/>
          <w:kern w:val="2"/>
          <w:sz w:val="24"/>
          <w:szCs w:val="24"/>
          <w:highlight w:val="none"/>
        </w:rPr>
        <w:t>进行投标；除非采购文件另有规定，否则不得将一个包（或标段）中的货物拆开投标。</w:t>
      </w:r>
    </w:p>
    <w:p w14:paraId="47A4F687">
      <w:pPr>
        <w:widowControl/>
        <w:adjustRightInd/>
        <w:spacing w:line="360" w:lineRule="auto"/>
        <w:jc w:val="left"/>
        <w:outlineLvl w:val="2"/>
        <w:rPr>
          <w:rFonts w:hint="eastAsia" w:ascii="宋体" w:hAnsi="宋体" w:eastAsia="宋体" w:cs="宋体"/>
          <w:b/>
          <w:color w:val="auto"/>
          <w:kern w:val="2"/>
          <w:sz w:val="24"/>
          <w:szCs w:val="24"/>
          <w:highlight w:val="none"/>
        </w:rPr>
      </w:pPr>
      <w:bookmarkStart w:id="154" w:name="_Toc3330"/>
      <w:bookmarkStart w:id="155" w:name="_Toc30147"/>
      <w:r>
        <w:rPr>
          <w:rFonts w:hint="eastAsia" w:ascii="宋体" w:hAnsi="宋体" w:eastAsia="宋体" w:cs="宋体"/>
          <w:b/>
          <w:color w:val="auto"/>
          <w:kern w:val="2"/>
          <w:sz w:val="24"/>
          <w:szCs w:val="24"/>
          <w:highlight w:val="none"/>
        </w:rPr>
        <w:t>3.5. 投标有效期</w:t>
      </w:r>
      <w:bookmarkEnd w:id="154"/>
      <w:bookmarkEnd w:id="155"/>
    </w:p>
    <w:p w14:paraId="599D8D54">
      <w:pPr>
        <w:widowControl/>
        <w:adjustRightInd/>
        <w:spacing w:line="360" w:lineRule="auto"/>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3.5.1响应文件从供应商须知前附表所规定的投标截止期之后开始生效，在供应商须知前附表所规定的期限内保持有效。有效期不足将导致其响应文件被拒绝。</w:t>
      </w:r>
    </w:p>
    <w:p w14:paraId="52DC0E17">
      <w:pPr>
        <w:widowControl/>
        <w:adjustRightInd/>
        <w:spacing w:line="360" w:lineRule="auto"/>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3.5.2特殊情况下采购代理人可于投标有效期满之前书面要求供应商同意延长有效期，供应商应在采购代理机构规定的期限内以书面形式予以答复。供应商可以拒绝上述要求而其投标保证金可按规定予以退还。供应商答复不明确或者逾期未答复的，均视为拒绝上述要求。对于接受该要求的供应商，既不要求也不允许其修改响应文件，但将要求其相应延长投标保证金有效期，有关退还和不予退还投标保证金的规定在投标有效期延长期内继续有效。</w:t>
      </w:r>
    </w:p>
    <w:p w14:paraId="5B99802C">
      <w:pPr>
        <w:widowControl/>
        <w:adjustRightInd/>
        <w:spacing w:line="360" w:lineRule="auto"/>
        <w:jc w:val="left"/>
        <w:outlineLvl w:val="2"/>
        <w:rPr>
          <w:rFonts w:hint="eastAsia" w:ascii="宋体" w:hAnsi="宋体" w:eastAsia="宋体" w:cs="宋体"/>
          <w:b/>
          <w:color w:val="auto"/>
          <w:kern w:val="2"/>
          <w:sz w:val="24"/>
          <w:szCs w:val="24"/>
          <w:highlight w:val="none"/>
        </w:rPr>
      </w:pPr>
      <w:bookmarkStart w:id="156" w:name="_Toc24089"/>
      <w:bookmarkStart w:id="157" w:name="_Toc1578"/>
      <w:r>
        <w:rPr>
          <w:rFonts w:hint="eastAsia" w:ascii="宋体" w:hAnsi="宋体" w:eastAsia="宋体" w:cs="宋体"/>
          <w:b/>
          <w:color w:val="auto"/>
          <w:kern w:val="2"/>
          <w:sz w:val="24"/>
          <w:szCs w:val="24"/>
          <w:highlight w:val="none"/>
        </w:rPr>
        <w:t>3.6. 投标保证金</w:t>
      </w:r>
      <w:bookmarkEnd w:id="156"/>
      <w:bookmarkEnd w:id="157"/>
    </w:p>
    <w:p w14:paraId="652015CD">
      <w:pPr>
        <w:widowControl/>
        <w:adjustRightInd/>
        <w:spacing w:line="360" w:lineRule="auto"/>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3.6.1 投标保证金为响应文件的组成部分之一。</w:t>
      </w:r>
    </w:p>
    <w:p w14:paraId="5C7E37A1">
      <w:pPr>
        <w:widowControl/>
        <w:adjustRightInd/>
        <w:spacing w:line="360" w:lineRule="auto"/>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3.6.2 供应商应在提交响应文件之前向采购代理机构缴交供应商须知前附表要求的投标保证金。联合体投标的，可以由联合体中的一方或者共同提交投标保证金，以一方名义提交投标保证金的，对联合体各方均具有约束力。</w:t>
      </w:r>
    </w:p>
    <w:p w14:paraId="58409F72">
      <w:pPr>
        <w:widowControl/>
        <w:adjustRightInd/>
        <w:spacing w:line="360" w:lineRule="auto"/>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3.6.3 投标保证金用于保护本次招标活动免受供应商的行为而引起的风险。</w:t>
      </w:r>
    </w:p>
    <w:p w14:paraId="66050CDB">
      <w:pPr>
        <w:widowControl/>
        <w:adjustRightInd/>
        <w:spacing w:line="360" w:lineRule="auto"/>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3.6.4 投标保证金以</w:t>
      </w:r>
      <w:r>
        <w:rPr>
          <w:rFonts w:hint="eastAsia" w:ascii="宋体" w:hAnsi="宋体" w:eastAsia="宋体" w:cs="宋体"/>
          <w:color w:val="auto"/>
          <w:spacing w:val="8"/>
          <w:sz w:val="24"/>
          <w:szCs w:val="24"/>
          <w:highlight w:val="none"/>
        </w:rPr>
        <w:t>投标保证金以非现金形式由供应商基本账户转出形式交纳</w:t>
      </w:r>
      <w:r>
        <w:rPr>
          <w:rFonts w:hint="eastAsia" w:ascii="宋体" w:hAnsi="宋体" w:eastAsia="宋体" w:cs="宋体"/>
          <w:color w:val="auto"/>
          <w:kern w:val="2"/>
          <w:sz w:val="24"/>
          <w:szCs w:val="24"/>
          <w:highlight w:val="none"/>
        </w:rPr>
        <w:t>。供应商须知前附表另有规定的，则从其约定。</w:t>
      </w:r>
    </w:p>
    <w:p w14:paraId="7029ADB5">
      <w:pPr>
        <w:widowControl/>
        <w:adjustRightInd/>
        <w:spacing w:line="360" w:lineRule="auto"/>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 xml:space="preserve">3.6.5 </w:t>
      </w:r>
      <w:r>
        <w:rPr>
          <w:rFonts w:hint="eastAsia" w:hAnsi="宋体" w:cs="宋体"/>
          <w:color w:val="auto"/>
          <w:kern w:val="2"/>
          <w:sz w:val="24"/>
          <w:szCs w:val="24"/>
          <w:highlight w:val="none"/>
          <w:lang w:val="en-US" w:eastAsia="zh-CN"/>
        </w:rPr>
        <w:t>★</w:t>
      </w:r>
      <w:r>
        <w:rPr>
          <w:rFonts w:hint="eastAsia" w:ascii="宋体" w:hAnsi="宋体" w:eastAsia="宋体" w:cs="宋体"/>
          <w:b/>
          <w:color w:val="auto"/>
          <w:kern w:val="2"/>
          <w:sz w:val="24"/>
          <w:szCs w:val="24"/>
          <w:highlight w:val="none"/>
        </w:rPr>
        <w:t>未按规定缴交投标保证金的投标，将被视为其投标无效。</w:t>
      </w:r>
    </w:p>
    <w:p w14:paraId="6FE15E2B">
      <w:pPr>
        <w:widowControl/>
        <w:adjustRightInd/>
        <w:spacing w:line="360" w:lineRule="auto"/>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3.6.6投标保证金退还手续说明</w:t>
      </w:r>
    </w:p>
    <w:p w14:paraId="1A3E6D97">
      <w:pPr>
        <w:widowControl/>
        <w:adjustRightInd/>
        <w:spacing w:line="360" w:lineRule="auto"/>
        <w:ind w:firstLine="120" w:firstLineChars="5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（1）供应商在提供投标保证金原始收据、投标企业对开收据、授权委托书（所提供资料须加盖供应商单位</w:t>
      </w:r>
      <w:r>
        <w:rPr>
          <w:rFonts w:hint="eastAsia" w:ascii="宋体" w:hAnsi="宋体" w:eastAsia="宋体" w:cs="宋体"/>
          <w:color w:val="auto"/>
          <w:kern w:val="2"/>
          <w:sz w:val="24"/>
          <w:szCs w:val="24"/>
          <w:highlight w:val="none"/>
          <w:lang w:eastAsia="zh-CN"/>
        </w:rPr>
        <w:t>盖章</w:t>
      </w:r>
      <w:r>
        <w:rPr>
          <w:rFonts w:hint="eastAsia" w:ascii="宋体" w:hAnsi="宋体" w:eastAsia="宋体" w:cs="宋体"/>
          <w:color w:val="auto"/>
          <w:kern w:val="2"/>
          <w:sz w:val="24"/>
          <w:szCs w:val="24"/>
          <w:highlight w:val="none"/>
        </w:rPr>
        <w:t>）后，投标保证金将在中标通知书发出之日起五个工作日内，按照供应商所提供的开户行、开户名称、帐号等信息退还，予以原额退还中标人以外的供应商的投标保证金。</w:t>
      </w:r>
    </w:p>
    <w:p w14:paraId="6718B6C7">
      <w:pPr>
        <w:widowControl/>
        <w:adjustRightInd/>
        <w:spacing w:line="360" w:lineRule="auto"/>
        <w:ind w:firstLine="120" w:firstLineChars="5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（2）请相关供应商按上述说明办理保证金退还手续，未按要求办理的自行承担责任。</w:t>
      </w:r>
    </w:p>
    <w:p w14:paraId="3EBBEF8D">
      <w:pPr>
        <w:widowControl/>
        <w:adjustRightInd/>
        <w:spacing w:line="360" w:lineRule="auto"/>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3.6.7在中标人签订合同并且以缴纳中标服务费（采购人如有要求中标人支付履约保证金的，则增加：支付履约保证金）后5个工作日内，中标人的投标保证金予以原额退还。注：退还时须提供投标保证金原始收据、投标企业对开收据、授权委托书（所提供资料须加盖供应商单位</w:t>
      </w:r>
      <w:r>
        <w:rPr>
          <w:rFonts w:hint="eastAsia" w:ascii="宋体" w:hAnsi="宋体" w:eastAsia="宋体" w:cs="宋体"/>
          <w:color w:val="auto"/>
          <w:kern w:val="2"/>
          <w:sz w:val="24"/>
          <w:szCs w:val="24"/>
          <w:highlight w:val="none"/>
          <w:lang w:eastAsia="zh-CN"/>
        </w:rPr>
        <w:t>盖章</w:t>
      </w:r>
      <w:r>
        <w:rPr>
          <w:rFonts w:hint="eastAsia" w:ascii="宋体" w:hAnsi="宋体" w:eastAsia="宋体" w:cs="宋体"/>
          <w:color w:val="auto"/>
          <w:kern w:val="2"/>
          <w:sz w:val="24"/>
          <w:szCs w:val="24"/>
          <w:highlight w:val="none"/>
        </w:rPr>
        <w:t>）、与采购人签订合同的电子版。</w:t>
      </w:r>
    </w:p>
    <w:p w14:paraId="2D2B81F8">
      <w:pPr>
        <w:widowControl/>
        <w:adjustRightInd/>
        <w:spacing w:line="360" w:lineRule="auto"/>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3.6.8 投标保证金的有效期同投标有效期。</w:t>
      </w:r>
    </w:p>
    <w:p w14:paraId="209CDDFB">
      <w:pPr>
        <w:widowControl/>
        <w:adjustRightInd/>
        <w:spacing w:line="360" w:lineRule="auto"/>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3.6.9 发生以下情况之一的，投标保证金将不予退还：</w:t>
      </w:r>
    </w:p>
    <w:p w14:paraId="3C395711">
      <w:pPr>
        <w:widowControl/>
        <w:adjustRightInd/>
        <w:spacing w:line="360" w:lineRule="auto"/>
        <w:ind w:firstLine="240" w:firstLineChars="1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（1）供应商在投标有效期内撤销响应文件的；</w:t>
      </w:r>
    </w:p>
    <w:p w14:paraId="05D3BC62">
      <w:pPr>
        <w:widowControl/>
        <w:adjustRightInd/>
        <w:spacing w:line="360" w:lineRule="auto"/>
        <w:ind w:firstLine="240" w:firstLineChars="1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（2）供应商提供虚假投标证明材料；</w:t>
      </w:r>
    </w:p>
    <w:p w14:paraId="0C700A47">
      <w:pPr>
        <w:widowControl/>
        <w:adjustRightInd/>
        <w:spacing w:line="360" w:lineRule="auto"/>
        <w:ind w:firstLine="240" w:firstLineChars="1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（3）以他人名义投标或者以其他方式弄虚作假，骗取中标；</w:t>
      </w:r>
    </w:p>
    <w:p w14:paraId="56D6286A">
      <w:pPr>
        <w:widowControl/>
        <w:shd w:val="clear" w:color="auto" w:fill="FFFFFF"/>
        <w:adjustRightInd/>
        <w:snapToGrid w:val="0"/>
        <w:spacing w:line="360" w:lineRule="auto"/>
        <w:ind w:firstLine="240" w:firstLineChars="100"/>
        <w:jc w:val="left"/>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rPr>
        <w:t>（4）</w:t>
      </w:r>
      <w:r>
        <w:rPr>
          <w:rFonts w:hint="eastAsia" w:ascii="宋体" w:hAnsi="宋体" w:eastAsia="宋体" w:cs="宋体"/>
          <w:color w:val="auto"/>
          <w:sz w:val="24"/>
          <w:szCs w:val="24"/>
          <w:highlight w:val="none"/>
        </w:rPr>
        <w:t>供应商在规定的投标有效期内修改其响应文件；</w:t>
      </w:r>
    </w:p>
    <w:p w14:paraId="25C9953D">
      <w:pPr>
        <w:widowControl/>
        <w:shd w:val="clear" w:color="auto" w:fill="FFFFFF"/>
        <w:adjustRightInd/>
        <w:snapToGrid w:val="0"/>
        <w:spacing w:line="360" w:lineRule="auto"/>
        <w:ind w:firstLine="240" w:firstLineChars="1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（5）中标人在收到中标通知书后，无正当理由拒签合同协议书或未按采购文件规定提交履约担保。</w:t>
      </w:r>
    </w:p>
    <w:p w14:paraId="6383794B">
      <w:pPr>
        <w:widowControl/>
        <w:adjustRightInd/>
        <w:spacing w:line="360" w:lineRule="auto"/>
        <w:ind w:firstLine="249" w:firstLineChars="104"/>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（6）上述不予退还投标保证金的情况给采购单位造成损失的，还要承担赔偿责任。</w:t>
      </w:r>
    </w:p>
    <w:p w14:paraId="53ACEE5F">
      <w:pPr>
        <w:widowControl/>
        <w:adjustRightInd/>
        <w:spacing w:line="360" w:lineRule="auto"/>
        <w:jc w:val="center"/>
        <w:outlineLvl w:val="1"/>
        <w:rPr>
          <w:rFonts w:hint="eastAsia" w:ascii="宋体" w:hAnsi="宋体" w:eastAsia="宋体" w:cs="宋体"/>
          <w:b/>
          <w:color w:val="auto"/>
          <w:kern w:val="2"/>
          <w:sz w:val="24"/>
          <w:szCs w:val="24"/>
          <w:highlight w:val="none"/>
        </w:rPr>
      </w:pPr>
      <w:bookmarkStart w:id="158" w:name="_Toc19232"/>
      <w:bookmarkStart w:id="159" w:name="_Toc2989"/>
      <w:r>
        <w:rPr>
          <w:rFonts w:hint="eastAsia" w:ascii="宋体" w:hAnsi="宋体" w:eastAsia="宋体" w:cs="宋体"/>
          <w:b/>
          <w:color w:val="auto"/>
          <w:kern w:val="2"/>
          <w:sz w:val="24"/>
          <w:szCs w:val="24"/>
          <w:highlight w:val="none"/>
        </w:rPr>
        <w:t>4、投标</w:t>
      </w:r>
      <w:bookmarkEnd w:id="158"/>
      <w:bookmarkEnd w:id="159"/>
    </w:p>
    <w:p w14:paraId="6AE435C0">
      <w:pPr>
        <w:widowControl/>
        <w:adjustRightInd/>
        <w:spacing w:line="360" w:lineRule="auto"/>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4.1.</w:t>
      </w:r>
      <w:r>
        <w:rPr>
          <w:rFonts w:hint="eastAsia" w:ascii="宋体" w:hAnsi="宋体" w:eastAsia="宋体" w:cs="宋体"/>
          <w:color w:val="auto"/>
          <w:kern w:val="2"/>
          <w:sz w:val="24"/>
          <w:szCs w:val="24"/>
          <w:highlight w:val="none"/>
        </w:rPr>
        <w:t xml:space="preserve"> </w:t>
      </w:r>
      <w:r>
        <w:rPr>
          <w:rFonts w:hint="eastAsia" w:ascii="宋体" w:hAnsi="宋体" w:eastAsia="宋体" w:cs="宋体"/>
          <w:b/>
          <w:color w:val="auto"/>
          <w:kern w:val="2"/>
          <w:sz w:val="24"/>
          <w:szCs w:val="24"/>
          <w:highlight w:val="none"/>
        </w:rPr>
        <w:t>加密的电子响应文件应在响应文件递交截止时间前通过政采云平台上传完成。</w:t>
      </w:r>
    </w:p>
    <w:p w14:paraId="068CE6F7">
      <w:pPr>
        <w:widowControl/>
        <w:adjustRightInd/>
        <w:spacing w:line="360" w:lineRule="auto"/>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 xml:space="preserve">4.2. </w:t>
      </w:r>
      <w:r>
        <w:rPr>
          <w:rFonts w:hint="eastAsia" w:hAnsi="宋体" w:cs="宋体"/>
          <w:color w:val="auto"/>
          <w:kern w:val="2"/>
          <w:sz w:val="24"/>
          <w:szCs w:val="24"/>
          <w:highlight w:val="none"/>
          <w:lang w:val="en-US" w:eastAsia="zh-CN"/>
        </w:rPr>
        <w:t>★</w:t>
      </w:r>
      <w:r>
        <w:rPr>
          <w:rFonts w:hint="eastAsia" w:ascii="宋体" w:hAnsi="宋体" w:eastAsia="宋体" w:cs="宋体"/>
          <w:b/>
          <w:color w:val="auto"/>
          <w:kern w:val="2"/>
          <w:sz w:val="24"/>
          <w:szCs w:val="24"/>
          <w:highlight w:val="none"/>
        </w:rPr>
        <w:t>逾期上传或者未上传指定地点的响应文件，采购人不予受理。</w:t>
      </w:r>
    </w:p>
    <w:p w14:paraId="3877C136">
      <w:pPr>
        <w:widowControl/>
        <w:shd w:val="clear" w:color="auto" w:fill="FFFFFF"/>
        <w:adjustRightInd/>
        <w:snapToGrid w:val="0"/>
        <w:spacing w:line="360" w:lineRule="auto"/>
        <w:jc w:val="left"/>
        <w:outlineLvl w:val="2"/>
        <w:rPr>
          <w:rFonts w:hint="eastAsia" w:ascii="宋体" w:hAnsi="宋体" w:eastAsia="宋体" w:cs="宋体"/>
          <w:b/>
          <w:color w:val="auto"/>
          <w:sz w:val="24"/>
          <w:szCs w:val="24"/>
          <w:highlight w:val="none"/>
        </w:rPr>
      </w:pPr>
      <w:bookmarkStart w:id="160" w:name="_Toc30297"/>
      <w:bookmarkStart w:id="161" w:name="_Toc27438"/>
      <w:r>
        <w:rPr>
          <w:rFonts w:hint="eastAsia" w:ascii="宋体" w:hAnsi="宋体" w:eastAsia="宋体" w:cs="宋体"/>
          <w:b/>
          <w:color w:val="auto"/>
          <w:sz w:val="24"/>
          <w:szCs w:val="24"/>
          <w:highlight w:val="none"/>
        </w:rPr>
        <w:t>4.3</w:t>
      </w:r>
      <w:r>
        <w:rPr>
          <w:rFonts w:hint="eastAsia" w:ascii="宋体" w:hAnsi="宋体" w:eastAsia="宋体" w:cs="宋体"/>
          <w:b/>
          <w:color w:val="auto"/>
          <w:kern w:val="2"/>
          <w:sz w:val="24"/>
          <w:szCs w:val="24"/>
          <w:highlight w:val="none"/>
        </w:rPr>
        <w:t xml:space="preserve">. </w:t>
      </w:r>
      <w:r>
        <w:rPr>
          <w:rFonts w:hint="eastAsia" w:ascii="宋体" w:hAnsi="宋体" w:eastAsia="宋体" w:cs="宋体"/>
          <w:b/>
          <w:color w:val="auto"/>
          <w:sz w:val="24"/>
          <w:szCs w:val="24"/>
          <w:highlight w:val="none"/>
        </w:rPr>
        <w:t>响应文件的修改与撤回</w:t>
      </w:r>
      <w:bookmarkEnd w:id="160"/>
      <w:bookmarkEnd w:id="161"/>
    </w:p>
    <w:p w14:paraId="71B93C3D">
      <w:pPr>
        <w:widowControl/>
        <w:adjustRightInd/>
        <w:spacing w:line="360" w:lineRule="auto"/>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4.3.1供应商在供应商须知前附表规定的提交响应文件截止时间前，可以撤回已上传的响应文件。如要修改，必须在撤回并修改后在规定的响应文件递交截止时间之前将修改后的响应文件再重新上传。在响应文件递交截止时间之后，供应商不得对上传的响应文件撤销或修改。</w:t>
      </w:r>
    </w:p>
    <w:p w14:paraId="5BBB137A">
      <w:pPr>
        <w:widowControl/>
        <w:adjustRightInd/>
        <w:spacing w:line="360" w:lineRule="auto"/>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4.3.2供应商不得在开标时间起至投标有效期期满前撤回响应文件。</w:t>
      </w:r>
    </w:p>
    <w:p w14:paraId="483DB2F9">
      <w:pPr>
        <w:widowControl/>
        <w:adjustRightInd/>
        <w:spacing w:line="360" w:lineRule="auto"/>
        <w:jc w:val="center"/>
        <w:outlineLvl w:val="1"/>
        <w:rPr>
          <w:rFonts w:hint="eastAsia" w:ascii="宋体" w:hAnsi="宋体" w:eastAsia="宋体" w:cs="宋体"/>
          <w:b/>
          <w:color w:val="auto"/>
          <w:kern w:val="2"/>
          <w:sz w:val="24"/>
          <w:szCs w:val="24"/>
          <w:highlight w:val="none"/>
        </w:rPr>
      </w:pPr>
      <w:bookmarkStart w:id="162" w:name="_Toc9265"/>
      <w:bookmarkStart w:id="163" w:name="_Toc32764"/>
      <w:r>
        <w:rPr>
          <w:rFonts w:hint="eastAsia" w:ascii="宋体" w:hAnsi="宋体" w:eastAsia="宋体" w:cs="宋体"/>
          <w:b/>
          <w:color w:val="auto"/>
          <w:kern w:val="2"/>
          <w:sz w:val="24"/>
          <w:szCs w:val="24"/>
          <w:highlight w:val="none"/>
        </w:rPr>
        <w:t>5、</w:t>
      </w:r>
      <w:r>
        <w:rPr>
          <w:rFonts w:hint="eastAsia" w:ascii="宋体" w:hAnsi="宋体" w:eastAsia="宋体" w:cs="宋体"/>
          <w:b/>
          <w:color w:val="auto"/>
          <w:spacing w:val="8"/>
          <w:sz w:val="24"/>
          <w:szCs w:val="24"/>
          <w:highlight w:val="none"/>
        </w:rPr>
        <w:t>开标</w:t>
      </w:r>
      <w:bookmarkEnd w:id="162"/>
      <w:bookmarkEnd w:id="163"/>
    </w:p>
    <w:p w14:paraId="07D560AB">
      <w:pPr>
        <w:widowControl/>
        <w:adjustRightInd/>
        <w:spacing w:line="360" w:lineRule="auto"/>
        <w:jc w:val="left"/>
        <w:outlineLvl w:val="2"/>
        <w:rPr>
          <w:rFonts w:hint="eastAsia" w:ascii="宋体" w:hAnsi="宋体" w:eastAsia="宋体" w:cs="宋体"/>
          <w:color w:val="auto"/>
          <w:kern w:val="2"/>
          <w:sz w:val="24"/>
          <w:szCs w:val="24"/>
          <w:highlight w:val="none"/>
        </w:rPr>
      </w:pPr>
      <w:bookmarkStart w:id="164" w:name="_Toc23887"/>
      <w:bookmarkStart w:id="165" w:name="_Toc14544"/>
      <w:r>
        <w:rPr>
          <w:rFonts w:hint="eastAsia" w:ascii="宋体" w:hAnsi="宋体" w:eastAsia="宋体" w:cs="宋体"/>
          <w:b/>
          <w:color w:val="auto"/>
          <w:kern w:val="2"/>
          <w:sz w:val="24"/>
          <w:szCs w:val="24"/>
          <w:highlight w:val="none"/>
        </w:rPr>
        <w:t>5.1. 开标</w:t>
      </w:r>
      <w:bookmarkEnd w:id="164"/>
      <w:bookmarkEnd w:id="165"/>
    </w:p>
    <w:p w14:paraId="6DE813AB">
      <w:pPr>
        <w:widowControl/>
        <w:adjustRightInd/>
        <w:spacing w:line="360" w:lineRule="auto"/>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供应商须在在提交响应文件截止时间前通过CA在政采云平台上传加密的电子响应文件。供应商在开标时须使用制作加密电子响应文件所使用的CA锁解密，供应商须提前配置好浏览器（建议使用360浏览器或谷歌浏览器），并确保开标期间电脑网络环境畅通，以便开标时解密。本项目解密时间定为30分钟，如因供应商自身原因导致无法正常解密，后果由供应商自行承担。</w:t>
      </w:r>
    </w:p>
    <w:p w14:paraId="61AA802E">
      <w:pPr>
        <w:widowControl/>
        <w:adjustRightInd/>
        <w:spacing w:line="360" w:lineRule="auto"/>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参与电子投标供应商，“不见面开标”大厅操作提示：①开标前一小时在系统进行在线签到②30分钟内完成在线解密③开标结束后30分钟内完成“开标一览表”在线签章。注意：如未在规定时间进行以上操作，将导致投标（响应）无效。</w:t>
      </w:r>
    </w:p>
    <w:p w14:paraId="48170BB2">
      <w:pPr>
        <w:widowControl/>
        <w:adjustRightInd/>
        <w:spacing w:line="360" w:lineRule="auto"/>
        <w:jc w:val="center"/>
        <w:outlineLvl w:val="9"/>
        <w:rPr>
          <w:rFonts w:hint="eastAsia" w:ascii="宋体" w:hAnsi="宋体" w:eastAsia="宋体" w:cs="宋体"/>
          <w:b/>
          <w:color w:val="auto"/>
          <w:kern w:val="2"/>
          <w:sz w:val="24"/>
          <w:szCs w:val="24"/>
          <w:highlight w:val="none"/>
        </w:rPr>
      </w:pPr>
      <w:bookmarkStart w:id="166" w:name="_Toc23153"/>
      <w:bookmarkStart w:id="167" w:name="_Toc4373"/>
    </w:p>
    <w:p w14:paraId="55B3B634">
      <w:pPr>
        <w:widowControl/>
        <w:adjustRightInd/>
        <w:spacing w:line="360" w:lineRule="auto"/>
        <w:jc w:val="center"/>
        <w:outlineLvl w:val="1"/>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6、评标</w:t>
      </w:r>
      <w:bookmarkEnd w:id="166"/>
      <w:bookmarkEnd w:id="167"/>
    </w:p>
    <w:p w14:paraId="451FA2EB">
      <w:pPr>
        <w:widowControl/>
        <w:adjustRightInd/>
        <w:spacing w:line="360" w:lineRule="auto"/>
        <w:jc w:val="left"/>
        <w:outlineLvl w:val="2"/>
        <w:rPr>
          <w:rFonts w:hint="eastAsia" w:ascii="宋体" w:hAnsi="宋体" w:eastAsia="宋体" w:cs="宋体"/>
          <w:b/>
          <w:color w:val="auto"/>
          <w:kern w:val="2"/>
          <w:sz w:val="24"/>
          <w:szCs w:val="24"/>
          <w:highlight w:val="none"/>
        </w:rPr>
      </w:pPr>
      <w:bookmarkStart w:id="168" w:name="_Toc26946"/>
      <w:bookmarkStart w:id="169" w:name="_Toc30133"/>
      <w:r>
        <w:rPr>
          <w:rFonts w:hint="eastAsia" w:ascii="宋体" w:hAnsi="宋体" w:eastAsia="宋体" w:cs="宋体"/>
          <w:b/>
          <w:color w:val="auto"/>
          <w:kern w:val="2"/>
          <w:sz w:val="24"/>
          <w:szCs w:val="24"/>
          <w:highlight w:val="none"/>
        </w:rPr>
        <w:t>6.1．评标委员会</w:t>
      </w:r>
      <w:bookmarkEnd w:id="168"/>
      <w:bookmarkEnd w:id="169"/>
    </w:p>
    <w:p w14:paraId="33D2C061">
      <w:pPr>
        <w:widowControl/>
        <w:adjustRightInd/>
        <w:spacing w:line="360" w:lineRule="auto"/>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 xml:space="preserve">6.1.1按照《中华人民共和国政府采购法》、《中华人民共和国政府采购法实施条例》及本项目本级和上级财政部门的有关规定依法组建的评标委员会，负责评标工作。 </w:t>
      </w:r>
    </w:p>
    <w:p w14:paraId="19CF671A">
      <w:pPr>
        <w:widowControl/>
        <w:adjustRightInd/>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rPr>
        <w:t>6.1.2</w:t>
      </w:r>
      <w:r>
        <w:rPr>
          <w:rFonts w:hint="eastAsia" w:ascii="宋体" w:hAnsi="宋体" w:eastAsia="宋体" w:cs="宋体"/>
          <w:color w:val="auto"/>
          <w:sz w:val="24"/>
          <w:szCs w:val="24"/>
          <w:highlight w:val="none"/>
        </w:rPr>
        <w:t xml:space="preserve">招标单位就采购文件征询过意见的专家，不得再作为评标专家参加评标。采购代理机构工作人员不得参加由本机构代理的招标项目的评标。 </w:t>
      </w:r>
    </w:p>
    <w:p w14:paraId="44334B09">
      <w:pPr>
        <w:widowControl/>
        <w:adjustRightInd/>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6.1.3评标委员会成员应当履行下列义务： </w:t>
      </w:r>
    </w:p>
    <w:p w14:paraId="3C87E93B">
      <w:pPr>
        <w:widowControl/>
        <w:adjustRightInd/>
        <w:spacing w:line="360" w:lineRule="auto"/>
        <w:ind w:firstLine="120" w:firstLineChars="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（一）遵纪守法，客观、公正、廉洁地履行职责； </w:t>
      </w:r>
    </w:p>
    <w:p w14:paraId="6DBE1EE5">
      <w:pPr>
        <w:widowControl/>
        <w:adjustRightInd/>
        <w:spacing w:line="360" w:lineRule="auto"/>
        <w:ind w:firstLine="120" w:firstLineChars="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（二）按照采购文件规定的评标方法和评标标准进行评标，对评审意见承担个人责任； </w:t>
      </w:r>
    </w:p>
    <w:p w14:paraId="5822D56D">
      <w:pPr>
        <w:widowControl/>
        <w:adjustRightInd/>
        <w:spacing w:line="360" w:lineRule="auto"/>
        <w:ind w:firstLine="120" w:firstLineChars="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（三）对评标过程和结果，以及供应商的商业秘密保密； </w:t>
      </w:r>
    </w:p>
    <w:p w14:paraId="4E11691A">
      <w:pPr>
        <w:widowControl/>
        <w:adjustRightInd/>
        <w:spacing w:line="360" w:lineRule="auto"/>
        <w:ind w:firstLine="120" w:firstLineChars="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（四）参与评标报告的起草； </w:t>
      </w:r>
    </w:p>
    <w:p w14:paraId="326C491F">
      <w:pPr>
        <w:widowControl/>
        <w:adjustRightInd/>
        <w:spacing w:line="360" w:lineRule="auto"/>
        <w:ind w:firstLine="120" w:firstLineChars="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（五）配合有关部门的投诉处理工作； </w:t>
      </w:r>
    </w:p>
    <w:p w14:paraId="4EB75DF1">
      <w:pPr>
        <w:widowControl/>
        <w:adjustRightInd/>
        <w:spacing w:line="360" w:lineRule="auto"/>
        <w:ind w:firstLine="120" w:firstLineChars="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（六）配合招标单位答复供应商提出的质疑。 </w:t>
      </w:r>
    </w:p>
    <w:p w14:paraId="5E18F4EC">
      <w:pPr>
        <w:widowControl/>
        <w:adjustRightInd/>
        <w:spacing w:line="360" w:lineRule="auto"/>
        <w:jc w:val="left"/>
        <w:outlineLvl w:val="2"/>
        <w:rPr>
          <w:rFonts w:hint="eastAsia" w:ascii="宋体" w:hAnsi="宋体" w:eastAsia="宋体" w:cs="宋体"/>
          <w:color w:val="auto"/>
          <w:kern w:val="2"/>
          <w:sz w:val="24"/>
          <w:szCs w:val="24"/>
          <w:highlight w:val="none"/>
        </w:rPr>
      </w:pPr>
      <w:bookmarkStart w:id="170" w:name="_Toc27427"/>
      <w:bookmarkStart w:id="171" w:name="_Toc24172"/>
      <w:r>
        <w:rPr>
          <w:rFonts w:hint="eastAsia" w:ascii="宋体" w:hAnsi="宋体" w:eastAsia="宋体" w:cs="宋体"/>
          <w:b/>
          <w:color w:val="auto"/>
          <w:kern w:val="2"/>
          <w:sz w:val="24"/>
          <w:szCs w:val="24"/>
          <w:highlight w:val="none"/>
        </w:rPr>
        <w:t>6.2．评标</w:t>
      </w:r>
      <w:bookmarkEnd w:id="170"/>
      <w:bookmarkEnd w:id="171"/>
    </w:p>
    <w:p w14:paraId="72A489C8">
      <w:pPr>
        <w:widowControl/>
        <w:adjustRightInd/>
        <w:spacing w:line="360" w:lineRule="auto"/>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6.2.1本项目评标办法根据</w:t>
      </w:r>
      <w:r>
        <w:rPr>
          <w:rFonts w:hint="eastAsia" w:ascii="宋体" w:hAnsi="宋体" w:eastAsia="宋体" w:cs="宋体"/>
          <w:color w:val="auto"/>
          <w:sz w:val="24"/>
          <w:szCs w:val="24"/>
          <w:highlight w:val="none"/>
        </w:rPr>
        <w:t>《政府采购货物和服务招标投标管理办法》（中华人民共和国财政部令第87号）</w:t>
      </w:r>
      <w:r>
        <w:rPr>
          <w:rFonts w:hint="eastAsia" w:ascii="宋体" w:hAnsi="宋体" w:eastAsia="宋体" w:cs="宋体"/>
          <w:color w:val="auto"/>
          <w:kern w:val="2"/>
          <w:sz w:val="24"/>
          <w:szCs w:val="24"/>
          <w:highlight w:val="none"/>
        </w:rPr>
        <w:t>规定的评审标准，评标办法（详见第三章）。</w:t>
      </w:r>
    </w:p>
    <w:p w14:paraId="35CF653E">
      <w:pPr>
        <w:widowControl/>
        <w:adjustRightInd/>
        <w:spacing w:line="360" w:lineRule="auto"/>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6.2.2对所有供应商的评估，都采用相同的程序和采购文件规定的评审标准。评议过程将严格按照采购文件规定的评标办法和标准进行。</w:t>
      </w:r>
    </w:p>
    <w:p w14:paraId="416D0862">
      <w:pPr>
        <w:widowControl/>
        <w:adjustRightInd/>
        <w:spacing w:line="360" w:lineRule="auto"/>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6.2.3有关响应文件的审查、澄清、评估和比较以及推荐中标候选人的一切情况都不得透露给任一供应商或与上述评标工作无关的人员。</w:t>
      </w:r>
    </w:p>
    <w:p w14:paraId="7F97134F">
      <w:pPr>
        <w:widowControl/>
        <w:adjustRightInd/>
        <w:spacing w:line="360" w:lineRule="auto"/>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6.2.4供应商任何试图影响评委会对响应文件的评估、比较或者推荐候选人的行为，都将导致其投标被拒绝，并被没收投标保证金。</w:t>
      </w:r>
    </w:p>
    <w:p w14:paraId="702621E2">
      <w:pPr>
        <w:widowControl/>
        <w:adjustRightInd/>
        <w:spacing w:line="360" w:lineRule="auto"/>
        <w:jc w:val="left"/>
        <w:outlineLvl w:val="2"/>
        <w:rPr>
          <w:rFonts w:hint="eastAsia" w:ascii="宋体" w:hAnsi="宋体" w:eastAsia="宋体" w:cs="宋体"/>
          <w:color w:val="auto"/>
          <w:kern w:val="2"/>
          <w:sz w:val="24"/>
          <w:szCs w:val="24"/>
          <w:highlight w:val="none"/>
        </w:rPr>
      </w:pPr>
      <w:bookmarkStart w:id="172" w:name="_Toc32304"/>
      <w:bookmarkStart w:id="173" w:name="_Toc23856"/>
      <w:r>
        <w:rPr>
          <w:rFonts w:hint="eastAsia" w:ascii="宋体" w:hAnsi="宋体" w:eastAsia="宋体" w:cs="宋体"/>
          <w:b/>
          <w:color w:val="auto"/>
          <w:kern w:val="2"/>
          <w:sz w:val="24"/>
          <w:szCs w:val="24"/>
          <w:highlight w:val="none"/>
        </w:rPr>
        <w:t>6.3. 响应文件的初审</w:t>
      </w:r>
      <w:bookmarkEnd w:id="172"/>
      <w:bookmarkEnd w:id="173"/>
    </w:p>
    <w:p w14:paraId="1F98A65D">
      <w:pPr>
        <w:widowControl/>
        <w:adjustRightInd/>
        <w:spacing w:line="360" w:lineRule="auto"/>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 xml:space="preserve">6.3.1评委会将对响应文件进行检查，以确定响应文件是否完整、有无计算上的错误、是否提交了投标保证金、文件是否已正确签署。 </w:t>
      </w:r>
    </w:p>
    <w:p w14:paraId="79376FB5">
      <w:pPr>
        <w:widowControl/>
        <w:adjustRightInd/>
        <w:spacing w:line="360" w:lineRule="auto"/>
        <w:jc w:val="left"/>
        <w:outlineLvl w:val="2"/>
        <w:rPr>
          <w:rFonts w:hint="eastAsia" w:ascii="宋体" w:hAnsi="宋体" w:eastAsia="宋体" w:cs="宋体"/>
          <w:b/>
          <w:color w:val="auto"/>
          <w:kern w:val="2"/>
          <w:sz w:val="24"/>
          <w:szCs w:val="24"/>
          <w:highlight w:val="none"/>
        </w:rPr>
      </w:pPr>
      <w:bookmarkStart w:id="174" w:name="_Toc24"/>
      <w:bookmarkStart w:id="175" w:name="_Toc20455"/>
      <w:r>
        <w:rPr>
          <w:rFonts w:hint="eastAsia" w:ascii="宋体" w:hAnsi="宋体" w:eastAsia="宋体" w:cs="宋体"/>
          <w:b/>
          <w:color w:val="auto"/>
          <w:kern w:val="2"/>
          <w:sz w:val="24"/>
          <w:szCs w:val="24"/>
          <w:highlight w:val="none"/>
        </w:rPr>
        <w:t>6.4.资格性检查和符合性检查</w:t>
      </w:r>
      <w:bookmarkEnd w:id="174"/>
      <w:bookmarkEnd w:id="175"/>
      <w:r>
        <w:rPr>
          <w:rFonts w:hint="eastAsia" w:ascii="宋体" w:hAnsi="宋体" w:eastAsia="宋体" w:cs="宋体"/>
          <w:b/>
          <w:color w:val="auto"/>
          <w:kern w:val="2"/>
          <w:sz w:val="24"/>
          <w:szCs w:val="24"/>
          <w:highlight w:val="none"/>
        </w:rPr>
        <w:t xml:space="preserve"> </w:t>
      </w:r>
    </w:p>
    <w:p w14:paraId="2CB29333">
      <w:pPr>
        <w:widowControl/>
        <w:adjustRightInd/>
        <w:spacing w:line="360" w:lineRule="auto"/>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6.4.4评标委员会判断响应文件的响应性仅基于响应文件本身而不靠外部证据。</w:t>
      </w:r>
    </w:p>
    <w:p w14:paraId="782B8D17">
      <w:pPr>
        <w:widowControl/>
        <w:adjustRightInd/>
        <w:spacing w:line="360" w:lineRule="auto"/>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6.4.5评标委员会将拒绝被确定为非实质性响应的投标，供应商不能通过修正或撤销不符之处而使其投标成为实质性响应的投标。</w:t>
      </w:r>
    </w:p>
    <w:p w14:paraId="1352BEFD">
      <w:pPr>
        <w:widowControl/>
        <w:adjustRightInd/>
        <w:spacing w:line="360" w:lineRule="auto"/>
        <w:jc w:val="left"/>
        <w:outlineLvl w:val="2"/>
        <w:rPr>
          <w:rFonts w:hint="eastAsia" w:ascii="宋体" w:hAnsi="宋体" w:eastAsia="宋体" w:cs="宋体"/>
          <w:color w:val="auto"/>
          <w:kern w:val="2"/>
          <w:sz w:val="24"/>
          <w:szCs w:val="24"/>
          <w:highlight w:val="none"/>
        </w:rPr>
      </w:pPr>
      <w:bookmarkStart w:id="176" w:name="_Toc31575"/>
      <w:bookmarkStart w:id="177" w:name="_Toc21504"/>
      <w:r>
        <w:rPr>
          <w:rFonts w:hint="eastAsia" w:ascii="宋体" w:hAnsi="宋体" w:eastAsia="宋体" w:cs="宋体"/>
          <w:b/>
          <w:color w:val="auto"/>
          <w:kern w:val="2"/>
          <w:sz w:val="24"/>
          <w:szCs w:val="24"/>
          <w:highlight w:val="none"/>
        </w:rPr>
        <w:t>6.5.响应文件的澄清</w:t>
      </w:r>
      <w:bookmarkEnd w:id="176"/>
      <w:bookmarkEnd w:id="177"/>
      <w:r>
        <w:rPr>
          <w:rFonts w:hint="eastAsia" w:ascii="宋体" w:hAnsi="宋体" w:eastAsia="宋体" w:cs="宋体"/>
          <w:color w:val="auto"/>
          <w:kern w:val="2"/>
          <w:sz w:val="24"/>
          <w:szCs w:val="24"/>
          <w:highlight w:val="none"/>
        </w:rPr>
        <w:t xml:space="preserve"> </w:t>
      </w:r>
    </w:p>
    <w:p w14:paraId="0D9861A4">
      <w:pPr>
        <w:widowControl/>
        <w:adjustRightInd/>
        <w:spacing w:line="360" w:lineRule="auto"/>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6.5.1评标委员会将允许供应商修改响应文件中不构成重大偏离的微小的、非正规、不一致或不规则地方，但这种允许不能损害或影响任何供应商的相对排序。</w:t>
      </w:r>
    </w:p>
    <w:p w14:paraId="4E50EA98">
      <w:pPr>
        <w:widowControl/>
        <w:adjustRightInd/>
        <w:spacing w:line="360" w:lineRule="auto"/>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6.5.2对于响应文件中含义不明确、同类问题表述不一致或者有明显文字和计算错误的内容，评标委员会应当以书面形式要求供应商作出必要的澄清、说明或者补正。</w:t>
      </w:r>
    </w:p>
    <w:p w14:paraId="1E7147AB">
      <w:pPr>
        <w:widowControl/>
        <w:adjustRightInd/>
        <w:spacing w:line="360" w:lineRule="auto"/>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　  供应商的澄清、说明或者补正应当采用书面形式，并加盖</w:t>
      </w:r>
      <w:r>
        <w:rPr>
          <w:rFonts w:hint="eastAsia" w:ascii="宋体" w:hAnsi="宋体" w:eastAsia="宋体" w:cs="宋体"/>
          <w:color w:val="auto"/>
          <w:kern w:val="2"/>
          <w:sz w:val="24"/>
          <w:szCs w:val="24"/>
          <w:highlight w:val="none"/>
          <w:lang w:eastAsia="zh-CN"/>
        </w:rPr>
        <w:t>盖章</w:t>
      </w:r>
      <w:r>
        <w:rPr>
          <w:rFonts w:hint="eastAsia" w:ascii="宋体" w:hAnsi="宋体" w:eastAsia="宋体" w:cs="宋体"/>
          <w:color w:val="auto"/>
          <w:kern w:val="2"/>
          <w:sz w:val="24"/>
          <w:szCs w:val="24"/>
          <w:highlight w:val="none"/>
        </w:rPr>
        <w:t>，或者由法定代表人或其授权的代表签字。供应商的澄清、说明或者补正不得超出响应文件的范围或者改变响应文件的实质性内容。</w:t>
      </w:r>
    </w:p>
    <w:p w14:paraId="573AC269">
      <w:pPr>
        <w:widowControl/>
        <w:adjustRightInd/>
        <w:spacing w:line="360" w:lineRule="auto"/>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6.5.3响应文件报价出现前后不一致的，除采购文件另有规定外，按照下列规定修正：</w:t>
      </w:r>
    </w:p>
    <w:p w14:paraId="28D90651">
      <w:pPr>
        <w:widowControl/>
        <w:adjustRightInd/>
        <w:spacing w:line="360" w:lineRule="auto"/>
        <w:ind w:left="16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（一）响应文件中开标一览表（报价表）内容与响应文件中相应内容不一致的，以开标一览表（报价表）为准；</w:t>
      </w:r>
    </w:p>
    <w:p w14:paraId="7DA5864C">
      <w:pPr>
        <w:widowControl/>
        <w:adjustRightInd/>
        <w:spacing w:line="360" w:lineRule="auto"/>
        <w:ind w:left="16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（二）大写金额和小写金额不一致的，以大写金额为准；</w:t>
      </w:r>
    </w:p>
    <w:p w14:paraId="0F52DA47">
      <w:pPr>
        <w:widowControl/>
        <w:adjustRightInd/>
        <w:spacing w:line="360" w:lineRule="auto"/>
        <w:ind w:left="16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（三）单价金额小数点或者百分比有明显错位的，以开标一览表的总价为准，并修改单价；</w:t>
      </w:r>
    </w:p>
    <w:p w14:paraId="2B34BD93">
      <w:pPr>
        <w:widowControl/>
        <w:adjustRightInd/>
        <w:spacing w:line="360" w:lineRule="auto"/>
        <w:ind w:left="16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（四）总价金额与按单价汇总金额不一致的，以单价金额计算结果为准。</w:t>
      </w:r>
    </w:p>
    <w:p w14:paraId="0F18DA17">
      <w:pPr>
        <w:widowControl/>
        <w:adjustRightInd/>
        <w:spacing w:line="360" w:lineRule="auto"/>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　　同时出现两种以上不一致的，按照前款规定的顺序修正。修正后的报价按照本章第6.5.2条第二款的规定经供应商确认后产生约束力，</w:t>
      </w:r>
      <w:r>
        <w:rPr>
          <w:rFonts w:hint="eastAsia" w:hAnsi="宋体" w:cs="宋体"/>
          <w:color w:val="auto"/>
          <w:kern w:val="2"/>
          <w:sz w:val="24"/>
          <w:szCs w:val="24"/>
          <w:highlight w:val="none"/>
          <w:lang w:val="en-US" w:eastAsia="zh-CN"/>
        </w:rPr>
        <w:t>★</w:t>
      </w:r>
      <w:r>
        <w:rPr>
          <w:rFonts w:hint="eastAsia" w:ascii="宋体" w:hAnsi="宋体" w:eastAsia="宋体" w:cs="宋体"/>
          <w:b/>
          <w:color w:val="auto"/>
          <w:kern w:val="2"/>
          <w:sz w:val="24"/>
          <w:szCs w:val="24"/>
          <w:highlight w:val="none"/>
        </w:rPr>
        <w:t>供应商不确认的，其投标无效。</w:t>
      </w:r>
    </w:p>
    <w:p w14:paraId="4D1E0570">
      <w:pPr>
        <w:widowControl/>
        <w:adjustRightInd/>
        <w:spacing w:line="360" w:lineRule="auto"/>
        <w:jc w:val="left"/>
        <w:outlineLvl w:val="2"/>
        <w:rPr>
          <w:rFonts w:hint="eastAsia" w:ascii="宋体" w:hAnsi="宋体" w:eastAsia="宋体" w:cs="宋体"/>
          <w:color w:val="auto"/>
          <w:kern w:val="2"/>
          <w:sz w:val="24"/>
          <w:szCs w:val="24"/>
          <w:highlight w:val="none"/>
        </w:rPr>
      </w:pPr>
      <w:bookmarkStart w:id="178" w:name="_Toc31902"/>
      <w:bookmarkStart w:id="179" w:name="_Toc5052"/>
      <w:r>
        <w:rPr>
          <w:rFonts w:hint="eastAsia" w:ascii="宋体" w:hAnsi="宋体" w:eastAsia="宋体" w:cs="宋体"/>
          <w:b/>
          <w:color w:val="auto"/>
          <w:kern w:val="2"/>
          <w:sz w:val="24"/>
          <w:szCs w:val="24"/>
          <w:highlight w:val="none"/>
        </w:rPr>
        <w:t>6.6. 比较与评价</w:t>
      </w:r>
      <w:bookmarkEnd w:id="178"/>
      <w:bookmarkEnd w:id="179"/>
    </w:p>
    <w:p w14:paraId="053F78DF">
      <w:pPr>
        <w:widowControl/>
        <w:adjustRightInd/>
        <w:spacing w:line="360" w:lineRule="auto"/>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6.6.1评标委员会</w:t>
      </w:r>
      <w:r>
        <w:rPr>
          <w:rFonts w:hint="eastAsia" w:ascii="宋体" w:hAnsi="宋体" w:eastAsia="宋体" w:cs="宋体"/>
          <w:color w:val="auto"/>
          <w:sz w:val="24"/>
          <w:szCs w:val="24"/>
          <w:highlight w:val="none"/>
        </w:rPr>
        <w:t>按采购文件中规定的评标方法和标准，对资格性检查和符合性检查合格的响应文件进行商务和技术评估，综合比较与评价</w:t>
      </w:r>
      <w:r>
        <w:rPr>
          <w:rFonts w:hint="eastAsia" w:ascii="宋体" w:hAnsi="宋体" w:eastAsia="宋体" w:cs="宋体"/>
          <w:b/>
          <w:color w:val="auto"/>
          <w:kern w:val="2"/>
          <w:sz w:val="24"/>
          <w:szCs w:val="24"/>
          <w:highlight w:val="none"/>
        </w:rPr>
        <w:t>。</w:t>
      </w:r>
    </w:p>
    <w:p w14:paraId="21AA1D41">
      <w:pPr>
        <w:widowControl/>
        <w:adjustRightInd/>
        <w:spacing w:line="360" w:lineRule="auto"/>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6.6.2</w:t>
      </w:r>
      <w:r>
        <w:rPr>
          <w:rFonts w:hint="eastAsia" w:ascii="宋体" w:hAnsi="宋体" w:eastAsia="宋体" w:cs="宋体"/>
          <w:b/>
          <w:color w:val="auto"/>
          <w:kern w:val="2"/>
          <w:sz w:val="24"/>
          <w:szCs w:val="24"/>
          <w:highlight w:val="none"/>
        </w:rPr>
        <w:t>评标委员会认为供应商的报价明显低于其他通过符合性审查供应商的报价，有可能影响</w:t>
      </w:r>
      <w:r>
        <w:rPr>
          <w:rFonts w:hint="eastAsia" w:hAnsi="宋体" w:cs="宋体"/>
          <w:b/>
          <w:color w:val="auto"/>
          <w:kern w:val="2"/>
          <w:sz w:val="24"/>
          <w:szCs w:val="24"/>
          <w:highlight w:val="none"/>
          <w:lang w:val="en-US" w:eastAsia="zh-CN"/>
        </w:rPr>
        <w:t>服务</w:t>
      </w:r>
      <w:r>
        <w:rPr>
          <w:rFonts w:hint="eastAsia" w:ascii="宋体" w:hAnsi="宋体" w:eastAsia="宋体" w:cs="宋体"/>
          <w:b/>
          <w:color w:val="auto"/>
          <w:kern w:val="2"/>
          <w:sz w:val="24"/>
          <w:szCs w:val="24"/>
          <w:highlight w:val="none"/>
        </w:rPr>
        <w:t>质量或者不能诚信履约的，应当要求其在评标现场合理的时间内提供书面说明，必要时提交相关证明材料；供应商不能证明其报价合理性的，评标委员会应当将其作为无效投标处理</w:t>
      </w:r>
      <w:r>
        <w:rPr>
          <w:rFonts w:hint="eastAsia" w:ascii="宋体" w:hAnsi="宋体" w:eastAsia="宋体" w:cs="宋体"/>
          <w:color w:val="auto"/>
          <w:kern w:val="2"/>
          <w:sz w:val="24"/>
          <w:szCs w:val="24"/>
          <w:highlight w:val="none"/>
        </w:rPr>
        <w:t>。</w:t>
      </w:r>
    </w:p>
    <w:p w14:paraId="15B9C588">
      <w:pPr>
        <w:widowControl/>
        <w:adjustRightInd/>
        <w:spacing w:line="360" w:lineRule="auto"/>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6.6.3 经评审后，若出现符合本须知规定的所有投标条件的供应商不足三家情形的，本次招标终止，除采购任务取消情形外，招标单位将依法重新组织招标或者采取其他方式采购。</w:t>
      </w:r>
    </w:p>
    <w:p w14:paraId="38E1C343">
      <w:pPr>
        <w:widowControl/>
        <w:adjustRightInd/>
        <w:spacing w:line="360" w:lineRule="auto"/>
        <w:jc w:val="center"/>
        <w:outlineLvl w:val="1"/>
        <w:rPr>
          <w:rFonts w:hint="eastAsia" w:ascii="宋体" w:hAnsi="宋体" w:eastAsia="宋体" w:cs="宋体"/>
          <w:b/>
          <w:color w:val="auto"/>
          <w:kern w:val="2"/>
          <w:sz w:val="24"/>
          <w:szCs w:val="24"/>
          <w:highlight w:val="none"/>
        </w:rPr>
      </w:pPr>
      <w:bookmarkStart w:id="180" w:name="_Toc30101"/>
      <w:bookmarkStart w:id="181" w:name="_Toc17700"/>
      <w:r>
        <w:rPr>
          <w:rFonts w:hint="eastAsia" w:ascii="宋体" w:hAnsi="宋体" w:eastAsia="宋体" w:cs="宋体"/>
          <w:b/>
          <w:color w:val="auto"/>
          <w:kern w:val="2"/>
          <w:sz w:val="24"/>
          <w:szCs w:val="24"/>
          <w:highlight w:val="none"/>
        </w:rPr>
        <w:t>7、定标与授予合同</w:t>
      </w:r>
      <w:bookmarkEnd w:id="180"/>
      <w:bookmarkEnd w:id="181"/>
    </w:p>
    <w:p w14:paraId="79507619">
      <w:pPr>
        <w:widowControl/>
        <w:adjustRightInd/>
        <w:spacing w:line="360" w:lineRule="auto"/>
        <w:jc w:val="left"/>
        <w:outlineLvl w:val="2"/>
        <w:rPr>
          <w:rFonts w:hint="eastAsia" w:ascii="宋体" w:hAnsi="宋体" w:eastAsia="宋体" w:cs="宋体"/>
          <w:b/>
          <w:color w:val="auto"/>
          <w:kern w:val="2"/>
          <w:sz w:val="24"/>
          <w:szCs w:val="24"/>
          <w:highlight w:val="none"/>
        </w:rPr>
      </w:pPr>
      <w:bookmarkStart w:id="182" w:name="_Toc8469"/>
      <w:bookmarkStart w:id="183" w:name="_Toc17257"/>
      <w:r>
        <w:rPr>
          <w:rFonts w:hint="eastAsia" w:ascii="宋体" w:hAnsi="宋体" w:eastAsia="宋体" w:cs="宋体"/>
          <w:b/>
          <w:color w:val="auto"/>
          <w:kern w:val="2"/>
          <w:sz w:val="24"/>
          <w:szCs w:val="24"/>
          <w:highlight w:val="none"/>
        </w:rPr>
        <w:t>7.1. 定标准则</w:t>
      </w:r>
      <w:bookmarkEnd w:id="182"/>
      <w:bookmarkEnd w:id="183"/>
    </w:p>
    <w:p w14:paraId="17C16380">
      <w:pPr>
        <w:widowControl/>
        <w:adjustRightInd/>
        <w:spacing w:line="360" w:lineRule="auto"/>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7.1.1最低投标价不作为中标的保证。</w:t>
      </w:r>
    </w:p>
    <w:p w14:paraId="05B74025">
      <w:pPr>
        <w:widowControl/>
        <w:adjustRightInd/>
        <w:spacing w:line="360" w:lineRule="auto"/>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7.1.2响应文件满足采购文件全部实质性要求，且投标综合评分最高者为中标候选人。</w:t>
      </w:r>
    </w:p>
    <w:p w14:paraId="3BEF1648">
      <w:pPr>
        <w:widowControl/>
        <w:adjustRightInd/>
        <w:spacing w:line="360" w:lineRule="auto"/>
        <w:jc w:val="left"/>
        <w:outlineLvl w:val="2"/>
        <w:rPr>
          <w:rFonts w:hint="eastAsia" w:ascii="宋体" w:hAnsi="宋体" w:eastAsia="宋体" w:cs="宋体"/>
          <w:b/>
          <w:color w:val="auto"/>
          <w:kern w:val="2"/>
          <w:sz w:val="24"/>
          <w:szCs w:val="24"/>
          <w:highlight w:val="none"/>
        </w:rPr>
      </w:pPr>
      <w:bookmarkStart w:id="184" w:name="_Toc23796"/>
      <w:bookmarkStart w:id="185" w:name="_Toc15412"/>
      <w:r>
        <w:rPr>
          <w:rFonts w:hint="eastAsia" w:ascii="宋体" w:hAnsi="宋体" w:eastAsia="宋体" w:cs="宋体"/>
          <w:b/>
          <w:color w:val="auto"/>
          <w:kern w:val="2"/>
          <w:sz w:val="24"/>
          <w:szCs w:val="24"/>
          <w:highlight w:val="none"/>
        </w:rPr>
        <w:t>7.2. 中标通知</w:t>
      </w:r>
      <w:bookmarkEnd w:id="184"/>
      <w:bookmarkEnd w:id="185"/>
    </w:p>
    <w:p w14:paraId="461A6970">
      <w:pPr>
        <w:widowControl/>
        <w:adjustRightInd/>
        <w:spacing w:line="360" w:lineRule="auto"/>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7.2.1 评标结束后，评标结果经采购人确认后，在刊登本采购项目招标公告的媒介上对中标结果进行公示，公示期为1天；公示结束后采购代理机构向中标人发出中标通知书。中标通知书对采购人和中标人具有同等法律效力。中标通知书发出后，采购人改变中标结果，或者中标人放弃中标，应按相关法律、规章、规范性文件的要求承担相应的法律责任。供应商对中标公告有异议的，应当在知道或应当知道其权益受到损害之日起7个工作日内，以书面形式向采购人或采购代理机构提出质疑。</w:t>
      </w:r>
    </w:p>
    <w:p w14:paraId="5E1E0715">
      <w:pPr>
        <w:widowControl/>
        <w:adjustRightInd/>
        <w:spacing w:line="360" w:lineRule="auto"/>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7.2.3 《中标通知书》将作为签订合同的依据。《合同》签订后，《中标通知书》成为《合同》的一部分。</w:t>
      </w:r>
    </w:p>
    <w:p w14:paraId="7659F9FA">
      <w:pPr>
        <w:widowControl/>
        <w:adjustRightInd/>
        <w:spacing w:line="360" w:lineRule="auto"/>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7.2.4《中标通知书》发出后5个工作日内，采购代理机构将向未中标的供应商退还其投标保证金，具体退款手续详见本须知第3.6.6条。</w:t>
      </w:r>
    </w:p>
    <w:p w14:paraId="2342050F">
      <w:pPr>
        <w:widowControl/>
        <w:adjustRightInd/>
        <w:spacing w:line="360" w:lineRule="auto"/>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7.2.5在合同签订后5个工作日内，采购代理机构将向已中标的供应商退还其投标保证金，条件是已交纳招标代理中标服务费，具体退款手续详见本须知第3.6.7条。</w:t>
      </w:r>
    </w:p>
    <w:p w14:paraId="47B31BB9">
      <w:pPr>
        <w:widowControl/>
        <w:adjustRightInd/>
        <w:spacing w:line="360" w:lineRule="auto"/>
        <w:jc w:val="left"/>
        <w:outlineLvl w:val="2"/>
        <w:rPr>
          <w:rFonts w:hint="eastAsia" w:ascii="宋体" w:hAnsi="宋体" w:eastAsia="宋体" w:cs="宋体"/>
          <w:color w:val="auto"/>
          <w:kern w:val="2"/>
          <w:sz w:val="24"/>
          <w:szCs w:val="24"/>
          <w:highlight w:val="none"/>
        </w:rPr>
      </w:pPr>
      <w:bookmarkStart w:id="186" w:name="_Toc6579"/>
      <w:bookmarkStart w:id="187" w:name="_Toc17840"/>
      <w:r>
        <w:rPr>
          <w:rFonts w:hint="eastAsia" w:ascii="宋体" w:hAnsi="宋体" w:eastAsia="宋体" w:cs="宋体"/>
          <w:b/>
          <w:color w:val="auto"/>
          <w:kern w:val="2"/>
          <w:sz w:val="24"/>
          <w:szCs w:val="24"/>
          <w:highlight w:val="none"/>
        </w:rPr>
        <w:t>7.3. 签订合同</w:t>
      </w:r>
      <w:bookmarkEnd w:id="186"/>
      <w:bookmarkEnd w:id="187"/>
    </w:p>
    <w:p w14:paraId="27C9F16E">
      <w:pPr>
        <w:widowControl/>
        <w:adjustRightInd/>
        <w:spacing w:line="360" w:lineRule="auto"/>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7.3.1采购人与成交供应商应当在成交通知书发出之日起30日内，按照采购文件确定的合同文本以及采购标的、规格型号、采购金额、采购数量、技术和服务要求等事项签订政府采购合同。采购人不得向成交供应商提出超出采购文件以外的任何要求作为签订合同的条件，不得与成交供应商订立背离采购文件确定的合同文本以及采购标的、规格型号、采购金额、采购数量、技术和服务要求等实质性内容的协议。供应商逾期未与采购人签订合同，将按照有关法律规定承担相应的法律责任，并没收投标保证金，以抵偿对采购人造成的损失。采购方逾期不与成交供应商签订合同的，按有关规定处理，并承担相应的法律责任。</w:t>
      </w:r>
    </w:p>
    <w:p w14:paraId="0EE8633A">
      <w:pPr>
        <w:widowControl/>
        <w:adjustRightInd/>
        <w:spacing w:line="360" w:lineRule="auto"/>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7.3.2采购文件、采购文件的修改文件、成交供应商的响应文件、补充或修改的文件及澄清或承诺文件等，均为双方签订《合同》的组成部分，并与《合同》一并作为本采购文件所列采购项目的互补性法律文件，与《合同》具有同等法律效力。</w:t>
      </w:r>
    </w:p>
    <w:p w14:paraId="4450E246">
      <w:pPr>
        <w:widowControl/>
        <w:adjustRightInd/>
        <w:spacing w:line="360" w:lineRule="auto"/>
        <w:jc w:val="left"/>
        <w:rPr>
          <w:rFonts w:hint="eastAsia" w:ascii="宋体" w:hAnsi="宋体" w:eastAsia="宋体" w:cs="宋体"/>
          <w:b/>
          <w:color w:val="auto"/>
          <w:kern w:val="2"/>
          <w:sz w:val="24"/>
          <w:szCs w:val="24"/>
          <w:highlight w:val="none"/>
        </w:rPr>
      </w:pPr>
      <w:r>
        <w:rPr>
          <w:rFonts w:hint="eastAsia" w:ascii="宋体" w:hAnsi="宋体" w:eastAsia="宋体" w:cs="宋体"/>
          <w:color w:val="auto"/>
          <w:kern w:val="2"/>
          <w:sz w:val="24"/>
          <w:szCs w:val="24"/>
          <w:highlight w:val="none"/>
        </w:rPr>
        <w:t>7.3.3政府采购合同履行中，采购人需追加与合同标的相同的货物、工程或者服务的，在不改变合同其他条款的前提下，可与供应商协商签订补充合同，但所有补充合同的采购金额不得超过原合同采购金额的百分之十。</w:t>
      </w:r>
    </w:p>
    <w:p w14:paraId="60C8BB6D">
      <w:pPr>
        <w:widowControl/>
        <w:adjustRightInd/>
        <w:spacing w:line="360" w:lineRule="auto"/>
        <w:jc w:val="center"/>
        <w:outlineLvl w:val="1"/>
        <w:rPr>
          <w:rFonts w:hint="eastAsia" w:ascii="宋体" w:hAnsi="宋体" w:eastAsia="宋体" w:cs="宋体"/>
          <w:b/>
          <w:color w:val="auto"/>
          <w:kern w:val="2"/>
          <w:sz w:val="24"/>
          <w:szCs w:val="24"/>
          <w:highlight w:val="none"/>
        </w:rPr>
      </w:pPr>
      <w:bookmarkStart w:id="188" w:name="_Toc13328"/>
      <w:bookmarkStart w:id="189" w:name="_Toc15770"/>
      <w:r>
        <w:rPr>
          <w:rFonts w:hint="eastAsia" w:ascii="宋体" w:hAnsi="宋体" w:eastAsia="宋体" w:cs="宋体"/>
          <w:b/>
          <w:color w:val="auto"/>
          <w:kern w:val="2"/>
          <w:sz w:val="24"/>
          <w:szCs w:val="24"/>
          <w:highlight w:val="none"/>
        </w:rPr>
        <w:t>8、重新招标和其他方式采购</w:t>
      </w:r>
      <w:bookmarkEnd w:id="188"/>
      <w:bookmarkEnd w:id="189"/>
    </w:p>
    <w:p w14:paraId="4A31D0DC">
      <w:pPr>
        <w:widowControl/>
        <w:adjustRightInd/>
        <w:spacing w:line="360" w:lineRule="auto"/>
        <w:jc w:val="left"/>
        <w:outlineLvl w:val="2"/>
        <w:rPr>
          <w:rFonts w:hint="eastAsia" w:ascii="宋体" w:hAnsi="宋体" w:eastAsia="宋体" w:cs="宋体"/>
          <w:b/>
          <w:color w:val="auto"/>
          <w:kern w:val="2"/>
          <w:sz w:val="24"/>
          <w:szCs w:val="24"/>
          <w:highlight w:val="none"/>
        </w:rPr>
      </w:pPr>
      <w:bookmarkStart w:id="190" w:name="_Toc2288"/>
      <w:bookmarkStart w:id="191" w:name="_Toc19995"/>
      <w:r>
        <w:rPr>
          <w:rFonts w:hint="eastAsia" w:ascii="宋体" w:hAnsi="宋体" w:eastAsia="宋体" w:cs="宋体"/>
          <w:b/>
          <w:color w:val="auto"/>
          <w:kern w:val="2"/>
          <w:sz w:val="24"/>
          <w:szCs w:val="24"/>
          <w:highlight w:val="none"/>
        </w:rPr>
        <w:t>8.1重新招标</w:t>
      </w:r>
      <w:bookmarkEnd w:id="190"/>
      <w:bookmarkEnd w:id="191"/>
    </w:p>
    <w:p w14:paraId="508EB8DF">
      <w:pPr>
        <w:widowControl/>
        <w:adjustRightInd/>
        <w:spacing w:line="360" w:lineRule="auto"/>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8.1.1在招标采购中，出现下列情形之一的，应当在废标后重新招标：</w:t>
      </w:r>
    </w:p>
    <w:p w14:paraId="4DE0704D">
      <w:pPr>
        <w:widowControl/>
        <w:adjustRightInd/>
        <w:spacing w:line="360" w:lineRule="auto"/>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　（1）符合专业条件的供应商或者对采购文件作实质响应的供应商不足三家的；</w:t>
      </w:r>
    </w:p>
    <w:p w14:paraId="6A1E978F">
      <w:pPr>
        <w:widowControl/>
        <w:adjustRightInd/>
        <w:spacing w:line="360" w:lineRule="auto"/>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　（2）出现影响采购公正的违法、违规行为的；</w:t>
      </w:r>
    </w:p>
    <w:p w14:paraId="4F73D945">
      <w:pPr>
        <w:widowControl/>
        <w:adjustRightInd/>
        <w:spacing w:line="360" w:lineRule="auto"/>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　（3）供应商的报价均超过了采购预算或价格结算标准的，采购人不能支付的；</w:t>
      </w:r>
    </w:p>
    <w:p w14:paraId="47EA6515">
      <w:pPr>
        <w:widowControl/>
        <w:adjustRightInd/>
        <w:spacing w:line="360" w:lineRule="auto"/>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　（4）因重大变故，采购任务取消的。</w:t>
      </w:r>
    </w:p>
    <w:p w14:paraId="1421FDB3">
      <w:pPr>
        <w:widowControl/>
        <w:adjustRightInd/>
        <w:spacing w:line="360" w:lineRule="auto"/>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8.1.2如果排名第一、二的中标候选人，直至排名第三的中标候选人因不可抗力或自身原因放弃中标结果，本次招标宣布失败。采购人应重新组织招标。</w:t>
      </w:r>
    </w:p>
    <w:p w14:paraId="09604B47">
      <w:pPr>
        <w:widowControl/>
        <w:adjustRightInd/>
        <w:spacing w:line="360" w:lineRule="auto"/>
        <w:jc w:val="left"/>
        <w:outlineLvl w:val="2"/>
        <w:rPr>
          <w:rFonts w:hint="eastAsia" w:ascii="宋体" w:hAnsi="宋体" w:eastAsia="宋体" w:cs="宋体"/>
          <w:b/>
          <w:color w:val="auto"/>
          <w:kern w:val="2"/>
          <w:sz w:val="24"/>
          <w:szCs w:val="24"/>
          <w:highlight w:val="none"/>
        </w:rPr>
      </w:pPr>
      <w:bookmarkStart w:id="192" w:name="_Toc29635"/>
      <w:bookmarkStart w:id="193" w:name="_Toc32029"/>
      <w:r>
        <w:rPr>
          <w:rFonts w:hint="eastAsia" w:ascii="宋体" w:hAnsi="宋体" w:eastAsia="宋体" w:cs="宋体"/>
          <w:b/>
          <w:color w:val="auto"/>
          <w:kern w:val="2"/>
          <w:sz w:val="24"/>
          <w:szCs w:val="24"/>
          <w:highlight w:val="none"/>
        </w:rPr>
        <w:t>8.2其他方式采购</w:t>
      </w:r>
      <w:bookmarkEnd w:id="192"/>
      <w:bookmarkEnd w:id="193"/>
    </w:p>
    <w:p w14:paraId="1D440DBF">
      <w:pPr>
        <w:widowControl/>
        <w:adjustRightInd/>
        <w:spacing w:line="360" w:lineRule="auto"/>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8.2.1需要采取其他方式采购的，应当在采购活动开始前获得设区的市、自治州以上人民政府采购监督管理部门或者政府有关部门批准。</w:t>
      </w:r>
    </w:p>
    <w:p w14:paraId="51429F1B">
      <w:pPr>
        <w:widowControl/>
        <w:adjustRightInd/>
        <w:spacing w:line="360" w:lineRule="auto"/>
        <w:jc w:val="center"/>
        <w:outlineLvl w:val="1"/>
        <w:rPr>
          <w:rFonts w:hint="eastAsia" w:ascii="宋体" w:hAnsi="宋体" w:eastAsia="宋体" w:cs="宋体"/>
          <w:b/>
          <w:color w:val="auto"/>
          <w:kern w:val="2"/>
          <w:sz w:val="24"/>
          <w:szCs w:val="24"/>
          <w:highlight w:val="none"/>
        </w:rPr>
      </w:pPr>
      <w:bookmarkStart w:id="194" w:name="_Toc23006"/>
      <w:bookmarkStart w:id="195" w:name="_Toc4021"/>
      <w:r>
        <w:rPr>
          <w:rFonts w:hint="eastAsia" w:ascii="宋体" w:hAnsi="宋体" w:eastAsia="宋体" w:cs="宋体"/>
          <w:b/>
          <w:color w:val="auto"/>
          <w:kern w:val="2"/>
          <w:sz w:val="24"/>
          <w:szCs w:val="24"/>
          <w:highlight w:val="none"/>
        </w:rPr>
        <w:t>9、纪律和监督</w:t>
      </w:r>
      <w:bookmarkEnd w:id="194"/>
      <w:bookmarkEnd w:id="195"/>
    </w:p>
    <w:p w14:paraId="303F7141">
      <w:pPr>
        <w:widowControl/>
        <w:adjustRightInd/>
        <w:spacing w:line="360" w:lineRule="auto"/>
        <w:jc w:val="left"/>
        <w:outlineLvl w:val="2"/>
        <w:rPr>
          <w:rFonts w:hint="eastAsia" w:ascii="宋体" w:hAnsi="宋体" w:eastAsia="宋体" w:cs="宋体"/>
          <w:b/>
          <w:color w:val="auto"/>
          <w:kern w:val="2"/>
          <w:sz w:val="24"/>
          <w:szCs w:val="24"/>
          <w:highlight w:val="none"/>
        </w:rPr>
      </w:pPr>
      <w:bookmarkStart w:id="196" w:name="_Toc19207"/>
      <w:bookmarkStart w:id="197" w:name="_Toc30084"/>
      <w:r>
        <w:rPr>
          <w:rFonts w:hint="eastAsia" w:ascii="宋体" w:hAnsi="宋体" w:eastAsia="宋体" w:cs="宋体"/>
          <w:b/>
          <w:color w:val="auto"/>
          <w:kern w:val="2"/>
          <w:sz w:val="24"/>
          <w:szCs w:val="24"/>
          <w:highlight w:val="none"/>
        </w:rPr>
        <w:t>9.1 对采购人的纪律要求</w:t>
      </w:r>
      <w:bookmarkEnd w:id="196"/>
      <w:bookmarkEnd w:id="197"/>
    </w:p>
    <w:p w14:paraId="63A049E3">
      <w:pPr>
        <w:widowControl/>
        <w:adjustRightInd/>
        <w:spacing w:line="360" w:lineRule="auto"/>
        <w:jc w:val="left"/>
        <w:rPr>
          <w:rFonts w:hint="eastAsia" w:ascii="宋体" w:hAnsi="宋体" w:eastAsia="宋体" w:cs="宋体"/>
          <w:b/>
          <w:color w:val="auto"/>
          <w:kern w:val="2"/>
          <w:sz w:val="24"/>
          <w:szCs w:val="24"/>
          <w:highlight w:val="none"/>
        </w:rPr>
      </w:pPr>
      <w:r>
        <w:rPr>
          <w:rFonts w:hint="eastAsia" w:ascii="宋体" w:hAnsi="宋体" w:eastAsia="宋体" w:cs="宋体"/>
          <w:color w:val="auto"/>
          <w:kern w:val="2"/>
          <w:sz w:val="24"/>
          <w:szCs w:val="24"/>
          <w:highlight w:val="none"/>
        </w:rPr>
        <w:t xml:space="preserve">    采购人不得泄露招标投标活动中应当保密的情况和资料，不得与供应商串通损害国家利益、社会公共利益或者他人合法利益。采购人不得有下列行为之一：</w:t>
      </w:r>
    </w:p>
    <w:p w14:paraId="611E86D0">
      <w:pPr>
        <w:widowControl/>
        <w:adjustRightInd/>
        <w:spacing w:line="360" w:lineRule="auto"/>
        <w:ind w:firstLine="240" w:firstLineChars="1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（1）与供应商恶意串通的； </w:t>
      </w:r>
    </w:p>
    <w:p w14:paraId="465B563F">
      <w:pPr>
        <w:widowControl/>
        <w:adjustRightInd/>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（2）在采购过程中接受贿赂或者获取其他不正当利益的； </w:t>
      </w:r>
    </w:p>
    <w:p w14:paraId="2B41A03C">
      <w:pPr>
        <w:widowControl/>
        <w:adjustRightInd/>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（3）在有关部门依法实施的监督检查中提供虚假情况的； </w:t>
      </w:r>
    </w:p>
    <w:p w14:paraId="71BC5A3C">
      <w:pPr>
        <w:widowControl/>
        <w:adjustRightInd/>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（4）开标前泄露已获取采购文件的潜在供应商的名称、数量、标底或者其他可能影响公平竞争的有关招标投标情况的。 </w:t>
      </w:r>
    </w:p>
    <w:p w14:paraId="458B6CE6">
      <w:pPr>
        <w:widowControl/>
        <w:adjustRightInd/>
        <w:spacing w:line="360" w:lineRule="auto"/>
        <w:ind w:firstLine="240" w:firstLineChars="1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（5）法律、法规规定的其他违法、违规情形。</w:t>
      </w:r>
    </w:p>
    <w:p w14:paraId="01538908">
      <w:pPr>
        <w:widowControl/>
        <w:adjustRightInd/>
        <w:spacing w:line="360" w:lineRule="auto"/>
        <w:jc w:val="left"/>
        <w:outlineLvl w:val="2"/>
        <w:rPr>
          <w:rFonts w:hint="eastAsia" w:ascii="宋体" w:hAnsi="宋体" w:eastAsia="宋体" w:cs="宋体"/>
          <w:b/>
          <w:color w:val="auto"/>
          <w:kern w:val="2"/>
          <w:sz w:val="24"/>
          <w:szCs w:val="24"/>
          <w:highlight w:val="none"/>
        </w:rPr>
      </w:pPr>
      <w:bookmarkStart w:id="198" w:name="_Toc21266"/>
      <w:bookmarkStart w:id="199" w:name="_Toc27267"/>
      <w:r>
        <w:rPr>
          <w:rFonts w:hint="eastAsia" w:ascii="宋体" w:hAnsi="宋体" w:eastAsia="宋体" w:cs="宋体"/>
          <w:b/>
          <w:color w:val="auto"/>
          <w:kern w:val="2"/>
          <w:sz w:val="24"/>
          <w:szCs w:val="24"/>
          <w:highlight w:val="none"/>
        </w:rPr>
        <w:t>9.2 对供应商的纪律要求</w:t>
      </w:r>
      <w:bookmarkEnd w:id="198"/>
      <w:bookmarkEnd w:id="199"/>
    </w:p>
    <w:p w14:paraId="1A59E52B">
      <w:pPr>
        <w:widowControl/>
        <w:adjustRightInd/>
        <w:spacing w:line="360" w:lineRule="auto"/>
        <w:ind w:right="248"/>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9.2.1供应商不得相互串通投标或者与采购人串通投标，不得向采购人或者评标委员会成员行贿谋取中标，不得以其它方式弄虚作假骗取中标；供应商不得以任何方式干扰、影响评标工作。</w:t>
      </w:r>
      <w:bookmarkStart w:id="200" w:name="_Toc221950237"/>
      <w:r>
        <w:rPr>
          <w:rFonts w:hint="eastAsia" w:ascii="宋体" w:hAnsi="宋体" w:eastAsia="宋体" w:cs="宋体"/>
          <w:color w:val="auto"/>
          <w:kern w:val="2"/>
          <w:sz w:val="24"/>
          <w:szCs w:val="24"/>
          <w:highlight w:val="none"/>
        </w:rPr>
        <w:t>供应商不得有下列行为之一：</w:t>
      </w:r>
    </w:p>
    <w:bookmarkEnd w:id="200"/>
    <w:p w14:paraId="58D2B9AD">
      <w:pPr>
        <w:widowControl/>
        <w:adjustRightInd/>
        <w:spacing w:line="360" w:lineRule="auto"/>
        <w:ind w:firstLine="240" w:firstLineChars="100"/>
        <w:jc w:val="left"/>
        <w:rPr>
          <w:rFonts w:hint="eastAsia" w:ascii="宋体" w:hAnsi="宋体" w:eastAsia="宋体" w:cs="宋体"/>
          <w:color w:val="auto"/>
          <w:sz w:val="24"/>
          <w:szCs w:val="24"/>
          <w:highlight w:val="none"/>
        </w:rPr>
      </w:pPr>
      <w:bookmarkStart w:id="201" w:name="_Toc221950238"/>
      <w:r>
        <w:rPr>
          <w:rFonts w:hint="eastAsia" w:ascii="宋体" w:hAnsi="宋体" w:eastAsia="宋体" w:cs="宋体"/>
          <w:color w:val="auto"/>
          <w:sz w:val="24"/>
          <w:szCs w:val="24"/>
          <w:highlight w:val="none"/>
        </w:rPr>
        <w:t xml:space="preserve">（1）提供虚假材料谋取中标的； </w:t>
      </w:r>
    </w:p>
    <w:p w14:paraId="277EF965">
      <w:pPr>
        <w:widowControl/>
        <w:adjustRightInd/>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（2）采取不正当手段诋毁、排挤其他供应商的； </w:t>
      </w:r>
    </w:p>
    <w:p w14:paraId="2E1E78E6">
      <w:pPr>
        <w:widowControl/>
        <w:adjustRightInd/>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（3）与采购单位、其他供应商恶意串通的； </w:t>
      </w:r>
    </w:p>
    <w:p w14:paraId="60194D06">
      <w:pPr>
        <w:widowControl/>
        <w:adjustRightInd/>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（4）向采购单位行贿或者提供其他不正当利益的； </w:t>
      </w:r>
    </w:p>
    <w:p w14:paraId="65F9556A">
      <w:pPr>
        <w:widowControl/>
        <w:adjustRightInd/>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（5）在招标过程中与采购单位进行协商谈判、不按照采购文件和中标供应商的响应文件订立合同，或者与采购人另行订立背离合同实质性内容的协议的； </w:t>
      </w:r>
    </w:p>
    <w:p w14:paraId="2D5299B5">
      <w:pPr>
        <w:widowControl/>
        <w:adjustRightInd/>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（6）拒绝有关部门监督检查或者提供虚假情况的； </w:t>
      </w:r>
    </w:p>
    <w:p w14:paraId="2F03716A">
      <w:pPr>
        <w:widowControl/>
        <w:adjustRightInd/>
        <w:spacing w:line="360" w:lineRule="auto"/>
        <w:ind w:firstLine="240" w:firstLineChars="1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（7）法律、法规规定的其他违法、违规情形。</w:t>
      </w:r>
    </w:p>
    <w:bookmarkEnd w:id="201"/>
    <w:p w14:paraId="4D97DCDC">
      <w:pPr>
        <w:widowControl/>
        <w:adjustRightInd/>
        <w:spacing w:line="360" w:lineRule="auto"/>
        <w:jc w:val="left"/>
        <w:outlineLvl w:val="2"/>
        <w:rPr>
          <w:rFonts w:hint="eastAsia" w:ascii="宋体" w:hAnsi="宋体" w:eastAsia="宋体" w:cs="宋体"/>
          <w:b/>
          <w:color w:val="auto"/>
          <w:kern w:val="2"/>
          <w:sz w:val="24"/>
          <w:szCs w:val="24"/>
          <w:highlight w:val="none"/>
        </w:rPr>
      </w:pPr>
      <w:bookmarkStart w:id="202" w:name="_Toc5774"/>
      <w:bookmarkStart w:id="203" w:name="_Toc5484"/>
      <w:r>
        <w:rPr>
          <w:rFonts w:hint="eastAsia" w:ascii="宋体" w:hAnsi="宋体" w:eastAsia="宋体" w:cs="宋体"/>
          <w:b/>
          <w:color w:val="auto"/>
          <w:kern w:val="2"/>
          <w:sz w:val="24"/>
          <w:szCs w:val="24"/>
          <w:highlight w:val="none"/>
        </w:rPr>
        <w:t>9.3 对评标委员会成员的纪律要求</w:t>
      </w:r>
      <w:bookmarkEnd w:id="202"/>
      <w:bookmarkEnd w:id="203"/>
    </w:p>
    <w:p w14:paraId="7CDD263D">
      <w:pPr>
        <w:widowControl/>
        <w:adjustRightInd/>
        <w:spacing w:line="360" w:lineRule="auto"/>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 xml:space="preserve">评标委员会成员不得收受他人的财物或者其他好处，不得向他人透漏对响应文件的评审和比较、中标候选人的推荐情况以及评标有关的其他情况。在评标活动中，评标委员会成员不得擅离职守，影响评标程序正常进行。评标委员不得有下列行为之一： </w:t>
      </w:r>
    </w:p>
    <w:p w14:paraId="60DF9714">
      <w:pPr>
        <w:widowControl/>
        <w:adjustRightInd/>
        <w:spacing w:line="360" w:lineRule="auto"/>
        <w:ind w:firstLine="240" w:firstLineChars="1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（1）明知应当回避而未主动回避的； </w:t>
      </w:r>
    </w:p>
    <w:p w14:paraId="0755CF53">
      <w:pPr>
        <w:widowControl/>
        <w:adjustRightInd/>
        <w:spacing w:line="360" w:lineRule="auto"/>
        <w:ind w:firstLine="240" w:firstLineChars="1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（2）在知道自己为评委会成员身份后至评标结束前的时段内私下接触供应商的；</w:t>
      </w:r>
    </w:p>
    <w:p w14:paraId="7CEABA98">
      <w:pPr>
        <w:widowControl/>
        <w:adjustRightInd/>
        <w:spacing w:line="360" w:lineRule="auto"/>
        <w:ind w:firstLine="240" w:firstLineChars="1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（3）在评标过程中擅离职守，影响评标程序正常进行的； </w:t>
      </w:r>
    </w:p>
    <w:p w14:paraId="24D2EC51">
      <w:pPr>
        <w:widowControl/>
        <w:adjustRightInd/>
        <w:spacing w:line="360" w:lineRule="auto"/>
        <w:ind w:firstLine="240" w:firstLineChars="1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（4）在评标过程中有明显不合理或者不正当倾向性的； </w:t>
      </w:r>
    </w:p>
    <w:p w14:paraId="174D6492">
      <w:pPr>
        <w:widowControl/>
        <w:adjustRightInd/>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（5）未按采购文件规定的评标方法和标准进行评标的。</w:t>
      </w:r>
    </w:p>
    <w:p w14:paraId="6602EEAC">
      <w:pPr>
        <w:widowControl/>
        <w:adjustRightInd/>
        <w:spacing w:line="360" w:lineRule="auto"/>
        <w:ind w:firstLine="240" w:firstLineChars="1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color w:val="auto"/>
          <w:kern w:val="2"/>
          <w:sz w:val="24"/>
          <w:szCs w:val="24"/>
          <w:highlight w:val="none"/>
        </w:rPr>
        <w:t>法律、法规规定的其他违法、违规情形。</w:t>
      </w:r>
      <w:r>
        <w:rPr>
          <w:rFonts w:hint="eastAsia" w:ascii="宋体" w:hAnsi="宋体" w:eastAsia="宋体" w:cs="宋体"/>
          <w:color w:val="auto"/>
          <w:sz w:val="24"/>
          <w:szCs w:val="24"/>
          <w:highlight w:val="none"/>
        </w:rPr>
        <w:t xml:space="preserve"> </w:t>
      </w:r>
    </w:p>
    <w:p w14:paraId="5AE14794">
      <w:pPr>
        <w:widowControl/>
        <w:adjustRightInd/>
        <w:spacing w:line="360" w:lineRule="auto"/>
        <w:jc w:val="left"/>
        <w:outlineLvl w:val="2"/>
        <w:rPr>
          <w:rFonts w:hint="eastAsia" w:ascii="宋体" w:hAnsi="宋体" w:eastAsia="宋体" w:cs="宋体"/>
          <w:b/>
          <w:color w:val="auto"/>
          <w:kern w:val="2"/>
          <w:sz w:val="24"/>
          <w:szCs w:val="24"/>
          <w:highlight w:val="none"/>
        </w:rPr>
      </w:pPr>
      <w:bookmarkStart w:id="204" w:name="_Toc11952"/>
      <w:bookmarkStart w:id="205" w:name="_Toc6504"/>
      <w:r>
        <w:rPr>
          <w:rFonts w:hint="eastAsia" w:ascii="宋体" w:hAnsi="宋体" w:eastAsia="宋体" w:cs="宋体"/>
          <w:b/>
          <w:color w:val="auto"/>
          <w:kern w:val="2"/>
          <w:sz w:val="24"/>
          <w:szCs w:val="24"/>
          <w:highlight w:val="none"/>
        </w:rPr>
        <w:t>9.4 对与评标活动有关的工作人员的纪律要求</w:t>
      </w:r>
      <w:bookmarkEnd w:id="204"/>
      <w:bookmarkEnd w:id="205"/>
    </w:p>
    <w:p w14:paraId="45D9DE77">
      <w:pPr>
        <w:widowControl/>
        <w:adjustRightInd/>
        <w:spacing w:line="360" w:lineRule="auto"/>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 xml:space="preserve">   与评标活动有关的工作人员不得收受他人的财物或者其他好处，不得向他人透漏对响应文件的评审和比较、中标候选人的推荐情况以及评标有关的其他情况。在评标活动中，与评标活动有关的工作人员不得擅离职守，影响评标程序正常进行。</w:t>
      </w:r>
    </w:p>
    <w:p w14:paraId="40441930">
      <w:pPr>
        <w:widowControl/>
        <w:adjustRightInd/>
        <w:spacing w:line="360" w:lineRule="auto"/>
        <w:jc w:val="left"/>
        <w:outlineLvl w:val="2"/>
        <w:rPr>
          <w:rFonts w:hint="eastAsia" w:ascii="宋体" w:hAnsi="宋体" w:eastAsia="宋体" w:cs="宋体"/>
          <w:b/>
          <w:color w:val="auto"/>
          <w:kern w:val="2"/>
          <w:sz w:val="24"/>
          <w:szCs w:val="24"/>
          <w:highlight w:val="none"/>
        </w:rPr>
      </w:pPr>
      <w:bookmarkStart w:id="206" w:name="_Toc7741"/>
      <w:bookmarkStart w:id="207" w:name="_Toc12023"/>
      <w:r>
        <w:rPr>
          <w:rFonts w:hint="eastAsia" w:ascii="宋体" w:hAnsi="宋体" w:eastAsia="宋体" w:cs="宋体"/>
          <w:b/>
          <w:color w:val="auto"/>
          <w:kern w:val="2"/>
          <w:sz w:val="24"/>
          <w:szCs w:val="24"/>
          <w:highlight w:val="none"/>
        </w:rPr>
        <w:t>9.5 监督检查</w:t>
      </w:r>
      <w:bookmarkEnd w:id="206"/>
      <w:bookmarkEnd w:id="207"/>
    </w:p>
    <w:p w14:paraId="4594DC3F">
      <w:pPr>
        <w:widowControl/>
        <w:adjustRightInd/>
        <w:spacing w:line="360" w:lineRule="auto"/>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9.5.1政府采购监督管理部门应对在政府采购活动中的当事人有关政府采购的法律、行政法规和规章的执行情况和采购范围、采购方式和采购程序的执行等情况进行监督检查。</w:t>
      </w:r>
    </w:p>
    <w:p w14:paraId="22267E56">
      <w:pPr>
        <w:widowControl/>
        <w:adjustRightInd/>
        <w:spacing w:line="360" w:lineRule="auto"/>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9.5.2招标项目行政监督部门可视情依法派员对招标活动的全程进行监督。</w:t>
      </w:r>
    </w:p>
    <w:p w14:paraId="7E6021D9">
      <w:pPr>
        <w:widowControl/>
        <w:adjustRightInd/>
        <w:spacing w:line="360" w:lineRule="auto"/>
        <w:jc w:val="center"/>
        <w:outlineLvl w:val="1"/>
        <w:rPr>
          <w:rFonts w:hint="eastAsia" w:ascii="宋体" w:hAnsi="宋体" w:eastAsia="宋体" w:cs="宋体"/>
          <w:b/>
          <w:color w:val="auto"/>
          <w:kern w:val="2"/>
          <w:sz w:val="24"/>
          <w:szCs w:val="24"/>
          <w:highlight w:val="none"/>
        </w:rPr>
      </w:pPr>
      <w:bookmarkStart w:id="208" w:name="_Toc3891"/>
      <w:bookmarkStart w:id="209" w:name="_Toc18603"/>
      <w:r>
        <w:rPr>
          <w:rFonts w:hint="eastAsia" w:ascii="宋体" w:hAnsi="宋体" w:eastAsia="宋体" w:cs="宋体"/>
          <w:b/>
          <w:color w:val="auto"/>
          <w:kern w:val="2"/>
          <w:sz w:val="24"/>
          <w:szCs w:val="24"/>
          <w:highlight w:val="none"/>
        </w:rPr>
        <w:t>10、需要补充的其他内容</w:t>
      </w:r>
      <w:bookmarkEnd w:id="208"/>
      <w:bookmarkEnd w:id="209"/>
    </w:p>
    <w:p w14:paraId="7E7B9363">
      <w:pPr>
        <w:widowControl/>
        <w:adjustRightInd/>
        <w:spacing w:line="360" w:lineRule="auto"/>
        <w:jc w:val="left"/>
        <w:outlineLvl w:val="2"/>
        <w:rPr>
          <w:rFonts w:hint="eastAsia" w:ascii="宋体" w:hAnsi="宋体" w:eastAsia="宋体" w:cs="宋体"/>
          <w:b/>
          <w:color w:val="auto"/>
          <w:kern w:val="2"/>
          <w:sz w:val="24"/>
          <w:szCs w:val="24"/>
          <w:highlight w:val="none"/>
        </w:rPr>
      </w:pPr>
      <w:bookmarkStart w:id="210" w:name="_Toc15224"/>
      <w:bookmarkStart w:id="211" w:name="_Toc15185"/>
      <w:r>
        <w:rPr>
          <w:rFonts w:hint="eastAsia" w:ascii="宋体" w:hAnsi="宋体" w:eastAsia="宋体" w:cs="宋体"/>
          <w:b/>
          <w:color w:val="auto"/>
          <w:kern w:val="2"/>
          <w:sz w:val="24"/>
          <w:szCs w:val="24"/>
          <w:highlight w:val="none"/>
        </w:rPr>
        <w:t>10.1质疑</w:t>
      </w:r>
      <w:bookmarkEnd w:id="210"/>
      <w:bookmarkEnd w:id="211"/>
    </w:p>
    <w:p w14:paraId="3241B17E">
      <w:pPr>
        <w:widowControl/>
        <w:adjustRightInd/>
        <w:spacing w:line="360" w:lineRule="auto"/>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10.1.1供应商对政府采购活动事项有疑问的，可以向采购人提出询问，采购人应当及时作出答复，但答复的内容不得涉及商业秘密。</w:t>
      </w:r>
    </w:p>
    <w:p w14:paraId="5227F290">
      <w:pPr>
        <w:widowControl/>
        <w:adjustRightInd/>
        <w:spacing w:line="360" w:lineRule="auto"/>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10.1.2供应商认为采购文件、采购过程和成交结果使自己的权益受到损害的，可以在知道或者应知其权益受到损害之日起七个工作日内，以书面形式向采购人提出质疑。</w:t>
      </w:r>
    </w:p>
    <w:p w14:paraId="51224FC6">
      <w:pPr>
        <w:widowControl/>
        <w:adjustRightInd/>
        <w:spacing w:line="360" w:lineRule="auto"/>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10.1.3采购人应当在收到供应商的书面质疑后七个工作日内作出答复，并以书面形式通知质疑供应商和其他有关供应商，但答复的内容不得涉及商业秘密。</w:t>
      </w:r>
    </w:p>
    <w:p w14:paraId="004D290E">
      <w:pPr>
        <w:widowControl/>
        <w:adjustRightInd/>
        <w:spacing w:line="360" w:lineRule="auto"/>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10.1.4采购人委托采购代理机构采购的，供应商可以向采购代理机构提出询问或者质疑，采购代理机构应当依照本条款第10.1.1条、第10.1.3条的规定就采购人委托授权范围内的事项作出答复。</w:t>
      </w:r>
    </w:p>
    <w:p w14:paraId="20AB2B66">
      <w:pPr>
        <w:widowControl/>
        <w:adjustRightInd/>
        <w:spacing w:line="360" w:lineRule="auto"/>
        <w:jc w:val="left"/>
        <w:outlineLvl w:val="2"/>
        <w:rPr>
          <w:rFonts w:hint="eastAsia" w:ascii="宋体" w:hAnsi="宋体" w:eastAsia="宋体" w:cs="宋体"/>
          <w:b/>
          <w:color w:val="auto"/>
          <w:kern w:val="2"/>
          <w:sz w:val="24"/>
          <w:szCs w:val="24"/>
          <w:highlight w:val="none"/>
        </w:rPr>
      </w:pPr>
      <w:bookmarkStart w:id="212" w:name="_Toc178"/>
      <w:bookmarkStart w:id="213" w:name="_Toc13824"/>
      <w:r>
        <w:rPr>
          <w:rFonts w:hint="eastAsia" w:ascii="宋体" w:hAnsi="宋体" w:eastAsia="宋体" w:cs="宋体"/>
          <w:b/>
          <w:color w:val="auto"/>
          <w:kern w:val="2"/>
          <w:sz w:val="24"/>
          <w:szCs w:val="24"/>
          <w:highlight w:val="none"/>
        </w:rPr>
        <w:t>10.2投诉</w:t>
      </w:r>
      <w:bookmarkEnd w:id="212"/>
      <w:bookmarkEnd w:id="213"/>
    </w:p>
    <w:p w14:paraId="229B3D53">
      <w:pPr>
        <w:widowControl/>
        <w:adjustRightInd/>
        <w:spacing w:line="360" w:lineRule="auto"/>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10.2.1质疑供应商对采购人、采购代理机构的答复不满意或者采购人、采购代理机构未在规定的时间内作出答复的，可以在答复期满后十五个工作日内向同级政府采购监督管理部门投诉。</w:t>
      </w:r>
    </w:p>
    <w:p w14:paraId="6DBD5D7A">
      <w:pPr>
        <w:widowControl/>
        <w:adjustRightInd/>
        <w:spacing w:line="360" w:lineRule="auto"/>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10.2.2政府采购监督管理部门应当在收到投诉后三十个工作日内，对投诉事项作出处理决定，并以书面形式通知投诉人和与投诉事项有关的当事人。</w:t>
      </w:r>
    </w:p>
    <w:p w14:paraId="11E741D5">
      <w:pPr>
        <w:widowControl/>
        <w:adjustRightInd/>
        <w:spacing w:line="360" w:lineRule="auto"/>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10.2.3政府采购监督管理部门在处理投诉事项期间，可以视具体情况书面通知采购人暂停采购活动，但暂停时间最长不得超过三十日。</w:t>
      </w:r>
    </w:p>
    <w:p w14:paraId="08B7FAC1">
      <w:pPr>
        <w:widowControl/>
        <w:adjustRightInd/>
        <w:spacing w:line="360" w:lineRule="auto"/>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10.2.4投诉人对政府采购监督管理部门的投诉处理决定不服或者政府采购监督管理部门逾期未作处理的，可以依法申请行政复议或者向人民法院提起行政诉讼。</w:t>
      </w:r>
    </w:p>
    <w:p w14:paraId="684DFB6F">
      <w:pPr>
        <w:widowControl/>
        <w:adjustRightInd/>
        <w:spacing w:line="360" w:lineRule="auto"/>
        <w:jc w:val="left"/>
        <w:outlineLvl w:val="2"/>
        <w:rPr>
          <w:rFonts w:hint="eastAsia" w:ascii="宋体" w:hAnsi="宋体" w:eastAsia="宋体" w:cs="宋体"/>
          <w:b/>
          <w:color w:val="auto"/>
          <w:kern w:val="2"/>
          <w:sz w:val="24"/>
          <w:szCs w:val="24"/>
          <w:highlight w:val="none"/>
        </w:rPr>
      </w:pPr>
      <w:bookmarkStart w:id="214" w:name="_Toc5311"/>
      <w:bookmarkStart w:id="215" w:name="_Toc22"/>
      <w:r>
        <w:rPr>
          <w:rFonts w:hint="eastAsia" w:ascii="宋体" w:hAnsi="宋体" w:eastAsia="宋体" w:cs="宋体"/>
          <w:b/>
          <w:color w:val="auto"/>
          <w:kern w:val="2"/>
          <w:sz w:val="24"/>
          <w:szCs w:val="24"/>
          <w:highlight w:val="none"/>
        </w:rPr>
        <w:t>10.3其他</w:t>
      </w:r>
      <w:bookmarkEnd w:id="214"/>
      <w:bookmarkEnd w:id="215"/>
    </w:p>
    <w:p w14:paraId="35636639">
      <w:pPr>
        <w:widowControl/>
        <w:adjustRightInd/>
        <w:spacing w:line="360" w:lineRule="auto"/>
        <w:jc w:val="left"/>
        <w:rPr>
          <w:rFonts w:hint="eastAsia" w:ascii="宋体" w:hAnsi="宋体" w:eastAsia="宋体" w:cs="宋体"/>
          <w:b/>
          <w:color w:val="auto"/>
          <w:kern w:val="2"/>
          <w:sz w:val="24"/>
          <w:szCs w:val="24"/>
          <w:highlight w:val="none"/>
        </w:rPr>
      </w:pPr>
      <w:r>
        <w:rPr>
          <w:rFonts w:hint="eastAsia" w:ascii="宋体" w:hAnsi="宋体" w:eastAsia="宋体" w:cs="宋体"/>
          <w:color w:val="auto"/>
          <w:kern w:val="2"/>
          <w:sz w:val="24"/>
          <w:szCs w:val="24"/>
          <w:highlight w:val="none"/>
        </w:rPr>
        <w:t>10.3.1供应商出席开标会，详见供应商须知前附表。</w:t>
      </w:r>
    </w:p>
    <w:p w14:paraId="19264CF3">
      <w:pPr>
        <w:adjustRightInd/>
        <w:spacing w:line="360" w:lineRule="auto"/>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10.3.2通讯联系，详见供应商须知前附表。</w:t>
      </w:r>
    </w:p>
    <w:p w14:paraId="233554F4">
      <w:pPr>
        <w:widowControl/>
        <w:adjustRightInd/>
        <w:spacing w:line="360" w:lineRule="auto"/>
        <w:jc w:val="left"/>
        <w:outlineLvl w:val="2"/>
        <w:rPr>
          <w:rFonts w:hint="eastAsia" w:ascii="宋体" w:hAnsi="宋体" w:eastAsia="宋体" w:cs="宋体"/>
          <w:b/>
          <w:color w:val="auto"/>
          <w:kern w:val="2"/>
          <w:sz w:val="24"/>
          <w:szCs w:val="24"/>
          <w:highlight w:val="none"/>
          <w:lang w:val="en-US" w:eastAsia="zh-CN"/>
        </w:rPr>
      </w:pPr>
      <w:r>
        <w:rPr>
          <w:rFonts w:hint="eastAsia" w:ascii="宋体" w:hAnsi="宋体" w:eastAsia="宋体" w:cs="宋体"/>
          <w:b/>
          <w:color w:val="auto"/>
          <w:kern w:val="2"/>
          <w:sz w:val="24"/>
          <w:szCs w:val="24"/>
          <w:highlight w:val="none"/>
          <w:lang w:val="en-US" w:eastAsia="zh-CN"/>
        </w:rPr>
        <w:t>11、</w:t>
      </w:r>
      <w:bookmarkStart w:id="216" w:name="_Hlk65857140"/>
      <w:r>
        <w:rPr>
          <w:rFonts w:hint="eastAsia" w:ascii="宋体" w:hAnsi="宋体" w:eastAsia="宋体" w:cs="宋体"/>
          <w:b/>
          <w:color w:val="auto"/>
          <w:kern w:val="2"/>
          <w:sz w:val="24"/>
          <w:szCs w:val="24"/>
          <w:highlight w:val="none"/>
        </w:rPr>
        <w:t>中小企业</w:t>
      </w:r>
      <w:r>
        <w:rPr>
          <w:rFonts w:hint="eastAsia" w:ascii="宋体" w:hAnsi="宋体" w:eastAsia="宋体" w:cs="宋体"/>
          <w:b/>
          <w:color w:val="auto"/>
          <w:kern w:val="2"/>
          <w:sz w:val="24"/>
          <w:szCs w:val="24"/>
          <w:highlight w:val="none"/>
          <w:lang w:val="en-US" w:eastAsia="zh-CN"/>
        </w:rPr>
        <w:t>划分标准</w:t>
      </w:r>
    </w:p>
    <w:p w14:paraId="50C2CF17">
      <w:pPr>
        <w:pStyle w:val="20"/>
        <w:spacing w:line="360" w:lineRule="auto"/>
        <w:ind w:firstLine="480" w:firstLineChars="200"/>
        <w:rPr>
          <w:rFonts w:hAnsi="宋体"/>
          <w:sz w:val="24"/>
          <w:highlight w:val="none"/>
        </w:rPr>
      </w:pPr>
      <w:r>
        <w:rPr>
          <w:rFonts w:hint="eastAsia" w:hAnsi="宋体"/>
          <w:sz w:val="24"/>
          <w:highlight w:val="none"/>
        </w:rPr>
        <w:t>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由中小企业制造，即货物由中小企业生产且使用该中小企业商号或者注册商标，不对其中涉及的工程承建商和服务的承接商作出要求的，享受本文件规定的中小企业扶持政策。</w:t>
      </w:r>
    </w:p>
    <w:p w14:paraId="1462AB08">
      <w:pPr>
        <w:pStyle w:val="20"/>
        <w:spacing w:line="360" w:lineRule="auto"/>
        <w:ind w:firstLine="480" w:firstLineChars="200"/>
        <w:rPr>
          <w:rFonts w:hAnsi="宋体"/>
          <w:sz w:val="24"/>
          <w:highlight w:val="none"/>
        </w:rPr>
      </w:pPr>
      <w:r>
        <w:rPr>
          <w:rFonts w:hint="eastAsia" w:hAnsi="宋体"/>
          <w:sz w:val="24"/>
          <w:highlight w:val="none"/>
        </w:rPr>
        <w:t>在货物采购项目中，供应商提供的货物既有中小企业制造货物，也有大型企业制造货物的，不享受本文件规定的中小企业扶持政策。以联合体形式参加政府采购活动，联合体各方均为中小企业的，联合体视同中小企业。其中，联合体各方均为小微企业的，联合体视同小微企业。</w:t>
      </w:r>
    </w:p>
    <w:p w14:paraId="314A08A5">
      <w:pPr>
        <w:pStyle w:val="20"/>
        <w:spacing w:line="360" w:lineRule="auto"/>
        <w:ind w:firstLine="480" w:firstLineChars="200"/>
        <w:textAlignment w:val="center"/>
        <w:rPr>
          <w:rFonts w:hAnsi="宋体"/>
          <w:sz w:val="24"/>
          <w:highlight w:val="none"/>
        </w:rPr>
      </w:pPr>
      <w:r>
        <w:rPr>
          <w:rFonts w:hint="eastAsia" w:hAnsi="宋体"/>
          <w:sz w:val="24"/>
          <w:highlight w:val="none"/>
        </w:rPr>
        <w:t>依据本文件规定享受扶持政策获得政府采购合同的，小微企业不得将合同分包给大中型企业，中型企业不得将合同分包给大型企业。</w:t>
      </w:r>
      <w:bookmarkEnd w:id="216"/>
    </w:p>
    <w:p w14:paraId="4F7FDBA7">
      <w:pPr>
        <w:widowControl/>
        <w:jc w:val="both"/>
        <w:rPr>
          <w:rFonts w:hint="eastAsia" w:ascii="宋体" w:hAnsi="宋体" w:eastAsia="宋体"/>
          <w:sz w:val="21"/>
          <w:szCs w:val="21"/>
          <w:highlight w:val="none"/>
        </w:rPr>
      </w:pPr>
      <w:r>
        <w:rPr>
          <w:rFonts w:hint="eastAsia" w:hAnsi="宋体"/>
          <w:b/>
          <w:sz w:val="22"/>
          <w:highlight w:val="none"/>
        </w:rPr>
        <w:br w:type="page"/>
      </w:r>
      <w:r>
        <w:rPr>
          <w:rFonts w:hint="eastAsia" w:ascii="宋体" w:hAnsi="宋体" w:eastAsia="宋体"/>
          <w:sz w:val="21"/>
          <w:szCs w:val="21"/>
          <w:highlight w:val="none"/>
        </w:rPr>
        <w:t>附件1：</w:t>
      </w:r>
    </w:p>
    <w:p w14:paraId="19559853">
      <w:pPr>
        <w:widowControl/>
        <w:jc w:val="center"/>
        <w:rPr>
          <w:rFonts w:hint="eastAsia" w:ascii="宋体" w:hAnsi="宋体" w:eastAsia="宋体"/>
          <w:sz w:val="21"/>
          <w:szCs w:val="21"/>
          <w:highlight w:val="none"/>
        </w:rPr>
      </w:pPr>
      <w:r>
        <w:rPr>
          <w:rFonts w:hint="eastAsia" w:ascii="宋体" w:hAnsi="宋体" w:eastAsia="宋体"/>
          <w:sz w:val="21"/>
          <w:szCs w:val="21"/>
          <w:highlight w:val="none"/>
        </w:rPr>
        <w:t>中小微企业划型标准</w:t>
      </w:r>
    </w:p>
    <w:tbl>
      <w:tblPr>
        <w:tblStyle w:val="35"/>
        <w:tblpPr w:leftFromText="180" w:rightFromText="180" w:vertAnchor="text" w:horzAnchor="page" w:tblpX="1264" w:tblpY="482"/>
        <w:tblOverlap w:val="never"/>
        <w:tblW w:w="4997" w:type="pct"/>
        <w:tblInd w:w="0" w:type="dxa"/>
        <w:tblLayout w:type="autofit"/>
        <w:tblCellMar>
          <w:top w:w="0" w:type="dxa"/>
          <w:left w:w="108" w:type="dxa"/>
          <w:bottom w:w="0" w:type="dxa"/>
          <w:right w:w="108" w:type="dxa"/>
        </w:tblCellMar>
      </w:tblPr>
      <w:tblGrid>
        <w:gridCol w:w="1937"/>
        <w:gridCol w:w="1937"/>
        <w:gridCol w:w="829"/>
        <w:gridCol w:w="1800"/>
        <w:gridCol w:w="1660"/>
        <w:gridCol w:w="1106"/>
      </w:tblGrid>
      <w:tr w14:paraId="2EED9D0F">
        <w:tblPrEx>
          <w:tblCellMar>
            <w:top w:w="0" w:type="dxa"/>
            <w:left w:w="108" w:type="dxa"/>
            <w:bottom w:w="0" w:type="dxa"/>
            <w:right w:w="108" w:type="dxa"/>
          </w:tblCellMar>
        </w:tblPrEx>
        <w:trPr>
          <w:trHeight w:val="285" w:hRule="atLeast"/>
        </w:trPr>
        <w:tc>
          <w:tcPr>
            <w:tcW w:w="1044" w:type="pct"/>
            <w:tcBorders>
              <w:top w:val="single" w:color="auto" w:sz="4" w:space="0"/>
              <w:left w:val="single" w:color="auto" w:sz="4" w:space="0"/>
              <w:bottom w:val="single" w:color="auto" w:sz="4" w:space="0"/>
              <w:right w:val="single" w:color="auto" w:sz="4" w:space="0"/>
            </w:tcBorders>
            <w:vAlign w:val="center"/>
          </w:tcPr>
          <w:p w14:paraId="4AF444B8">
            <w:pPr>
              <w:widowControl/>
              <w:jc w:val="left"/>
              <w:rPr>
                <w:rFonts w:ascii="宋体" w:hAnsi="宋体" w:cs="宋体"/>
                <w:b/>
                <w:kern w:val="0"/>
                <w:sz w:val="21"/>
                <w:szCs w:val="21"/>
                <w:highlight w:val="none"/>
              </w:rPr>
            </w:pPr>
            <w:r>
              <w:rPr>
                <w:rFonts w:hint="eastAsia" w:ascii="宋体" w:hAnsi="宋体" w:cs="宋体"/>
                <w:b/>
                <w:kern w:val="0"/>
                <w:sz w:val="21"/>
                <w:szCs w:val="21"/>
                <w:highlight w:val="none"/>
              </w:rPr>
              <w:t>行业名称</w:t>
            </w:r>
          </w:p>
        </w:tc>
        <w:tc>
          <w:tcPr>
            <w:tcW w:w="1044" w:type="pct"/>
            <w:tcBorders>
              <w:top w:val="single" w:color="auto" w:sz="4" w:space="0"/>
              <w:left w:val="nil"/>
              <w:bottom w:val="single" w:color="auto" w:sz="4" w:space="0"/>
              <w:right w:val="single" w:color="auto" w:sz="4" w:space="0"/>
            </w:tcBorders>
            <w:vAlign w:val="center"/>
          </w:tcPr>
          <w:p w14:paraId="73C81717">
            <w:pPr>
              <w:widowControl/>
              <w:jc w:val="left"/>
              <w:rPr>
                <w:rFonts w:ascii="宋体" w:hAnsi="宋体" w:cs="宋体"/>
                <w:b/>
                <w:kern w:val="0"/>
                <w:sz w:val="21"/>
                <w:szCs w:val="21"/>
                <w:highlight w:val="none"/>
              </w:rPr>
            </w:pPr>
            <w:r>
              <w:rPr>
                <w:rFonts w:hint="eastAsia" w:ascii="宋体" w:hAnsi="宋体" w:cs="宋体"/>
                <w:b/>
                <w:kern w:val="0"/>
                <w:sz w:val="21"/>
                <w:szCs w:val="21"/>
                <w:highlight w:val="none"/>
              </w:rPr>
              <w:t>指标名称</w:t>
            </w:r>
          </w:p>
        </w:tc>
        <w:tc>
          <w:tcPr>
            <w:tcW w:w="447" w:type="pct"/>
            <w:tcBorders>
              <w:top w:val="single" w:color="auto" w:sz="4" w:space="0"/>
              <w:left w:val="nil"/>
              <w:bottom w:val="single" w:color="auto" w:sz="4" w:space="0"/>
              <w:right w:val="single" w:color="auto" w:sz="4" w:space="0"/>
            </w:tcBorders>
            <w:vAlign w:val="center"/>
          </w:tcPr>
          <w:p w14:paraId="2236A15D">
            <w:pPr>
              <w:widowControl/>
              <w:jc w:val="left"/>
              <w:rPr>
                <w:rFonts w:ascii="宋体" w:hAnsi="宋体" w:cs="宋体"/>
                <w:b/>
                <w:kern w:val="0"/>
                <w:sz w:val="21"/>
                <w:szCs w:val="21"/>
                <w:highlight w:val="none"/>
              </w:rPr>
            </w:pPr>
            <w:r>
              <w:rPr>
                <w:rFonts w:hint="eastAsia" w:ascii="宋体" w:hAnsi="宋体" w:cs="宋体"/>
                <w:b/>
                <w:kern w:val="0"/>
                <w:sz w:val="21"/>
                <w:szCs w:val="21"/>
                <w:highlight w:val="none"/>
              </w:rPr>
              <w:t>计量单位</w:t>
            </w:r>
          </w:p>
        </w:tc>
        <w:tc>
          <w:tcPr>
            <w:tcW w:w="970" w:type="pct"/>
            <w:tcBorders>
              <w:top w:val="single" w:color="auto" w:sz="4" w:space="0"/>
              <w:left w:val="nil"/>
              <w:bottom w:val="single" w:color="auto" w:sz="4" w:space="0"/>
              <w:right w:val="single" w:color="auto" w:sz="4" w:space="0"/>
            </w:tcBorders>
            <w:vAlign w:val="center"/>
          </w:tcPr>
          <w:p w14:paraId="72271C0B">
            <w:pPr>
              <w:widowControl/>
              <w:jc w:val="left"/>
              <w:rPr>
                <w:rFonts w:ascii="宋体" w:hAnsi="宋体" w:cs="宋体"/>
                <w:b/>
                <w:kern w:val="0"/>
                <w:sz w:val="21"/>
                <w:szCs w:val="21"/>
                <w:highlight w:val="none"/>
              </w:rPr>
            </w:pPr>
            <w:r>
              <w:rPr>
                <w:rFonts w:hint="eastAsia" w:ascii="宋体" w:hAnsi="宋体" w:cs="宋体"/>
                <w:b/>
                <w:kern w:val="0"/>
                <w:sz w:val="21"/>
                <w:szCs w:val="21"/>
                <w:highlight w:val="none"/>
              </w:rPr>
              <w:t>中型</w:t>
            </w:r>
          </w:p>
        </w:tc>
        <w:tc>
          <w:tcPr>
            <w:tcW w:w="895" w:type="pct"/>
            <w:tcBorders>
              <w:top w:val="single" w:color="auto" w:sz="4" w:space="0"/>
              <w:left w:val="nil"/>
              <w:bottom w:val="single" w:color="auto" w:sz="4" w:space="0"/>
              <w:right w:val="single" w:color="auto" w:sz="4" w:space="0"/>
            </w:tcBorders>
            <w:vAlign w:val="center"/>
          </w:tcPr>
          <w:p w14:paraId="57C5D1FE">
            <w:pPr>
              <w:widowControl/>
              <w:jc w:val="left"/>
              <w:rPr>
                <w:rFonts w:ascii="宋体" w:hAnsi="宋体" w:cs="宋体"/>
                <w:b/>
                <w:kern w:val="0"/>
                <w:sz w:val="21"/>
                <w:szCs w:val="21"/>
                <w:highlight w:val="none"/>
              </w:rPr>
            </w:pPr>
            <w:r>
              <w:rPr>
                <w:rFonts w:hint="eastAsia" w:ascii="宋体" w:hAnsi="宋体" w:cs="宋体"/>
                <w:b/>
                <w:kern w:val="0"/>
                <w:sz w:val="21"/>
                <w:szCs w:val="21"/>
                <w:highlight w:val="none"/>
              </w:rPr>
              <w:t>小型</w:t>
            </w:r>
          </w:p>
        </w:tc>
        <w:tc>
          <w:tcPr>
            <w:tcW w:w="596" w:type="pct"/>
            <w:tcBorders>
              <w:top w:val="single" w:color="auto" w:sz="4" w:space="0"/>
              <w:left w:val="nil"/>
              <w:bottom w:val="single" w:color="auto" w:sz="4" w:space="0"/>
              <w:right w:val="single" w:color="auto" w:sz="4" w:space="0"/>
            </w:tcBorders>
            <w:vAlign w:val="center"/>
          </w:tcPr>
          <w:p w14:paraId="63FB16A4">
            <w:pPr>
              <w:widowControl/>
              <w:jc w:val="left"/>
              <w:rPr>
                <w:rFonts w:ascii="宋体" w:hAnsi="宋体" w:cs="宋体"/>
                <w:b/>
                <w:kern w:val="0"/>
                <w:sz w:val="21"/>
                <w:szCs w:val="21"/>
                <w:highlight w:val="none"/>
              </w:rPr>
            </w:pPr>
            <w:r>
              <w:rPr>
                <w:rFonts w:hint="eastAsia" w:ascii="宋体" w:hAnsi="宋体" w:cs="宋体"/>
                <w:b/>
                <w:kern w:val="0"/>
                <w:sz w:val="21"/>
                <w:szCs w:val="21"/>
                <w:highlight w:val="none"/>
              </w:rPr>
              <w:t>微型</w:t>
            </w:r>
          </w:p>
        </w:tc>
      </w:tr>
      <w:tr w14:paraId="56F7FE7A">
        <w:tblPrEx>
          <w:tblCellMar>
            <w:top w:w="0" w:type="dxa"/>
            <w:left w:w="108" w:type="dxa"/>
            <w:bottom w:w="0" w:type="dxa"/>
            <w:right w:w="108" w:type="dxa"/>
          </w:tblCellMar>
        </w:tblPrEx>
        <w:trPr>
          <w:trHeight w:val="225" w:hRule="atLeast"/>
        </w:trPr>
        <w:tc>
          <w:tcPr>
            <w:tcW w:w="1044" w:type="pct"/>
            <w:tcBorders>
              <w:top w:val="nil"/>
              <w:left w:val="single" w:color="auto" w:sz="4" w:space="0"/>
              <w:bottom w:val="single" w:color="auto" w:sz="4" w:space="0"/>
              <w:right w:val="single" w:color="auto" w:sz="4" w:space="0"/>
            </w:tcBorders>
            <w:vAlign w:val="bottom"/>
          </w:tcPr>
          <w:p w14:paraId="724195E1">
            <w:pPr>
              <w:widowControl/>
              <w:jc w:val="center"/>
              <w:rPr>
                <w:rFonts w:ascii="宋体" w:hAnsi="宋体" w:cs="宋体"/>
                <w:b/>
                <w:bCs/>
                <w:kern w:val="0"/>
                <w:sz w:val="21"/>
                <w:szCs w:val="21"/>
                <w:highlight w:val="none"/>
              </w:rPr>
            </w:pPr>
            <w:r>
              <w:rPr>
                <w:rFonts w:hint="eastAsia" w:ascii="宋体" w:hAnsi="宋体" w:cs="宋体"/>
                <w:b/>
                <w:bCs/>
                <w:kern w:val="0"/>
                <w:sz w:val="21"/>
                <w:szCs w:val="21"/>
                <w:highlight w:val="none"/>
              </w:rPr>
              <w:t>农、林、牧、渔</w:t>
            </w:r>
          </w:p>
        </w:tc>
        <w:tc>
          <w:tcPr>
            <w:tcW w:w="1044" w:type="pct"/>
            <w:tcBorders>
              <w:top w:val="nil"/>
              <w:left w:val="nil"/>
              <w:bottom w:val="single" w:color="auto" w:sz="4" w:space="0"/>
              <w:right w:val="single" w:color="auto" w:sz="4" w:space="0"/>
            </w:tcBorders>
            <w:vAlign w:val="center"/>
          </w:tcPr>
          <w:p w14:paraId="1421A7A0">
            <w:pPr>
              <w:widowControl/>
              <w:jc w:val="left"/>
              <w:rPr>
                <w:rFonts w:ascii="宋体" w:hAnsi="宋体" w:cs="宋体"/>
                <w:kern w:val="0"/>
                <w:sz w:val="21"/>
                <w:szCs w:val="21"/>
                <w:highlight w:val="none"/>
              </w:rPr>
            </w:pPr>
            <w:r>
              <w:rPr>
                <w:rFonts w:hint="eastAsia" w:ascii="宋体" w:hAnsi="宋体" w:cs="宋体"/>
                <w:kern w:val="0"/>
                <w:sz w:val="21"/>
                <w:szCs w:val="21"/>
                <w:highlight w:val="none"/>
              </w:rPr>
              <w:t>营业收入（Y）</w:t>
            </w:r>
          </w:p>
        </w:tc>
        <w:tc>
          <w:tcPr>
            <w:tcW w:w="447" w:type="pct"/>
            <w:tcBorders>
              <w:top w:val="nil"/>
              <w:left w:val="nil"/>
              <w:bottom w:val="single" w:color="auto" w:sz="4" w:space="0"/>
              <w:right w:val="single" w:color="auto" w:sz="4" w:space="0"/>
            </w:tcBorders>
            <w:vAlign w:val="center"/>
          </w:tcPr>
          <w:p w14:paraId="053D1396">
            <w:pPr>
              <w:widowControl/>
              <w:jc w:val="left"/>
              <w:rPr>
                <w:rFonts w:ascii="宋体" w:hAnsi="宋体" w:cs="宋体"/>
                <w:kern w:val="0"/>
                <w:sz w:val="21"/>
                <w:szCs w:val="21"/>
                <w:highlight w:val="none"/>
              </w:rPr>
            </w:pPr>
            <w:r>
              <w:rPr>
                <w:rFonts w:hint="eastAsia" w:ascii="宋体" w:hAnsi="宋体" w:cs="宋体"/>
                <w:kern w:val="0"/>
                <w:sz w:val="21"/>
                <w:szCs w:val="21"/>
                <w:highlight w:val="none"/>
              </w:rPr>
              <w:t>万元</w:t>
            </w:r>
          </w:p>
        </w:tc>
        <w:tc>
          <w:tcPr>
            <w:tcW w:w="970" w:type="pct"/>
            <w:tcBorders>
              <w:top w:val="nil"/>
              <w:left w:val="nil"/>
              <w:bottom w:val="single" w:color="auto" w:sz="4" w:space="0"/>
              <w:right w:val="single" w:color="auto" w:sz="4" w:space="0"/>
            </w:tcBorders>
            <w:vAlign w:val="center"/>
          </w:tcPr>
          <w:p w14:paraId="2A6E65D4">
            <w:pPr>
              <w:widowControl/>
              <w:jc w:val="left"/>
              <w:rPr>
                <w:rFonts w:ascii="宋体" w:hAnsi="宋体" w:cs="宋体"/>
                <w:kern w:val="0"/>
                <w:sz w:val="21"/>
                <w:szCs w:val="21"/>
                <w:highlight w:val="none"/>
              </w:rPr>
            </w:pPr>
            <w:r>
              <w:rPr>
                <w:rFonts w:hint="eastAsia" w:ascii="宋体" w:hAnsi="宋体" w:cs="宋体"/>
                <w:kern w:val="0"/>
                <w:sz w:val="21"/>
                <w:szCs w:val="21"/>
                <w:highlight w:val="none"/>
              </w:rPr>
              <w:t>500≤Y＜20000</w:t>
            </w:r>
          </w:p>
        </w:tc>
        <w:tc>
          <w:tcPr>
            <w:tcW w:w="895" w:type="pct"/>
            <w:tcBorders>
              <w:top w:val="nil"/>
              <w:left w:val="nil"/>
              <w:bottom w:val="single" w:color="auto" w:sz="4" w:space="0"/>
              <w:right w:val="single" w:color="auto" w:sz="4" w:space="0"/>
            </w:tcBorders>
            <w:vAlign w:val="center"/>
          </w:tcPr>
          <w:p w14:paraId="2358924F">
            <w:pPr>
              <w:widowControl/>
              <w:jc w:val="left"/>
              <w:rPr>
                <w:rFonts w:ascii="宋体" w:hAnsi="宋体" w:cs="宋体"/>
                <w:kern w:val="0"/>
                <w:sz w:val="21"/>
                <w:szCs w:val="21"/>
                <w:highlight w:val="none"/>
              </w:rPr>
            </w:pPr>
            <w:r>
              <w:rPr>
                <w:rFonts w:hint="eastAsia" w:ascii="宋体" w:hAnsi="宋体" w:cs="宋体"/>
                <w:kern w:val="0"/>
                <w:sz w:val="21"/>
                <w:szCs w:val="21"/>
                <w:highlight w:val="none"/>
              </w:rPr>
              <w:t>50≤Y＜500</w:t>
            </w:r>
          </w:p>
        </w:tc>
        <w:tc>
          <w:tcPr>
            <w:tcW w:w="596" w:type="pct"/>
            <w:tcBorders>
              <w:top w:val="nil"/>
              <w:left w:val="nil"/>
              <w:bottom w:val="single" w:color="auto" w:sz="4" w:space="0"/>
              <w:right w:val="single" w:color="auto" w:sz="4" w:space="0"/>
            </w:tcBorders>
            <w:vAlign w:val="center"/>
          </w:tcPr>
          <w:p w14:paraId="24D2C259">
            <w:pPr>
              <w:widowControl/>
              <w:jc w:val="left"/>
              <w:rPr>
                <w:rFonts w:ascii="宋体" w:hAnsi="宋体" w:cs="宋体"/>
                <w:kern w:val="0"/>
                <w:sz w:val="21"/>
                <w:szCs w:val="21"/>
                <w:highlight w:val="none"/>
              </w:rPr>
            </w:pPr>
            <w:r>
              <w:rPr>
                <w:rFonts w:hint="eastAsia" w:ascii="宋体" w:hAnsi="宋体" w:cs="宋体"/>
                <w:kern w:val="0"/>
                <w:sz w:val="21"/>
                <w:szCs w:val="21"/>
                <w:highlight w:val="none"/>
              </w:rPr>
              <w:t>Y＜50</w:t>
            </w:r>
          </w:p>
        </w:tc>
      </w:tr>
      <w:tr w14:paraId="1258961B">
        <w:tblPrEx>
          <w:tblCellMar>
            <w:top w:w="0" w:type="dxa"/>
            <w:left w:w="108" w:type="dxa"/>
            <w:bottom w:w="0" w:type="dxa"/>
            <w:right w:w="108" w:type="dxa"/>
          </w:tblCellMar>
        </w:tblPrEx>
        <w:trPr>
          <w:trHeight w:val="225" w:hRule="atLeast"/>
        </w:trPr>
        <w:tc>
          <w:tcPr>
            <w:tcW w:w="1044" w:type="pct"/>
            <w:vMerge w:val="restart"/>
            <w:tcBorders>
              <w:top w:val="nil"/>
              <w:left w:val="single" w:color="auto" w:sz="4" w:space="0"/>
              <w:bottom w:val="single" w:color="auto" w:sz="4" w:space="0"/>
              <w:right w:val="single" w:color="auto" w:sz="4" w:space="0"/>
            </w:tcBorders>
            <w:vAlign w:val="bottom"/>
          </w:tcPr>
          <w:p w14:paraId="7C46B9DF">
            <w:pPr>
              <w:widowControl/>
              <w:jc w:val="center"/>
              <w:rPr>
                <w:rFonts w:ascii="宋体" w:hAnsi="宋体" w:cs="宋体"/>
                <w:b/>
                <w:bCs/>
                <w:kern w:val="0"/>
                <w:sz w:val="21"/>
                <w:szCs w:val="21"/>
                <w:highlight w:val="none"/>
              </w:rPr>
            </w:pPr>
            <w:r>
              <w:rPr>
                <w:rFonts w:hint="eastAsia" w:ascii="宋体" w:hAnsi="宋体" w:cs="宋体"/>
                <w:b/>
                <w:bCs/>
                <w:kern w:val="0"/>
                <w:sz w:val="21"/>
                <w:szCs w:val="21"/>
                <w:highlight w:val="none"/>
              </w:rPr>
              <w:t>工业</w:t>
            </w:r>
          </w:p>
        </w:tc>
        <w:tc>
          <w:tcPr>
            <w:tcW w:w="1044" w:type="pct"/>
            <w:tcBorders>
              <w:top w:val="nil"/>
              <w:left w:val="nil"/>
              <w:bottom w:val="single" w:color="auto" w:sz="4" w:space="0"/>
              <w:right w:val="single" w:color="auto" w:sz="4" w:space="0"/>
            </w:tcBorders>
            <w:vAlign w:val="center"/>
          </w:tcPr>
          <w:p w14:paraId="4EF6867C">
            <w:pPr>
              <w:widowControl/>
              <w:jc w:val="left"/>
              <w:rPr>
                <w:rFonts w:ascii="宋体" w:hAnsi="宋体" w:cs="宋体"/>
                <w:kern w:val="0"/>
                <w:sz w:val="21"/>
                <w:szCs w:val="21"/>
                <w:highlight w:val="none"/>
              </w:rPr>
            </w:pPr>
            <w:r>
              <w:rPr>
                <w:rFonts w:hint="eastAsia" w:ascii="宋体" w:hAnsi="宋体" w:cs="宋体"/>
                <w:kern w:val="0"/>
                <w:sz w:val="21"/>
                <w:szCs w:val="21"/>
                <w:highlight w:val="none"/>
              </w:rPr>
              <w:t>从业人员（X）</w:t>
            </w:r>
          </w:p>
        </w:tc>
        <w:tc>
          <w:tcPr>
            <w:tcW w:w="447" w:type="pct"/>
            <w:tcBorders>
              <w:top w:val="nil"/>
              <w:left w:val="nil"/>
              <w:bottom w:val="single" w:color="auto" w:sz="4" w:space="0"/>
              <w:right w:val="single" w:color="auto" w:sz="4" w:space="0"/>
            </w:tcBorders>
            <w:vAlign w:val="center"/>
          </w:tcPr>
          <w:p w14:paraId="43FFE20C">
            <w:pPr>
              <w:widowControl/>
              <w:jc w:val="left"/>
              <w:rPr>
                <w:rFonts w:ascii="宋体" w:hAnsi="宋体" w:cs="宋体"/>
                <w:kern w:val="0"/>
                <w:sz w:val="21"/>
                <w:szCs w:val="21"/>
                <w:highlight w:val="none"/>
              </w:rPr>
            </w:pPr>
            <w:r>
              <w:rPr>
                <w:rFonts w:hint="eastAsia" w:ascii="宋体" w:hAnsi="宋体" w:cs="宋体"/>
                <w:kern w:val="0"/>
                <w:sz w:val="21"/>
                <w:szCs w:val="21"/>
                <w:highlight w:val="none"/>
              </w:rPr>
              <w:t>人</w:t>
            </w:r>
          </w:p>
        </w:tc>
        <w:tc>
          <w:tcPr>
            <w:tcW w:w="970" w:type="pct"/>
            <w:tcBorders>
              <w:top w:val="nil"/>
              <w:left w:val="nil"/>
              <w:bottom w:val="single" w:color="auto" w:sz="4" w:space="0"/>
              <w:right w:val="single" w:color="auto" w:sz="4" w:space="0"/>
            </w:tcBorders>
            <w:vAlign w:val="center"/>
          </w:tcPr>
          <w:p w14:paraId="078813B4">
            <w:pPr>
              <w:widowControl/>
              <w:jc w:val="left"/>
              <w:rPr>
                <w:rFonts w:ascii="宋体" w:hAnsi="宋体" w:cs="宋体"/>
                <w:kern w:val="0"/>
                <w:sz w:val="21"/>
                <w:szCs w:val="21"/>
                <w:highlight w:val="none"/>
              </w:rPr>
            </w:pPr>
            <w:r>
              <w:rPr>
                <w:rFonts w:hint="eastAsia" w:ascii="宋体" w:hAnsi="宋体" w:cs="宋体"/>
                <w:kern w:val="0"/>
                <w:sz w:val="21"/>
                <w:szCs w:val="21"/>
                <w:highlight w:val="none"/>
              </w:rPr>
              <w:t>300≤X＜1000</w:t>
            </w:r>
          </w:p>
        </w:tc>
        <w:tc>
          <w:tcPr>
            <w:tcW w:w="895" w:type="pct"/>
            <w:tcBorders>
              <w:top w:val="nil"/>
              <w:left w:val="nil"/>
              <w:bottom w:val="single" w:color="auto" w:sz="4" w:space="0"/>
              <w:right w:val="single" w:color="auto" w:sz="4" w:space="0"/>
            </w:tcBorders>
            <w:vAlign w:val="center"/>
          </w:tcPr>
          <w:p w14:paraId="75490D46">
            <w:pPr>
              <w:widowControl/>
              <w:jc w:val="left"/>
              <w:rPr>
                <w:rFonts w:ascii="宋体" w:hAnsi="宋体" w:cs="宋体"/>
                <w:kern w:val="0"/>
                <w:sz w:val="21"/>
                <w:szCs w:val="21"/>
                <w:highlight w:val="none"/>
              </w:rPr>
            </w:pPr>
            <w:r>
              <w:rPr>
                <w:rFonts w:hint="eastAsia" w:ascii="宋体" w:hAnsi="宋体" w:cs="宋体"/>
                <w:kern w:val="0"/>
                <w:sz w:val="21"/>
                <w:szCs w:val="21"/>
                <w:highlight w:val="none"/>
              </w:rPr>
              <w:t>20≤X＜300</w:t>
            </w:r>
          </w:p>
        </w:tc>
        <w:tc>
          <w:tcPr>
            <w:tcW w:w="596" w:type="pct"/>
            <w:tcBorders>
              <w:top w:val="nil"/>
              <w:left w:val="nil"/>
              <w:bottom w:val="single" w:color="auto" w:sz="4" w:space="0"/>
              <w:right w:val="single" w:color="auto" w:sz="4" w:space="0"/>
            </w:tcBorders>
            <w:vAlign w:val="center"/>
          </w:tcPr>
          <w:p w14:paraId="248427FC">
            <w:pPr>
              <w:widowControl/>
              <w:jc w:val="left"/>
              <w:rPr>
                <w:rFonts w:ascii="宋体" w:hAnsi="宋体" w:cs="宋体"/>
                <w:kern w:val="0"/>
                <w:sz w:val="21"/>
                <w:szCs w:val="21"/>
                <w:highlight w:val="none"/>
              </w:rPr>
            </w:pPr>
            <w:r>
              <w:rPr>
                <w:rFonts w:hint="eastAsia" w:ascii="宋体" w:hAnsi="宋体" w:cs="宋体"/>
                <w:kern w:val="0"/>
                <w:sz w:val="21"/>
                <w:szCs w:val="21"/>
                <w:highlight w:val="none"/>
              </w:rPr>
              <w:t>X＜20</w:t>
            </w:r>
          </w:p>
        </w:tc>
      </w:tr>
      <w:tr w14:paraId="7F771443">
        <w:tblPrEx>
          <w:tblCellMar>
            <w:top w:w="0" w:type="dxa"/>
            <w:left w:w="108" w:type="dxa"/>
            <w:bottom w:w="0" w:type="dxa"/>
            <w:right w:w="108" w:type="dxa"/>
          </w:tblCellMar>
        </w:tblPrEx>
        <w:trPr>
          <w:trHeight w:val="225" w:hRule="atLeast"/>
        </w:trPr>
        <w:tc>
          <w:tcPr>
            <w:tcW w:w="1044" w:type="pct"/>
            <w:vMerge w:val="continue"/>
            <w:tcBorders>
              <w:top w:val="nil"/>
              <w:left w:val="single" w:color="auto" w:sz="4" w:space="0"/>
              <w:bottom w:val="single" w:color="auto" w:sz="4" w:space="0"/>
              <w:right w:val="single" w:color="auto" w:sz="4" w:space="0"/>
            </w:tcBorders>
            <w:vAlign w:val="center"/>
          </w:tcPr>
          <w:p w14:paraId="02593651">
            <w:pPr>
              <w:widowControl/>
              <w:jc w:val="left"/>
              <w:rPr>
                <w:rFonts w:ascii="宋体" w:hAnsi="宋体" w:cs="宋体"/>
                <w:b/>
                <w:bCs/>
                <w:kern w:val="0"/>
                <w:sz w:val="21"/>
                <w:szCs w:val="21"/>
                <w:highlight w:val="none"/>
              </w:rPr>
            </w:pPr>
          </w:p>
        </w:tc>
        <w:tc>
          <w:tcPr>
            <w:tcW w:w="1044" w:type="pct"/>
            <w:tcBorders>
              <w:top w:val="nil"/>
              <w:left w:val="nil"/>
              <w:bottom w:val="single" w:color="auto" w:sz="4" w:space="0"/>
              <w:right w:val="single" w:color="auto" w:sz="4" w:space="0"/>
            </w:tcBorders>
            <w:vAlign w:val="center"/>
          </w:tcPr>
          <w:p w14:paraId="4605EB67">
            <w:pPr>
              <w:widowControl/>
              <w:jc w:val="left"/>
              <w:rPr>
                <w:rFonts w:ascii="宋体" w:hAnsi="宋体" w:cs="宋体"/>
                <w:kern w:val="0"/>
                <w:sz w:val="21"/>
                <w:szCs w:val="21"/>
                <w:highlight w:val="none"/>
              </w:rPr>
            </w:pPr>
            <w:r>
              <w:rPr>
                <w:rFonts w:hint="eastAsia" w:ascii="宋体" w:hAnsi="宋体" w:cs="宋体"/>
                <w:kern w:val="0"/>
                <w:sz w:val="21"/>
                <w:szCs w:val="21"/>
                <w:highlight w:val="none"/>
              </w:rPr>
              <w:t>营业收入（Y）</w:t>
            </w:r>
          </w:p>
        </w:tc>
        <w:tc>
          <w:tcPr>
            <w:tcW w:w="447" w:type="pct"/>
            <w:tcBorders>
              <w:top w:val="nil"/>
              <w:left w:val="nil"/>
              <w:bottom w:val="single" w:color="auto" w:sz="4" w:space="0"/>
              <w:right w:val="single" w:color="auto" w:sz="4" w:space="0"/>
            </w:tcBorders>
            <w:vAlign w:val="center"/>
          </w:tcPr>
          <w:p w14:paraId="3BFD5298">
            <w:pPr>
              <w:widowControl/>
              <w:jc w:val="left"/>
              <w:rPr>
                <w:rFonts w:ascii="宋体" w:hAnsi="宋体" w:cs="宋体"/>
                <w:kern w:val="0"/>
                <w:sz w:val="21"/>
                <w:szCs w:val="21"/>
                <w:highlight w:val="none"/>
              </w:rPr>
            </w:pPr>
            <w:r>
              <w:rPr>
                <w:rFonts w:hint="eastAsia" w:ascii="宋体" w:hAnsi="宋体" w:cs="宋体"/>
                <w:kern w:val="0"/>
                <w:sz w:val="21"/>
                <w:szCs w:val="21"/>
                <w:highlight w:val="none"/>
              </w:rPr>
              <w:t>万元</w:t>
            </w:r>
          </w:p>
        </w:tc>
        <w:tc>
          <w:tcPr>
            <w:tcW w:w="970" w:type="pct"/>
            <w:tcBorders>
              <w:top w:val="nil"/>
              <w:left w:val="nil"/>
              <w:bottom w:val="single" w:color="auto" w:sz="4" w:space="0"/>
              <w:right w:val="single" w:color="auto" w:sz="4" w:space="0"/>
            </w:tcBorders>
            <w:vAlign w:val="center"/>
          </w:tcPr>
          <w:p w14:paraId="6E869E5C">
            <w:pPr>
              <w:widowControl/>
              <w:jc w:val="left"/>
              <w:rPr>
                <w:rFonts w:ascii="宋体" w:hAnsi="宋体" w:cs="宋体"/>
                <w:kern w:val="0"/>
                <w:sz w:val="21"/>
                <w:szCs w:val="21"/>
                <w:highlight w:val="none"/>
              </w:rPr>
            </w:pPr>
            <w:r>
              <w:rPr>
                <w:rFonts w:hint="eastAsia" w:ascii="宋体" w:hAnsi="宋体" w:cs="宋体"/>
                <w:kern w:val="0"/>
                <w:sz w:val="21"/>
                <w:szCs w:val="21"/>
                <w:highlight w:val="none"/>
              </w:rPr>
              <w:t>2000≤Y＜40000</w:t>
            </w:r>
          </w:p>
        </w:tc>
        <w:tc>
          <w:tcPr>
            <w:tcW w:w="895" w:type="pct"/>
            <w:tcBorders>
              <w:top w:val="nil"/>
              <w:left w:val="nil"/>
              <w:bottom w:val="single" w:color="auto" w:sz="4" w:space="0"/>
              <w:right w:val="single" w:color="auto" w:sz="4" w:space="0"/>
            </w:tcBorders>
            <w:vAlign w:val="center"/>
          </w:tcPr>
          <w:p w14:paraId="7BB4A15A">
            <w:pPr>
              <w:widowControl/>
              <w:jc w:val="left"/>
              <w:rPr>
                <w:rFonts w:ascii="宋体" w:hAnsi="宋体" w:cs="宋体"/>
                <w:kern w:val="0"/>
                <w:sz w:val="21"/>
                <w:szCs w:val="21"/>
                <w:highlight w:val="none"/>
              </w:rPr>
            </w:pPr>
            <w:r>
              <w:rPr>
                <w:rFonts w:hint="eastAsia" w:ascii="宋体" w:hAnsi="宋体" w:cs="宋体"/>
                <w:kern w:val="0"/>
                <w:sz w:val="21"/>
                <w:szCs w:val="21"/>
                <w:highlight w:val="none"/>
              </w:rPr>
              <w:t>300≤Y＜2000</w:t>
            </w:r>
          </w:p>
        </w:tc>
        <w:tc>
          <w:tcPr>
            <w:tcW w:w="596" w:type="pct"/>
            <w:tcBorders>
              <w:top w:val="nil"/>
              <w:left w:val="nil"/>
              <w:bottom w:val="single" w:color="auto" w:sz="4" w:space="0"/>
              <w:right w:val="single" w:color="auto" w:sz="4" w:space="0"/>
            </w:tcBorders>
            <w:vAlign w:val="center"/>
          </w:tcPr>
          <w:p w14:paraId="02C1F51D">
            <w:pPr>
              <w:widowControl/>
              <w:jc w:val="left"/>
              <w:rPr>
                <w:rFonts w:ascii="宋体" w:hAnsi="宋体" w:cs="宋体"/>
                <w:kern w:val="0"/>
                <w:sz w:val="21"/>
                <w:szCs w:val="21"/>
                <w:highlight w:val="none"/>
              </w:rPr>
            </w:pPr>
            <w:r>
              <w:rPr>
                <w:rFonts w:hint="eastAsia" w:ascii="宋体" w:hAnsi="宋体" w:cs="宋体"/>
                <w:kern w:val="0"/>
                <w:sz w:val="21"/>
                <w:szCs w:val="21"/>
                <w:highlight w:val="none"/>
              </w:rPr>
              <w:t>Y＜300</w:t>
            </w:r>
          </w:p>
        </w:tc>
      </w:tr>
      <w:tr w14:paraId="63EE846F">
        <w:tblPrEx>
          <w:tblCellMar>
            <w:top w:w="0" w:type="dxa"/>
            <w:left w:w="108" w:type="dxa"/>
            <w:bottom w:w="0" w:type="dxa"/>
            <w:right w:w="108" w:type="dxa"/>
          </w:tblCellMar>
        </w:tblPrEx>
        <w:trPr>
          <w:trHeight w:val="225" w:hRule="atLeast"/>
        </w:trPr>
        <w:tc>
          <w:tcPr>
            <w:tcW w:w="1044" w:type="pct"/>
            <w:vMerge w:val="restart"/>
            <w:tcBorders>
              <w:top w:val="nil"/>
              <w:left w:val="single" w:color="auto" w:sz="4" w:space="0"/>
              <w:bottom w:val="single" w:color="auto" w:sz="4" w:space="0"/>
              <w:right w:val="single" w:color="auto" w:sz="4" w:space="0"/>
            </w:tcBorders>
            <w:vAlign w:val="center"/>
          </w:tcPr>
          <w:p w14:paraId="707A82C9">
            <w:pPr>
              <w:widowControl/>
              <w:jc w:val="center"/>
              <w:rPr>
                <w:rFonts w:ascii="宋体" w:hAnsi="宋体" w:cs="宋体"/>
                <w:b/>
                <w:bCs/>
                <w:kern w:val="0"/>
                <w:sz w:val="21"/>
                <w:szCs w:val="21"/>
                <w:highlight w:val="none"/>
              </w:rPr>
            </w:pPr>
            <w:r>
              <w:rPr>
                <w:rFonts w:hint="eastAsia" w:ascii="宋体" w:hAnsi="宋体" w:cs="宋体"/>
                <w:b/>
                <w:bCs/>
                <w:kern w:val="0"/>
                <w:sz w:val="21"/>
                <w:szCs w:val="21"/>
                <w:highlight w:val="none"/>
              </w:rPr>
              <w:t>建筑业</w:t>
            </w:r>
          </w:p>
        </w:tc>
        <w:tc>
          <w:tcPr>
            <w:tcW w:w="1044" w:type="pct"/>
            <w:tcBorders>
              <w:top w:val="nil"/>
              <w:left w:val="nil"/>
              <w:bottom w:val="single" w:color="auto" w:sz="4" w:space="0"/>
              <w:right w:val="single" w:color="auto" w:sz="4" w:space="0"/>
            </w:tcBorders>
            <w:vAlign w:val="center"/>
          </w:tcPr>
          <w:p w14:paraId="244A901B">
            <w:pPr>
              <w:widowControl/>
              <w:jc w:val="left"/>
              <w:rPr>
                <w:rFonts w:ascii="宋体" w:hAnsi="宋体" w:cs="宋体"/>
                <w:kern w:val="0"/>
                <w:sz w:val="21"/>
                <w:szCs w:val="21"/>
                <w:highlight w:val="none"/>
              </w:rPr>
            </w:pPr>
            <w:r>
              <w:rPr>
                <w:rFonts w:hint="eastAsia" w:ascii="宋体" w:hAnsi="宋体" w:cs="宋体"/>
                <w:kern w:val="0"/>
                <w:sz w:val="21"/>
                <w:szCs w:val="21"/>
                <w:highlight w:val="none"/>
              </w:rPr>
              <w:t>营业收入（Y）</w:t>
            </w:r>
          </w:p>
        </w:tc>
        <w:tc>
          <w:tcPr>
            <w:tcW w:w="447" w:type="pct"/>
            <w:tcBorders>
              <w:top w:val="nil"/>
              <w:left w:val="nil"/>
              <w:bottom w:val="single" w:color="auto" w:sz="4" w:space="0"/>
              <w:right w:val="single" w:color="auto" w:sz="4" w:space="0"/>
            </w:tcBorders>
            <w:vAlign w:val="center"/>
          </w:tcPr>
          <w:p w14:paraId="733561D5">
            <w:pPr>
              <w:widowControl/>
              <w:jc w:val="left"/>
              <w:rPr>
                <w:rFonts w:ascii="宋体" w:hAnsi="宋体" w:cs="宋体"/>
                <w:kern w:val="0"/>
                <w:sz w:val="21"/>
                <w:szCs w:val="21"/>
                <w:highlight w:val="none"/>
              </w:rPr>
            </w:pPr>
            <w:r>
              <w:rPr>
                <w:rFonts w:hint="eastAsia" w:ascii="宋体" w:hAnsi="宋体" w:cs="宋体"/>
                <w:kern w:val="0"/>
                <w:sz w:val="21"/>
                <w:szCs w:val="21"/>
                <w:highlight w:val="none"/>
              </w:rPr>
              <w:t>万元</w:t>
            </w:r>
          </w:p>
        </w:tc>
        <w:tc>
          <w:tcPr>
            <w:tcW w:w="970" w:type="pct"/>
            <w:tcBorders>
              <w:top w:val="nil"/>
              <w:left w:val="nil"/>
              <w:bottom w:val="single" w:color="auto" w:sz="4" w:space="0"/>
              <w:right w:val="single" w:color="auto" w:sz="4" w:space="0"/>
            </w:tcBorders>
            <w:vAlign w:val="center"/>
          </w:tcPr>
          <w:p w14:paraId="33402E0F">
            <w:pPr>
              <w:widowControl/>
              <w:jc w:val="left"/>
              <w:rPr>
                <w:rFonts w:ascii="宋体" w:hAnsi="宋体" w:cs="宋体"/>
                <w:kern w:val="0"/>
                <w:sz w:val="21"/>
                <w:szCs w:val="21"/>
                <w:highlight w:val="none"/>
              </w:rPr>
            </w:pPr>
            <w:r>
              <w:rPr>
                <w:rFonts w:hint="eastAsia" w:ascii="宋体" w:hAnsi="宋体" w:cs="宋体"/>
                <w:kern w:val="0"/>
                <w:sz w:val="21"/>
                <w:szCs w:val="21"/>
                <w:highlight w:val="none"/>
              </w:rPr>
              <w:t>6000≤Y＜80000</w:t>
            </w:r>
          </w:p>
        </w:tc>
        <w:tc>
          <w:tcPr>
            <w:tcW w:w="895" w:type="pct"/>
            <w:tcBorders>
              <w:top w:val="nil"/>
              <w:left w:val="nil"/>
              <w:bottom w:val="single" w:color="auto" w:sz="4" w:space="0"/>
              <w:right w:val="single" w:color="auto" w:sz="4" w:space="0"/>
            </w:tcBorders>
            <w:vAlign w:val="center"/>
          </w:tcPr>
          <w:p w14:paraId="19F551C0">
            <w:pPr>
              <w:widowControl/>
              <w:jc w:val="left"/>
              <w:rPr>
                <w:rFonts w:ascii="宋体" w:hAnsi="宋体" w:cs="宋体"/>
                <w:kern w:val="0"/>
                <w:sz w:val="21"/>
                <w:szCs w:val="21"/>
                <w:highlight w:val="none"/>
              </w:rPr>
            </w:pPr>
            <w:r>
              <w:rPr>
                <w:rFonts w:hint="eastAsia" w:ascii="宋体" w:hAnsi="宋体" w:cs="宋体"/>
                <w:kern w:val="0"/>
                <w:sz w:val="21"/>
                <w:szCs w:val="21"/>
                <w:highlight w:val="none"/>
              </w:rPr>
              <w:t>300≤Y＜6000</w:t>
            </w:r>
          </w:p>
        </w:tc>
        <w:tc>
          <w:tcPr>
            <w:tcW w:w="596" w:type="pct"/>
            <w:tcBorders>
              <w:top w:val="nil"/>
              <w:left w:val="nil"/>
              <w:bottom w:val="single" w:color="auto" w:sz="4" w:space="0"/>
              <w:right w:val="single" w:color="auto" w:sz="4" w:space="0"/>
            </w:tcBorders>
            <w:vAlign w:val="center"/>
          </w:tcPr>
          <w:p w14:paraId="551E5CBE">
            <w:pPr>
              <w:widowControl/>
              <w:jc w:val="left"/>
              <w:rPr>
                <w:rFonts w:ascii="宋体" w:hAnsi="宋体" w:cs="宋体"/>
                <w:kern w:val="0"/>
                <w:sz w:val="21"/>
                <w:szCs w:val="21"/>
                <w:highlight w:val="none"/>
              </w:rPr>
            </w:pPr>
            <w:r>
              <w:rPr>
                <w:rFonts w:hint="eastAsia" w:ascii="宋体" w:hAnsi="宋体" w:cs="宋体"/>
                <w:kern w:val="0"/>
                <w:sz w:val="21"/>
                <w:szCs w:val="21"/>
                <w:highlight w:val="none"/>
              </w:rPr>
              <w:t>Y＜300</w:t>
            </w:r>
          </w:p>
        </w:tc>
      </w:tr>
      <w:tr w14:paraId="2C896417">
        <w:tblPrEx>
          <w:tblCellMar>
            <w:top w:w="0" w:type="dxa"/>
            <w:left w:w="108" w:type="dxa"/>
            <w:bottom w:w="0" w:type="dxa"/>
            <w:right w:w="108" w:type="dxa"/>
          </w:tblCellMar>
        </w:tblPrEx>
        <w:trPr>
          <w:trHeight w:val="225" w:hRule="atLeast"/>
        </w:trPr>
        <w:tc>
          <w:tcPr>
            <w:tcW w:w="1044" w:type="pct"/>
            <w:vMerge w:val="continue"/>
            <w:tcBorders>
              <w:top w:val="nil"/>
              <w:left w:val="single" w:color="auto" w:sz="4" w:space="0"/>
              <w:bottom w:val="single" w:color="auto" w:sz="4" w:space="0"/>
              <w:right w:val="single" w:color="auto" w:sz="4" w:space="0"/>
            </w:tcBorders>
            <w:vAlign w:val="center"/>
          </w:tcPr>
          <w:p w14:paraId="1F4749A7">
            <w:pPr>
              <w:widowControl/>
              <w:jc w:val="center"/>
              <w:rPr>
                <w:rFonts w:ascii="宋体" w:hAnsi="宋体" w:cs="宋体"/>
                <w:b/>
                <w:bCs/>
                <w:kern w:val="0"/>
                <w:sz w:val="21"/>
                <w:szCs w:val="21"/>
                <w:highlight w:val="none"/>
              </w:rPr>
            </w:pPr>
          </w:p>
        </w:tc>
        <w:tc>
          <w:tcPr>
            <w:tcW w:w="1044" w:type="pct"/>
            <w:tcBorders>
              <w:top w:val="nil"/>
              <w:left w:val="nil"/>
              <w:bottom w:val="single" w:color="auto" w:sz="4" w:space="0"/>
              <w:right w:val="single" w:color="auto" w:sz="4" w:space="0"/>
            </w:tcBorders>
            <w:vAlign w:val="center"/>
          </w:tcPr>
          <w:p w14:paraId="357F22C8">
            <w:pPr>
              <w:widowControl/>
              <w:jc w:val="left"/>
              <w:rPr>
                <w:rFonts w:ascii="宋体" w:hAnsi="宋体" w:cs="宋体"/>
                <w:kern w:val="0"/>
                <w:sz w:val="21"/>
                <w:szCs w:val="21"/>
                <w:highlight w:val="none"/>
              </w:rPr>
            </w:pPr>
            <w:r>
              <w:rPr>
                <w:rFonts w:hint="eastAsia" w:ascii="宋体" w:hAnsi="宋体" w:cs="宋体"/>
                <w:kern w:val="0"/>
                <w:sz w:val="21"/>
                <w:szCs w:val="21"/>
                <w:highlight w:val="none"/>
              </w:rPr>
              <w:t>资产总额（Z）</w:t>
            </w:r>
          </w:p>
        </w:tc>
        <w:tc>
          <w:tcPr>
            <w:tcW w:w="447" w:type="pct"/>
            <w:tcBorders>
              <w:top w:val="nil"/>
              <w:left w:val="nil"/>
              <w:bottom w:val="single" w:color="auto" w:sz="4" w:space="0"/>
              <w:right w:val="single" w:color="auto" w:sz="4" w:space="0"/>
            </w:tcBorders>
            <w:vAlign w:val="center"/>
          </w:tcPr>
          <w:p w14:paraId="32D247C6">
            <w:pPr>
              <w:widowControl/>
              <w:jc w:val="left"/>
              <w:rPr>
                <w:rFonts w:ascii="宋体" w:hAnsi="宋体" w:cs="宋体"/>
                <w:kern w:val="0"/>
                <w:sz w:val="21"/>
                <w:szCs w:val="21"/>
                <w:highlight w:val="none"/>
              </w:rPr>
            </w:pPr>
            <w:r>
              <w:rPr>
                <w:rFonts w:hint="eastAsia" w:ascii="宋体" w:hAnsi="宋体" w:cs="宋体"/>
                <w:kern w:val="0"/>
                <w:sz w:val="21"/>
                <w:szCs w:val="21"/>
                <w:highlight w:val="none"/>
              </w:rPr>
              <w:t>万元</w:t>
            </w:r>
          </w:p>
        </w:tc>
        <w:tc>
          <w:tcPr>
            <w:tcW w:w="970" w:type="pct"/>
            <w:tcBorders>
              <w:top w:val="nil"/>
              <w:left w:val="nil"/>
              <w:bottom w:val="single" w:color="auto" w:sz="4" w:space="0"/>
              <w:right w:val="single" w:color="auto" w:sz="4" w:space="0"/>
            </w:tcBorders>
            <w:vAlign w:val="center"/>
          </w:tcPr>
          <w:p w14:paraId="6004C738">
            <w:pPr>
              <w:widowControl/>
              <w:jc w:val="left"/>
              <w:rPr>
                <w:rFonts w:ascii="宋体" w:hAnsi="宋体" w:cs="宋体"/>
                <w:kern w:val="0"/>
                <w:sz w:val="21"/>
                <w:szCs w:val="21"/>
                <w:highlight w:val="none"/>
              </w:rPr>
            </w:pPr>
            <w:r>
              <w:rPr>
                <w:rFonts w:hint="eastAsia" w:ascii="宋体" w:hAnsi="宋体" w:cs="宋体"/>
                <w:kern w:val="0"/>
                <w:sz w:val="21"/>
                <w:szCs w:val="21"/>
                <w:highlight w:val="none"/>
              </w:rPr>
              <w:t>5000≤Z＜80000</w:t>
            </w:r>
          </w:p>
        </w:tc>
        <w:tc>
          <w:tcPr>
            <w:tcW w:w="895" w:type="pct"/>
            <w:tcBorders>
              <w:top w:val="nil"/>
              <w:left w:val="nil"/>
              <w:bottom w:val="single" w:color="auto" w:sz="4" w:space="0"/>
              <w:right w:val="single" w:color="auto" w:sz="4" w:space="0"/>
            </w:tcBorders>
            <w:vAlign w:val="center"/>
          </w:tcPr>
          <w:p w14:paraId="24E42568">
            <w:pPr>
              <w:widowControl/>
              <w:jc w:val="left"/>
              <w:rPr>
                <w:rFonts w:ascii="宋体" w:hAnsi="宋体" w:cs="宋体"/>
                <w:kern w:val="0"/>
                <w:sz w:val="21"/>
                <w:szCs w:val="21"/>
                <w:highlight w:val="none"/>
              </w:rPr>
            </w:pPr>
            <w:r>
              <w:rPr>
                <w:rFonts w:hint="eastAsia" w:ascii="宋体" w:hAnsi="宋体" w:cs="宋体"/>
                <w:kern w:val="0"/>
                <w:sz w:val="21"/>
                <w:szCs w:val="21"/>
                <w:highlight w:val="none"/>
              </w:rPr>
              <w:t>300≤Z＜5000</w:t>
            </w:r>
          </w:p>
        </w:tc>
        <w:tc>
          <w:tcPr>
            <w:tcW w:w="596" w:type="pct"/>
            <w:tcBorders>
              <w:top w:val="nil"/>
              <w:left w:val="nil"/>
              <w:bottom w:val="single" w:color="auto" w:sz="4" w:space="0"/>
              <w:right w:val="single" w:color="auto" w:sz="4" w:space="0"/>
            </w:tcBorders>
            <w:vAlign w:val="center"/>
          </w:tcPr>
          <w:p w14:paraId="723BFA72">
            <w:pPr>
              <w:widowControl/>
              <w:jc w:val="left"/>
              <w:rPr>
                <w:rFonts w:ascii="宋体" w:hAnsi="宋体" w:cs="宋体"/>
                <w:kern w:val="0"/>
                <w:sz w:val="21"/>
                <w:szCs w:val="21"/>
                <w:highlight w:val="none"/>
              </w:rPr>
            </w:pPr>
            <w:r>
              <w:rPr>
                <w:rFonts w:hint="eastAsia" w:ascii="宋体" w:hAnsi="宋体" w:cs="宋体"/>
                <w:kern w:val="0"/>
                <w:sz w:val="21"/>
                <w:szCs w:val="21"/>
                <w:highlight w:val="none"/>
              </w:rPr>
              <w:t>Z＜300</w:t>
            </w:r>
          </w:p>
        </w:tc>
      </w:tr>
      <w:tr w14:paraId="65F2D431">
        <w:tblPrEx>
          <w:tblCellMar>
            <w:top w:w="0" w:type="dxa"/>
            <w:left w:w="108" w:type="dxa"/>
            <w:bottom w:w="0" w:type="dxa"/>
            <w:right w:w="108" w:type="dxa"/>
          </w:tblCellMar>
        </w:tblPrEx>
        <w:trPr>
          <w:trHeight w:val="225" w:hRule="atLeast"/>
        </w:trPr>
        <w:tc>
          <w:tcPr>
            <w:tcW w:w="1044" w:type="pct"/>
            <w:vMerge w:val="restart"/>
            <w:tcBorders>
              <w:top w:val="nil"/>
              <w:left w:val="single" w:color="auto" w:sz="4" w:space="0"/>
              <w:bottom w:val="single" w:color="auto" w:sz="4" w:space="0"/>
              <w:right w:val="single" w:color="auto" w:sz="4" w:space="0"/>
            </w:tcBorders>
            <w:vAlign w:val="center"/>
          </w:tcPr>
          <w:p w14:paraId="52FA3567">
            <w:pPr>
              <w:widowControl/>
              <w:jc w:val="center"/>
              <w:rPr>
                <w:rFonts w:ascii="宋体" w:hAnsi="宋体" w:cs="宋体"/>
                <w:b/>
                <w:bCs/>
                <w:kern w:val="0"/>
                <w:sz w:val="21"/>
                <w:szCs w:val="21"/>
                <w:highlight w:val="none"/>
              </w:rPr>
            </w:pPr>
            <w:r>
              <w:rPr>
                <w:rFonts w:hint="eastAsia" w:ascii="宋体" w:hAnsi="宋体" w:cs="宋体"/>
                <w:b/>
                <w:bCs/>
                <w:kern w:val="0"/>
                <w:sz w:val="21"/>
                <w:szCs w:val="21"/>
                <w:highlight w:val="none"/>
              </w:rPr>
              <w:t>批发业</w:t>
            </w:r>
          </w:p>
        </w:tc>
        <w:tc>
          <w:tcPr>
            <w:tcW w:w="1044" w:type="pct"/>
            <w:tcBorders>
              <w:top w:val="nil"/>
              <w:left w:val="nil"/>
              <w:bottom w:val="single" w:color="auto" w:sz="4" w:space="0"/>
              <w:right w:val="single" w:color="auto" w:sz="4" w:space="0"/>
            </w:tcBorders>
            <w:vAlign w:val="center"/>
          </w:tcPr>
          <w:p w14:paraId="75A28185">
            <w:pPr>
              <w:widowControl/>
              <w:jc w:val="left"/>
              <w:rPr>
                <w:rFonts w:ascii="宋体" w:hAnsi="宋体" w:cs="宋体"/>
                <w:kern w:val="0"/>
                <w:sz w:val="21"/>
                <w:szCs w:val="21"/>
                <w:highlight w:val="none"/>
              </w:rPr>
            </w:pPr>
            <w:r>
              <w:rPr>
                <w:rFonts w:hint="eastAsia" w:ascii="宋体" w:hAnsi="宋体" w:cs="宋体"/>
                <w:kern w:val="0"/>
                <w:sz w:val="21"/>
                <w:szCs w:val="21"/>
                <w:highlight w:val="none"/>
              </w:rPr>
              <w:t>从业人员（X）</w:t>
            </w:r>
          </w:p>
        </w:tc>
        <w:tc>
          <w:tcPr>
            <w:tcW w:w="447" w:type="pct"/>
            <w:tcBorders>
              <w:top w:val="nil"/>
              <w:left w:val="nil"/>
              <w:bottom w:val="single" w:color="auto" w:sz="4" w:space="0"/>
              <w:right w:val="single" w:color="auto" w:sz="4" w:space="0"/>
            </w:tcBorders>
            <w:vAlign w:val="center"/>
          </w:tcPr>
          <w:p w14:paraId="4CCBC3B0">
            <w:pPr>
              <w:widowControl/>
              <w:jc w:val="left"/>
              <w:rPr>
                <w:rFonts w:ascii="宋体" w:hAnsi="宋体" w:cs="宋体"/>
                <w:kern w:val="0"/>
                <w:sz w:val="21"/>
                <w:szCs w:val="21"/>
                <w:highlight w:val="none"/>
              </w:rPr>
            </w:pPr>
            <w:r>
              <w:rPr>
                <w:rFonts w:hint="eastAsia" w:ascii="宋体" w:hAnsi="宋体" w:cs="宋体"/>
                <w:kern w:val="0"/>
                <w:sz w:val="21"/>
                <w:szCs w:val="21"/>
                <w:highlight w:val="none"/>
              </w:rPr>
              <w:t>人</w:t>
            </w:r>
          </w:p>
        </w:tc>
        <w:tc>
          <w:tcPr>
            <w:tcW w:w="970" w:type="pct"/>
            <w:tcBorders>
              <w:top w:val="nil"/>
              <w:left w:val="nil"/>
              <w:bottom w:val="single" w:color="auto" w:sz="4" w:space="0"/>
              <w:right w:val="single" w:color="auto" w:sz="4" w:space="0"/>
            </w:tcBorders>
            <w:vAlign w:val="center"/>
          </w:tcPr>
          <w:p w14:paraId="66A0D216">
            <w:pPr>
              <w:widowControl/>
              <w:jc w:val="left"/>
              <w:rPr>
                <w:rFonts w:ascii="宋体" w:hAnsi="宋体" w:cs="宋体"/>
                <w:kern w:val="0"/>
                <w:sz w:val="21"/>
                <w:szCs w:val="21"/>
                <w:highlight w:val="none"/>
              </w:rPr>
            </w:pPr>
            <w:r>
              <w:rPr>
                <w:rFonts w:hint="eastAsia" w:ascii="宋体" w:hAnsi="宋体" w:cs="宋体"/>
                <w:kern w:val="0"/>
                <w:sz w:val="21"/>
                <w:szCs w:val="21"/>
                <w:highlight w:val="none"/>
              </w:rPr>
              <w:t>20≤X＜200</w:t>
            </w:r>
          </w:p>
        </w:tc>
        <w:tc>
          <w:tcPr>
            <w:tcW w:w="895" w:type="pct"/>
            <w:tcBorders>
              <w:top w:val="nil"/>
              <w:left w:val="nil"/>
              <w:bottom w:val="single" w:color="auto" w:sz="4" w:space="0"/>
              <w:right w:val="single" w:color="auto" w:sz="4" w:space="0"/>
            </w:tcBorders>
            <w:vAlign w:val="center"/>
          </w:tcPr>
          <w:p w14:paraId="671581FC">
            <w:pPr>
              <w:widowControl/>
              <w:jc w:val="left"/>
              <w:rPr>
                <w:rFonts w:ascii="宋体" w:hAnsi="宋体" w:cs="宋体"/>
                <w:kern w:val="0"/>
                <w:sz w:val="21"/>
                <w:szCs w:val="21"/>
                <w:highlight w:val="none"/>
              </w:rPr>
            </w:pPr>
            <w:r>
              <w:rPr>
                <w:rFonts w:hint="eastAsia" w:ascii="宋体" w:hAnsi="宋体" w:cs="宋体"/>
                <w:kern w:val="0"/>
                <w:sz w:val="21"/>
                <w:szCs w:val="21"/>
                <w:highlight w:val="none"/>
              </w:rPr>
              <w:t>5≤X＜20</w:t>
            </w:r>
          </w:p>
        </w:tc>
        <w:tc>
          <w:tcPr>
            <w:tcW w:w="596" w:type="pct"/>
            <w:tcBorders>
              <w:top w:val="nil"/>
              <w:left w:val="nil"/>
              <w:bottom w:val="single" w:color="auto" w:sz="4" w:space="0"/>
              <w:right w:val="single" w:color="auto" w:sz="4" w:space="0"/>
            </w:tcBorders>
            <w:vAlign w:val="center"/>
          </w:tcPr>
          <w:p w14:paraId="52DCE56E">
            <w:pPr>
              <w:widowControl/>
              <w:jc w:val="left"/>
              <w:rPr>
                <w:rFonts w:ascii="宋体" w:hAnsi="宋体" w:cs="宋体"/>
                <w:kern w:val="0"/>
                <w:sz w:val="21"/>
                <w:szCs w:val="21"/>
                <w:highlight w:val="none"/>
              </w:rPr>
            </w:pPr>
            <w:r>
              <w:rPr>
                <w:rFonts w:hint="eastAsia" w:ascii="宋体" w:hAnsi="宋体" w:cs="宋体"/>
                <w:kern w:val="0"/>
                <w:sz w:val="21"/>
                <w:szCs w:val="21"/>
                <w:highlight w:val="none"/>
              </w:rPr>
              <w:t>X＜5</w:t>
            </w:r>
          </w:p>
        </w:tc>
      </w:tr>
      <w:tr w14:paraId="38761A69">
        <w:tblPrEx>
          <w:tblCellMar>
            <w:top w:w="0" w:type="dxa"/>
            <w:left w:w="108" w:type="dxa"/>
            <w:bottom w:w="0" w:type="dxa"/>
            <w:right w:w="108" w:type="dxa"/>
          </w:tblCellMar>
        </w:tblPrEx>
        <w:trPr>
          <w:trHeight w:val="225" w:hRule="atLeast"/>
        </w:trPr>
        <w:tc>
          <w:tcPr>
            <w:tcW w:w="1044" w:type="pct"/>
            <w:vMerge w:val="continue"/>
            <w:tcBorders>
              <w:top w:val="nil"/>
              <w:left w:val="single" w:color="auto" w:sz="4" w:space="0"/>
              <w:bottom w:val="single" w:color="auto" w:sz="4" w:space="0"/>
              <w:right w:val="single" w:color="auto" w:sz="4" w:space="0"/>
            </w:tcBorders>
            <w:vAlign w:val="center"/>
          </w:tcPr>
          <w:p w14:paraId="22AE004E">
            <w:pPr>
              <w:widowControl/>
              <w:jc w:val="center"/>
              <w:rPr>
                <w:rFonts w:ascii="宋体" w:hAnsi="宋体" w:cs="宋体"/>
                <w:b/>
                <w:bCs/>
                <w:kern w:val="0"/>
                <w:sz w:val="21"/>
                <w:szCs w:val="21"/>
                <w:highlight w:val="none"/>
              </w:rPr>
            </w:pPr>
          </w:p>
        </w:tc>
        <w:tc>
          <w:tcPr>
            <w:tcW w:w="1044" w:type="pct"/>
            <w:tcBorders>
              <w:top w:val="nil"/>
              <w:left w:val="nil"/>
              <w:bottom w:val="single" w:color="auto" w:sz="4" w:space="0"/>
              <w:right w:val="single" w:color="auto" w:sz="4" w:space="0"/>
            </w:tcBorders>
            <w:vAlign w:val="center"/>
          </w:tcPr>
          <w:p w14:paraId="7FF3286D">
            <w:pPr>
              <w:widowControl/>
              <w:jc w:val="left"/>
              <w:rPr>
                <w:rFonts w:ascii="宋体" w:hAnsi="宋体" w:cs="宋体"/>
                <w:kern w:val="0"/>
                <w:sz w:val="21"/>
                <w:szCs w:val="21"/>
                <w:highlight w:val="none"/>
              </w:rPr>
            </w:pPr>
            <w:r>
              <w:rPr>
                <w:rFonts w:hint="eastAsia" w:ascii="宋体" w:hAnsi="宋体" w:cs="宋体"/>
                <w:kern w:val="0"/>
                <w:sz w:val="21"/>
                <w:szCs w:val="21"/>
                <w:highlight w:val="none"/>
              </w:rPr>
              <w:t>营业收入（Y）</w:t>
            </w:r>
          </w:p>
        </w:tc>
        <w:tc>
          <w:tcPr>
            <w:tcW w:w="447" w:type="pct"/>
            <w:tcBorders>
              <w:top w:val="nil"/>
              <w:left w:val="nil"/>
              <w:bottom w:val="single" w:color="auto" w:sz="4" w:space="0"/>
              <w:right w:val="single" w:color="auto" w:sz="4" w:space="0"/>
            </w:tcBorders>
            <w:vAlign w:val="center"/>
          </w:tcPr>
          <w:p w14:paraId="68DFBCA0">
            <w:pPr>
              <w:widowControl/>
              <w:jc w:val="left"/>
              <w:rPr>
                <w:rFonts w:ascii="宋体" w:hAnsi="宋体" w:cs="宋体"/>
                <w:kern w:val="0"/>
                <w:sz w:val="21"/>
                <w:szCs w:val="21"/>
                <w:highlight w:val="none"/>
              </w:rPr>
            </w:pPr>
            <w:r>
              <w:rPr>
                <w:rFonts w:hint="eastAsia" w:ascii="宋体" w:hAnsi="宋体" w:cs="宋体"/>
                <w:kern w:val="0"/>
                <w:sz w:val="21"/>
                <w:szCs w:val="21"/>
                <w:highlight w:val="none"/>
              </w:rPr>
              <w:t>万元</w:t>
            </w:r>
          </w:p>
        </w:tc>
        <w:tc>
          <w:tcPr>
            <w:tcW w:w="970" w:type="pct"/>
            <w:tcBorders>
              <w:top w:val="nil"/>
              <w:left w:val="nil"/>
              <w:bottom w:val="single" w:color="auto" w:sz="4" w:space="0"/>
              <w:right w:val="single" w:color="auto" w:sz="4" w:space="0"/>
            </w:tcBorders>
            <w:vAlign w:val="center"/>
          </w:tcPr>
          <w:p w14:paraId="1D2380ED">
            <w:pPr>
              <w:widowControl/>
              <w:jc w:val="left"/>
              <w:rPr>
                <w:rFonts w:ascii="宋体" w:hAnsi="宋体" w:cs="宋体"/>
                <w:kern w:val="0"/>
                <w:sz w:val="21"/>
                <w:szCs w:val="21"/>
                <w:highlight w:val="none"/>
              </w:rPr>
            </w:pPr>
            <w:r>
              <w:rPr>
                <w:rFonts w:hint="eastAsia" w:ascii="宋体" w:hAnsi="宋体" w:cs="宋体"/>
                <w:kern w:val="0"/>
                <w:sz w:val="21"/>
                <w:szCs w:val="21"/>
                <w:highlight w:val="none"/>
              </w:rPr>
              <w:t>5000≤Y＜40000</w:t>
            </w:r>
          </w:p>
        </w:tc>
        <w:tc>
          <w:tcPr>
            <w:tcW w:w="895" w:type="pct"/>
            <w:tcBorders>
              <w:top w:val="nil"/>
              <w:left w:val="nil"/>
              <w:bottom w:val="single" w:color="auto" w:sz="4" w:space="0"/>
              <w:right w:val="single" w:color="auto" w:sz="4" w:space="0"/>
            </w:tcBorders>
            <w:vAlign w:val="center"/>
          </w:tcPr>
          <w:p w14:paraId="3F4F4B3C">
            <w:pPr>
              <w:widowControl/>
              <w:jc w:val="left"/>
              <w:rPr>
                <w:rFonts w:ascii="宋体" w:hAnsi="宋体" w:cs="宋体"/>
                <w:kern w:val="0"/>
                <w:sz w:val="21"/>
                <w:szCs w:val="21"/>
                <w:highlight w:val="none"/>
              </w:rPr>
            </w:pPr>
            <w:r>
              <w:rPr>
                <w:rFonts w:hint="eastAsia" w:ascii="宋体" w:hAnsi="宋体" w:cs="宋体"/>
                <w:kern w:val="0"/>
                <w:sz w:val="21"/>
                <w:szCs w:val="21"/>
                <w:highlight w:val="none"/>
              </w:rPr>
              <w:t>1000≤Y＜5000</w:t>
            </w:r>
          </w:p>
        </w:tc>
        <w:tc>
          <w:tcPr>
            <w:tcW w:w="596" w:type="pct"/>
            <w:tcBorders>
              <w:top w:val="nil"/>
              <w:left w:val="nil"/>
              <w:bottom w:val="single" w:color="auto" w:sz="4" w:space="0"/>
              <w:right w:val="single" w:color="auto" w:sz="4" w:space="0"/>
            </w:tcBorders>
            <w:vAlign w:val="center"/>
          </w:tcPr>
          <w:p w14:paraId="6B21AE10">
            <w:pPr>
              <w:widowControl/>
              <w:jc w:val="left"/>
              <w:rPr>
                <w:rFonts w:ascii="宋体" w:hAnsi="宋体" w:cs="宋体"/>
                <w:kern w:val="0"/>
                <w:sz w:val="21"/>
                <w:szCs w:val="21"/>
                <w:highlight w:val="none"/>
              </w:rPr>
            </w:pPr>
            <w:r>
              <w:rPr>
                <w:rFonts w:hint="eastAsia" w:ascii="宋体" w:hAnsi="宋体" w:cs="宋体"/>
                <w:kern w:val="0"/>
                <w:sz w:val="21"/>
                <w:szCs w:val="21"/>
                <w:highlight w:val="none"/>
              </w:rPr>
              <w:t>Y＜1000</w:t>
            </w:r>
          </w:p>
        </w:tc>
      </w:tr>
      <w:tr w14:paraId="355A91AD">
        <w:tblPrEx>
          <w:tblCellMar>
            <w:top w:w="0" w:type="dxa"/>
            <w:left w:w="108" w:type="dxa"/>
            <w:bottom w:w="0" w:type="dxa"/>
            <w:right w:w="108" w:type="dxa"/>
          </w:tblCellMar>
        </w:tblPrEx>
        <w:trPr>
          <w:trHeight w:val="225" w:hRule="atLeast"/>
        </w:trPr>
        <w:tc>
          <w:tcPr>
            <w:tcW w:w="1044" w:type="pct"/>
            <w:vMerge w:val="restart"/>
            <w:tcBorders>
              <w:top w:val="nil"/>
              <w:left w:val="single" w:color="auto" w:sz="4" w:space="0"/>
              <w:bottom w:val="single" w:color="auto" w:sz="4" w:space="0"/>
              <w:right w:val="single" w:color="auto" w:sz="4" w:space="0"/>
            </w:tcBorders>
            <w:vAlign w:val="center"/>
          </w:tcPr>
          <w:p w14:paraId="51EDBFCD">
            <w:pPr>
              <w:widowControl/>
              <w:jc w:val="center"/>
              <w:rPr>
                <w:rFonts w:ascii="宋体" w:hAnsi="宋体" w:cs="宋体"/>
                <w:b/>
                <w:bCs/>
                <w:kern w:val="0"/>
                <w:sz w:val="21"/>
                <w:szCs w:val="21"/>
                <w:highlight w:val="none"/>
              </w:rPr>
            </w:pPr>
            <w:r>
              <w:rPr>
                <w:rFonts w:hint="eastAsia" w:ascii="宋体" w:hAnsi="宋体" w:cs="宋体"/>
                <w:b/>
                <w:bCs/>
                <w:kern w:val="0"/>
                <w:sz w:val="21"/>
                <w:szCs w:val="21"/>
                <w:highlight w:val="none"/>
              </w:rPr>
              <w:t>零售业</w:t>
            </w:r>
          </w:p>
        </w:tc>
        <w:tc>
          <w:tcPr>
            <w:tcW w:w="1044" w:type="pct"/>
            <w:tcBorders>
              <w:top w:val="nil"/>
              <w:left w:val="nil"/>
              <w:bottom w:val="single" w:color="auto" w:sz="4" w:space="0"/>
              <w:right w:val="single" w:color="auto" w:sz="4" w:space="0"/>
            </w:tcBorders>
            <w:vAlign w:val="center"/>
          </w:tcPr>
          <w:p w14:paraId="2E2091D7">
            <w:pPr>
              <w:widowControl/>
              <w:jc w:val="left"/>
              <w:rPr>
                <w:rFonts w:ascii="宋体" w:hAnsi="宋体" w:cs="宋体"/>
                <w:kern w:val="0"/>
                <w:sz w:val="21"/>
                <w:szCs w:val="21"/>
                <w:highlight w:val="none"/>
              </w:rPr>
            </w:pPr>
            <w:r>
              <w:rPr>
                <w:rFonts w:hint="eastAsia" w:ascii="宋体" w:hAnsi="宋体" w:cs="宋体"/>
                <w:kern w:val="0"/>
                <w:sz w:val="21"/>
                <w:szCs w:val="21"/>
                <w:highlight w:val="none"/>
              </w:rPr>
              <w:t>从业人员（X）</w:t>
            </w:r>
          </w:p>
        </w:tc>
        <w:tc>
          <w:tcPr>
            <w:tcW w:w="447" w:type="pct"/>
            <w:tcBorders>
              <w:top w:val="nil"/>
              <w:left w:val="nil"/>
              <w:bottom w:val="single" w:color="auto" w:sz="4" w:space="0"/>
              <w:right w:val="single" w:color="auto" w:sz="4" w:space="0"/>
            </w:tcBorders>
            <w:vAlign w:val="center"/>
          </w:tcPr>
          <w:p w14:paraId="3ADD3C4E">
            <w:pPr>
              <w:widowControl/>
              <w:jc w:val="left"/>
              <w:rPr>
                <w:rFonts w:ascii="宋体" w:hAnsi="宋体" w:cs="宋体"/>
                <w:kern w:val="0"/>
                <w:sz w:val="21"/>
                <w:szCs w:val="21"/>
                <w:highlight w:val="none"/>
              </w:rPr>
            </w:pPr>
            <w:r>
              <w:rPr>
                <w:rFonts w:hint="eastAsia" w:ascii="宋体" w:hAnsi="宋体" w:cs="宋体"/>
                <w:kern w:val="0"/>
                <w:sz w:val="21"/>
                <w:szCs w:val="21"/>
                <w:highlight w:val="none"/>
              </w:rPr>
              <w:t>人</w:t>
            </w:r>
          </w:p>
        </w:tc>
        <w:tc>
          <w:tcPr>
            <w:tcW w:w="970" w:type="pct"/>
            <w:tcBorders>
              <w:top w:val="nil"/>
              <w:left w:val="nil"/>
              <w:bottom w:val="single" w:color="auto" w:sz="4" w:space="0"/>
              <w:right w:val="single" w:color="auto" w:sz="4" w:space="0"/>
            </w:tcBorders>
            <w:vAlign w:val="center"/>
          </w:tcPr>
          <w:p w14:paraId="7725D223">
            <w:pPr>
              <w:widowControl/>
              <w:jc w:val="left"/>
              <w:rPr>
                <w:rFonts w:ascii="宋体" w:hAnsi="宋体" w:cs="宋体"/>
                <w:kern w:val="0"/>
                <w:sz w:val="21"/>
                <w:szCs w:val="21"/>
                <w:highlight w:val="none"/>
              </w:rPr>
            </w:pPr>
            <w:r>
              <w:rPr>
                <w:rFonts w:hint="eastAsia" w:ascii="宋体" w:hAnsi="宋体" w:cs="宋体"/>
                <w:kern w:val="0"/>
                <w:sz w:val="21"/>
                <w:szCs w:val="21"/>
                <w:highlight w:val="none"/>
              </w:rPr>
              <w:t>50≤X＜300</w:t>
            </w:r>
          </w:p>
        </w:tc>
        <w:tc>
          <w:tcPr>
            <w:tcW w:w="895" w:type="pct"/>
            <w:tcBorders>
              <w:top w:val="nil"/>
              <w:left w:val="nil"/>
              <w:bottom w:val="single" w:color="auto" w:sz="4" w:space="0"/>
              <w:right w:val="single" w:color="auto" w:sz="4" w:space="0"/>
            </w:tcBorders>
            <w:vAlign w:val="center"/>
          </w:tcPr>
          <w:p w14:paraId="3F1E86E1">
            <w:pPr>
              <w:widowControl/>
              <w:jc w:val="left"/>
              <w:rPr>
                <w:rFonts w:ascii="宋体" w:hAnsi="宋体" w:cs="宋体"/>
                <w:kern w:val="0"/>
                <w:sz w:val="21"/>
                <w:szCs w:val="21"/>
                <w:highlight w:val="none"/>
              </w:rPr>
            </w:pPr>
            <w:r>
              <w:rPr>
                <w:rFonts w:hint="eastAsia" w:ascii="宋体" w:hAnsi="宋体" w:cs="宋体"/>
                <w:kern w:val="0"/>
                <w:sz w:val="21"/>
                <w:szCs w:val="21"/>
                <w:highlight w:val="none"/>
              </w:rPr>
              <w:t>10≤X＜50</w:t>
            </w:r>
          </w:p>
        </w:tc>
        <w:tc>
          <w:tcPr>
            <w:tcW w:w="596" w:type="pct"/>
            <w:tcBorders>
              <w:top w:val="nil"/>
              <w:left w:val="nil"/>
              <w:bottom w:val="single" w:color="auto" w:sz="4" w:space="0"/>
              <w:right w:val="single" w:color="auto" w:sz="4" w:space="0"/>
            </w:tcBorders>
            <w:vAlign w:val="center"/>
          </w:tcPr>
          <w:p w14:paraId="31D3675E">
            <w:pPr>
              <w:widowControl/>
              <w:jc w:val="left"/>
              <w:rPr>
                <w:rFonts w:ascii="宋体" w:hAnsi="宋体" w:cs="宋体"/>
                <w:kern w:val="0"/>
                <w:sz w:val="21"/>
                <w:szCs w:val="21"/>
                <w:highlight w:val="none"/>
              </w:rPr>
            </w:pPr>
            <w:r>
              <w:rPr>
                <w:rFonts w:hint="eastAsia" w:ascii="宋体" w:hAnsi="宋体" w:cs="宋体"/>
                <w:kern w:val="0"/>
                <w:sz w:val="21"/>
                <w:szCs w:val="21"/>
                <w:highlight w:val="none"/>
              </w:rPr>
              <w:t>X＜10</w:t>
            </w:r>
          </w:p>
        </w:tc>
      </w:tr>
      <w:tr w14:paraId="5085B8B8">
        <w:tblPrEx>
          <w:tblCellMar>
            <w:top w:w="0" w:type="dxa"/>
            <w:left w:w="108" w:type="dxa"/>
            <w:bottom w:w="0" w:type="dxa"/>
            <w:right w:w="108" w:type="dxa"/>
          </w:tblCellMar>
        </w:tblPrEx>
        <w:trPr>
          <w:trHeight w:val="225" w:hRule="atLeast"/>
        </w:trPr>
        <w:tc>
          <w:tcPr>
            <w:tcW w:w="1044" w:type="pct"/>
            <w:vMerge w:val="continue"/>
            <w:tcBorders>
              <w:top w:val="nil"/>
              <w:left w:val="single" w:color="auto" w:sz="4" w:space="0"/>
              <w:bottom w:val="single" w:color="auto" w:sz="4" w:space="0"/>
              <w:right w:val="single" w:color="auto" w:sz="4" w:space="0"/>
            </w:tcBorders>
            <w:vAlign w:val="center"/>
          </w:tcPr>
          <w:p w14:paraId="7C4F3BB5">
            <w:pPr>
              <w:widowControl/>
              <w:jc w:val="center"/>
              <w:rPr>
                <w:rFonts w:ascii="宋体" w:hAnsi="宋体" w:cs="宋体"/>
                <w:b/>
                <w:bCs/>
                <w:kern w:val="0"/>
                <w:sz w:val="21"/>
                <w:szCs w:val="21"/>
                <w:highlight w:val="none"/>
              </w:rPr>
            </w:pPr>
          </w:p>
        </w:tc>
        <w:tc>
          <w:tcPr>
            <w:tcW w:w="1044" w:type="pct"/>
            <w:tcBorders>
              <w:top w:val="nil"/>
              <w:left w:val="nil"/>
              <w:bottom w:val="single" w:color="auto" w:sz="4" w:space="0"/>
              <w:right w:val="single" w:color="auto" w:sz="4" w:space="0"/>
            </w:tcBorders>
            <w:vAlign w:val="center"/>
          </w:tcPr>
          <w:p w14:paraId="5945D3E8">
            <w:pPr>
              <w:widowControl/>
              <w:jc w:val="left"/>
              <w:rPr>
                <w:rFonts w:ascii="宋体" w:hAnsi="宋体" w:cs="宋体"/>
                <w:kern w:val="0"/>
                <w:sz w:val="21"/>
                <w:szCs w:val="21"/>
                <w:highlight w:val="none"/>
              </w:rPr>
            </w:pPr>
            <w:r>
              <w:rPr>
                <w:rFonts w:hint="eastAsia" w:ascii="宋体" w:hAnsi="宋体" w:cs="宋体"/>
                <w:kern w:val="0"/>
                <w:sz w:val="21"/>
                <w:szCs w:val="21"/>
                <w:highlight w:val="none"/>
              </w:rPr>
              <w:t>营业收入（Y）</w:t>
            </w:r>
          </w:p>
        </w:tc>
        <w:tc>
          <w:tcPr>
            <w:tcW w:w="447" w:type="pct"/>
            <w:tcBorders>
              <w:top w:val="nil"/>
              <w:left w:val="nil"/>
              <w:bottom w:val="single" w:color="auto" w:sz="4" w:space="0"/>
              <w:right w:val="single" w:color="auto" w:sz="4" w:space="0"/>
            </w:tcBorders>
            <w:vAlign w:val="center"/>
          </w:tcPr>
          <w:p w14:paraId="0B29622F">
            <w:pPr>
              <w:widowControl/>
              <w:jc w:val="left"/>
              <w:rPr>
                <w:rFonts w:ascii="宋体" w:hAnsi="宋体" w:cs="宋体"/>
                <w:kern w:val="0"/>
                <w:sz w:val="21"/>
                <w:szCs w:val="21"/>
                <w:highlight w:val="none"/>
              </w:rPr>
            </w:pPr>
            <w:r>
              <w:rPr>
                <w:rFonts w:hint="eastAsia" w:ascii="宋体" w:hAnsi="宋体" w:cs="宋体"/>
                <w:kern w:val="0"/>
                <w:sz w:val="21"/>
                <w:szCs w:val="21"/>
                <w:highlight w:val="none"/>
              </w:rPr>
              <w:t>万元</w:t>
            </w:r>
          </w:p>
        </w:tc>
        <w:tc>
          <w:tcPr>
            <w:tcW w:w="970" w:type="pct"/>
            <w:tcBorders>
              <w:top w:val="nil"/>
              <w:left w:val="nil"/>
              <w:bottom w:val="single" w:color="auto" w:sz="4" w:space="0"/>
              <w:right w:val="single" w:color="auto" w:sz="4" w:space="0"/>
            </w:tcBorders>
            <w:vAlign w:val="center"/>
          </w:tcPr>
          <w:p w14:paraId="0B38F850">
            <w:pPr>
              <w:widowControl/>
              <w:jc w:val="left"/>
              <w:rPr>
                <w:rFonts w:ascii="宋体" w:hAnsi="宋体" w:cs="宋体"/>
                <w:kern w:val="0"/>
                <w:sz w:val="21"/>
                <w:szCs w:val="21"/>
                <w:highlight w:val="none"/>
              </w:rPr>
            </w:pPr>
            <w:r>
              <w:rPr>
                <w:rFonts w:hint="eastAsia" w:ascii="宋体" w:hAnsi="宋体" w:cs="宋体"/>
                <w:kern w:val="0"/>
                <w:sz w:val="21"/>
                <w:szCs w:val="21"/>
                <w:highlight w:val="none"/>
              </w:rPr>
              <w:t>500≤Y＜20000</w:t>
            </w:r>
          </w:p>
        </w:tc>
        <w:tc>
          <w:tcPr>
            <w:tcW w:w="895" w:type="pct"/>
            <w:tcBorders>
              <w:top w:val="nil"/>
              <w:left w:val="nil"/>
              <w:bottom w:val="single" w:color="auto" w:sz="4" w:space="0"/>
              <w:right w:val="single" w:color="auto" w:sz="4" w:space="0"/>
            </w:tcBorders>
            <w:vAlign w:val="center"/>
          </w:tcPr>
          <w:p w14:paraId="7760CB25">
            <w:pPr>
              <w:widowControl/>
              <w:jc w:val="left"/>
              <w:rPr>
                <w:rFonts w:ascii="宋体" w:hAnsi="宋体" w:cs="宋体"/>
                <w:kern w:val="0"/>
                <w:sz w:val="21"/>
                <w:szCs w:val="21"/>
                <w:highlight w:val="none"/>
              </w:rPr>
            </w:pPr>
            <w:r>
              <w:rPr>
                <w:rFonts w:hint="eastAsia" w:ascii="宋体" w:hAnsi="宋体" w:cs="宋体"/>
                <w:kern w:val="0"/>
                <w:sz w:val="21"/>
                <w:szCs w:val="21"/>
                <w:highlight w:val="none"/>
              </w:rPr>
              <w:t>100≤Y＜500</w:t>
            </w:r>
          </w:p>
        </w:tc>
        <w:tc>
          <w:tcPr>
            <w:tcW w:w="596" w:type="pct"/>
            <w:tcBorders>
              <w:top w:val="nil"/>
              <w:left w:val="nil"/>
              <w:bottom w:val="single" w:color="auto" w:sz="4" w:space="0"/>
              <w:right w:val="single" w:color="auto" w:sz="4" w:space="0"/>
            </w:tcBorders>
            <w:vAlign w:val="center"/>
          </w:tcPr>
          <w:p w14:paraId="3A8A1673">
            <w:pPr>
              <w:widowControl/>
              <w:jc w:val="left"/>
              <w:rPr>
                <w:rFonts w:ascii="宋体" w:hAnsi="宋体" w:cs="宋体"/>
                <w:kern w:val="0"/>
                <w:sz w:val="21"/>
                <w:szCs w:val="21"/>
                <w:highlight w:val="none"/>
              </w:rPr>
            </w:pPr>
            <w:r>
              <w:rPr>
                <w:rFonts w:hint="eastAsia" w:ascii="宋体" w:hAnsi="宋体" w:cs="宋体"/>
                <w:kern w:val="0"/>
                <w:sz w:val="21"/>
                <w:szCs w:val="21"/>
                <w:highlight w:val="none"/>
              </w:rPr>
              <w:t>Y＜100</w:t>
            </w:r>
          </w:p>
        </w:tc>
      </w:tr>
      <w:tr w14:paraId="1A06D3C8">
        <w:tblPrEx>
          <w:tblCellMar>
            <w:top w:w="0" w:type="dxa"/>
            <w:left w:w="108" w:type="dxa"/>
            <w:bottom w:w="0" w:type="dxa"/>
            <w:right w:w="108" w:type="dxa"/>
          </w:tblCellMar>
        </w:tblPrEx>
        <w:trPr>
          <w:trHeight w:val="225" w:hRule="atLeast"/>
        </w:trPr>
        <w:tc>
          <w:tcPr>
            <w:tcW w:w="1044" w:type="pct"/>
            <w:vMerge w:val="restart"/>
            <w:tcBorders>
              <w:top w:val="nil"/>
              <w:left w:val="single" w:color="auto" w:sz="4" w:space="0"/>
              <w:bottom w:val="single" w:color="auto" w:sz="4" w:space="0"/>
              <w:right w:val="single" w:color="auto" w:sz="4" w:space="0"/>
            </w:tcBorders>
            <w:vAlign w:val="center"/>
          </w:tcPr>
          <w:p w14:paraId="3B7D284B">
            <w:pPr>
              <w:widowControl/>
              <w:jc w:val="center"/>
              <w:rPr>
                <w:rFonts w:ascii="宋体" w:hAnsi="宋体" w:cs="宋体"/>
                <w:b/>
                <w:bCs/>
                <w:kern w:val="0"/>
                <w:sz w:val="21"/>
                <w:szCs w:val="21"/>
                <w:highlight w:val="none"/>
              </w:rPr>
            </w:pPr>
            <w:r>
              <w:rPr>
                <w:rFonts w:hint="eastAsia" w:ascii="宋体" w:hAnsi="宋体" w:cs="宋体"/>
                <w:b/>
                <w:bCs/>
                <w:kern w:val="0"/>
                <w:sz w:val="21"/>
                <w:szCs w:val="21"/>
                <w:highlight w:val="none"/>
              </w:rPr>
              <w:t>交通运输业</w:t>
            </w:r>
          </w:p>
        </w:tc>
        <w:tc>
          <w:tcPr>
            <w:tcW w:w="1044" w:type="pct"/>
            <w:tcBorders>
              <w:top w:val="nil"/>
              <w:left w:val="nil"/>
              <w:bottom w:val="single" w:color="auto" w:sz="4" w:space="0"/>
              <w:right w:val="single" w:color="auto" w:sz="4" w:space="0"/>
            </w:tcBorders>
            <w:vAlign w:val="center"/>
          </w:tcPr>
          <w:p w14:paraId="11A1C3FE">
            <w:pPr>
              <w:widowControl/>
              <w:jc w:val="left"/>
              <w:rPr>
                <w:rFonts w:ascii="宋体" w:hAnsi="宋体" w:cs="宋体"/>
                <w:kern w:val="0"/>
                <w:sz w:val="21"/>
                <w:szCs w:val="21"/>
                <w:highlight w:val="none"/>
              </w:rPr>
            </w:pPr>
            <w:r>
              <w:rPr>
                <w:rFonts w:hint="eastAsia" w:ascii="宋体" w:hAnsi="宋体" w:cs="宋体"/>
                <w:kern w:val="0"/>
                <w:sz w:val="21"/>
                <w:szCs w:val="21"/>
                <w:highlight w:val="none"/>
              </w:rPr>
              <w:t>从业人员（X）</w:t>
            </w:r>
          </w:p>
        </w:tc>
        <w:tc>
          <w:tcPr>
            <w:tcW w:w="447" w:type="pct"/>
            <w:tcBorders>
              <w:top w:val="nil"/>
              <w:left w:val="nil"/>
              <w:bottom w:val="single" w:color="auto" w:sz="4" w:space="0"/>
              <w:right w:val="single" w:color="auto" w:sz="4" w:space="0"/>
            </w:tcBorders>
            <w:vAlign w:val="center"/>
          </w:tcPr>
          <w:p w14:paraId="3644F70C">
            <w:pPr>
              <w:widowControl/>
              <w:jc w:val="left"/>
              <w:rPr>
                <w:rFonts w:ascii="宋体" w:hAnsi="宋体" w:cs="宋体"/>
                <w:kern w:val="0"/>
                <w:sz w:val="21"/>
                <w:szCs w:val="21"/>
                <w:highlight w:val="none"/>
              </w:rPr>
            </w:pPr>
            <w:r>
              <w:rPr>
                <w:rFonts w:hint="eastAsia" w:ascii="宋体" w:hAnsi="宋体" w:cs="宋体"/>
                <w:kern w:val="0"/>
                <w:sz w:val="21"/>
                <w:szCs w:val="21"/>
                <w:highlight w:val="none"/>
              </w:rPr>
              <w:t>人</w:t>
            </w:r>
          </w:p>
        </w:tc>
        <w:tc>
          <w:tcPr>
            <w:tcW w:w="970" w:type="pct"/>
            <w:tcBorders>
              <w:top w:val="nil"/>
              <w:left w:val="nil"/>
              <w:bottom w:val="single" w:color="auto" w:sz="4" w:space="0"/>
              <w:right w:val="single" w:color="auto" w:sz="4" w:space="0"/>
            </w:tcBorders>
            <w:vAlign w:val="center"/>
          </w:tcPr>
          <w:p w14:paraId="06AA2B04">
            <w:pPr>
              <w:widowControl/>
              <w:jc w:val="left"/>
              <w:rPr>
                <w:rFonts w:ascii="宋体" w:hAnsi="宋体" w:cs="宋体"/>
                <w:kern w:val="0"/>
                <w:sz w:val="21"/>
                <w:szCs w:val="21"/>
                <w:highlight w:val="none"/>
              </w:rPr>
            </w:pPr>
            <w:r>
              <w:rPr>
                <w:rFonts w:hint="eastAsia" w:ascii="宋体" w:hAnsi="宋体" w:cs="宋体"/>
                <w:kern w:val="0"/>
                <w:sz w:val="21"/>
                <w:szCs w:val="21"/>
                <w:highlight w:val="none"/>
              </w:rPr>
              <w:t>300≤X＜1000</w:t>
            </w:r>
          </w:p>
        </w:tc>
        <w:tc>
          <w:tcPr>
            <w:tcW w:w="895" w:type="pct"/>
            <w:tcBorders>
              <w:top w:val="nil"/>
              <w:left w:val="nil"/>
              <w:bottom w:val="single" w:color="auto" w:sz="4" w:space="0"/>
              <w:right w:val="single" w:color="auto" w:sz="4" w:space="0"/>
            </w:tcBorders>
            <w:vAlign w:val="center"/>
          </w:tcPr>
          <w:p w14:paraId="182F26E7">
            <w:pPr>
              <w:widowControl/>
              <w:jc w:val="left"/>
              <w:rPr>
                <w:rFonts w:ascii="宋体" w:hAnsi="宋体" w:cs="宋体"/>
                <w:kern w:val="0"/>
                <w:sz w:val="21"/>
                <w:szCs w:val="21"/>
                <w:highlight w:val="none"/>
              </w:rPr>
            </w:pPr>
            <w:r>
              <w:rPr>
                <w:rFonts w:hint="eastAsia" w:ascii="宋体" w:hAnsi="宋体" w:cs="宋体"/>
                <w:kern w:val="0"/>
                <w:sz w:val="21"/>
                <w:szCs w:val="21"/>
                <w:highlight w:val="none"/>
              </w:rPr>
              <w:t>20≤X＜300</w:t>
            </w:r>
          </w:p>
        </w:tc>
        <w:tc>
          <w:tcPr>
            <w:tcW w:w="596" w:type="pct"/>
            <w:tcBorders>
              <w:top w:val="nil"/>
              <w:left w:val="nil"/>
              <w:bottom w:val="single" w:color="auto" w:sz="4" w:space="0"/>
              <w:right w:val="single" w:color="auto" w:sz="4" w:space="0"/>
            </w:tcBorders>
            <w:vAlign w:val="center"/>
          </w:tcPr>
          <w:p w14:paraId="79261D62">
            <w:pPr>
              <w:widowControl/>
              <w:jc w:val="left"/>
              <w:rPr>
                <w:rFonts w:ascii="宋体" w:hAnsi="宋体" w:cs="宋体"/>
                <w:kern w:val="0"/>
                <w:sz w:val="21"/>
                <w:szCs w:val="21"/>
                <w:highlight w:val="none"/>
              </w:rPr>
            </w:pPr>
            <w:r>
              <w:rPr>
                <w:rFonts w:hint="eastAsia" w:ascii="宋体" w:hAnsi="宋体" w:cs="宋体"/>
                <w:kern w:val="0"/>
                <w:sz w:val="21"/>
                <w:szCs w:val="21"/>
                <w:highlight w:val="none"/>
              </w:rPr>
              <w:t>X＜20</w:t>
            </w:r>
          </w:p>
        </w:tc>
      </w:tr>
      <w:tr w14:paraId="503753F2">
        <w:tblPrEx>
          <w:tblCellMar>
            <w:top w:w="0" w:type="dxa"/>
            <w:left w:w="108" w:type="dxa"/>
            <w:bottom w:w="0" w:type="dxa"/>
            <w:right w:w="108" w:type="dxa"/>
          </w:tblCellMar>
        </w:tblPrEx>
        <w:trPr>
          <w:trHeight w:val="225" w:hRule="atLeast"/>
        </w:trPr>
        <w:tc>
          <w:tcPr>
            <w:tcW w:w="1044" w:type="pct"/>
            <w:vMerge w:val="continue"/>
            <w:tcBorders>
              <w:top w:val="nil"/>
              <w:left w:val="single" w:color="auto" w:sz="4" w:space="0"/>
              <w:bottom w:val="single" w:color="auto" w:sz="4" w:space="0"/>
              <w:right w:val="single" w:color="auto" w:sz="4" w:space="0"/>
            </w:tcBorders>
            <w:vAlign w:val="center"/>
          </w:tcPr>
          <w:p w14:paraId="4C6C0610">
            <w:pPr>
              <w:widowControl/>
              <w:jc w:val="center"/>
              <w:rPr>
                <w:rFonts w:ascii="宋体" w:hAnsi="宋体" w:cs="宋体"/>
                <w:b/>
                <w:bCs/>
                <w:kern w:val="0"/>
                <w:sz w:val="21"/>
                <w:szCs w:val="21"/>
                <w:highlight w:val="none"/>
              </w:rPr>
            </w:pPr>
          </w:p>
        </w:tc>
        <w:tc>
          <w:tcPr>
            <w:tcW w:w="1044" w:type="pct"/>
            <w:tcBorders>
              <w:top w:val="nil"/>
              <w:left w:val="nil"/>
              <w:bottom w:val="single" w:color="auto" w:sz="4" w:space="0"/>
              <w:right w:val="single" w:color="auto" w:sz="4" w:space="0"/>
            </w:tcBorders>
            <w:vAlign w:val="center"/>
          </w:tcPr>
          <w:p w14:paraId="3BDA5AD9">
            <w:pPr>
              <w:widowControl/>
              <w:jc w:val="left"/>
              <w:rPr>
                <w:rFonts w:ascii="宋体" w:hAnsi="宋体" w:cs="宋体"/>
                <w:kern w:val="0"/>
                <w:sz w:val="21"/>
                <w:szCs w:val="21"/>
                <w:highlight w:val="none"/>
              </w:rPr>
            </w:pPr>
            <w:r>
              <w:rPr>
                <w:rFonts w:hint="eastAsia" w:ascii="宋体" w:hAnsi="宋体" w:cs="宋体"/>
                <w:kern w:val="0"/>
                <w:sz w:val="21"/>
                <w:szCs w:val="21"/>
                <w:highlight w:val="none"/>
              </w:rPr>
              <w:t>营业收入（Y）</w:t>
            </w:r>
          </w:p>
        </w:tc>
        <w:tc>
          <w:tcPr>
            <w:tcW w:w="447" w:type="pct"/>
            <w:tcBorders>
              <w:top w:val="nil"/>
              <w:left w:val="nil"/>
              <w:bottom w:val="single" w:color="auto" w:sz="4" w:space="0"/>
              <w:right w:val="single" w:color="auto" w:sz="4" w:space="0"/>
            </w:tcBorders>
            <w:vAlign w:val="center"/>
          </w:tcPr>
          <w:p w14:paraId="619E1AA5">
            <w:pPr>
              <w:widowControl/>
              <w:jc w:val="left"/>
              <w:rPr>
                <w:rFonts w:ascii="宋体" w:hAnsi="宋体" w:cs="宋体"/>
                <w:kern w:val="0"/>
                <w:sz w:val="21"/>
                <w:szCs w:val="21"/>
                <w:highlight w:val="none"/>
              </w:rPr>
            </w:pPr>
            <w:r>
              <w:rPr>
                <w:rFonts w:hint="eastAsia" w:ascii="宋体" w:hAnsi="宋体" w:cs="宋体"/>
                <w:kern w:val="0"/>
                <w:sz w:val="21"/>
                <w:szCs w:val="21"/>
                <w:highlight w:val="none"/>
              </w:rPr>
              <w:t>万元</w:t>
            </w:r>
          </w:p>
        </w:tc>
        <w:tc>
          <w:tcPr>
            <w:tcW w:w="970" w:type="pct"/>
            <w:tcBorders>
              <w:top w:val="nil"/>
              <w:left w:val="nil"/>
              <w:bottom w:val="single" w:color="auto" w:sz="4" w:space="0"/>
              <w:right w:val="single" w:color="auto" w:sz="4" w:space="0"/>
            </w:tcBorders>
            <w:vAlign w:val="center"/>
          </w:tcPr>
          <w:p w14:paraId="11998564">
            <w:pPr>
              <w:widowControl/>
              <w:jc w:val="left"/>
              <w:rPr>
                <w:rFonts w:ascii="宋体" w:hAnsi="宋体" w:cs="宋体"/>
                <w:kern w:val="0"/>
                <w:sz w:val="21"/>
                <w:szCs w:val="21"/>
                <w:highlight w:val="none"/>
              </w:rPr>
            </w:pPr>
            <w:r>
              <w:rPr>
                <w:rFonts w:hint="eastAsia" w:ascii="宋体" w:hAnsi="宋体" w:cs="宋体"/>
                <w:kern w:val="0"/>
                <w:sz w:val="21"/>
                <w:szCs w:val="21"/>
                <w:highlight w:val="none"/>
              </w:rPr>
              <w:t>3000≤Y＜30000</w:t>
            </w:r>
          </w:p>
        </w:tc>
        <w:tc>
          <w:tcPr>
            <w:tcW w:w="895" w:type="pct"/>
            <w:tcBorders>
              <w:top w:val="nil"/>
              <w:left w:val="nil"/>
              <w:bottom w:val="single" w:color="auto" w:sz="4" w:space="0"/>
              <w:right w:val="single" w:color="auto" w:sz="4" w:space="0"/>
            </w:tcBorders>
            <w:vAlign w:val="center"/>
          </w:tcPr>
          <w:p w14:paraId="350B5E56">
            <w:pPr>
              <w:widowControl/>
              <w:jc w:val="left"/>
              <w:rPr>
                <w:rFonts w:ascii="宋体" w:hAnsi="宋体" w:cs="宋体"/>
                <w:kern w:val="0"/>
                <w:sz w:val="21"/>
                <w:szCs w:val="21"/>
                <w:highlight w:val="none"/>
              </w:rPr>
            </w:pPr>
            <w:r>
              <w:rPr>
                <w:rFonts w:hint="eastAsia" w:ascii="宋体" w:hAnsi="宋体" w:cs="宋体"/>
                <w:kern w:val="0"/>
                <w:sz w:val="21"/>
                <w:szCs w:val="21"/>
                <w:highlight w:val="none"/>
              </w:rPr>
              <w:t>200≤Y＜3000</w:t>
            </w:r>
          </w:p>
        </w:tc>
        <w:tc>
          <w:tcPr>
            <w:tcW w:w="596" w:type="pct"/>
            <w:tcBorders>
              <w:top w:val="nil"/>
              <w:left w:val="nil"/>
              <w:bottom w:val="single" w:color="auto" w:sz="4" w:space="0"/>
              <w:right w:val="single" w:color="auto" w:sz="4" w:space="0"/>
            </w:tcBorders>
            <w:vAlign w:val="center"/>
          </w:tcPr>
          <w:p w14:paraId="2D3E7E3D">
            <w:pPr>
              <w:widowControl/>
              <w:jc w:val="left"/>
              <w:rPr>
                <w:rFonts w:ascii="宋体" w:hAnsi="宋体" w:cs="宋体"/>
                <w:kern w:val="0"/>
                <w:sz w:val="21"/>
                <w:szCs w:val="21"/>
                <w:highlight w:val="none"/>
              </w:rPr>
            </w:pPr>
            <w:r>
              <w:rPr>
                <w:rFonts w:hint="eastAsia" w:ascii="宋体" w:hAnsi="宋体" w:cs="宋体"/>
                <w:kern w:val="0"/>
                <w:sz w:val="21"/>
                <w:szCs w:val="21"/>
                <w:highlight w:val="none"/>
              </w:rPr>
              <w:t>Y＜200</w:t>
            </w:r>
          </w:p>
        </w:tc>
      </w:tr>
      <w:tr w14:paraId="1DD8B76B">
        <w:tblPrEx>
          <w:tblCellMar>
            <w:top w:w="0" w:type="dxa"/>
            <w:left w:w="108" w:type="dxa"/>
            <w:bottom w:w="0" w:type="dxa"/>
            <w:right w:w="108" w:type="dxa"/>
          </w:tblCellMar>
        </w:tblPrEx>
        <w:trPr>
          <w:trHeight w:val="225" w:hRule="atLeast"/>
        </w:trPr>
        <w:tc>
          <w:tcPr>
            <w:tcW w:w="1044" w:type="pct"/>
            <w:vMerge w:val="restart"/>
            <w:tcBorders>
              <w:top w:val="nil"/>
              <w:left w:val="single" w:color="auto" w:sz="4" w:space="0"/>
              <w:bottom w:val="single" w:color="auto" w:sz="4" w:space="0"/>
              <w:right w:val="single" w:color="auto" w:sz="4" w:space="0"/>
            </w:tcBorders>
            <w:vAlign w:val="center"/>
          </w:tcPr>
          <w:p w14:paraId="41C0C175">
            <w:pPr>
              <w:widowControl/>
              <w:jc w:val="center"/>
              <w:rPr>
                <w:rFonts w:ascii="宋体" w:hAnsi="宋体" w:cs="宋体"/>
                <w:b/>
                <w:bCs/>
                <w:kern w:val="0"/>
                <w:sz w:val="21"/>
                <w:szCs w:val="21"/>
                <w:highlight w:val="none"/>
              </w:rPr>
            </w:pPr>
            <w:r>
              <w:rPr>
                <w:rFonts w:hint="eastAsia" w:ascii="宋体" w:hAnsi="宋体" w:cs="宋体"/>
                <w:b/>
                <w:bCs/>
                <w:kern w:val="0"/>
                <w:sz w:val="21"/>
                <w:szCs w:val="21"/>
                <w:highlight w:val="none"/>
              </w:rPr>
              <w:t>仓储业</w:t>
            </w:r>
          </w:p>
        </w:tc>
        <w:tc>
          <w:tcPr>
            <w:tcW w:w="1044" w:type="pct"/>
            <w:tcBorders>
              <w:top w:val="nil"/>
              <w:left w:val="nil"/>
              <w:bottom w:val="single" w:color="auto" w:sz="4" w:space="0"/>
              <w:right w:val="single" w:color="auto" w:sz="4" w:space="0"/>
            </w:tcBorders>
            <w:vAlign w:val="center"/>
          </w:tcPr>
          <w:p w14:paraId="283AD74F">
            <w:pPr>
              <w:widowControl/>
              <w:jc w:val="left"/>
              <w:rPr>
                <w:rFonts w:ascii="宋体" w:hAnsi="宋体" w:cs="宋体"/>
                <w:kern w:val="0"/>
                <w:sz w:val="21"/>
                <w:szCs w:val="21"/>
                <w:highlight w:val="none"/>
              </w:rPr>
            </w:pPr>
            <w:r>
              <w:rPr>
                <w:rFonts w:hint="eastAsia" w:ascii="宋体" w:hAnsi="宋体" w:cs="宋体"/>
                <w:kern w:val="0"/>
                <w:sz w:val="21"/>
                <w:szCs w:val="21"/>
                <w:highlight w:val="none"/>
              </w:rPr>
              <w:t>从业人员（X）</w:t>
            </w:r>
          </w:p>
        </w:tc>
        <w:tc>
          <w:tcPr>
            <w:tcW w:w="447" w:type="pct"/>
            <w:tcBorders>
              <w:top w:val="nil"/>
              <w:left w:val="nil"/>
              <w:bottom w:val="single" w:color="auto" w:sz="4" w:space="0"/>
              <w:right w:val="single" w:color="auto" w:sz="4" w:space="0"/>
            </w:tcBorders>
            <w:vAlign w:val="center"/>
          </w:tcPr>
          <w:p w14:paraId="59AF12D6">
            <w:pPr>
              <w:widowControl/>
              <w:jc w:val="left"/>
              <w:rPr>
                <w:rFonts w:ascii="宋体" w:hAnsi="宋体" w:cs="宋体"/>
                <w:kern w:val="0"/>
                <w:sz w:val="21"/>
                <w:szCs w:val="21"/>
                <w:highlight w:val="none"/>
              </w:rPr>
            </w:pPr>
            <w:r>
              <w:rPr>
                <w:rFonts w:hint="eastAsia" w:ascii="宋体" w:hAnsi="宋体" w:cs="宋体"/>
                <w:kern w:val="0"/>
                <w:sz w:val="21"/>
                <w:szCs w:val="21"/>
                <w:highlight w:val="none"/>
              </w:rPr>
              <w:t>人</w:t>
            </w:r>
          </w:p>
        </w:tc>
        <w:tc>
          <w:tcPr>
            <w:tcW w:w="970" w:type="pct"/>
            <w:tcBorders>
              <w:top w:val="nil"/>
              <w:left w:val="nil"/>
              <w:bottom w:val="single" w:color="auto" w:sz="4" w:space="0"/>
              <w:right w:val="single" w:color="auto" w:sz="4" w:space="0"/>
            </w:tcBorders>
            <w:vAlign w:val="center"/>
          </w:tcPr>
          <w:p w14:paraId="0C5A6CBC">
            <w:pPr>
              <w:widowControl/>
              <w:jc w:val="left"/>
              <w:rPr>
                <w:rFonts w:ascii="宋体" w:hAnsi="宋体" w:cs="宋体"/>
                <w:kern w:val="0"/>
                <w:sz w:val="21"/>
                <w:szCs w:val="21"/>
                <w:highlight w:val="none"/>
              </w:rPr>
            </w:pPr>
            <w:r>
              <w:rPr>
                <w:rFonts w:hint="eastAsia" w:ascii="宋体" w:hAnsi="宋体" w:cs="宋体"/>
                <w:kern w:val="0"/>
                <w:sz w:val="21"/>
                <w:szCs w:val="21"/>
                <w:highlight w:val="none"/>
              </w:rPr>
              <w:t>100≤X＜200</w:t>
            </w:r>
          </w:p>
        </w:tc>
        <w:tc>
          <w:tcPr>
            <w:tcW w:w="895" w:type="pct"/>
            <w:tcBorders>
              <w:top w:val="nil"/>
              <w:left w:val="nil"/>
              <w:bottom w:val="single" w:color="auto" w:sz="4" w:space="0"/>
              <w:right w:val="single" w:color="auto" w:sz="4" w:space="0"/>
            </w:tcBorders>
            <w:vAlign w:val="center"/>
          </w:tcPr>
          <w:p w14:paraId="4B5E4CB8">
            <w:pPr>
              <w:widowControl/>
              <w:jc w:val="left"/>
              <w:rPr>
                <w:rFonts w:ascii="宋体" w:hAnsi="宋体" w:cs="宋体"/>
                <w:kern w:val="0"/>
                <w:sz w:val="21"/>
                <w:szCs w:val="21"/>
                <w:highlight w:val="none"/>
              </w:rPr>
            </w:pPr>
            <w:r>
              <w:rPr>
                <w:rFonts w:hint="eastAsia" w:ascii="宋体" w:hAnsi="宋体" w:cs="宋体"/>
                <w:kern w:val="0"/>
                <w:sz w:val="21"/>
                <w:szCs w:val="21"/>
                <w:highlight w:val="none"/>
              </w:rPr>
              <w:t>20≤X＜100</w:t>
            </w:r>
          </w:p>
        </w:tc>
        <w:tc>
          <w:tcPr>
            <w:tcW w:w="596" w:type="pct"/>
            <w:tcBorders>
              <w:top w:val="nil"/>
              <w:left w:val="nil"/>
              <w:bottom w:val="single" w:color="auto" w:sz="4" w:space="0"/>
              <w:right w:val="single" w:color="auto" w:sz="4" w:space="0"/>
            </w:tcBorders>
            <w:vAlign w:val="center"/>
          </w:tcPr>
          <w:p w14:paraId="56A381DE">
            <w:pPr>
              <w:widowControl/>
              <w:jc w:val="left"/>
              <w:rPr>
                <w:rFonts w:ascii="宋体" w:hAnsi="宋体" w:cs="宋体"/>
                <w:kern w:val="0"/>
                <w:sz w:val="21"/>
                <w:szCs w:val="21"/>
                <w:highlight w:val="none"/>
              </w:rPr>
            </w:pPr>
            <w:r>
              <w:rPr>
                <w:rFonts w:hint="eastAsia" w:ascii="宋体" w:hAnsi="宋体" w:cs="宋体"/>
                <w:kern w:val="0"/>
                <w:sz w:val="21"/>
                <w:szCs w:val="21"/>
                <w:highlight w:val="none"/>
              </w:rPr>
              <w:t>X＜20</w:t>
            </w:r>
          </w:p>
        </w:tc>
      </w:tr>
      <w:tr w14:paraId="5E6E7192">
        <w:tblPrEx>
          <w:tblCellMar>
            <w:top w:w="0" w:type="dxa"/>
            <w:left w:w="108" w:type="dxa"/>
            <w:bottom w:w="0" w:type="dxa"/>
            <w:right w:w="108" w:type="dxa"/>
          </w:tblCellMar>
        </w:tblPrEx>
        <w:trPr>
          <w:trHeight w:val="225" w:hRule="atLeast"/>
        </w:trPr>
        <w:tc>
          <w:tcPr>
            <w:tcW w:w="1044" w:type="pct"/>
            <w:vMerge w:val="continue"/>
            <w:tcBorders>
              <w:top w:val="nil"/>
              <w:left w:val="single" w:color="auto" w:sz="4" w:space="0"/>
              <w:bottom w:val="single" w:color="auto" w:sz="4" w:space="0"/>
              <w:right w:val="single" w:color="auto" w:sz="4" w:space="0"/>
            </w:tcBorders>
            <w:vAlign w:val="center"/>
          </w:tcPr>
          <w:p w14:paraId="69E825EE">
            <w:pPr>
              <w:widowControl/>
              <w:jc w:val="center"/>
              <w:rPr>
                <w:rFonts w:ascii="宋体" w:hAnsi="宋体" w:cs="宋体"/>
                <w:b/>
                <w:bCs/>
                <w:kern w:val="0"/>
                <w:sz w:val="21"/>
                <w:szCs w:val="21"/>
                <w:highlight w:val="none"/>
              </w:rPr>
            </w:pPr>
          </w:p>
        </w:tc>
        <w:tc>
          <w:tcPr>
            <w:tcW w:w="1044" w:type="pct"/>
            <w:tcBorders>
              <w:top w:val="nil"/>
              <w:left w:val="nil"/>
              <w:bottom w:val="single" w:color="auto" w:sz="4" w:space="0"/>
              <w:right w:val="single" w:color="auto" w:sz="4" w:space="0"/>
            </w:tcBorders>
            <w:vAlign w:val="center"/>
          </w:tcPr>
          <w:p w14:paraId="24C822FB">
            <w:pPr>
              <w:widowControl/>
              <w:jc w:val="left"/>
              <w:rPr>
                <w:rFonts w:ascii="宋体" w:hAnsi="宋体" w:cs="宋体"/>
                <w:kern w:val="0"/>
                <w:sz w:val="21"/>
                <w:szCs w:val="21"/>
                <w:highlight w:val="none"/>
              </w:rPr>
            </w:pPr>
            <w:r>
              <w:rPr>
                <w:rFonts w:hint="eastAsia" w:ascii="宋体" w:hAnsi="宋体" w:cs="宋体"/>
                <w:kern w:val="0"/>
                <w:sz w:val="21"/>
                <w:szCs w:val="21"/>
                <w:highlight w:val="none"/>
              </w:rPr>
              <w:t>营业收入（Y）</w:t>
            </w:r>
          </w:p>
        </w:tc>
        <w:tc>
          <w:tcPr>
            <w:tcW w:w="447" w:type="pct"/>
            <w:tcBorders>
              <w:top w:val="nil"/>
              <w:left w:val="nil"/>
              <w:bottom w:val="single" w:color="auto" w:sz="4" w:space="0"/>
              <w:right w:val="single" w:color="auto" w:sz="4" w:space="0"/>
            </w:tcBorders>
            <w:vAlign w:val="center"/>
          </w:tcPr>
          <w:p w14:paraId="496D7D80">
            <w:pPr>
              <w:widowControl/>
              <w:jc w:val="left"/>
              <w:rPr>
                <w:rFonts w:ascii="宋体" w:hAnsi="宋体" w:cs="宋体"/>
                <w:kern w:val="0"/>
                <w:sz w:val="21"/>
                <w:szCs w:val="21"/>
                <w:highlight w:val="none"/>
              </w:rPr>
            </w:pPr>
            <w:r>
              <w:rPr>
                <w:rFonts w:hint="eastAsia" w:ascii="宋体" w:hAnsi="宋体" w:cs="宋体"/>
                <w:kern w:val="0"/>
                <w:sz w:val="21"/>
                <w:szCs w:val="21"/>
                <w:highlight w:val="none"/>
              </w:rPr>
              <w:t>万元</w:t>
            </w:r>
          </w:p>
        </w:tc>
        <w:tc>
          <w:tcPr>
            <w:tcW w:w="970" w:type="pct"/>
            <w:tcBorders>
              <w:top w:val="nil"/>
              <w:left w:val="nil"/>
              <w:bottom w:val="single" w:color="auto" w:sz="4" w:space="0"/>
              <w:right w:val="single" w:color="auto" w:sz="4" w:space="0"/>
            </w:tcBorders>
            <w:vAlign w:val="center"/>
          </w:tcPr>
          <w:p w14:paraId="15F93860">
            <w:pPr>
              <w:widowControl/>
              <w:jc w:val="left"/>
              <w:rPr>
                <w:rFonts w:ascii="宋体" w:hAnsi="宋体" w:cs="宋体"/>
                <w:kern w:val="0"/>
                <w:sz w:val="21"/>
                <w:szCs w:val="21"/>
                <w:highlight w:val="none"/>
              </w:rPr>
            </w:pPr>
            <w:r>
              <w:rPr>
                <w:rFonts w:hint="eastAsia" w:ascii="宋体" w:hAnsi="宋体" w:cs="宋体"/>
                <w:kern w:val="0"/>
                <w:sz w:val="21"/>
                <w:szCs w:val="21"/>
                <w:highlight w:val="none"/>
              </w:rPr>
              <w:t>1000≤Y＜30000</w:t>
            </w:r>
          </w:p>
        </w:tc>
        <w:tc>
          <w:tcPr>
            <w:tcW w:w="895" w:type="pct"/>
            <w:tcBorders>
              <w:top w:val="nil"/>
              <w:left w:val="nil"/>
              <w:bottom w:val="single" w:color="auto" w:sz="4" w:space="0"/>
              <w:right w:val="single" w:color="auto" w:sz="4" w:space="0"/>
            </w:tcBorders>
            <w:vAlign w:val="center"/>
          </w:tcPr>
          <w:p w14:paraId="239D7BE5">
            <w:pPr>
              <w:widowControl/>
              <w:jc w:val="left"/>
              <w:rPr>
                <w:rFonts w:ascii="宋体" w:hAnsi="宋体" w:cs="宋体"/>
                <w:kern w:val="0"/>
                <w:sz w:val="21"/>
                <w:szCs w:val="21"/>
                <w:highlight w:val="none"/>
              </w:rPr>
            </w:pPr>
            <w:r>
              <w:rPr>
                <w:rFonts w:hint="eastAsia" w:ascii="宋体" w:hAnsi="宋体" w:cs="宋体"/>
                <w:kern w:val="0"/>
                <w:sz w:val="21"/>
                <w:szCs w:val="21"/>
                <w:highlight w:val="none"/>
              </w:rPr>
              <w:t>100≤Y＜1000</w:t>
            </w:r>
          </w:p>
        </w:tc>
        <w:tc>
          <w:tcPr>
            <w:tcW w:w="596" w:type="pct"/>
            <w:tcBorders>
              <w:top w:val="nil"/>
              <w:left w:val="nil"/>
              <w:bottom w:val="single" w:color="auto" w:sz="4" w:space="0"/>
              <w:right w:val="single" w:color="auto" w:sz="4" w:space="0"/>
            </w:tcBorders>
            <w:vAlign w:val="center"/>
          </w:tcPr>
          <w:p w14:paraId="3DB6A80C">
            <w:pPr>
              <w:widowControl/>
              <w:jc w:val="left"/>
              <w:rPr>
                <w:rFonts w:ascii="宋体" w:hAnsi="宋体" w:cs="宋体"/>
                <w:kern w:val="0"/>
                <w:sz w:val="21"/>
                <w:szCs w:val="21"/>
                <w:highlight w:val="none"/>
              </w:rPr>
            </w:pPr>
            <w:r>
              <w:rPr>
                <w:rFonts w:hint="eastAsia" w:ascii="宋体" w:hAnsi="宋体" w:cs="宋体"/>
                <w:kern w:val="0"/>
                <w:sz w:val="21"/>
                <w:szCs w:val="21"/>
                <w:highlight w:val="none"/>
              </w:rPr>
              <w:t>Y＜100</w:t>
            </w:r>
          </w:p>
        </w:tc>
      </w:tr>
      <w:tr w14:paraId="197D1F3C">
        <w:tblPrEx>
          <w:tblCellMar>
            <w:top w:w="0" w:type="dxa"/>
            <w:left w:w="108" w:type="dxa"/>
            <w:bottom w:w="0" w:type="dxa"/>
            <w:right w:w="108" w:type="dxa"/>
          </w:tblCellMar>
        </w:tblPrEx>
        <w:trPr>
          <w:trHeight w:val="225" w:hRule="atLeast"/>
        </w:trPr>
        <w:tc>
          <w:tcPr>
            <w:tcW w:w="1044" w:type="pct"/>
            <w:vMerge w:val="restart"/>
            <w:tcBorders>
              <w:top w:val="nil"/>
              <w:left w:val="single" w:color="auto" w:sz="4" w:space="0"/>
              <w:bottom w:val="single" w:color="auto" w:sz="4" w:space="0"/>
              <w:right w:val="single" w:color="auto" w:sz="4" w:space="0"/>
            </w:tcBorders>
            <w:vAlign w:val="center"/>
          </w:tcPr>
          <w:p w14:paraId="61FC5D70">
            <w:pPr>
              <w:widowControl/>
              <w:jc w:val="center"/>
              <w:rPr>
                <w:rFonts w:ascii="宋体" w:hAnsi="宋体" w:cs="宋体"/>
                <w:b/>
                <w:bCs/>
                <w:kern w:val="0"/>
                <w:sz w:val="21"/>
                <w:szCs w:val="21"/>
                <w:highlight w:val="none"/>
              </w:rPr>
            </w:pPr>
            <w:r>
              <w:rPr>
                <w:rFonts w:hint="eastAsia" w:ascii="宋体" w:hAnsi="宋体" w:cs="宋体"/>
                <w:b/>
                <w:bCs/>
                <w:kern w:val="0"/>
                <w:sz w:val="21"/>
                <w:szCs w:val="21"/>
                <w:highlight w:val="none"/>
              </w:rPr>
              <w:t>邮政业</w:t>
            </w:r>
          </w:p>
        </w:tc>
        <w:tc>
          <w:tcPr>
            <w:tcW w:w="1044" w:type="pct"/>
            <w:tcBorders>
              <w:top w:val="nil"/>
              <w:left w:val="nil"/>
              <w:bottom w:val="single" w:color="auto" w:sz="4" w:space="0"/>
              <w:right w:val="single" w:color="auto" w:sz="4" w:space="0"/>
            </w:tcBorders>
            <w:vAlign w:val="center"/>
          </w:tcPr>
          <w:p w14:paraId="595A5D10">
            <w:pPr>
              <w:widowControl/>
              <w:jc w:val="left"/>
              <w:rPr>
                <w:rFonts w:ascii="宋体" w:hAnsi="宋体" w:cs="宋体"/>
                <w:kern w:val="0"/>
                <w:sz w:val="21"/>
                <w:szCs w:val="21"/>
                <w:highlight w:val="none"/>
              </w:rPr>
            </w:pPr>
            <w:r>
              <w:rPr>
                <w:rFonts w:hint="eastAsia" w:ascii="宋体" w:hAnsi="宋体" w:cs="宋体"/>
                <w:kern w:val="0"/>
                <w:sz w:val="21"/>
                <w:szCs w:val="21"/>
                <w:highlight w:val="none"/>
              </w:rPr>
              <w:t>从业人员（X）</w:t>
            </w:r>
          </w:p>
        </w:tc>
        <w:tc>
          <w:tcPr>
            <w:tcW w:w="447" w:type="pct"/>
            <w:tcBorders>
              <w:top w:val="nil"/>
              <w:left w:val="nil"/>
              <w:bottom w:val="single" w:color="auto" w:sz="4" w:space="0"/>
              <w:right w:val="single" w:color="auto" w:sz="4" w:space="0"/>
            </w:tcBorders>
            <w:vAlign w:val="center"/>
          </w:tcPr>
          <w:p w14:paraId="018ED5B7">
            <w:pPr>
              <w:widowControl/>
              <w:jc w:val="left"/>
              <w:rPr>
                <w:rFonts w:ascii="宋体" w:hAnsi="宋体" w:cs="宋体"/>
                <w:kern w:val="0"/>
                <w:sz w:val="21"/>
                <w:szCs w:val="21"/>
                <w:highlight w:val="none"/>
              </w:rPr>
            </w:pPr>
            <w:r>
              <w:rPr>
                <w:rFonts w:hint="eastAsia" w:ascii="宋体" w:hAnsi="宋体" w:cs="宋体"/>
                <w:kern w:val="0"/>
                <w:sz w:val="21"/>
                <w:szCs w:val="21"/>
                <w:highlight w:val="none"/>
              </w:rPr>
              <w:t>人</w:t>
            </w:r>
          </w:p>
        </w:tc>
        <w:tc>
          <w:tcPr>
            <w:tcW w:w="970" w:type="pct"/>
            <w:tcBorders>
              <w:top w:val="nil"/>
              <w:left w:val="nil"/>
              <w:bottom w:val="single" w:color="auto" w:sz="4" w:space="0"/>
              <w:right w:val="single" w:color="auto" w:sz="4" w:space="0"/>
            </w:tcBorders>
            <w:vAlign w:val="center"/>
          </w:tcPr>
          <w:p w14:paraId="3B6B1589">
            <w:pPr>
              <w:widowControl/>
              <w:jc w:val="left"/>
              <w:rPr>
                <w:rFonts w:ascii="宋体" w:hAnsi="宋体" w:cs="宋体"/>
                <w:kern w:val="0"/>
                <w:sz w:val="21"/>
                <w:szCs w:val="21"/>
                <w:highlight w:val="none"/>
              </w:rPr>
            </w:pPr>
            <w:r>
              <w:rPr>
                <w:rFonts w:hint="eastAsia" w:ascii="宋体" w:hAnsi="宋体" w:cs="宋体"/>
                <w:kern w:val="0"/>
                <w:sz w:val="21"/>
                <w:szCs w:val="21"/>
                <w:highlight w:val="none"/>
              </w:rPr>
              <w:t>300≤X＜1000</w:t>
            </w:r>
          </w:p>
        </w:tc>
        <w:tc>
          <w:tcPr>
            <w:tcW w:w="895" w:type="pct"/>
            <w:tcBorders>
              <w:top w:val="nil"/>
              <w:left w:val="nil"/>
              <w:bottom w:val="single" w:color="auto" w:sz="4" w:space="0"/>
              <w:right w:val="single" w:color="auto" w:sz="4" w:space="0"/>
            </w:tcBorders>
            <w:vAlign w:val="center"/>
          </w:tcPr>
          <w:p w14:paraId="1EDCDCAF">
            <w:pPr>
              <w:widowControl/>
              <w:jc w:val="left"/>
              <w:rPr>
                <w:rFonts w:ascii="宋体" w:hAnsi="宋体" w:cs="宋体"/>
                <w:kern w:val="0"/>
                <w:sz w:val="21"/>
                <w:szCs w:val="21"/>
                <w:highlight w:val="none"/>
              </w:rPr>
            </w:pPr>
            <w:r>
              <w:rPr>
                <w:rFonts w:hint="eastAsia" w:ascii="宋体" w:hAnsi="宋体" w:cs="宋体"/>
                <w:kern w:val="0"/>
                <w:sz w:val="21"/>
                <w:szCs w:val="21"/>
                <w:highlight w:val="none"/>
              </w:rPr>
              <w:t>20≤X＜300</w:t>
            </w:r>
          </w:p>
        </w:tc>
        <w:tc>
          <w:tcPr>
            <w:tcW w:w="596" w:type="pct"/>
            <w:tcBorders>
              <w:top w:val="nil"/>
              <w:left w:val="nil"/>
              <w:bottom w:val="single" w:color="auto" w:sz="4" w:space="0"/>
              <w:right w:val="single" w:color="auto" w:sz="4" w:space="0"/>
            </w:tcBorders>
            <w:vAlign w:val="center"/>
          </w:tcPr>
          <w:p w14:paraId="296B6487">
            <w:pPr>
              <w:widowControl/>
              <w:jc w:val="left"/>
              <w:rPr>
                <w:rFonts w:ascii="宋体" w:hAnsi="宋体" w:cs="宋体"/>
                <w:kern w:val="0"/>
                <w:sz w:val="21"/>
                <w:szCs w:val="21"/>
                <w:highlight w:val="none"/>
              </w:rPr>
            </w:pPr>
            <w:r>
              <w:rPr>
                <w:rFonts w:hint="eastAsia" w:ascii="宋体" w:hAnsi="宋体" w:cs="宋体"/>
                <w:kern w:val="0"/>
                <w:sz w:val="21"/>
                <w:szCs w:val="21"/>
                <w:highlight w:val="none"/>
              </w:rPr>
              <w:t>X＜20</w:t>
            </w:r>
          </w:p>
        </w:tc>
      </w:tr>
      <w:tr w14:paraId="64FC55A5">
        <w:tblPrEx>
          <w:tblCellMar>
            <w:top w:w="0" w:type="dxa"/>
            <w:left w:w="108" w:type="dxa"/>
            <w:bottom w:w="0" w:type="dxa"/>
            <w:right w:w="108" w:type="dxa"/>
          </w:tblCellMar>
        </w:tblPrEx>
        <w:trPr>
          <w:trHeight w:val="225" w:hRule="atLeast"/>
        </w:trPr>
        <w:tc>
          <w:tcPr>
            <w:tcW w:w="1044" w:type="pct"/>
            <w:vMerge w:val="continue"/>
            <w:tcBorders>
              <w:top w:val="nil"/>
              <w:left w:val="single" w:color="auto" w:sz="4" w:space="0"/>
              <w:bottom w:val="single" w:color="auto" w:sz="4" w:space="0"/>
              <w:right w:val="single" w:color="auto" w:sz="4" w:space="0"/>
            </w:tcBorders>
            <w:vAlign w:val="center"/>
          </w:tcPr>
          <w:p w14:paraId="5F2140ED">
            <w:pPr>
              <w:widowControl/>
              <w:jc w:val="center"/>
              <w:rPr>
                <w:rFonts w:ascii="宋体" w:hAnsi="宋体" w:cs="宋体"/>
                <w:b/>
                <w:bCs/>
                <w:kern w:val="0"/>
                <w:sz w:val="21"/>
                <w:szCs w:val="21"/>
                <w:highlight w:val="none"/>
              </w:rPr>
            </w:pPr>
          </w:p>
        </w:tc>
        <w:tc>
          <w:tcPr>
            <w:tcW w:w="1044" w:type="pct"/>
            <w:tcBorders>
              <w:top w:val="nil"/>
              <w:left w:val="nil"/>
              <w:bottom w:val="single" w:color="auto" w:sz="4" w:space="0"/>
              <w:right w:val="single" w:color="auto" w:sz="4" w:space="0"/>
            </w:tcBorders>
            <w:vAlign w:val="center"/>
          </w:tcPr>
          <w:p w14:paraId="31544D48">
            <w:pPr>
              <w:widowControl/>
              <w:jc w:val="left"/>
              <w:rPr>
                <w:rFonts w:ascii="宋体" w:hAnsi="宋体" w:cs="宋体"/>
                <w:kern w:val="0"/>
                <w:sz w:val="21"/>
                <w:szCs w:val="21"/>
                <w:highlight w:val="none"/>
              </w:rPr>
            </w:pPr>
            <w:r>
              <w:rPr>
                <w:rFonts w:hint="eastAsia" w:ascii="宋体" w:hAnsi="宋体" w:cs="宋体"/>
                <w:kern w:val="0"/>
                <w:sz w:val="21"/>
                <w:szCs w:val="21"/>
                <w:highlight w:val="none"/>
              </w:rPr>
              <w:t>营业收入（Y）</w:t>
            </w:r>
          </w:p>
        </w:tc>
        <w:tc>
          <w:tcPr>
            <w:tcW w:w="447" w:type="pct"/>
            <w:tcBorders>
              <w:top w:val="nil"/>
              <w:left w:val="nil"/>
              <w:bottom w:val="single" w:color="auto" w:sz="4" w:space="0"/>
              <w:right w:val="single" w:color="auto" w:sz="4" w:space="0"/>
            </w:tcBorders>
            <w:vAlign w:val="center"/>
          </w:tcPr>
          <w:p w14:paraId="087C2ADC">
            <w:pPr>
              <w:widowControl/>
              <w:jc w:val="left"/>
              <w:rPr>
                <w:rFonts w:ascii="宋体" w:hAnsi="宋体" w:cs="宋体"/>
                <w:kern w:val="0"/>
                <w:sz w:val="21"/>
                <w:szCs w:val="21"/>
                <w:highlight w:val="none"/>
              </w:rPr>
            </w:pPr>
            <w:r>
              <w:rPr>
                <w:rFonts w:hint="eastAsia" w:ascii="宋体" w:hAnsi="宋体" w:cs="宋体"/>
                <w:kern w:val="0"/>
                <w:sz w:val="21"/>
                <w:szCs w:val="21"/>
                <w:highlight w:val="none"/>
              </w:rPr>
              <w:t>万元</w:t>
            </w:r>
          </w:p>
        </w:tc>
        <w:tc>
          <w:tcPr>
            <w:tcW w:w="970" w:type="pct"/>
            <w:tcBorders>
              <w:top w:val="nil"/>
              <w:left w:val="nil"/>
              <w:bottom w:val="single" w:color="auto" w:sz="4" w:space="0"/>
              <w:right w:val="single" w:color="auto" w:sz="4" w:space="0"/>
            </w:tcBorders>
            <w:vAlign w:val="center"/>
          </w:tcPr>
          <w:p w14:paraId="78088B57">
            <w:pPr>
              <w:widowControl/>
              <w:jc w:val="left"/>
              <w:rPr>
                <w:rFonts w:ascii="宋体" w:hAnsi="宋体" w:cs="宋体"/>
                <w:kern w:val="0"/>
                <w:sz w:val="21"/>
                <w:szCs w:val="21"/>
                <w:highlight w:val="none"/>
              </w:rPr>
            </w:pPr>
            <w:r>
              <w:rPr>
                <w:rFonts w:hint="eastAsia" w:ascii="宋体" w:hAnsi="宋体" w:cs="宋体"/>
                <w:kern w:val="0"/>
                <w:sz w:val="21"/>
                <w:szCs w:val="21"/>
                <w:highlight w:val="none"/>
              </w:rPr>
              <w:t>2000≤Y＜30000</w:t>
            </w:r>
          </w:p>
        </w:tc>
        <w:tc>
          <w:tcPr>
            <w:tcW w:w="895" w:type="pct"/>
            <w:tcBorders>
              <w:top w:val="nil"/>
              <w:left w:val="nil"/>
              <w:bottom w:val="single" w:color="auto" w:sz="4" w:space="0"/>
              <w:right w:val="single" w:color="auto" w:sz="4" w:space="0"/>
            </w:tcBorders>
            <w:vAlign w:val="center"/>
          </w:tcPr>
          <w:p w14:paraId="7ECE40FB">
            <w:pPr>
              <w:widowControl/>
              <w:jc w:val="left"/>
              <w:rPr>
                <w:rFonts w:ascii="宋体" w:hAnsi="宋体" w:cs="宋体"/>
                <w:kern w:val="0"/>
                <w:sz w:val="21"/>
                <w:szCs w:val="21"/>
                <w:highlight w:val="none"/>
              </w:rPr>
            </w:pPr>
            <w:r>
              <w:rPr>
                <w:rFonts w:hint="eastAsia" w:ascii="宋体" w:hAnsi="宋体" w:cs="宋体"/>
                <w:kern w:val="0"/>
                <w:sz w:val="21"/>
                <w:szCs w:val="21"/>
                <w:highlight w:val="none"/>
              </w:rPr>
              <w:t>100≤Y＜2000</w:t>
            </w:r>
          </w:p>
        </w:tc>
        <w:tc>
          <w:tcPr>
            <w:tcW w:w="596" w:type="pct"/>
            <w:tcBorders>
              <w:top w:val="nil"/>
              <w:left w:val="nil"/>
              <w:bottom w:val="single" w:color="auto" w:sz="4" w:space="0"/>
              <w:right w:val="single" w:color="auto" w:sz="4" w:space="0"/>
            </w:tcBorders>
            <w:vAlign w:val="center"/>
          </w:tcPr>
          <w:p w14:paraId="1884617E">
            <w:pPr>
              <w:widowControl/>
              <w:jc w:val="left"/>
              <w:rPr>
                <w:rFonts w:ascii="宋体" w:hAnsi="宋体" w:cs="宋体"/>
                <w:kern w:val="0"/>
                <w:sz w:val="21"/>
                <w:szCs w:val="21"/>
                <w:highlight w:val="none"/>
              </w:rPr>
            </w:pPr>
            <w:r>
              <w:rPr>
                <w:rFonts w:hint="eastAsia" w:ascii="宋体" w:hAnsi="宋体" w:cs="宋体"/>
                <w:kern w:val="0"/>
                <w:sz w:val="21"/>
                <w:szCs w:val="21"/>
                <w:highlight w:val="none"/>
              </w:rPr>
              <w:t>Y＜100</w:t>
            </w:r>
          </w:p>
        </w:tc>
      </w:tr>
      <w:tr w14:paraId="20DB7AEA">
        <w:tblPrEx>
          <w:tblCellMar>
            <w:top w:w="0" w:type="dxa"/>
            <w:left w:w="108" w:type="dxa"/>
            <w:bottom w:w="0" w:type="dxa"/>
            <w:right w:w="108" w:type="dxa"/>
          </w:tblCellMar>
        </w:tblPrEx>
        <w:trPr>
          <w:trHeight w:val="225" w:hRule="atLeast"/>
        </w:trPr>
        <w:tc>
          <w:tcPr>
            <w:tcW w:w="1044" w:type="pct"/>
            <w:vMerge w:val="restart"/>
            <w:tcBorders>
              <w:top w:val="nil"/>
              <w:left w:val="single" w:color="auto" w:sz="4" w:space="0"/>
              <w:bottom w:val="single" w:color="auto" w:sz="4" w:space="0"/>
              <w:right w:val="single" w:color="auto" w:sz="4" w:space="0"/>
            </w:tcBorders>
            <w:vAlign w:val="center"/>
          </w:tcPr>
          <w:p w14:paraId="4FE32482">
            <w:pPr>
              <w:widowControl/>
              <w:jc w:val="center"/>
              <w:rPr>
                <w:rFonts w:ascii="宋体" w:hAnsi="宋体" w:cs="宋体"/>
                <w:b/>
                <w:bCs/>
                <w:kern w:val="0"/>
                <w:sz w:val="21"/>
                <w:szCs w:val="21"/>
                <w:highlight w:val="none"/>
              </w:rPr>
            </w:pPr>
            <w:r>
              <w:rPr>
                <w:rFonts w:hint="eastAsia" w:ascii="宋体" w:hAnsi="宋体" w:cs="宋体"/>
                <w:b/>
                <w:bCs/>
                <w:kern w:val="0"/>
                <w:sz w:val="21"/>
                <w:szCs w:val="21"/>
                <w:highlight w:val="none"/>
              </w:rPr>
              <w:t>住宿业</w:t>
            </w:r>
          </w:p>
        </w:tc>
        <w:tc>
          <w:tcPr>
            <w:tcW w:w="1044" w:type="pct"/>
            <w:tcBorders>
              <w:top w:val="nil"/>
              <w:left w:val="nil"/>
              <w:bottom w:val="single" w:color="auto" w:sz="4" w:space="0"/>
              <w:right w:val="single" w:color="auto" w:sz="4" w:space="0"/>
            </w:tcBorders>
            <w:vAlign w:val="center"/>
          </w:tcPr>
          <w:p w14:paraId="71F825CA">
            <w:pPr>
              <w:widowControl/>
              <w:jc w:val="left"/>
              <w:rPr>
                <w:rFonts w:ascii="宋体" w:hAnsi="宋体" w:cs="宋体"/>
                <w:kern w:val="0"/>
                <w:sz w:val="21"/>
                <w:szCs w:val="21"/>
                <w:highlight w:val="none"/>
              </w:rPr>
            </w:pPr>
            <w:r>
              <w:rPr>
                <w:rFonts w:hint="eastAsia" w:ascii="宋体" w:hAnsi="宋体" w:cs="宋体"/>
                <w:kern w:val="0"/>
                <w:sz w:val="21"/>
                <w:szCs w:val="21"/>
                <w:highlight w:val="none"/>
              </w:rPr>
              <w:t>从业人员（X）</w:t>
            </w:r>
          </w:p>
        </w:tc>
        <w:tc>
          <w:tcPr>
            <w:tcW w:w="447" w:type="pct"/>
            <w:tcBorders>
              <w:top w:val="nil"/>
              <w:left w:val="nil"/>
              <w:bottom w:val="single" w:color="auto" w:sz="4" w:space="0"/>
              <w:right w:val="single" w:color="auto" w:sz="4" w:space="0"/>
            </w:tcBorders>
            <w:vAlign w:val="center"/>
          </w:tcPr>
          <w:p w14:paraId="09585E7D">
            <w:pPr>
              <w:widowControl/>
              <w:jc w:val="left"/>
              <w:rPr>
                <w:rFonts w:ascii="宋体" w:hAnsi="宋体" w:cs="宋体"/>
                <w:kern w:val="0"/>
                <w:sz w:val="21"/>
                <w:szCs w:val="21"/>
                <w:highlight w:val="none"/>
              </w:rPr>
            </w:pPr>
            <w:r>
              <w:rPr>
                <w:rFonts w:hint="eastAsia" w:ascii="宋体" w:hAnsi="宋体" w:cs="宋体"/>
                <w:kern w:val="0"/>
                <w:sz w:val="21"/>
                <w:szCs w:val="21"/>
                <w:highlight w:val="none"/>
              </w:rPr>
              <w:t>人</w:t>
            </w:r>
          </w:p>
        </w:tc>
        <w:tc>
          <w:tcPr>
            <w:tcW w:w="970" w:type="pct"/>
            <w:tcBorders>
              <w:top w:val="nil"/>
              <w:left w:val="nil"/>
              <w:bottom w:val="single" w:color="auto" w:sz="4" w:space="0"/>
              <w:right w:val="single" w:color="auto" w:sz="4" w:space="0"/>
            </w:tcBorders>
            <w:vAlign w:val="center"/>
          </w:tcPr>
          <w:p w14:paraId="09B0C7CD">
            <w:pPr>
              <w:widowControl/>
              <w:jc w:val="left"/>
              <w:rPr>
                <w:rFonts w:ascii="宋体" w:hAnsi="宋体" w:cs="宋体"/>
                <w:kern w:val="0"/>
                <w:sz w:val="21"/>
                <w:szCs w:val="21"/>
                <w:highlight w:val="none"/>
              </w:rPr>
            </w:pPr>
            <w:r>
              <w:rPr>
                <w:rFonts w:hint="eastAsia" w:ascii="宋体" w:hAnsi="宋体" w:cs="宋体"/>
                <w:kern w:val="0"/>
                <w:sz w:val="21"/>
                <w:szCs w:val="21"/>
                <w:highlight w:val="none"/>
              </w:rPr>
              <w:t>100≤X＜300</w:t>
            </w:r>
          </w:p>
        </w:tc>
        <w:tc>
          <w:tcPr>
            <w:tcW w:w="895" w:type="pct"/>
            <w:tcBorders>
              <w:top w:val="nil"/>
              <w:left w:val="nil"/>
              <w:bottom w:val="single" w:color="auto" w:sz="4" w:space="0"/>
              <w:right w:val="single" w:color="auto" w:sz="4" w:space="0"/>
            </w:tcBorders>
            <w:vAlign w:val="center"/>
          </w:tcPr>
          <w:p w14:paraId="7D7E722B">
            <w:pPr>
              <w:widowControl/>
              <w:jc w:val="left"/>
              <w:rPr>
                <w:rFonts w:ascii="宋体" w:hAnsi="宋体" w:cs="宋体"/>
                <w:kern w:val="0"/>
                <w:sz w:val="21"/>
                <w:szCs w:val="21"/>
                <w:highlight w:val="none"/>
              </w:rPr>
            </w:pPr>
            <w:r>
              <w:rPr>
                <w:rFonts w:hint="eastAsia" w:ascii="宋体" w:hAnsi="宋体" w:cs="宋体"/>
                <w:kern w:val="0"/>
                <w:sz w:val="21"/>
                <w:szCs w:val="21"/>
                <w:highlight w:val="none"/>
              </w:rPr>
              <w:t>10≤X＜100</w:t>
            </w:r>
          </w:p>
        </w:tc>
        <w:tc>
          <w:tcPr>
            <w:tcW w:w="596" w:type="pct"/>
            <w:tcBorders>
              <w:top w:val="nil"/>
              <w:left w:val="nil"/>
              <w:bottom w:val="single" w:color="auto" w:sz="4" w:space="0"/>
              <w:right w:val="single" w:color="auto" w:sz="4" w:space="0"/>
            </w:tcBorders>
            <w:vAlign w:val="center"/>
          </w:tcPr>
          <w:p w14:paraId="6B117E71">
            <w:pPr>
              <w:widowControl/>
              <w:jc w:val="left"/>
              <w:rPr>
                <w:rFonts w:ascii="宋体" w:hAnsi="宋体" w:cs="宋体"/>
                <w:kern w:val="0"/>
                <w:sz w:val="21"/>
                <w:szCs w:val="21"/>
                <w:highlight w:val="none"/>
              </w:rPr>
            </w:pPr>
            <w:r>
              <w:rPr>
                <w:rFonts w:hint="eastAsia" w:ascii="宋体" w:hAnsi="宋体" w:cs="宋体"/>
                <w:kern w:val="0"/>
                <w:sz w:val="21"/>
                <w:szCs w:val="21"/>
                <w:highlight w:val="none"/>
              </w:rPr>
              <w:t>X＜10</w:t>
            </w:r>
          </w:p>
        </w:tc>
      </w:tr>
      <w:tr w14:paraId="43850CC5">
        <w:tblPrEx>
          <w:tblCellMar>
            <w:top w:w="0" w:type="dxa"/>
            <w:left w:w="108" w:type="dxa"/>
            <w:bottom w:w="0" w:type="dxa"/>
            <w:right w:w="108" w:type="dxa"/>
          </w:tblCellMar>
        </w:tblPrEx>
        <w:trPr>
          <w:trHeight w:val="225" w:hRule="atLeast"/>
        </w:trPr>
        <w:tc>
          <w:tcPr>
            <w:tcW w:w="1044" w:type="pct"/>
            <w:vMerge w:val="continue"/>
            <w:tcBorders>
              <w:top w:val="nil"/>
              <w:left w:val="single" w:color="auto" w:sz="4" w:space="0"/>
              <w:bottom w:val="single" w:color="auto" w:sz="4" w:space="0"/>
              <w:right w:val="single" w:color="auto" w:sz="4" w:space="0"/>
            </w:tcBorders>
            <w:vAlign w:val="center"/>
          </w:tcPr>
          <w:p w14:paraId="4ED156F9">
            <w:pPr>
              <w:widowControl/>
              <w:jc w:val="center"/>
              <w:rPr>
                <w:rFonts w:ascii="宋体" w:hAnsi="宋体" w:cs="宋体"/>
                <w:b/>
                <w:bCs/>
                <w:kern w:val="0"/>
                <w:sz w:val="21"/>
                <w:szCs w:val="21"/>
                <w:highlight w:val="none"/>
              </w:rPr>
            </w:pPr>
          </w:p>
        </w:tc>
        <w:tc>
          <w:tcPr>
            <w:tcW w:w="1044" w:type="pct"/>
            <w:tcBorders>
              <w:top w:val="nil"/>
              <w:left w:val="nil"/>
              <w:bottom w:val="single" w:color="auto" w:sz="4" w:space="0"/>
              <w:right w:val="single" w:color="auto" w:sz="4" w:space="0"/>
            </w:tcBorders>
            <w:vAlign w:val="center"/>
          </w:tcPr>
          <w:p w14:paraId="3AC76AB0">
            <w:pPr>
              <w:widowControl/>
              <w:jc w:val="left"/>
              <w:rPr>
                <w:rFonts w:ascii="宋体" w:hAnsi="宋体" w:cs="宋体"/>
                <w:kern w:val="0"/>
                <w:sz w:val="21"/>
                <w:szCs w:val="21"/>
                <w:highlight w:val="none"/>
              </w:rPr>
            </w:pPr>
            <w:r>
              <w:rPr>
                <w:rFonts w:hint="eastAsia" w:ascii="宋体" w:hAnsi="宋体" w:cs="宋体"/>
                <w:kern w:val="0"/>
                <w:sz w:val="21"/>
                <w:szCs w:val="21"/>
                <w:highlight w:val="none"/>
              </w:rPr>
              <w:t>营业收入（Y）</w:t>
            </w:r>
          </w:p>
        </w:tc>
        <w:tc>
          <w:tcPr>
            <w:tcW w:w="447" w:type="pct"/>
            <w:tcBorders>
              <w:top w:val="nil"/>
              <w:left w:val="nil"/>
              <w:bottom w:val="single" w:color="auto" w:sz="4" w:space="0"/>
              <w:right w:val="single" w:color="auto" w:sz="4" w:space="0"/>
            </w:tcBorders>
            <w:vAlign w:val="center"/>
          </w:tcPr>
          <w:p w14:paraId="02A89D60">
            <w:pPr>
              <w:widowControl/>
              <w:jc w:val="left"/>
              <w:rPr>
                <w:rFonts w:ascii="宋体" w:hAnsi="宋体" w:cs="宋体"/>
                <w:kern w:val="0"/>
                <w:sz w:val="21"/>
                <w:szCs w:val="21"/>
                <w:highlight w:val="none"/>
              </w:rPr>
            </w:pPr>
            <w:r>
              <w:rPr>
                <w:rFonts w:hint="eastAsia" w:ascii="宋体" w:hAnsi="宋体" w:cs="宋体"/>
                <w:kern w:val="0"/>
                <w:sz w:val="21"/>
                <w:szCs w:val="21"/>
                <w:highlight w:val="none"/>
              </w:rPr>
              <w:t>万元</w:t>
            </w:r>
          </w:p>
        </w:tc>
        <w:tc>
          <w:tcPr>
            <w:tcW w:w="970" w:type="pct"/>
            <w:tcBorders>
              <w:top w:val="nil"/>
              <w:left w:val="nil"/>
              <w:bottom w:val="single" w:color="auto" w:sz="4" w:space="0"/>
              <w:right w:val="single" w:color="auto" w:sz="4" w:space="0"/>
            </w:tcBorders>
            <w:vAlign w:val="center"/>
          </w:tcPr>
          <w:p w14:paraId="605AE771">
            <w:pPr>
              <w:widowControl/>
              <w:jc w:val="left"/>
              <w:rPr>
                <w:rFonts w:ascii="宋体" w:hAnsi="宋体" w:cs="宋体"/>
                <w:kern w:val="0"/>
                <w:sz w:val="21"/>
                <w:szCs w:val="21"/>
                <w:highlight w:val="none"/>
              </w:rPr>
            </w:pPr>
            <w:r>
              <w:rPr>
                <w:rFonts w:hint="eastAsia" w:ascii="宋体" w:hAnsi="宋体" w:cs="宋体"/>
                <w:kern w:val="0"/>
                <w:sz w:val="21"/>
                <w:szCs w:val="21"/>
                <w:highlight w:val="none"/>
              </w:rPr>
              <w:t>2000≤Y＜10000</w:t>
            </w:r>
          </w:p>
        </w:tc>
        <w:tc>
          <w:tcPr>
            <w:tcW w:w="895" w:type="pct"/>
            <w:tcBorders>
              <w:top w:val="nil"/>
              <w:left w:val="nil"/>
              <w:bottom w:val="single" w:color="auto" w:sz="4" w:space="0"/>
              <w:right w:val="single" w:color="auto" w:sz="4" w:space="0"/>
            </w:tcBorders>
            <w:vAlign w:val="center"/>
          </w:tcPr>
          <w:p w14:paraId="73C45379">
            <w:pPr>
              <w:widowControl/>
              <w:jc w:val="left"/>
              <w:rPr>
                <w:rFonts w:ascii="宋体" w:hAnsi="宋体" w:cs="宋体"/>
                <w:kern w:val="0"/>
                <w:sz w:val="21"/>
                <w:szCs w:val="21"/>
                <w:highlight w:val="none"/>
              </w:rPr>
            </w:pPr>
            <w:r>
              <w:rPr>
                <w:rFonts w:hint="eastAsia" w:ascii="宋体" w:hAnsi="宋体" w:cs="宋体"/>
                <w:kern w:val="0"/>
                <w:sz w:val="21"/>
                <w:szCs w:val="21"/>
                <w:highlight w:val="none"/>
              </w:rPr>
              <w:t>100≤Y＜2000</w:t>
            </w:r>
          </w:p>
        </w:tc>
        <w:tc>
          <w:tcPr>
            <w:tcW w:w="596" w:type="pct"/>
            <w:tcBorders>
              <w:top w:val="nil"/>
              <w:left w:val="nil"/>
              <w:bottom w:val="single" w:color="auto" w:sz="4" w:space="0"/>
              <w:right w:val="single" w:color="auto" w:sz="4" w:space="0"/>
            </w:tcBorders>
            <w:vAlign w:val="center"/>
          </w:tcPr>
          <w:p w14:paraId="6C9A5D82">
            <w:pPr>
              <w:widowControl/>
              <w:jc w:val="left"/>
              <w:rPr>
                <w:rFonts w:ascii="宋体" w:hAnsi="宋体" w:cs="宋体"/>
                <w:kern w:val="0"/>
                <w:sz w:val="21"/>
                <w:szCs w:val="21"/>
                <w:highlight w:val="none"/>
              </w:rPr>
            </w:pPr>
            <w:r>
              <w:rPr>
                <w:rFonts w:hint="eastAsia" w:ascii="宋体" w:hAnsi="宋体" w:cs="宋体"/>
                <w:kern w:val="0"/>
                <w:sz w:val="21"/>
                <w:szCs w:val="21"/>
                <w:highlight w:val="none"/>
              </w:rPr>
              <w:t>Y＜100</w:t>
            </w:r>
          </w:p>
        </w:tc>
      </w:tr>
      <w:tr w14:paraId="17835EA5">
        <w:tblPrEx>
          <w:tblCellMar>
            <w:top w:w="0" w:type="dxa"/>
            <w:left w:w="108" w:type="dxa"/>
            <w:bottom w:w="0" w:type="dxa"/>
            <w:right w:w="108" w:type="dxa"/>
          </w:tblCellMar>
        </w:tblPrEx>
        <w:trPr>
          <w:trHeight w:val="225" w:hRule="atLeast"/>
        </w:trPr>
        <w:tc>
          <w:tcPr>
            <w:tcW w:w="1044" w:type="pct"/>
            <w:vMerge w:val="restart"/>
            <w:tcBorders>
              <w:top w:val="nil"/>
              <w:left w:val="single" w:color="auto" w:sz="4" w:space="0"/>
              <w:bottom w:val="single" w:color="auto" w:sz="4" w:space="0"/>
              <w:right w:val="single" w:color="auto" w:sz="4" w:space="0"/>
            </w:tcBorders>
            <w:vAlign w:val="center"/>
          </w:tcPr>
          <w:p w14:paraId="34D76E4E">
            <w:pPr>
              <w:widowControl/>
              <w:jc w:val="center"/>
              <w:rPr>
                <w:rFonts w:ascii="宋体" w:hAnsi="宋体" w:cs="宋体"/>
                <w:b/>
                <w:bCs/>
                <w:kern w:val="0"/>
                <w:sz w:val="21"/>
                <w:szCs w:val="21"/>
                <w:highlight w:val="none"/>
              </w:rPr>
            </w:pPr>
            <w:r>
              <w:rPr>
                <w:rFonts w:hint="eastAsia" w:ascii="宋体" w:hAnsi="宋体" w:cs="宋体"/>
                <w:b/>
                <w:bCs/>
                <w:kern w:val="0"/>
                <w:sz w:val="21"/>
                <w:szCs w:val="21"/>
                <w:highlight w:val="none"/>
              </w:rPr>
              <w:t>餐饮业</w:t>
            </w:r>
          </w:p>
        </w:tc>
        <w:tc>
          <w:tcPr>
            <w:tcW w:w="1044" w:type="pct"/>
            <w:tcBorders>
              <w:top w:val="nil"/>
              <w:left w:val="nil"/>
              <w:bottom w:val="single" w:color="auto" w:sz="4" w:space="0"/>
              <w:right w:val="single" w:color="auto" w:sz="4" w:space="0"/>
            </w:tcBorders>
            <w:vAlign w:val="center"/>
          </w:tcPr>
          <w:p w14:paraId="6BC46A67">
            <w:pPr>
              <w:widowControl/>
              <w:jc w:val="left"/>
              <w:rPr>
                <w:rFonts w:ascii="宋体" w:hAnsi="宋体" w:cs="宋体"/>
                <w:kern w:val="0"/>
                <w:sz w:val="21"/>
                <w:szCs w:val="21"/>
                <w:highlight w:val="none"/>
              </w:rPr>
            </w:pPr>
            <w:r>
              <w:rPr>
                <w:rFonts w:hint="eastAsia" w:ascii="宋体" w:hAnsi="宋体" w:cs="宋体"/>
                <w:kern w:val="0"/>
                <w:sz w:val="21"/>
                <w:szCs w:val="21"/>
                <w:highlight w:val="none"/>
              </w:rPr>
              <w:t>从业人员（X）</w:t>
            </w:r>
          </w:p>
        </w:tc>
        <w:tc>
          <w:tcPr>
            <w:tcW w:w="447" w:type="pct"/>
            <w:tcBorders>
              <w:top w:val="nil"/>
              <w:left w:val="nil"/>
              <w:bottom w:val="single" w:color="auto" w:sz="4" w:space="0"/>
              <w:right w:val="single" w:color="auto" w:sz="4" w:space="0"/>
            </w:tcBorders>
            <w:vAlign w:val="center"/>
          </w:tcPr>
          <w:p w14:paraId="427A1105">
            <w:pPr>
              <w:widowControl/>
              <w:jc w:val="left"/>
              <w:rPr>
                <w:rFonts w:ascii="宋体" w:hAnsi="宋体" w:cs="宋体"/>
                <w:kern w:val="0"/>
                <w:sz w:val="21"/>
                <w:szCs w:val="21"/>
                <w:highlight w:val="none"/>
              </w:rPr>
            </w:pPr>
            <w:r>
              <w:rPr>
                <w:rFonts w:hint="eastAsia" w:ascii="宋体" w:hAnsi="宋体" w:cs="宋体"/>
                <w:kern w:val="0"/>
                <w:sz w:val="21"/>
                <w:szCs w:val="21"/>
                <w:highlight w:val="none"/>
              </w:rPr>
              <w:t>人</w:t>
            </w:r>
          </w:p>
        </w:tc>
        <w:tc>
          <w:tcPr>
            <w:tcW w:w="970" w:type="pct"/>
            <w:tcBorders>
              <w:top w:val="nil"/>
              <w:left w:val="nil"/>
              <w:bottom w:val="single" w:color="auto" w:sz="4" w:space="0"/>
              <w:right w:val="single" w:color="auto" w:sz="4" w:space="0"/>
            </w:tcBorders>
            <w:vAlign w:val="center"/>
          </w:tcPr>
          <w:p w14:paraId="38459D43">
            <w:pPr>
              <w:widowControl/>
              <w:jc w:val="left"/>
              <w:rPr>
                <w:rFonts w:ascii="宋体" w:hAnsi="宋体" w:cs="宋体"/>
                <w:kern w:val="0"/>
                <w:sz w:val="21"/>
                <w:szCs w:val="21"/>
                <w:highlight w:val="none"/>
              </w:rPr>
            </w:pPr>
            <w:r>
              <w:rPr>
                <w:rFonts w:hint="eastAsia" w:ascii="宋体" w:hAnsi="宋体" w:cs="宋体"/>
                <w:kern w:val="0"/>
                <w:sz w:val="21"/>
                <w:szCs w:val="21"/>
                <w:highlight w:val="none"/>
              </w:rPr>
              <w:t>100≤X＜300</w:t>
            </w:r>
          </w:p>
        </w:tc>
        <w:tc>
          <w:tcPr>
            <w:tcW w:w="895" w:type="pct"/>
            <w:tcBorders>
              <w:top w:val="nil"/>
              <w:left w:val="nil"/>
              <w:bottom w:val="single" w:color="auto" w:sz="4" w:space="0"/>
              <w:right w:val="single" w:color="auto" w:sz="4" w:space="0"/>
            </w:tcBorders>
            <w:vAlign w:val="center"/>
          </w:tcPr>
          <w:p w14:paraId="0C1B0A76">
            <w:pPr>
              <w:widowControl/>
              <w:jc w:val="left"/>
              <w:rPr>
                <w:rFonts w:ascii="宋体" w:hAnsi="宋体" w:cs="宋体"/>
                <w:kern w:val="0"/>
                <w:sz w:val="21"/>
                <w:szCs w:val="21"/>
                <w:highlight w:val="none"/>
              </w:rPr>
            </w:pPr>
            <w:r>
              <w:rPr>
                <w:rFonts w:hint="eastAsia" w:ascii="宋体" w:hAnsi="宋体" w:cs="宋体"/>
                <w:kern w:val="0"/>
                <w:sz w:val="21"/>
                <w:szCs w:val="21"/>
                <w:highlight w:val="none"/>
              </w:rPr>
              <w:t>10≤X＜100</w:t>
            </w:r>
          </w:p>
        </w:tc>
        <w:tc>
          <w:tcPr>
            <w:tcW w:w="596" w:type="pct"/>
            <w:tcBorders>
              <w:top w:val="nil"/>
              <w:left w:val="nil"/>
              <w:bottom w:val="single" w:color="auto" w:sz="4" w:space="0"/>
              <w:right w:val="single" w:color="auto" w:sz="4" w:space="0"/>
            </w:tcBorders>
            <w:vAlign w:val="center"/>
          </w:tcPr>
          <w:p w14:paraId="34F6EC1E">
            <w:pPr>
              <w:widowControl/>
              <w:jc w:val="left"/>
              <w:rPr>
                <w:rFonts w:ascii="宋体" w:hAnsi="宋体" w:cs="宋体"/>
                <w:kern w:val="0"/>
                <w:sz w:val="21"/>
                <w:szCs w:val="21"/>
                <w:highlight w:val="none"/>
              </w:rPr>
            </w:pPr>
            <w:r>
              <w:rPr>
                <w:rFonts w:hint="eastAsia" w:ascii="宋体" w:hAnsi="宋体" w:cs="宋体"/>
                <w:kern w:val="0"/>
                <w:sz w:val="21"/>
                <w:szCs w:val="21"/>
                <w:highlight w:val="none"/>
              </w:rPr>
              <w:t>X＜10</w:t>
            </w:r>
          </w:p>
        </w:tc>
      </w:tr>
      <w:tr w14:paraId="2607CCBE">
        <w:tblPrEx>
          <w:tblCellMar>
            <w:top w:w="0" w:type="dxa"/>
            <w:left w:w="108" w:type="dxa"/>
            <w:bottom w:w="0" w:type="dxa"/>
            <w:right w:w="108" w:type="dxa"/>
          </w:tblCellMar>
        </w:tblPrEx>
        <w:trPr>
          <w:trHeight w:val="225" w:hRule="atLeast"/>
        </w:trPr>
        <w:tc>
          <w:tcPr>
            <w:tcW w:w="1044" w:type="pct"/>
            <w:vMerge w:val="continue"/>
            <w:tcBorders>
              <w:top w:val="nil"/>
              <w:left w:val="single" w:color="auto" w:sz="4" w:space="0"/>
              <w:bottom w:val="single" w:color="auto" w:sz="4" w:space="0"/>
              <w:right w:val="single" w:color="auto" w:sz="4" w:space="0"/>
            </w:tcBorders>
            <w:vAlign w:val="center"/>
          </w:tcPr>
          <w:p w14:paraId="67FC623F">
            <w:pPr>
              <w:widowControl/>
              <w:jc w:val="center"/>
              <w:rPr>
                <w:rFonts w:ascii="宋体" w:hAnsi="宋体" w:cs="宋体"/>
                <w:b/>
                <w:bCs/>
                <w:kern w:val="0"/>
                <w:sz w:val="21"/>
                <w:szCs w:val="21"/>
                <w:highlight w:val="none"/>
              </w:rPr>
            </w:pPr>
          </w:p>
        </w:tc>
        <w:tc>
          <w:tcPr>
            <w:tcW w:w="1044" w:type="pct"/>
            <w:tcBorders>
              <w:top w:val="nil"/>
              <w:left w:val="nil"/>
              <w:bottom w:val="single" w:color="auto" w:sz="4" w:space="0"/>
              <w:right w:val="single" w:color="auto" w:sz="4" w:space="0"/>
            </w:tcBorders>
            <w:vAlign w:val="center"/>
          </w:tcPr>
          <w:p w14:paraId="20F70D4B">
            <w:pPr>
              <w:widowControl/>
              <w:jc w:val="left"/>
              <w:rPr>
                <w:rFonts w:ascii="宋体" w:hAnsi="宋体" w:cs="宋体"/>
                <w:kern w:val="0"/>
                <w:sz w:val="21"/>
                <w:szCs w:val="21"/>
                <w:highlight w:val="none"/>
              </w:rPr>
            </w:pPr>
            <w:r>
              <w:rPr>
                <w:rFonts w:hint="eastAsia" w:ascii="宋体" w:hAnsi="宋体" w:cs="宋体"/>
                <w:kern w:val="0"/>
                <w:sz w:val="21"/>
                <w:szCs w:val="21"/>
                <w:highlight w:val="none"/>
              </w:rPr>
              <w:t>营业收入（Y）</w:t>
            </w:r>
          </w:p>
        </w:tc>
        <w:tc>
          <w:tcPr>
            <w:tcW w:w="447" w:type="pct"/>
            <w:tcBorders>
              <w:top w:val="nil"/>
              <w:left w:val="nil"/>
              <w:bottom w:val="single" w:color="auto" w:sz="4" w:space="0"/>
              <w:right w:val="single" w:color="auto" w:sz="4" w:space="0"/>
            </w:tcBorders>
            <w:vAlign w:val="center"/>
          </w:tcPr>
          <w:p w14:paraId="61D5C5E0">
            <w:pPr>
              <w:widowControl/>
              <w:jc w:val="left"/>
              <w:rPr>
                <w:rFonts w:ascii="宋体" w:hAnsi="宋体" w:cs="宋体"/>
                <w:kern w:val="0"/>
                <w:sz w:val="21"/>
                <w:szCs w:val="21"/>
                <w:highlight w:val="none"/>
              </w:rPr>
            </w:pPr>
            <w:r>
              <w:rPr>
                <w:rFonts w:hint="eastAsia" w:ascii="宋体" w:hAnsi="宋体" w:cs="宋体"/>
                <w:kern w:val="0"/>
                <w:sz w:val="21"/>
                <w:szCs w:val="21"/>
                <w:highlight w:val="none"/>
              </w:rPr>
              <w:t>万元</w:t>
            </w:r>
          </w:p>
        </w:tc>
        <w:tc>
          <w:tcPr>
            <w:tcW w:w="970" w:type="pct"/>
            <w:tcBorders>
              <w:top w:val="nil"/>
              <w:left w:val="nil"/>
              <w:bottom w:val="single" w:color="auto" w:sz="4" w:space="0"/>
              <w:right w:val="single" w:color="auto" w:sz="4" w:space="0"/>
            </w:tcBorders>
            <w:vAlign w:val="center"/>
          </w:tcPr>
          <w:p w14:paraId="394DF568">
            <w:pPr>
              <w:widowControl/>
              <w:jc w:val="left"/>
              <w:rPr>
                <w:rFonts w:ascii="宋体" w:hAnsi="宋体" w:cs="宋体"/>
                <w:kern w:val="0"/>
                <w:sz w:val="21"/>
                <w:szCs w:val="21"/>
                <w:highlight w:val="none"/>
              </w:rPr>
            </w:pPr>
            <w:r>
              <w:rPr>
                <w:rFonts w:hint="eastAsia" w:ascii="宋体" w:hAnsi="宋体" w:cs="宋体"/>
                <w:kern w:val="0"/>
                <w:sz w:val="21"/>
                <w:szCs w:val="21"/>
                <w:highlight w:val="none"/>
              </w:rPr>
              <w:t>2000≤Y＜10000</w:t>
            </w:r>
          </w:p>
        </w:tc>
        <w:tc>
          <w:tcPr>
            <w:tcW w:w="895" w:type="pct"/>
            <w:tcBorders>
              <w:top w:val="nil"/>
              <w:left w:val="nil"/>
              <w:bottom w:val="single" w:color="auto" w:sz="4" w:space="0"/>
              <w:right w:val="single" w:color="auto" w:sz="4" w:space="0"/>
            </w:tcBorders>
            <w:vAlign w:val="center"/>
          </w:tcPr>
          <w:p w14:paraId="07AF6A4E">
            <w:pPr>
              <w:widowControl/>
              <w:jc w:val="left"/>
              <w:rPr>
                <w:rFonts w:ascii="宋体" w:hAnsi="宋体" w:cs="宋体"/>
                <w:kern w:val="0"/>
                <w:sz w:val="21"/>
                <w:szCs w:val="21"/>
                <w:highlight w:val="none"/>
              </w:rPr>
            </w:pPr>
            <w:r>
              <w:rPr>
                <w:rFonts w:hint="eastAsia" w:ascii="宋体" w:hAnsi="宋体" w:cs="宋体"/>
                <w:kern w:val="0"/>
                <w:sz w:val="21"/>
                <w:szCs w:val="21"/>
                <w:highlight w:val="none"/>
              </w:rPr>
              <w:t>100≤Y＜2000</w:t>
            </w:r>
          </w:p>
        </w:tc>
        <w:tc>
          <w:tcPr>
            <w:tcW w:w="596" w:type="pct"/>
            <w:tcBorders>
              <w:top w:val="nil"/>
              <w:left w:val="nil"/>
              <w:bottom w:val="single" w:color="auto" w:sz="4" w:space="0"/>
              <w:right w:val="single" w:color="auto" w:sz="4" w:space="0"/>
            </w:tcBorders>
            <w:vAlign w:val="center"/>
          </w:tcPr>
          <w:p w14:paraId="4CA07EED">
            <w:pPr>
              <w:widowControl/>
              <w:jc w:val="left"/>
              <w:rPr>
                <w:rFonts w:ascii="宋体" w:hAnsi="宋体" w:cs="宋体"/>
                <w:kern w:val="0"/>
                <w:sz w:val="21"/>
                <w:szCs w:val="21"/>
                <w:highlight w:val="none"/>
              </w:rPr>
            </w:pPr>
            <w:r>
              <w:rPr>
                <w:rFonts w:hint="eastAsia" w:ascii="宋体" w:hAnsi="宋体" w:cs="宋体"/>
                <w:kern w:val="0"/>
                <w:sz w:val="21"/>
                <w:szCs w:val="21"/>
                <w:highlight w:val="none"/>
              </w:rPr>
              <w:t>Y＜100</w:t>
            </w:r>
          </w:p>
        </w:tc>
      </w:tr>
      <w:tr w14:paraId="5D2B5803">
        <w:tblPrEx>
          <w:tblCellMar>
            <w:top w:w="0" w:type="dxa"/>
            <w:left w:w="108" w:type="dxa"/>
            <w:bottom w:w="0" w:type="dxa"/>
            <w:right w:w="108" w:type="dxa"/>
          </w:tblCellMar>
        </w:tblPrEx>
        <w:trPr>
          <w:trHeight w:val="225" w:hRule="atLeast"/>
        </w:trPr>
        <w:tc>
          <w:tcPr>
            <w:tcW w:w="1044" w:type="pct"/>
            <w:vMerge w:val="restart"/>
            <w:tcBorders>
              <w:top w:val="nil"/>
              <w:left w:val="single" w:color="auto" w:sz="4" w:space="0"/>
              <w:bottom w:val="single" w:color="auto" w:sz="4" w:space="0"/>
              <w:right w:val="single" w:color="auto" w:sz="4" w:space="0"/>
            </w:tcBorders>
            <w:vAlign w:val="center"/>
          </w:tcPr>
          <w:p w14:paraId="3309D606">
            <w:pPr>
              <w:widowControl/>
              <w:jc w:val="center"/>
              <w:rPr>
                <w:rFonts w:ascii="宋体" w:hAnsi="宋体" w:cs="宋体"/>
                <w:b/>
                <w:bCs/>
                <w:kern w:val="0"/>
                <w:sz w:val="21"/>
                <w:szCs w:val="21"/>
                <w:highlight w:val="none"/>
              </w:rPr>
            </w:pPr>
            <w:r>
              <w:rPr>
                <w:rFonts w:hint="eastAsia" w:ascii="宋体" w:hAnsi="宋体" w:cs="宋体"/>
                <w:b/>
                <w:bCs/>
                <w:kern w:val="0"/>
                <w:sz w:val="21"/>
                <w:szCs w:val="21"/>
                <w:highlight w:val="none"/>
              </w:rPr>
              <w:t>信息传输业</w:t>
            </w:r>
          </w:p>
        </w:tc>
        <w:tc>
          <w:tcPr>
            <w:tcW w:w="1044" w:type="pct"/>
            <w:tcBorders>
              <w:top w:val="nil"/>
              <w:left w:val="nil"/>
              <w:bottom w:val="single" w:color="auto" w:sz="4" w:space="0"/>
              <w:right w:val="single" w:color="auto" w:sz="4" w:space="0"/>
            </w:tcBorders>
            <w:vAlign w:val="center"/>
          </w:tcPr>
          <w:p w14:paraId="1E77793A">
            <w:pPr>
              <w:widowControl/>
              <w:jc w:val="left"/>
              <w:rPr>
                <w:rFonts w:ascii="宋体" w:hAnsi="宋体" w:cs="宋体"/>
                <w:kern w:val="0"/>
                <w:sz w:val="21"/>
                <w:szCs w:val="21"/>
                <w:highlight w:val="none"/>
              </w:rPr>
            </w:pPr>
            <w:r>
              <w:rPr>
                <w:rFonts w:hint="eastAsia" w:ascii="宋体" w:hAnsi="宋体" w:cs="宋体"/>
                <w:kern w:val="0"/>
                <w:sz w:val="21"/>
                <w:szCs w:val="21"/>
                <w:highlight w:val="none"/>
              </w:rPr>
              <w:t>从业人员（X）</w:t>
            </w:r>
          </w:p>
        </w:tc>
        <w:tc>
          <w:tcPr>
            <w:tcW w:w="447" w:type="pct"/>
            <w:tcBorders>
              <w:top w:val="nil"/>
              <w:left w:val="nil"/>
              <w:bottom w:val="single" w:color="auto" w:sz="4" w:space="0"/>
              <w:right w:val="single" w:color="auto" w:sz="4" w:space="0"/>
            </w:tcBorders>
            <w:vAlign w:val="center"/>
          </w:tcPr>
          <w:p w14:paraId="587C6EC8">
            <w:pPr>
              <w:widowControl/>
              <w:jc w:val="left"/>
              <w:rPr>
                <w:rFonts w:ascii="宋体" w:hAnsi="宋体" w:cs="宋体"/>
                <w:kern w:val="0"/>
                <w:sz w:val="21"/>
                <w:szCs w:val="21"/>
                <w:highlight w:val="none"/>
              </w:rPr>
            </w:pPr>
            <w:r>
              <w:rPr>
                <w:rFonts w:hint="eastAsia" w:ascii="宋体" w:hAnsi="宋体" w:cs="宋体"/>
                <w:kern w:val="0"/>
                <w:sz w:val="21"/>
                <w:szCs w:val="21"/>
                <w:highlight w:val="none"/>
              </w:rPr>
              <w:t>人</w:t>
            </w:r>
          </w:p>
        </w:tc>
        <w:tc>
          <w:tcPr>
            <w:tcW w:w="970" w:type="pct"/>
            <w:tcBorders>
              <w:top w:val="nil"/>
              <w:left w:val="nil"/>
              <w:bottom w:val="single" w:color="auto" w:sz="4" w:space="0"/>
              <w:right w:val="single" w:color="auto" w:sz="4" w:space="0"/>
            </w:tcBorders>
            <w:vAlign w:val="center"/>
          </w:tcPr>
          <w:p w14:paraId="723B031D">
            <w:pPr>
              <w:widowControl/>
              <w:jc w:val="left"/>
              <w:rPr>
                <w:rFonts w:ascii="宋体" w:hAnsi="宋体" w:cs="宋体"/>
                <w:kern w:val="0"/>
                <w:sz w:val="21"/>
                <w:szCs w:val="21"/>
                <w:highlight w:val="none"/>
              </w:rPr>
            </w:pPr>
            <w:r>
              <w:rPr>
                <w:rFonts w:hint="eastAsia" w:ascii="宋体" w:hAnsi="宋体" w:cs="宋体"/>
                <w:kern w:val="0"/>
                <w:sz w:val="21"/>
                <w:szCs w:val="21"/>
                <w:highlight w:val="none"/>
              </w:rPr>
              <w:t>100≤X＜2000</w:t>
            </w:r>
          </w:p>
        </w:tc>
        <w:tc>
          <w:tcPr>
            <w:tcW w:w="895" w:type="pct"/>
            <w:tcBorders>
              <w:top w:val="nil"/>
              <w:left w:val="nil"/>
              <w:bottom w:val="single" w:color="auto" w:sz="4" w:space="0"/>
              <w:right w:val="single" w:color="auto" w:sz="4" w:space="0"/>
            </w:tcBorders>
            <w:vAlign w:val="center"/>
          </w:tcPr>
          <w:p w14:paraId="0CC85DC4">
            <w:pPr>
              <w:widowControl/>
              <w:jc w:val="left"/>
              <w:rPr>
                <w:rFonts w:ascii="宋体" w:hAnsi="宋体" w:cs="宋体"/>
                <w:kern w:val="0"/>
                <w:sz w:val="21"/>
                <w:szCs w:val="21"/>
                <w:highlight w:val="none"/>
              </w:rPr>
            </w:pPr>
            <w:r>
              <w:rPr>
                <w:rFonts w:hint="eastAsia" w:ascii="宋体" w:hAnsi="宋体" w:cs="宋体"/>
                <w:kern w:val="0"/>
                <w:sz w:val="21"/>
                <w:szCs w:val="21"/>
                <w:highlight w:val="none"/>
              </w:rPr>
              <w:t>10≤X＜100</w:t>
            </w:r>
          </w:p>
        </w:tc>
        <w:tc>
          <w:tcPr>
            <w:tcW w:w="596" w:type="pct"/>
            <w:tcBorders>
              <w:top w:val="nil"/>
              <w:left w:val="nil"/>
              <w:bottom w:val="single" w:color="auto" w:sz="4" w:space="0"/>
              <w:right w:val="single" w:color="auto" w:sz="4" w:space="0"/>
            </w:tcBorders>
            <w:vAlign w:val="center"/>
          </w:tcPr>
          <w:p w14:paraId="71DE51CE">
            <w:pPr>
              <w:widowControl/>
              <w:jc w:val="left"/>
              <w:rPr>
                <w:rFonts w:ascii="宋体" w:hAnsi="宋体" w:cs="宋体"/>
                <w:kern w:val="0"/>
                <w:sz w:val="21"/>
                <w:szCs w:val="21"/>
                <w:highlight w:val="none"/>
              </w:rPr>
            </w:pPr>
            <w:r>
              <w:rPr>
                <w:rFonts w:hint="eastAsia" w:ascii="宋体" w:hAnsi="宋体" w:cs="宋体"/>
                <w:kern w:val="0"/>
                <w:sz w:val="21"/>
                <w:szCs w:val="21"/>
                <w:highlight w:val="none"/>
              </w:rPr>
              <w:t>X＜10</w:t>
            </w:r>
          </w:p>
        </w:tc>
      </w:tr>
      <w:tr w14:paraId="34C93989">
        <w:tblPrEx>
          <w:tblCellMar>
            <w:top w:w="0" w:type="dxa"/>
            <w:left w:w="108" w:type="dxa"/>
            <w:bottom w:w="0" w:type="dxa"/>
            <w:right w:w="108" w:type="dxa"/>
          </w:tblCellMar>
        </w:tblPrEx>
        <w:trPr>
          <w:trHeight w:val="225" w:hRule="atLeast"/>
        </w:trPr>
        <w:tc>
          <w:tcPr>
            <w:tcW w:w="1044" w:type="pct"/>
            <w:vMerge w:val="continue"/>
            <w:tcBorders>
              <w:top w:val="nil"/>
              <w:left w:val="single" w:color="auto" w:sz="4" w:space="0"/>
              <w:bottom w:val="single" w:color="auto" w:sz="4" w:space="0"/>
              <w:right w:val="single" w:color="auto" w:sz="4" w:space="0"/>
            </w:tcBorders>
            <w:vAlign w:val="center"/>
          </w:tcPr>
          <w:p w14:paraId="10118974">
            <w:pPr>
              <w:widowControl/>
              <w:jc w:val="center"/>
              <w:rPr>
                <w:rFonts w:ascii="宋体" w:hAnsi="宋体" w:cs="宋体"/>
                <w:b/>
                <w:bCs/>
                <w:kern w:val="0"/>
                <w:sz w:val="21"/>
                <w:szCs w:val="21"/>
                <w:highlight w:val="none"/>
              </w:rPr>
            </w:pPr>
          </w:p>
        </w:tc>
        <w:tc>
          <w:tcPr>
            <w:tcW w:w="1044" w:type="pct"/>
            <w:tcBorders>
              <w:top w:val="nil"/>
              <w:left w:val="nil"/>
              <w:bottom w:val="single" w:color="auto" w:sz="4" w:space="0"/>
              <w:right w:val="single" w:color="auto" w:sz="4" w:space="0"/>
            </w:tcBorders>
            <w:vAlign w:val="center"/>
          </w:tcPr>
          <w:p w14:paraId="7B5E4CC2">
            <w:pPr>
              <w:widowControl/>
              <w:jc w:val="left"/>
              <w:rPr>
                <w:rFonts w:ascii="宋体" w:hAnsi="宋体" w:cs="宋体"/>
                <w:kern w:val="0"/>
                <w:sz w:val="21"/>
                <w:szCs w:val="21"/>
                <w:highlight w:val="none"/>
              </w:rPr>
            </w:pPr>
            <w:r>
              <w:rPr>
                <w:rFonts w:hint="eastAsia" w:ascii="宋体" w:hAnsi="宋体" w:cs="宋体"/>
                <w:kern w:val="0"/>
                <w:sz w:val="21"/>
                <w:szCs w:val="21"/>
                <w:highlight w:val="none"/>
              </w:rPr>
              <w:t>营业收入（Y）</w:t>
            </w:r>
          </w:p>
        </w:tc>
        <w:tc>
          <w:tcPr>
            <w:tcW w:w="447" w:type="pct"/>
            <w:tcBorders>
              <w:top w:val="nil"/>
              <w:left w:val="nil"/>
              <w:bottom w:val="single" w:color="auto" w:sz="4" w:space="0"/>
              <w:right w:val="single" w:color="auto" w:sz="4" w:space="0"/>
            </w:tcBorders>
            <w:vAlign w:val="center"/>
          </w:tcPr>
          <w:p w14:paraId="05CC01D1">
            <w:pPr>
              <w:widowControl/>
              <w:jc w:val="left"/>
              <w:rPr>
                <w:rFonts w:ascii="宋体" w:hAnsi="宋体" w:cs="宋体"/>
                <w:kern w:val="0"/>
                <w:sz w:val="21"/>
                <w:szCs w:val="21"/>
                <w:highlight w:val="none"/>
              </w:rPr>
            </w:pPr>
            <w:r>
              <w:rPr>
                <w:rFonts w:hint="eastAsia" w:ascii="宋体" w:hAnsi="宋体" w:cs="宋体"/>
                <w:kern w:val="0"/>
                <w:sz w:val="21"/>
                <w:szCs w:val="21"/>
                <w:highlight w:val="none"/>
              </w:rPr>
              <w:t>万元</w:t>
            </w:r>
          </w:p>
        </w:tc>
        <w:tc>
          <w:tcPr>
            <w:tcW w:w="970" w:type="pct"/>
            <w:tcBorders>
              <w:top w:val="nil"/>
              <w:left w:val="nil"/>
              <w:bottom w:val="single" w:color="auto" w:sz="4" w:space="0"/>
              <w:right w:val="single" w:color="auto" w:sz="4" w:space="0"/>
            </w:tcBorders>
            <w:vAlign w:val="center"/>
          </w:tcPr>
          <w:p w14:paraId="727B2C5D">
            <w:pPr>
              <w:widowControl/>
              <w:jc w:val="left"/>
              <w:rPr>
                <w:rFonts w:ascii="宋体" w:hAnsi="宋体" w:cs="宋体"/>
                <w:kern w:val="0"/>
                <w:sz w:val="21"/>
                <w:szCs w:val="21"/>
                <w:highlight w:val="none"/>
              </w:rPr>
            </w:pPr>
            <w:r>
              <w:rPr>
                <w:rFonts w:hint="eastAsia" w:ascii="宋体" w:hAnsi="宋体" w:cs="宋体"/>
                <w:kern w:val="0"/>
                <w:sz w:val="21"/>
                <w:szCs w:val="21"/>
                <w:highlight w:val="none"/>
              </w:rPr>
              <w:t>1000≤Y＜100000</w:t>
            </w:r>
          </w:p>
        </w:tc>
        <w:tc>
          <w:tcPr>
            <w:tcW w:w="895" w:type="pct"/>
            <w:tcBorders>
              <w:top w:val="nil"/>
              <w:left w:val="nil"/>
              <w:bottom w:val="single" w:color="auto" w:sz="4" w:space="0"/>
              <w:right w:val="single" w:color="auto" w:sz="4" w:space="0"/>
            </w:tcBorders>
            <w:vAlign w:val="center"/>
          </w:tcPr>
          <w:p w14:paraId="1D7CF407">
            <w:pPr>
              <w:widowControl/>
              <w:jc w:val="left"/>
              <w:rPr>
                <w:rFonts w:ascii="宋体" w:hAnsi="宋体" w:cs="宋体"/>
                <w:kern w:val="0"/>
                <w:sz w:val="21"/>
                <w:szCs w:val="21"/>
                <w:highlight w:val="none"/>
              </w:rPr>
            </w:pPr>
            <w:r>
              <w:rPr>
                <w:rFonts w:hint="eastAsia" w:ascii="宋体" w:hAnsi="宋体" w:cs="宋体"/>
                <w:kern w:val="0"/>
                <w:sz w:val="21"/>
                <w:szCs w:val="21"/>
                <w:highlight w:val="none"/>
              </w:rPr>
              <w:t>100≤Y＜1000</w:t>
            </w:r>
          </w:p>
        </w:tc>
        <w:tc>
          <w:tcPr>
            <w:tcW w:w="596" w:type="pct"/>
            <w:tcBorders>
              <w:top w:val="nil"/>
              <w:left w:val="nil"/>
              <w:bottom w:val="single" w:color="auto" w:sz="4" w:space="0"/>
              <w:right w:val="single" w:color="auto" w:sz="4" w:space="0"/>
            </w:tcBorders>
            <w:vAlign w:val="center"/>
          </w:tcPr>
          <w:p w14:paraId="56F0970A">
            <w:pPr>
              <w:widowControl/>
              <w:jc w:val="left"/>
              <w:rPr>
                <w:rFonts w:ascii="宋体" w:hAnsi="宋体" w:cs="宋体"/>
                <w:kern w:val="0"/>
                <w:sz w:val="21"/>
                <w:szCs w:val="21"/>
                <w:highlight w:val="none"/>
              </w:rPr>
            </w:pPr>
            <w:r>
              <w:rPr>
                <w:rFonts w:hint="eastAsia" w:ascii="宋体" w:hAnsi="宋体" w:cs="宋体"/>
                <w:kern w:val="0"/>
                <w:sz w:val="21"/>
                <w:szCs w:val="21"/>
                <w:highlight w:val="none"/>
              </w:rPr>
              <w:t>Y＜100</w:t>
            </w:r>
          </w:p>
        </w:tc>
      </w:tr>
      <w:tr w14:paraId="3A0C4194">
        <w:tblPrEx>
          <w:tblCellMar>
            <w:top w:w="0" w:type="dxa"/>
            <w:left w:w="108" w:type="dxa"/>
            <w:bottom w:w="0" w:type="dxa"/>
            <w:right w:w="108" w:type="dxa"/>
          </w:tblCellMar>
        </w:tblPrEx>
        <w:trPr>
          <w:trHeight w:val="225" w:hRule="atLeast"/>
        </w:trPr>
        <w:tc>
          <w:tcPr>
            <w:tcW w:w="1044" w:type="pct"/>
            <w:vMerge w:val="restart"/>
            <w:tcBorders>
              <w:top w:val="nil"/>
              <w:left w:val="single" w:color="auto" w:sz="4" w:space="0"/>
              <w:bottom w:val="single" w:color="auto" w:sz="4" w:space="0"/>
              <w:right w:val="single" w:color="auto" w:sz="4" w:space="0"/>
            </w:tcBorders>
            <w:vAlign w:val="center"/>
          </w:tcPr>
          <w:p w14:paraId="00E0D117">
            <w:pPr>
              <w:widowControl/>
              <w:jc w:val="center"/>
              <w:rPr>
                <w:rFonts w:ascii="宋体" w:hAnsi="宋体" w:cs="宋体"/>
                <w:b/>
                <w:bCs/>
                <w:kern w:val="0"/>
                <w:sz w:val="21"/>
                <w:szCs w:val="21"/>
                <w:highlight w:val="none"/>
              </w:rPr>
            </w:pPr>
            <w:r>
              <w:rPr>
                <w:rFonts w:hint="eastAsia" w:ascii="宋体" w:hAnsi="宋体" w:cs="宋体"/>
                <w:b/>
                <w:bCs/>
                <w:kern w:val="0"/>
                <w:sz w:val="21"/>
                <w:szCs w:val="21"/>
                <w:highlight w:val="none"/>
              </w:rPr>
              <w:t>软件和信息技术服务业</w:t>
            </w:r>
          </w:p>
        </w:tc>
        <w:tc>
          <w:tcPr>
            <w:tcW w:w="1044" w:type="pct"/>
            <w:tcBorders>
              <w:top w:val="nil"/>
              <w:left w:val="nil"/>
              <w:bottom w:val="single" w:color="auto" w:sz="4" w:space="0"/>
              <w:right w:val="single" w:color="auto" w:sz="4" w:space="0"/>
            </w:tcBorders>
            <w:vAlign w:val="center"/>
          </w:tcPr>
          <w:p w14:paraId="359FBB7E">
            <w:pPr>
              <w:widowControl/>
              <w:jc w:val="left"/>
              <w:rPr>
                <w:rFonts w:ascii="宋体" w:hAnsi="宋体" w:cs="宋体"/>
                <w:kern w:val="0"/>
                <w:sz w:val="21"/>
                <w:szCs w:val="21"/>
                <w:highlight w:val="none"/>
              </w:rPr>
            </w:pPr>
            <w:r>
              <w:rPr>
                <w:rFonts w:hint="eastAsia" w:ascii="宋体" w:hAnsi="宋体" w:cs="宋体"/>
                <w:kern w:val="0"/>
                <w:sz w:val="21"/>
                <w:szCs w:val="21"/>
                <w:highlight w:val="none"/>
              </w:rPr>
              <w:t>从业人员（X）</w:t>
            </w:r>
          </w:p>
        </w:tc>
        <w:tc>
          <w:tcPr>
            <w:tcW w:w="447" w:type="pct"/>
            <w:tcBorders>
              <w:top w:val="nil"/>
              <w:left w:val="nil"/>
              <w:bottom w:val="single" w:color="auto" w:sz="4" w:space="0"/>
              <w:right w:val="single" w:color="auto" w:sz="4" w:space="0"/>
            </w:tcBorders>
            <w:vAlign w:val="center"/>
          </w:tcPr>
          <w:p w14:paraId="008D5225">
            <w:pPr>
              <w:widowControl/>
              <w:jc w:val="left"/>
              <w:rPr>
                <w:rFonts w:ascii="宋体" w:hAnsi="宋体" w:cs="宋体"/>
                <w:kern w:val="0"/>
                <w:sz w:val="21"/>
                <w:szCs w:val="21"/>
                <w:highlight w:val="none"/>
              </w:rPr>
            </w:pPr>
            <w:r>
              <w:rPr>
                <w:rFonts w:hint="eastAsia" w:ascii="宋体" w:hAnsi="宋体" w:cs="宋体"/>
                <w:kern w:val="0"/>
                <w:sz w:val="21"/>
                <w:szCs w:val="21"/>
                <w:highlight w:val="none"/>
              </w:rPr>
              <w:t>人</w:t>
            </w:r>
          </w:p>
        </w:tc>
        <w:tc>
          <w:tcPr>
            <w:tcW w:w="970" w:type="pct"/>
            <w:tcBorders>
              <w:top w:val="nil"/>
              <w:left w:val="nil"/>
              <w:bottom w:val="single" w:color="auto" w:sz="4" w:space="0"/>
              <w:right w:val="single" w:color="auto" w:sz="4" w:space="0"/>
            </w:tcBorders>
            <w:vAlign w:val="center"/>
          </w:tcPr>
          <w:p w14:paraId="6F3FF7AD">
            <w:pPr>
              <w:widowControl/>
              <w:jc w:val="left"/>
              <w:rPr>
                <w:rFonts w:ascii="宋体" w:hAnsi="宋体" w:cs="宋体"/>
                <w:kern w:val="0"/>
                <w:sz w:val="21"/>
                <w:szCs w:val="21"/>
                <w:highlight w:val="none"/>
              </w:rPr>
            </w:pPr>
            <w:r>
              <w:rPr>
                <w:rFonts w:hint="eastAsia" w:ascii="宋体" w:hAnsi="宋体" w:cs="宋体"/>
                <w:kern w:val="0"/>
                <w:sz w:val="21"/>
                <w:szCs w:val="21"/>
                <w:highlight w:val="none"/>
              </w:rPr>
              <w:t>100≤X＜300</w:t>
            </w:r>
          </w:p>
        </w:tc>
        <w:tc>
          <w:tcPr>
            <w:tcW w:w="895" w:type="pct"/>
            <w:tcBorders>
              <w:top w:val="nil"/>
              <w:left w:val="nil"/>
              <w:bottom w:val="single" w:color="auto" w:sz="4" w:space="0"/>
              <w:right w:val="single" w:color="auto" w:sz="4" w:space="0"/>
            </w:tcBorders>
            <w:vAlign w:val="center"/>
          </w:tcPr>
          <w:p w14:paraId="14BD76EA">
            <w:pPr>
              <w:widowControl/>
              <w:jc w:val="left"/>
              <w:rPr>
                <w:rFonts w:ascii="宋体" w:hAnsi="宋体" w:cs="宋体"/>
                <w:kern w:val="0"/>
                <w:sz w:val="21"/>
                <w:szCs w:val="21"/>
                <w:highlight w:val="none"/>
              </w:rPr>
            </w:pPr>
            <w:r>
              <w:rPr>
                <w:rFonts w:hint="eastAsia" w:ascii="宋体" w:hAnsi="宋体" w:cs="宋体"/>
                <w:kern w:val="0"/>
                <w:sz w:val="21"/>
                <w:szCs w:val="21"/>
                <w:highlight w:val="none"/>
              </w:rPr>
              <w:t>10≤X＜100</w:t>
            </w:r>
          </w:p>
        </w:tc>
        <w:tc>
          <w:tcPr>
            <w:tcW w:w="596" w:type="pct"/>
            <w:tcBorders>
              <w:top w:val="nil"/>
              <w:left w:val="nil"/>
              <w:bottom w:val="single" w:color="auto" w:sz="4" w:space="0"/>
              <w:right w:val="single" w:color="auto" w:sz="4" w:space="0"/>
            </w:tcBorders>
            <w:vAlign w:val="center"/>
          </w:tcPr>
          <w:p w14:paraId="299E9F90">
            <w:pPr>
              <w:widowControl/>
              <w:jc w:val="left"/>
              <w:rPr>
                <w:rFonts w:ascii="宋体" w:hAnsi="宋体" w:cs="宋体"/>
                <w:kern w:val="0"/>
                <w:sz w:val="21"/>
                <w:szCs w:val="21"/>
                <w:highlight w:val="none"/>
              </w:rPr>
            </w:pPr>
            <w:r>
              <w:rPr>
                <w:rFonts w:hint="eastAsia" w:ascii="宋体" w:hAnsi="宋体" w:cs="宋体"/>
                <w:kern w:val="0"/>
                <w:sz w:val="21"/>
                <w:szCs w:val="21"/>
                <w:highlight w:val="none"/>
              </w:rPr>
              <w:t>X＜10</w:t>
            </w:r>
          </w:p>
        </w:tc>
      </w:tr>
      <w:tr w14:paraId="49F252A0">
        <w:tblPrEx>
          <w:tblCellMar>
            <w:top w:w="0" w:type="dxa"/>
            <w:left w:w="108" w:type="dxa"/>
            <w:bottom w:w="0" w:type="dxa"/>
            <w:right w:w="108" w:type="dxa"/>
          </w:tblCellMar>
        </w:tblPrEx>
        <w:trPr>
          <w:trHeight w:val="225" w:hRule="atLeast"/>
        </w:trPr>
        <w:tc>
          <w:tcPr>
            <w:tcW w:w="1044" w:type="pct"/>
            <w:vMerge w:val="continue"/>
            <w:tcBorders>
              <w:top w:val="nil"/>
              <w:left w:val="single" w:color="auto" w:sz="4" w:space="0"/>
              <w:bottom w:val="single" w:color="auto" w:sz="4" w:space="0"/>
              <w:right w:val="single" w:color="auto" w:sz="4" w:space="0"/>
            </w:tcBorders>
            <w:vAlign w:val="center"/>
          </w:tcPr>
          <w:p w14:paraId="2FE4A0C7">
            <w:pPr>
              <w:widowControl/>
              <w:jc w:val="center"/>
              <w:rPr>
                <w:rFonts w:ascii="宋体" w:hAnsi="宋体" w:cs="宋体"/>
                <w:b/>
                <w:bCs/>
                <w:kern w:val="0"/>
                <w:sz w:val="21"/>
                <w:szCs w:val="21"/>
                <w:highlight w:val="none"/>
              </w:rPr>
            </w:pPr>
          </w:p>
        </w:tc>
        <w:tc>
          <w:tcPr>
            <w:tcW w:w="1044" w:type="pct"/>
            <w:tcBorders>
              <w:top w:val="nil"/>
              <w:left w:val="nil"/>
              <w:bottom w:val="single" w:color="auto" w:sz="4" w:space="0"/>
              <w:right w:val="single" w:color="auto" w:sz="4" w:space="0"/>
            </w:tcBorders>
            <w:vAlign w:val="center"/>
          </w:tcPr>
          <w:p w14:paraId="6F5AE203">
            <w:pPr>
              <w:widowControl/>
              <w:jc w:val="left"/>
              <w:rPr>
                <w:rFonts w:ascii="宋体" w:hAnsi="宋体" w:cs="宋体"/>
                <w:kern w:val="0"/>
                <w:sz w:val="21"/>
                <w:szCs w:val="21"/>
                <w:highlight w:val="none"/>
              </w:rPr>
            </w:pPr>
            <w:r>
              <w:rPr>
                <w:rFonts w:hint="eastAsia" w:ascii="宋体" w:hAnsi="宋体" w:cs="宋体"/>
                <w:kern w:val="0"/>
                <w:sz w:val="21"/>
                <w:szCs w:val="21"/>
                <w:highlight w:val="none"/>
              </w:rPr>
              <w:t>营业收入（Y）</w:t>
            </w:r>
          </w:p>
        </w:tc>
        <w:tc>
          <w:tcPr>
            <w:tcW w:w="447" w:type="pct"/>
            <w:tcBorders>
              <w:top w:val="nil"/>
              <w:left w:val="nil"/>
              <w:bottom w:val="single" w:color="auto" w:sz="4" w:space="0"/>
              <w:right w:val="single" w:color="auto" w:sz="4" w:space="0"/>
            </w:tcBorders>
            <w:vAlign w:val="center"/>
          </w:tcPr>
          <w:p w14:paraId="22076127">
            <w:pPr>
              <w:widowControl/>
              <w:jc w:val="left"/>
              <w:rPr>
                <w:rFonts w:ascii="宋体" w:hAnsi="宋体" w:cs="宋体"/>
                <w:kern w:val="0"/>
                <w:sz w:val="21"/>
                <w:szCs w:val="21"/>
                <w:highlight w:val="none"/>
              </w:rPr>
            </w:pPr>
            <w:r>
              <w:rPr>
                <w:rFonts w:hint="eastAsia" w:ascii="宋体" w:hAnsi="宋体" w:cs="宋体"/>
                <w:kern w:val="0"/>
                <w:sz w:val="21"/>
                <w:szCs w:val="21"/>
                <w:highlight w:val="none"/>
              </w:rPr>
              <w:t>万元</w:t>
            </w:r>
          </w:p>
        </w:tc>
        <w:tc>
          <w:tcPr>
            <w:tcW w:w="970" w:type="pct"/>
            <w:tcBorders>
              <w:top w:val="nil"/>
              <w:left w:val="nil"/>
              <w:bottom w:val="single" w:color="auto" w:sz="4" w:space="0"/>
              <w:right w:val="single" w:color="auto" w:sz="4" w:space="0"/>
            </w:tcBorders>
            <w:vAlign w:val="center"/>
          </w:tcPr>
          <w:p w14:paraId="5FBB6B27">
            <w:pPr>
              <w:widowControl/>
              <w:jc w:val="left"/>
              <w:rPr>
                <w:rFonts w:ascii="宋体" w:hAnsi="宋体" w:cs="宋体"/>
                <w:kern w:val="0"/>
                <w:sz w:val="21"/>
                <w:szCs w:val="21"/>
                <w:highlight w:val="none"/>
              </w:rPr>
            </w:pPr>
            <w:r>
              <w:rPr>
                <w:rFonts w:hint="eastAsia" w:ascii="宋体" w:hAnsi="宋体" w:cs="宋体"/>
                <w:kern w:val="0"/>
                <w:sz w:val="21"/>
                <w:szCs w:val="21"/>
                <w:highlight w:val="none"/>
              </w:rPr>
              <w:t>1000≤Y＜10000</w:t>
            </w:r>
          </w:p>
        </w:tc>
        <w:tc>
          <w:tcPr>
            <w:tcW w:w="895" w:type="pct"/>
            <w:tcBorders>
              <w:top w:val="nil"/>
              <w:left w:val="nil"/>
              <w:bottom w:val="single" w:color="auto" w:sz="4" w:space="0"/>
              <w:right w:val="single" w:color="auto" w:sz="4" w:space="0"/>
            </w:tcBorders>
            <w:vAlign w:val="center"/>
          </w:tcPr>
          <w:p w14:paraId="4951C0BD">
            <w:pPr>
              <w:widowControl/>
              <w:jc w:val="left"/>
              <w:rPr>
                <w:rFonts w:ascii="宋体" w:hAnsi="宋体" w:cs="宋体"/>
                <w:kern w:val="0"/>
                <w:sz w:val="21"/>
                <w:szCs w:val="21"/>
                <w:highlight w:val="none"/>
              </w:rPr>
            </w:pPr>
            <w:r>
              <w:rPr>
                <w:rFonts w:hint="eastAsia" w:ascii="宋体" w:hAnsi="宋体" w:cs="宋体"/>
                <w:kern w:val="0"/>
                <w:sz w:val="21"/>
                <w:szCs w:val="21"/>
                <w:highlight w:val="none"/>
              </w:rPr>
              <w:t>50≤Y＜1000</w:t>
            </w:r>
          </w:p>
        </w:tc>
        <w:tc>
          <w:tcPr>
            <w:tcW w:w="596" w:type="pct"/>
            <w:tcBorders>
              <w:top w:val="nil"/>
              <w:left w:val="nil"/>
              <w:bottom w:val="single" w:color="auto" w:sz="4" w:space="0"/>
              <w:right w:val="single" w:color="auto" w:sz="4" w:space="0"/>
            </w:tcBorders>
            <w:vAlign w:val="center"/>
          </w:tcPr>
          <w:p w14:paraId="74D61350">
            <w:pPr>
              <w:widowControl/>
              <w:jc w:val="left"/>
              <w:rPr>
                <w:rFonts w:ascii="宋体" w:hAnsi="宋体" w:cs="宋体"/>
                <w:kern w:val="0"/>
                <w:sz w:val="21"/>
                <w:szCs w:val="21"/>
                <w:highlight w:val="none"/>
              </w:rPr>
            </w:pPr>
            <w:r>
              <w:rPr>
                <w:rFonts w:hint="eastAsia" w:ascii="宋体" w:hAnsi="宋体" w:cs="宋体"/>
                <w:kern w:val="0"/>
                <w:sz w:val="21"/>
                <w:szCs w:val="21"/>
                <w:highlight w:val="none"/>
              </w:rPr>
              <w:t>Y＜50</w:t>
            </w:r>
          </w:p>
        </w:tc>
      </w:tr>
      <w:tr w14:paraId="6C9606F3">
        <w:tblPrEx>
          <w:tblCellMar>
            <w:top w:w="0" w:type="dxa"/>
            <w:left w:w="108" w:type="dxa"/>
            <w:bottom w:w="0" w:type="dxa"/>
            <w:right w:w="108" w:type="dxa"/>
          </w:tblCellMar>
        </w:tblPrEx>
        <w:trPr>
          <w:trHeight w:val="225" w:hRule="atLeast"/>
        </w:trPr>
        <w:tc>
          <w:tcPr>
            <w:tcW w:w="1044" w:type="pct"/>
            <w:vMerge w:val="restart"/>
            <w:tcBorders>
              <w:top w:val="nil"/>
              <w:left w:val="single" w:color="auto" w:sz="4" w:space="0"/>
              <w:bottom w:val="single" w:color="auto" w:sz="4" w:space="0"/>
              <w:right w:val="single" w:color="auto" w:sz="4" w:space="0"/>
            </w:tcBorders>
            <w:vAlign w:val="center"/>
          </w:tcPr>
          <w:p w14:paraId="0DB27662">
            <w:pPr>
              <w:widowControl/>
              <w:jc w:val="center"/>
              <w:rPr>
                <w:rFonts w:ascii="宋体" w:hAnsi="宋体" w:cs="宋体"/>
                <w:b/>
                <w:bCs/>
                <w:kern w:val="0"/>
                <w:sz w:val="21"/>
                <w:szCs w:val="21"/>
                <w:highlight w:val="none"/>
              </w:rPr>
            </w:pPr>
            <w:r>
              <w:rPr>
                <w:rFonts w:hint="eastAsia" w:ascii="宋体" w:hAnsi="宋体" w:cs="宋体"/>
                <w:b/>
                <w:bCs/>
                <w:kern w:val="0"/>
                <w:sz w:val="21"/>
                <w:szCs w:val="21"/>
                <w:highlight w:val="none"/>
              </w:rPr>
              <w:t>房地产开发经营</w:t>
            </w:r>
          </w:p>
        </w:tc>
        <w:tc>
          <w:tcPr>
            <w:tcW w:w="1044" w:type="pct"/>
            <w:tcBorders>
              <w:top w:val="nil"/>
              <w:left w:val="nil"/>
              <w:bottom w:val="single" w:color="auto" w:sz="4" w:space="0"/>
              <w:right w:val="single" w:color="auto" w:sz="4" w:space="0"/>
            </w:tcBorders>
            <w:vAlign w:val="center"/>
          </w:tcPr>
          <w:p w14:paraId="1C06FD54">
            <w:pPr>
              <w:widowControl/>
              <w:jc w:val="left"/>
              <w:rPr>
                <w:rFonts w:ascii="宋体" w:hAnsi="宋体" w:cs="宋体"/>
                <w:kern w:val="0"/>
                <w:sz w:val="21"/>
                <w:szCs w:val="21"/>
                <w:highlight w:val="none"/>
              </w:rPr>
            </w:pPr>
            <w:r>
              <w:rPr>
                <w:rFonts w:hint="eastAsia" w:ascii="宋体" w:hAnsi="宋体" w:cs="宋体"/>
                <w:kern w:val="0"/>
                <w:sz w:val="21"/>
                <w:szCs w:val="21"/>
                <w:highlight w:val="none"/>
              </w:rPr>
              <w:t>营业收入（Y）</w:t>
            </w:r>
          </w:p>
        </w:tc>
        <w:tc>
          <w:tcPr>
            <w:tcW w:w="447" w:type="pct"/>
            <w:tcBorders>
              <w:top w:val="nil"/>
              <w:left w:val="nil"/>
              <w:bottom w:val="single" w:color="auto" w:sz="4" w:space="0"/>
              <w:right w:val="single" w:color="auto" w:sz="4" w:space="0"/>
            </w:tcBorders>
            <w:vAlign w:val="center"/>
          </w:tcPr>
          <w:p w14:paraId="7B2886F2">
            <w:pPr>
              <w:widowControl/>
              <w:jc w:val="left"/>
              <w:rPr>
                <w:rFonts w:ascii="宋体" w:hAnsi="宋体" w:cs="宋体"/>
                <w:kern w:val="0"/>
                <w:sz w:val="21"/>
                <w:szCs w:val="21"/>
                <w:highlight w:val="none"/>
              </w:rPr>
            </w:pPr>
            <w:r>
              <w:rPr>
                <w:rFonts w:hint="eastAsia" w:ascii="宋体" w:hAnsi="宋体" w:cs="宋体"/>
                <w:kern w:val="0"/>
                <w:sz w:val="21"/>
                <w:szCs w:val="21"/>
                <w:highlight w:val="none"/>
              </w:rPr>
              <w:t>万元</w:t>
            </w:r>
          </w:p>
        </w:tc>
        <w:tc>
          <w:tcPr>
            <w:tcW w:w="970" w:type="pct"/>
            <w:tcBorders>
              <w:top w:val="nil"/>
              <w:left w:val="nil"/>
              <w:bottom w:val="single" w:color="auto" w:sz="4" w:space="0"/>
              <w:right w:val="single" w:color="auto" w:sz="4" w:space="0"/>
            </w:tcBorders>
            <w:vAlign w:val="center"/>
          </w:tcPr>
          <w:p w14:paraId="5389974C">
            <w:pPr>
              <w:widowControl/>
              <w:jc w:val="left"/>
              <w:rPr>
                <w:rFonts w:ascii="宋体" w:hAnsi="宋体" w:cs="宋体"/>
                <w:kern w:val="0"/>
                <w:sz w:val="21"/>
                <w:szCs w:val="21"/>
                <w:highlight w:val="none"/>
              </w:rPr>
            </w:pPr>
            <w:r>
              <w:rPr>
                <w:rFonts w:hint="eastAsia" w:ascii="宋体" w:hAnsi="宋体" w:cs="宋体"/>
                <w:kern w:val="0"/>
                <w:sz w:val="21"/>
                <w:szCs w:val="21"/>
                <w:highlight w:val="none"/>
              </w:rPr>
              <w:t>1000≤Y＜200000</w:t>
            </w:r>
          </w:p>
        </w:tc>
        <w:tc>
          <w:tcPr>
            <w:tcW w:w="895" w:type="pct"/>
            <w:tcBorders>
              <w:top w:val="nil"/>
              <w:left w:val="nil"/>
              <w:bottom w:val="single" w:color="auto" w:sz="4" w:space="0"/>
              <w:right w:val="single" w:color="auto" w:sz="4" w:space="0"/>
            </w:tcBorders>
            <w:vAlign w:val="center"/>
          </w:tcPr>
          <w:p w14:paraId="16FF8645">
            <w:pPr>
              <w:widowControl/>
              <w:jc w:val="left"/>
              <w:rPr>
                <w:rFonts w:ascii="宋体" w:hAnsi="宋体" w:cs="宋体"/>
                <w:kern w:val="0"/>
                <w:sz w:val="21"/>
                <w:szCs w:val="21"/>
                <w:highlight w:val="none"/>
              </w:rPr>
            </w:pPr>
            <w:r>
              <w:rPr>
                <w:rFonts w:hint="eastAsia" w:ascii="宋体" w:hAnsi="宋体" w:cs="宋体"/>
                <w:kern w:val="0"/>
                <w:sz w:val="21"/>
                <w:szCs w:val="21"/>
                <w:highlight w:val="none"/>
              </w:rPr>
              <w:t>100≤X＜1000</w:t>
            </w:r>
          </w:p>
        </w:tc>
        <w:tc>
          <w:tcPr>
            <w:tcW w:w="596" w:type="pct"/>
            <w:tcBorders>
              <w:top w:val="nil"/>
              <w:left w:val="nil"/>
              <w:bottom w:val="single" w:color="auto" w:sz="4" w:space="0"/>
              <w:right w:val="single" w:color="auto" w:sz="4" w:space="0"/>
            </w:tcBorders>
            <w:vAlign w:val="center"/>
          </w:tcPr>
          <w:p w14:paraId="50E1365C">
            <w:pPr>
              <w:widowControl/>
              <w:jc w:val="left"/>
              <w:rPr>
                <w:rFonts w:ascii="宋体" w:hAnsi="宋体" w:cs="宋体"/>
                <w:kern w:val="0"/>
                <w:sz w:val="21"/>
                <w:szCs w:val="21"/>
                <w:highlight w:val="none"/>
              </w:rPr>
            </w:pPr>
            <w:r>
              <w:rPr>
                <w:rFonts w:hint="eastAsia" w:ascii="宋体" w:hAnsi="宋体" w:cs="宋体"/>
                <w:kern w:val="0"/>
                <w:sz w:val="21"/>
                <w:szCs w:val="21"/>
                <w:highlight w:val="none"/>
              </w:rPr>
              <w:t>X＜100</w:t>
            </w:r>
          </w:p>
        </w:tc>
      </w:tr>
      <w:tr w14:paraId="358EF4E2">
        <w:tblPrEx>
          <w:tblCellMar>
            <w:top w:w="0" w:type="dxa"/>
            <w:left w:w="108" w:type="dxa"/>
            <w:bottom w:w="0" w:type="dxa"/>
            <w:right w:w="108" w:type="dxa"/>
          </w:tblCellMar>
        </w:tblPrEx>
        <w:trPr>
          <w:trHeight w:val="225" w:hRule="atLeast"/>
        </w:trPr>
        <w:tc>
          <w:tcPr>
            <w:tcW w:w="1044" w:type="pct"/>
            <w:vMerge w:val="continue"/>
            <w:tcBorders>
              <w:top w:val="nil"/>
              <w:left w:val="single" w:color="auto" w:sz="4" w:space="0"/>
              <w:bottom w:val="single" w:color="auto" w:sz="4" w:space="0"/>
              <w:right w:val="single" w:color="auto" w:sz="4" w:space="0"/>
            </w:tcBorders>
            <w:vAlign w:val="center"/>
          </w:tcPr>
          <w:p w14:paraId="463C2B0A">
            <w:pPr>
              <w:widowControl/>
              <w:jc w:val="center"/>
              <w:rPr>
                <w:rFonts w:ascii="宋体" w:hAnsi="宋体" w:cs="宋体"/>
                <w:b/>
                <w:bCs/>
                <w:kern w:val="0"/>
                <w:sz w:val="21"/>
                <w:szCs w:val="21"/>
                <w:highlight w:val="none"/>
              </w:rPr>
            </w:pPr>
          </w:p>
        </w:tc>
        <w:tc>
          <w:tcPr>
            <w:tcW w:w="1044" w:type="pct"/>
            <w:tcBorders>
              <w:top w:val="nil"/>
              <w:left w:val="nil"/>
              <w:bottom w:val="single" w:color="auto" w:sz="4" w:space="0"/>
              <w:right w:val="single" w:color="auto" w:sz="4" w:space="0"/>
            </w:tcBorders>
            <w:vAlign w:val="center"/>
          </w:tcPr>
          <w:p w14:paraId="0E29A049">
            <w:pPr>
              <w:widowControl/>
              <w:jc w:val="left"/>
              <w:rPr>
                <w:rFonts w:ascii="宋体" w:hAnsi="宋体" w:cs="宋体"/>
                <w:kern w:val="0"/>
                <w:sz w:val="21"/>
                <w:szCs w:val="21"/>
                <w:highlight w:val="none"/>
              </w:rPr>
            </w:pPr>
            <w:r>
              <w:rPr>
                <w:rFonts w:hint="eastAsia" w:ascii="宋体" w:hAnsi="宋体" w:cs="宋体"/>
                <w:kern w:val="0"/>
                <w:sz w:val="21"/>
                <w:szCs w:val="21"/>
                <w:highlight w:val="none"/>
              </w:rPr>
              <w:t>资产总额（Z）</w:t>
            </w:r>
          </w:p>
        </w:tc>
        <w:tc>
          <w:tcPr>
            <w:tcW w:w="447" w:type="pct"/>
            <w:tcBorders>
              <w:top w:val="nil"/>
              <w:left w:val="nil"/>
              <w:bottom w:val="single" w:color="auto" w:sz="4" w:space="0"/>
              <w:right w:val="single" w:color="auto" w:sz="4" w:space="0"/>
            </w:tcBorders>
            <w:vAlign w:val="center"/>
          </w:tcPr>
          <w:p w14:paraId="082EF05B">
            <w:pPr>
              <w:widowControl/>
              <w:jc w:val="left"/>
              <w:rPr>
                <w:rFonts w:ascii="宋体" w:hAnsi="宋体" w:cs="宋体"/>
                <w:kern w:val="0"/>
                <w:sz w:val="21"/>
                <w:szCs w:val="21"/>
                <w:highlight w:val="none"/>
              </w:rPr>
            </w:pPr>
            <w:r>
              <w:rPr>
                <w:rFonts w:hint="eastAsia" w:ascii="宋体" w:hAnsi="宋体" w:cs="宋体"/>
                <w:kern w:val="0"/>
                <w:sz w:val="21"/>
                <w:szCs w:val="21"/>
                <w:highlight w:val="none"/>
              </w:rPr>
              <w:t>万元</w:t>
            </w:r>
          </w:p>
        </w:tc>
        <w:tc>
          <w:tcPr>
            <w:tcW w:w="970" w:type="pct"/>
            <w:tcBorders>
              <w:top w:val="nil"/>
              <w:left w:val="nil"/>
              <w:bottom w:val="single" w:color="auto" w:sz="4" w:space="0"/>
              <w:right w:val="single" w:color="auto" w:sz="4" w:space="0"/>
            </w:tcBorders>
            <w:vAlign w:val="center"/>
          </w:tcPr>
          <w:p w14:paraId="43E10293">
            <w:pPr>
              <w:widowControl/>
              <w:jc w:val="left"/>
              <w:rPr>
                <w:rFonts w:ascii="宋体" w:hAnsi="宋体" w:cs="宋体"/>
                <w:kern w:val="0"/>
                <w:sz w:val="21"/>
                <w:szCs w:val="21"/>
                <w:highlight w:val="none"/>
              </w:rPr>
            </w:pPr>
            <w:r>
              <w:rPr>
                <w:rFonts w:hint="eastAsia" w:ascii="宋体" w:hAnsi="宋体" w:cs="宋体"/>
                <w:kern w:val="0"/>
                <w:sz w:val="21"/>
                <w:szCs w:val="21"/>
                <w:highlight w:val="none"/>
              </w:rPr>
              <w:t>5000≤Z＜10000</w:t>
            </w:r>
          </w:p>
        </w:tc>
        <w:tc>
          <w:tcPr>
            <w:tcW w:w="895" w:type="pct"/>
            <w:tcBorders>
              <w:top w:val="nil"/>
              <w:left w:val="nil"/>
              <w:bottom w:val="single" w:color="auto" w:sz="4" w:space="0"/>
              <w:right w:val="single" w:color="auto" w:sz="4" w:space="0"/>
            </w:tcBorders>
            <w:vAlign w:val="center"/>
          </w:tcPr>
          <w:p w14:paraId="2383447F">
            <w:pPr>
              <w:widowControl/>
              <w:jc w:val="left"/>
              <w:rPr>
                <w:rFonts w:ascii="宋体" w:hAnsi="宋体" w:cs="宋体"/>
                <w:kern w:val="0"/>
                <w:sz w:val="21"/>
                <w:szCs w:val="21"/>
                <w:highlight w:val="none"/>
              </w:rPr>
            </w:pPr>
            <w:r>
              <w:rPr>
                <w:rFonts w:hint="eastAsia" w:ascii="宋体" w:hAnsi="宋体" w:cs="宋体"/>
                <w:kern w:val="0"/>
                <w:sz w:val="21"/>
                <w:szCs w:val="21"/>
                <w:highlight w:val="none"/>
              </w:rPr>
              <w:t>2000≤Y＜5000</w:t>
            </w:r>
          </w:p>
        </w:tc>
        <w:tc>
          <w:tcPr>
            <w:tcW w:w="596" w:type="pct"/>
            <w:tcBorders>
              <w:top w:val="nil"/>
              <w:left w:val="nil"/>
              <w:bottom w:val="single" w:color="auto" w:sz="4" w:space="0"/>
              <w:right w:val="single" w:color="auto" w:sz="4" w:space="0"/>
            </w:tcBorders>
            <w:vAlign w:val="center"/>
          </w:tcPr>
          <w:p w14:paraId="0A037C5A">
            <w:pPr>
              <w:widowControl/>
              <w:jc w:val="left"/>
              <w:rPr>
                <w:rFonts w:ascii="宋体" w:hAnsi="宋体" w:cs="宋体"/>
                <w:kern w:val="0"/>
                <w:sz w:val="21"/>
                <w:szCs w:val="21"/>
                <w:highlight w:val="none"/>
              </w:rPr>
            </w:pPr>
            <w:r>
              <w:rPr>
                <w:rFonts w:hint="eastAsia" w:ascii="宋体" w:hAnsi="宋体" w:cs="宋体"/>
                <w:kern w:val="0"/>
                <w:sz w:val="21"/>
                <w:szCs w:val="21"/>
                <w:highlight w:val="none"/>
              </w:rPr>
              <w:t>Y＜2000</w:t>
            </w:r>
          </w:p>
        </w:tc>
      </w:tr>
      <w:tr w14:paraId="08B7537C">
        <w:tblPrEx>
          <w:tblCellMar>
            <w:top w:w="0" w:type="dxa"/>
            <w:left w:w="108" w:type="dxa"/>
            <w:bottom w:w="0" w:type="dxa"/>
            <w:right w:w="108" w:type="dxa"/>
          </w:tblCellMar>
        </w:tblPrEx>
        <w:trPr>
          <w:trHeight w:val="225" w:hRule="atLeast"/>
        </w:trPr>
        <w:tc>
          <w:tcPr>
            <w:tcW w:w="1044" w:type="pct"/>
            <w:vMerge w:val="restart"/>
            <w:tcBorders>
              <w:top w:val="nil"/>
              <w:left w:val="single" w:color="auto" w:sz="4" w:space="0"/>
              <w:bottom w:val="single" w:color="auto" w:sz="4" w:space="0"/>
              <w:right w:val="single" w:color="auto" w:sz="4" w:space="0"/>
            </w:tcBorders>
            <w:vAlign w:val="center"/>
          </w:tcPr>
          <w:p w14:paraId="32CB2150">
            <w:pPr>
              <w:widowControl/>
              <w:jc w:val="center"/>
              <w:rPr>
                <w:rFonts w:ascii="宋体" w:hAnsi="宋体" w:cs="宋体"/>
                <w:b/>
                <w:bCs/>
                <w:kern w:val="0"/>
                <w:sz w:val="21"/>
                <w:szCs w:val="21"/>
                <w:highlight w:val="none"/>
              </w:rPr>
            </w:pPr>
            <w:r>
              <w:rPr>
                <w:rFonts w:hint="eastAsia" w:ascii="宋体" w:hAnsi="宋体" w:cs="宋体"/>
                <w:b/>
                <w:bCs/>
                <w:kern w:val="0"/>
                <w:sz w:val="21"/>
                <w:szCs w:val="21"/>
                <w:highlight w:val="none"/>
              </w:rPr>
              <w:t>物业管理</w:t>
            </w:r>
          </w:p>
        </w:tc>
        <w:tc>
          <w:tcPr>
            <w:tcW w:w="1044" w:type="pct"/>
            <w:tcBorders>
              <w:top w:val="nil"/>
              <w:left w:val="nil"/>
              <w:bottom w:val="single" w:color="auto" w:sz="4" w:space="0"/>
              <w:right w:val="single" w:color="auto" w:sz="4" w:space="0"/>
            </w:tcBorders>
            <w:vAlign w:val="center"/>
          </w:tcPr>
          <w:p w14:paraId="5C7E9191">
            <w:pPr>
              <w:widowControl/>
              <w:jc w:val="left"/>
              <w:rPr>
                <w:rFonts w:ascii="宋体" w:hAnsi="宋体" w:cs="宋体"/>
                <w:kern w:val="0"/>
                <w:sz w:val="21"/>
                <w:szCs w:val="21"/>
                <w:highlight w:val="none"/>
              </w:rPr>
            </w:pPr>
            <w:r>
              <w:rPr>
                <w:rFonts w:hint="eastAsia" w:ascii="宋体" w:hAnsi="宋体" w:cs="宋体"/>
                <w:kern w:val="0"/>
                <w:sz w:val="21"/>
                <w:szCs w:val="21"/>
                <w:highlight w:val="none"/>
              </w:rPr>
              <w:t>从业人员（X）</w:t>
            </w:r>
          </w:p>
        </w:tc>
        <w:tc>
          <w:tcPr>
            <w:tcW w:w="447" w:type="pct"/>
            <w:tcBorders>
              <w:top w:val="nil"/>
              <w:left w:val="nil"/>
              <w:bottom w:val="single" w:color="auto" w:sz="4" w:space="0"/>
              <w:right w:val="single" w:color="auto" w:sz="4" w:space="0"/>
            </w:tcBorders>
            <w:vAlign w:val="center"/>
          </w:tcPr>
          <w:p w14:paraId="036F70B4">
            <w:pPr>
              <w:widowControl/>
              <w:jc w:val="left"/>
              <w:rPr>
                <w:rFonts w:ascii="宋体" w:hAnsi="宋体" w:cs="宋体"/>
                <w:kern w:val="0"/>
                <w:sz w:val="21"/>
                <w:szCs w:val="21"/>
                <w:highlight w:val="none"/>
              </w:rPr>
            </w:pPr>
            <w:r>
              <w:rPr>
                <w:rFonts w:hint="eastAsia" w:ascii="宋体" w:hAnsi="宋体" w:cs="宋体"/>
                <w:kern w:val="0"/>
                <w:sz w:val="21"/>
                <w:szCs w:val="21"/>
                <w:highlight w:val="none"/>
              </w:rPr>
              <w:t>人</w:t>
            </w:r>
          </w:p>
        </w:tc>
        <w:tc>
          <w:tcPr>
            <w:tcW w:w="970" w:type="pct"/>
            <w:tcBorders>
              <w:top w:val="nil"/>
              <w:left w:val="nil"/>
              <w:bottom w:val="single" w:color="auto" w:sz="4" w:space="0"/>
              <w:right w:val="single" w:color="auto" w:sz="4" w:space="0"/>
            </w:tcBorders>
            <w:vAlign w:val="center"/>
          </w:tcPr>
          <w:p w14:paraId="067F2D9A">
            <w:pPr>
              <w:widowControl/>
              <w:jc w:val="left"/>
              <w:rPr>
                <w:rFonts w:ascii="宋体" w:hAnsi="宋体" w:cs="宋体"/>
                <w:kern w:val="0"/>
                <w:sz w:val="21"/>
                <w:szCs w:val="21"/>
                <w:highlight w:val="none"/>
              </w:rPr>
            </w:pPr>
            <w:r>
              <w:rPr>
                <w:rFonts w:hint="eastAsia" w:ascii="宋体" w:hAnsi="宋体" w:cs="宋体"/>
                <w:kern w:val="0"/>
                <w:sz w:val="21"/>
                <w:szCs w:val="21"/>
                <w:highlight w:val="none"/>
              </w:rPr>
              <w:t>300≤X＜1000</w:t>
            </w:r>
          </w:p>
        </w:tc>
        <w:tc>
          <w:tcPr>
            <w:tcW w:w="895" w:type="pct"/>
            <w:tcBorders>
              <w:top w:val="nil"/>
              <w:left w:val="nil"/>
              <w:bottom w:val="single" w:color="auto" w:sz="4" w:space="0"/>
              <w:right w:val="single" w:color="auto" w:sz="4" w:space="0"/>
            </w:tcBorders>
            <w:vAlign w:val="center"/>
          </w:tcPr>
          <w:p w14:paraId="20F2FFF6">
            <w:pPr>
              <w:widowControl/>
              <w:jc w:val="left"/>
              <w:rPr>
                <w:rFonts w:ascii="宋体" w:hAnsi="宋体" w:cs="宋体"/>
                <w:kern w:val="0"/>
                <w:sz w:val="21"/>
                <w:szCs w:val="21"/>
                <w:highlight w:val="none"/>
              </w:rPr>
            </w:pPr>
            <w:r>
              <w:rPr>
                <w:rFonts w:hint="eastAsia" w:ascii="宋体" w:hAnsi="宋体" w:cs="宋体"/>
                <w:kern w:val="0"/>
                <w:sz w:val="21"/>
                <w:szCs w:val="21"/>
                <w:highlight w:val="none"/>
              </w:rPr>
              <w:t>100≤X＜300</w:t>
            </w:r>
          </w:p>
        </w:tc>
        <w:tc>
          <w:tcPr>
            <w:tcW w:w="596" w:type="pct"/>
            <w:tcBorders>
              <w:top w:val="nil"/>
              <w:left w:val="nil"/>
              <w:bottom w:val="single" w:color="auto" w:sz="4" w:space="0"/>
              <w:right w:val="single" w:color="auto" w:sz="4" w:space="0"/>
            </w:tcBorders>
            <w:vAlign w:val="center"/>
          </w:tcPr>
          <w:p w14:paraId="093D856F">
            <w:pPr>
              <w:widowControl/>
              <w:jc w:val="left"/>
              <w:rPr>
                <w:rFonts w:ascii="宋体" w:hAnsi="宋体" w:cs="宋体"/>
                <w:kern w:val="0"/>
                <w:sz w:val="21"/>
                <w:szCs w:val="21"/>
                <w:highlight w:val="none"/>
              </w:rPr>
            </w:pPr>
            <w:r>
              <w:rPr>
                <w:rFonts w:hint="eastAsia" w:ascii="宋体" w:hAnsi="宋体" w:cs="宋体"/>
                <w:kern w:val="0"/>
                <w:sz w:val="21"/>
                <w:szCs w:val="21"/>
                <w:highlight w:val="none"/>
              </w:rPr>
              <w:t>X＜100</w:t>
            </w:r>
          </w:p>
        </w:tc>
      </w:tr>
      <w:tr w14:paraId="42D0305A">
        <w:tblPrEx>
          <w:tblCellMar>
            <w:top w:w="0" w:type="dxa"/>
            <w:left w:w="108" w:type="dxa"/>
            <w:bottom w:w="0" w:type="dxa"/>
            <w:right w:w="108" w:type="dxa"/>
          </w:tblCellMar>
        </w:tblPrEx>
        <w:trPr>
          <w:trHeight w:val="225" w:hRule="atLeast"/>
        </w:trPr>
        <w:tc>
          <w:tcPr>
            <w:tcW w:w="1044" w:type="pct"/>
            <w:vMerge w:val="continue"/>
            <w:tcBorders>
              <w:top w:val="nil"/>
              <w:left w:val="single" w:color="auto" w:sz="4" w:space="0"/>
              <w:bottom w:val="single" w:color="auto" w:sz="4" w:space="0"/>
              <w:right w:val="single" w:color="auto" w:sz="4" w:space="0"/>
            </w:tcBorders>
            <w:vAlign w:val="center"/>
          </w:tcPr>
          <w:p w14:paraId="57C4674F">
            <w:pPr>
              <w:widowControl/>
              <w:jc w:val="center"/>
              <w:rPr>
                <w:rFonts w:ascii="宋体" w:hAnsi="宋体" w:cs="宋体"/>
                <w:b/>
                <w:bCs/>
                <w:kern w:val="0"/>
                <w:sz w:val="21"/>
                <w:szCs w:val="21"/>
                <w:highlight w:val="none"/>
              </w:rPr>
            </w:pPr>
          </w:p>
        </w:tc>
        <w:tc>
          <w:tcPr>
            <w:tcW w:w="1044" w:type="pct"/>
            <w:tcBorders>
              <w:top w:val="nil"/>
              <w:left w:val="nil"/>
              <w:bottom w:val="single" w:color="auto" w:sz="4" w:space="0"/>
              <w:right w:val="single" w:color="auto" w:sz="4" w:space="0"/>
            </w:tcBorders>
            <w:vAlign w:val="center"/>
          </w:tcPr>
          <w:p w14:paraId="1CF69F3E">
            <w:pPr>
              <w:widowControl/>
              <w:jc w:val="left"/>
              <w:rPr>
                <w:rFonts w:ascii="宋体" w:hAnsi="宋体" w:cs="宋体"/>
                <w:kern w:val="0"/>
                <w:sz w:val="21"/>
                <w:szCs w:val="21"/>
                <w:highlight w:val="none"/>
              </w:rPr>
            </w:pPr>
            <w:r>
              <w:rPr>
                <w:rFonts w:hint="eastAsia" w:ascii="宋体" w:hAnsi="宋体" w:cs="宋体"/>
                <w:kern w:val="0"/>
                <w:sz w:val="21"/>
                <w:szCs w:val="21"/>
                <w:highlight w:val="none"/>
              </w:rPr>
              <w:t>营业收入（Y）</w:t>
            </w:r>
          </w:p>
        </w:tc>
        <w:tc>
          <w:tcPr>
            <w:tcW w:w="447" w:type="pct"/>
            <w:tcBorders>
              <w:top w:val="nil"/>
              <w:left w:val="nil"/>
              <w:bottom w:val="single" w:color="auto" w:sz="4" w:space="0"/>
              <w:right w:val="single" w:color="auto" w:sz="4" w:space="0"/>
            </w:tcBorders>
            <w:vAlign w:val="center"/>
          </w:tcPr>
          <w:p w14:paraId="6B5314D5">
            <w:pPr>
              <w:widowControl/>
              <w:jc w:val="left"/>
              <w:rPr>
                <w:rFonts w:ascii="宋体" w:hAnsi="宋体" w:cs="宋体"/>
                <w:kern w:val="0"/>
                <w:sz w:val="21"/>
                <w:szCs w:val="21"/>
                <w:highlight w:val="none"/>
              </w:rPr>
            </w:pPr>
            <w:r>
              <w:rPr>
                <w:rFonts w:hint="eastAsia" w:ascii="宋体" w:hAnsi="宋体" w:cs="宋体"/>
                <w:kern w:val="0"/>
                <w:sz w:val="21"/>
                <w:szCs w:val="21"/>
                <w:highlight w:val="none"/>
              </w:rPr>
              <w:t>万元</w:t>
            </w:r>
          </w:p>
        </w:tc>
        <w:tc>
          <w:tcPr>
            <w:tcW w:w="970" w:type="pct"/>
            <w:tcBorders>
              <w:top w:val="nil"/>
              <w:left w:val="nil"/>
              <w:bottom w:val="single" w:color="auto" w:sz="4" w:space="0"/>
              <w:right w:val="single" w:color="auto" w:sz="4" w:space="0"/>
            </w:tcBorders>
            <w:vAlign w:val="center"/>
          </w:tcPr>
          <w:p w14:paraId="0C697FE9">
            <w:pPr>
              <w:widowControl/>
              <w:jc w:val="left"/>
              <w:rPr>
                <w:rFonts w:ascii="宋体" w:hAnsi="宋体" w:cs="宋体"/>
                <w:kern w:val="0"/>
                <w:sz w:val="21"/>
                <w:szCs w:val="21"/>
                <w:highlight w:val="none"/>
              </w:rPr>
            </w:pPr>
            <w:r>
              <w:rPr>
                <w:rFonts w:hint="eastAsia" w:ascii="宋体" w:hAnsi="宋体" w:cs="宋体"/>
                <w:kern w:val="0"/>
                <w:sz w:val="21"/>
                <w:szCs w:val="21"/>
                <w:highlight w:val="none"/>
              </w:rPr>
              <w:t>1000≤Y＜5000</w:t>
            </w:r>
          </w:p>
        </w:tc>
        <w:tc>
          <w:tcPr>
            <w:tcW w:w="895" w:type="pct"/>
            <w:tcBorders>
              <w:top w:val="nil"/>
              <w:left w:val="nil"/>
              <w:bottom w:val="single" w:color="auto" w:sz="4" w:space="0"/>
              <w:right w:val="single" w:color="auto" w:sz="4" w:space="0"/>
            </w:tcBorders>
            <w:vAlign w:val="center"/>
          </w:tcPr>
          <w:p w14:paraId="69E193EA">
            <w:pPr>
              <w:widowControl/>
              <w:jc w:val="left"/>
              <w:rPr>
                <w:rFonts w:ascii="宋体" w:hAnsi="宋体" w:cs="宋体"/>
                <w:kern w:val="0"/>
                <w:sz w:val="21"/>
                <w:szCs w:val="21"/>
                <w:highlight w:val="none"/>
              </w:rPr>
            </w:pPr>
            <w:r>
              <w:rPr>
                <w:rFonts w:hint="eastAsia" w:ascii="宋体" w:hAnsi="宋体" w:cs="宋体"/>
                <w:kern w:val="0"/>
                <w:sz w:val="21"/>
                <w:szCs w:val="21"/>
                <w:highlight w:val="none"/>
              </w:rPr>
              <w:t>500≤Y＜1000</w:t>
            </w:r>
          </w:p>
        </w:tc>
        <w:tc>
          <w:tcPr>
            <w:tcW w:w="596" w:type="pct"/>
            <w:tcBorders>
              <w:top w:val="nil"/>
              <w:left w:val="nil"/>
              <w:bottom w:val="single" w:color="auto" w:sz="4" w:space="0"/>
              <w:right w:val="single" w:color="auto" w:sz="4" w:space="0"/>
            </w:tcBorders>
            <w:vAlign w:val="center"/>
          </w:tcPr>
          <w:p w14:paraId="5762712F">
            <w:pPr>
              <w:widowControl/>
              <w:jc w:val="left"/>
              <w:rPr>
                <w:rFonts w:ascii="宋体" w:hAnsi="宋体" w:cs="宋体"/>
                <w:kern w:val="0"/>
                <w:sz w:val="21"/>
                <w:szCs w:val="21"/>
                <w:highlight w:val="none"/>
              </w:rPr>
            </w:pPr>
            <w:r>
              <w:rPr>
                <w:rFonts w:hint="eastAsia" w:ascii="宋体" w:hAnsi="宋体" w:cs="宋体"/>
                <w:kern w:val="0"/>
                <w:sz w:val="21"/>
                <w:szCs w:val="21"/>
                <w:highlight w:val="none"/>
              </w:rPr>
              <w:t>Y＜500</w:t>
            </w:r>
          </w:p>
        </w:tc>
      </w:tr>
      <w:tr w14:paraId="1590EAF9">
        <w:tblPrEx>
          <w:tblCellMar>
            <w:top w:w="0" w:type="dxa"/>
            <w:left w:w="108" w:type="dxa"/>
            <w:bottom w:w="0" w:type="dxa"/>
            <w:right w:w="108" w:type="dxa"/>
          </w:tblCellMar>
        </w:tblPrEx>
        <w:trPr>
          <w:trHeight w:val="225" w:hRule="atLeast"/>
        </w:trPr>
        <w:tc>
          <w:tcPr>
            <w:tcW w:w="1044" w:type="pct"/>
            <w:vMerge w:val="restart"/>
            <w:tcBorders>
              <w:top w:val="nil"/>
              <w:left w:val="single" w:color="auto" w:sz="4" w:space="0"/>
              <w:bottom w:val="single" w:color="auto" w:sz="4" w:space="0"/>
              <w:right w:val="single" w:color="auto" w:sz="4" w:space="0"/>
            </w:tcBorders>
            <w:vAlign w:val="center"/>
          </w:tcPr>
          <w:p w14:paraId="5D47DEF1">
            <w:pPr>
              <w:widowControl/>
              <w:jc w:val="center"/>
              <w:rPr>
                <w:rFonts w:ascii="宋体" w:hAnsi="宋体" w:cs="宋体"/>
                <w:b/>
                <w:bCs/>
                <w:kern w:val="0"/>
                <w:sz w:val="21"/>
                <w:szCs w:val="21"/>
                <w:highlight w:val="none"/>
              </w:rPr>
            </w:pPr>
            <w:r>
              <w:rPr>
                <w:rFonts w:hint="eastAsia" w:ascii="宋体" w:hAnsi="宋体" w:cs="宋体"/>
                <w:b/>
                <w:bCs/>
                <w:kern w:val="0"/>
                <w:sz w:val="21"/>
                <w:szCs w:val="21"/>
                <w:highlight w:val="none"/>
              </w:rPr>
              <w:t>租赁和商务服务业</w:t>
            </w:r>
          </w:p>
        </w:tc>
        <w:tc>
          <w:tcPr>
            <w:tcW w:w="1044" w:type="pct"/>
            <w:tcBorders>
              <w:top w:val="nil"/>
              <w:left w:val="nil"/>
              <w:bottom w:val="single" w:color="auto" w:sz="4" w:space="0"/>
              <w:right w:val="single" w:color="auto" w:sz="4" w:space="0"/>
            </w:tcBorders>
            <w:vAlign w:val="center"/>
          </w:tcPr>
          <w:p w14:paraId="458F04A5">
            <w:pPr>
              <w:widowControl/>
              <w:jc w:val="left"/>
              <w:rPr>
                <w:rFonts w:ascii="宋体" w:hAnsi="宋体" w:cs="宋体"/>
                <w:kern w:val="0"/>
                <w:sz w:val="21"/>
                <w:szCs w:val="21"/>
                <w:highlight w:val="none"/>
              </w:rPr>
            </w:pPr>
            <w:r>
              <w:rPr>
                <w:rFonts w:hint="eastAsia" w:ascii="宋体" w:hAnsi="宋体" w:cs="宋体"/>
                <w:kern w:val="0"/>
                <w:sz w:val="21"/>
                <w:szCs w:val="21"/>
                <w:highlight w:val="none"/>
              </w:rPr>
              <w:t>从业人员（X）</w:t>
            </w:r>
          </w:p>
        </w:tc>
        <w:tc>
          <w:tcPr>
            <w:tcW w:w="447" w:type="pct"/>
            <w:tcBorders>
              <w:top w:val="nil"/>
              <w:left w:val="nil"/>
              <w:bottom w:val="single" w:color="auto" w:sz="4" w:space="0"/>
              <w:right w:val="single" w:color="auto" w:sz="4" w:space="0"/>
            </w:tcBorders>
            <w:vAlign w:val="center"/>
          </w:tcPr>
          <w:p w14:paraId="58C1EF82">
            <w:pPr>
              <w:widowControl/>
              <w:jc w:val="left"/>
              <w:rPr>
                <w:rFonts w:ascii="宋体" w:hAnsi="宋体" w:cs="宋体"/>
                <w:kern w:val="0"/>
                <w:sz w:val="21"/>
                <w:szCs w:val="21"/>
                <w:highlight w:val="none"/>
              </w:rPr>
            </w:pPr>
            <w:r>
              <w:rPr>
                <w:rFonts w:hint="eastAsia" w:ascii="宋体" w:hAnsi="宋体" w:cs="宋体"/>
                <w:kern w:val="0"/>
                <w:sz w:val="21"/>
                <w:szCs w:val="21"/>
                <w:highlight w:val="none"/>
              </w:rPr>
              <w:t>人</w:t>
            </w:r>
          </w:p>
        </w:tc>
        <w:tc>
          <w:tcPr>
            <w:tcW w:w="970" w:type="pct"/>
            <w:tcBorders>
              <w:top w:val="nil"/>
              <w:left w:val="nil"/>
              <w:bottom w:val="single" w:color="auto" w:sz="4" w:space="0"/>
              <w:right w:val="single" w:color="auto" w:sz="4" w:space="0"/>
            </w:tcBorders>
            <w:vAlign w:val="center"/>
          </w:tcPr>
          <w:p w14:paraId="2040C109">
            <w:pPr>
              <w:widowControl/>
              <w:jc w:val="left"/>
              <w:rPr>
                <w:rFonts w:ascii="宋体" w:hAnsi="宋体" w:cs="宋体"/>
                <w:kern w:val="0"/>
                <w:sz w:val="21"/>
                <w:szCs w:val="21"/>
                <w:highlight w:val="none"/>
              </w:rPr>
            </w:pPr>
            <w:r>
              <w:rPr>
                <w:rFonts w:hint="eastAsia" w:ascii="宋体" w:hAnsi="宋体" w:cs="宋体"/>
                <w:kern w:val="0"/>
                <w:sz w:val="21"/>
                <w:szCs w:val="21"/>
                <w:highlight w:val="none"/>
              </w:rPr>
              <w:t>100≤X＜300</w:t>
            </w:r>
          </w:p>
        </w:tc>
        <w:tc>
          <w:tcPr>
            <w:tcW w:w="895" w:type="pct"/>
            <w:tcBorders>
              <w:top w:val="nil"/>
              <w:left w:val="nil"/>
              <w:bottom w:val="single" w:color="auto" w:sz="4" w:space="0"/>
              <w:right w:val="single" w:color="auto" w:sz="4" w:space="0"/>
            </w:tcBorders>
            <w:vAlign w:val="center"/>
          </w:tcPr>
          <w:p w14:paraId="21FF6603">
            <w:pPr>
              <w:widowControl/>
              <w:jc w:val="left"/>
              <w:rPr>
                <w:rFonts w:ascii="宋体" w:hAnsi="宋体" w:cs="宋体"/>
                <w:kern w:val="0"/>
                <w:sz w:val="21"/>
                <w:szCs w:val="21"/>
                <w:highlight w:val="none"/>
              </w:rPr>
            </w:pPr>
            <w:r>
              <w:rPr>
                <w:rFonts w:hint="eastAsia" w:ascii="宋体" w:hAnsi="宋体" w:cs="宋体"/>
                <w:kern w:val="0"/>
                <w:sz w:val="21"/>
                <w:szCs w:val="21"/>
                <w:highlight w:val="none"/>
              </w:rPr>
              <w:t>10≤X＜100</w:t>
            </w:r>
          </w:p>
        </w:tc>
        <w:tc>
          <w:tcPr>
            <w:tcW w:w="596" w:type="pct"/>
            <w:tcBorders>
              <w:top w:val="nil"/>
              <w:left w:val="nil"/>
              <w:bottom w:val="single" w:color="auto" w:sz="4" w:space="0"/>
              <w:right w:val="single" w:color="auto" w:sz="4" w:space="0"/>
            </w:tcBorders>
            <w:vAlign w:val="center"/>
          </w:tcPr>
          <w:p w14:paraId="72D3665D">
            <w:pPr>
              <w:widowControl/>
              <w:jc w:val="left"/>
              <w:rPr>
                <w:rFonts w:ascii="宋体" w:hAnsi="宋体" w:cs="宋体"/>
                <w:kern w:val="0"/>
                <w:sz w:val="21"/>
                <w:szCs w:val="21"/>
                <w:highlight w:val="none"/>
              </w:rPr>
            </w:pPr>
            <w:r>
              <w:rPr>
                <w:rFonts w:hint="eastAsia" w:ascii="宋体" w:hAnsi="宋体" w:cs="宋体"/>
                <w:kern w:val="0"/>
                <w:sz w:val="21"/>
                <w:szCs w:val="21"/>
                <w:highlight w:val="none"/>
              </w:rPr>
              <w:t>X＜10</w:t>
            </w:r>
          </w:p>
        </w:tc>
      </w:tr>
      <w:tr w14:paraId="6065B7E7">
        <w:tblPrEx>
          <w:tblCellMar>
            <w:top w:w="0" w:type="dxa"/>
            <w:left w:w="108" w:type="dxa"/>
            <w:bottom w:w="0" w:type="dxa"/>
            <w:right w:w="108" w:type="dxa"/>
          </w:tblCellMar>
        </w:tblPrEx>
        <w:trPr>
          <w:trHeight w:val="225" w:hRule="atLeast"/>
        </w:trPr>
        <w:tc>
          <w:tcPr>
            <w:tcW w:w="1044" w:type="pct"/>
            <w:vMerge w:val="continue"/>
            <w:tcBorders>
              <w:top w:val="nil"/>
              <w:left w:val="single" w:color="auto" w:sz="4" w:space="0"/>
              <w:bottom w:val="single" w:color="auto" w:sz="4" w:space="0"/>
              <w:right w:val="single" w:color="auto" w:sz="4" w:space="0"/>
            </w:tcBorders>
            <w:vAlign w:val="center"/>
          </w:tcPr>
          <w:p w14:paraId="6948666D">
            <w:pPr>
              <w:widowControl/>
              <w:jc w:val="center"/>
              <w:rPr>
                <w:rFonts w:ascii="宋体" w:hAnsi="宋体" w:cs="宋体"/>
                <w:b/>
                <w:bCs/>
                <w:kern w:val="0"/>
                <w:sz w:val="21"/>
                <w:szCs w:val="21"/>
                <w:highlight w:val="none"/>
              </w:rPr>
            </w:pPr>
          </w:p>
        </w:tc>
        <w:tc>
          <w:tcPr>
            <w:tcW w:w="1044" w:type="pct"/>
            <w:tcBorders>
              <w:top w:val="nil"/>
              <w:left w:val="nil"/>
              <w:bottom w:val="single" w:color="auto" w:sz="4" w:space="0"/>
              <w:right w:val="single" w:color="auto" w:sz="4" w:space="0"/>
            </w:tcBorders>
            <w:vAlign w:val="center"/>
          </w:tcPr>
          <w:p w14:paraId="4D3167D5">
            <w:pPr>
              <w:widowControl/>
              <w:jc w:val="left"/>
              <w:rPr>
                <w:rFonts w:ascii="宋体" w:hAnsi="宋体" w:cs="宋体"/>
                <w:kern w:val="0"/>
                <w:sz w:val="21"/>
                <w:szCs w:val="21"/>
                <w:highlight w:val="none"/>
              </w:rPr>
            </w:pPr>
            <w:r>
              <w:rPr>
                <w:rFonts w:hint="eastAsia" w:ascii="宋体" w:hAnsi="宋体" w:cs="宋体"/>
                <w:kern w:val="0"/>
                <w:sz w:val="21"/>
                <w:szCs w:val="21"/>
                <w:highlight w:val="none"/>
              </w:rPr>
              <w:t>资产总额（Z）</w:t>
            </w:r>
          </w:p>
        </w:tc>
        <w:tc>
          <w:tcPr>
            <w:tcW w:w="447" w:type="pct"/>
            <w:tcBorders>
              <w:top w:val="nil"/>
              <w:left w:val="nil"/>
              <w:bottom w:val="single" w:color="auto" w:sz="4" w:space="0"/>
              <w:right w:val="single" w:color="auto" w:sz="4" w:space="0"/>
            </w:tcBorders>
            <w:vAlign w:val="center"/>
          </w:tcPr>
          <w:p w14:paraId="11814C66">
            <w:pPr>
              <w:widowControl/>
              <w:jc w:val="left"/>
              <w:rPr>
                <w:rFonts w:ascii="宋体" w:hAnsi="宋体" w:cs="宋体"/>
                <w:kern w:val="0"/>
                <w:sz w:val="21"/>
                <w:szCs w:val="21"/>
                <w:highlight w:val="none"/>
              </w:rPr>
            </w:pPr>
            <w:r>
              <w:rPr>
                <w:rFonts w:hint="eastAsia" w:ascii="宋体" w:hAnsi="宋体" w:cs="宋体"/>
                <w:kern w:val="0"/>
                <w:sz w:val="21"/>
                <w:szCs w:val="21"/>
                <w:highlight w:val="none"/>
              </w:rPr>
              <w:t>万元</w:t>
            </w:r>
          </w:p>
        </w:tc>
        <w:tc>
          <w:tcPr>
            <w:tcW w:w="970" w:type="pct"/>
            <w:tcBorders>
              <w:top w:val="nil"/>
              <w:left w:val="nil"/>
              <w:bottom w:val="single" w:color="auto" w:sz="4" w:space="0"/>
              <w:right w:val="single" w:color="auto" w:sz="4" w:space="0"/>
            </w:tcBorders>
            <w:vAlign w:val="center"/>
          </w:tcPr>
          <w:p w14:paraId="62E26667">
            <w:pPr>
              <w:widowControl/>
              <w:jc w:val="left"/>
              <w:rPr>
                <w:rFonts w:ascii="宋体" w:hAnsi="宋体" w:cs="宋体"/>
                <w:kern w:val="0"/>
                <w:sz w:val="21"/>
                <w:szCs w:val="21"/>
                <w:highlight w:val="none"/>
              </w:rPr>
            </w:pPr>
            <w:r>
              <w:rPr>
                <w:rFonts w:hint="eastAsia" w:ascii="宋体" w:hAnsi="宋体" w:cs="宋体"/>
                <w:kern w:val="0"/>
                <w:sz w:val="21"/>
                <w:szCs w:val="21"/>
                <w:highlight w:val="none"/>
              </w:rPr>
              <w:t>8000≤Z＜120000</w:t>
            </w:r>
          </w:p>
        </w:tc>
        <w:tc>
          <w:tcPr>
            <w:tcW w:w="895" w:type="pct"/>
            <w:tcBorders>
              <w:top w:val="nil"/>
              <w:left w:val="nil"/>
              <w:bottom w:val="single" w:color="auto" w:sz="4" w:space="0"/>
              <w:right w:val="single" w:color="auto" w:sz="4" w:space="0"/>
            </w:tcBorders>
            <w:vAlign w:val="center"/>
          </w:tcPr>
          <w:p w14:paraId="4956A881">
            <w:pPr>
              <w:widowControl/>
              <w:jc w:val="left"/>
              <w:rPr>
                <w:rFonts w:ascii="宋体" w:hAnsi="宋体" w:cs="宋体"/>
                <w:kern w:val="0"/>
                <w:sz w:val="21"/>
                <w:szCs w:val="21"/>
                <w:highlight w:val="none"/>
              </w:rPr>
            </w:pPr>
            <w:r>
              <w:rPr>
                <w:rFonts w:hint="eastAsia" w:ascii="宋体" w:hAnsi="宋体" w:cs="宋体"/>
                <w:kern w:val="0"/>
                <w:sz w:val="21"/>
                <w:szCs w:val="21"/>
                <w:highlight w:val="none"/>
              </w:rPr>
              <w:t>100≤Z＜8000</w:t>
            </w:r>
          </w:p>
        </w:tc>
        <w:tc>
          <w:tcPr>
            <w:tcW w:w="596" w:type="pct"/>
            <w:tcBorders>
              <w:top w:val="nil"/>
              <w:left w:val="nil"/>
              <w:bottom w:val="single" w:color="auto" w:sz="4" w:space="0"/>
              <w:right w:val="single" w:color="auto" w:sz="4" w:space="0"/>
            </w:tcBorders>
            <w:vAlign w:val="center"/>
          </w:tcPr>
          <w:p w14:paraId="435D9D80">
            <w:pPr>
              <w:widowControl/>
              <w:jc w:val="left"/>
              <w:rPr>
                <w:rFonts w:ascii="宋体" w:hAnsi="宋体" w:cs="宋体"/>
                <w:kern w:val="0"/>
                <w:sz w:val="21"/>
                <w:szCs w:val="21"/>
                <w:highlight w:val="none"/>
              </w:rPr>
            </w:pPr>
            <w:r>
              <w:rPr>
                <w:rFonts w:hint="eastAsia" w:ascii="宋体" w:hAnsi="宋体" w:cs="宋体"/>
                <w:kern w:val="0"/>
                <w:sz w:val="21"/>
                <w:szCs w:val="21"/>
                <w:highlight w:val="none"/>
              </w:rPr>
              <w:t>Y＜100</w:t>
            </w:r>
          </w:p>
        </w:tc>
      </w:tr>
      <w:tr w14:paraId="43B2C20C">
        <w:tblPrEx>
          <w:tblCellMar>
            <w:top w:w="0" w:type="dxa"/>
            <w:left w:w="108" w:type="dxa"/>
            <w:bottom w:w="0" w:type="dxa"/>
            <w:right w:w="108" w:type="dxa"/>
          </w:tblCellMar>
        </w:tblPrEx>
        <w:trPr>
          <w:trHeight w:val="225" w:hRule="atLeast"/>
        </w:trPr>
        <w:tc>
          <w:tcPr>
            <w:tcW w:w="1044" w:type="pct"/>
            <w:tcBorders>
              <w:top w:val="nil"/>
              <w:left w:val="single" w:color="auto" w:sz="4" w:space="0"/>
              <w:bottom w:val="single" w:color="auto" w:sz="4" w:space="0"/>
              <w:right w:val="single" w:color="auto" w:sz="4" w:space="0"/>
            </w:tcBorders>
            <w:vAlign w:val="center"/>
          </w:tcPr>
          <w:p w14:paraId="747BC63B">
            <w:pPr>
              <w:widowControl/>
              <w:jc w:val="center"/>
              <w:rPr>
                <w:rFonts w:ascii="宋体" w:hAnsi="宋体" w:cs="宋体"/>
                <w:b/>
                <w:bCs/>
                <w:kern w:val="0"/>
                <w:sz w:val="21"/>
                <w:szCs w:val="21"/>
                <w:highlight w:val="none"/>
              </w:rPr>
            </w:pPr>
            <w:r>
              <w:rPr>
                <w:rFonts w:hint="eastAsia" w:ascii="宋体" w:hAnsi="宋体" w:cs="宋体"/>
                <w:b/>
                <w:bCs/>
                <w:kern w:val="0"/>
                <w:sz w:val="21"/>
                <w:szCs w:val="21"/>
                <w:highlight w:val="none"/>
              </w:rPr>
              <w:t>其他未列明行业</w:t>
            </w:r>
          </w:p>
        </w:tc>
        <w:tc>
          <w:tcPr>
            <w:tcW w:w="1044" w:type="pct"/>
            <w:tcBorders>
              <w:top w:val="nil"/>
              <w:left w:val="nil"/>
              <w:bottom w:val="single" w:color="auto" w:sz="4" w:space="0"/>
              <w:right w:val="single" w:color="auto" w:sz="4" w:space="0"/>
            </w:tcBorders>
            <w:vAlign w:val="center"/>
          </w:tcPr>
          <w:p w14:paraId="2F23018C">
            <w:pPr>
              <w:widowControl/>
              <w:jc w:val="left"/>
              <w:rPr>
                <w:rFonts w:ascii="宋体" w:hAnsi="宋体" w:cs="宋体"/>
                <w:kern w:val="0"/>
                <w:sz w:val="21"/>
                <w:szCs w:val="21"/>
                <w:highlight w:val="none"/>
              </w:rPr>
            </w:pPr>
            <w:r>
              <w:rPr>
                <w:rFonts w:hint="eastAsia" w:ascii="宋体" w:hAnsi="宋体" w:cs="宋体"/>
                <w:kern w:val="0"/>
                <w:sz w:val="21"/>
                <w:szCs w:val="21"/>
                <w:highlight w:val="none"/>
              </w:rPr>
              <w:t>从业人员（X）</w:t>
            </w:r>
          </w:p>
        </w:tc>
        <w:tc>
          <w:tcPr>
            <w:tcW w:w="447" w:type="pct"/>
            <w:tcBorders>
              <w:top w:val="nil"/>
              <w:left w:val="nil"/>
              <w:bottom w:val="single" w:color="auto" w:sz="4" w:space="0"/>
              <w:right w:val="single" w:color="auto" w:sz="4" w:space="0"/>
            </w:tcBorders>
            <w:vAlign w:val="center"/>
          </w:tcPr>
          <w:p w14:paraId="6586B260">
            <w:pPr>
              <w:widowControl/>
              <w:jc w:val="left"/>
              <w:rPr>
                <w:rFonts w:ascii="宋体" w:hAnsi="宋体" w:cs="宋体"/>
                <w:kern w:val="0"/>
                <w:sz w:val="21"/>
                <w:szCs w:val="21"/>
                <w:highlight w:val="none"/>
              </w:rPr>
            </w:pPr>
            <w:r>
              <w:rPr>
                <w:rFonts w:hint="eastAsia" w:ascii="宋体" w:hAnsi="宋体" w:cs="宋体"/>
                <w:kern w:val="0"/>
                <w:sz w:val="21"/>
                <w:szCs w:val="21"/>
                <w:highlight w:val="none"/>
              </w:rPr>
              <w:t>人</w:t>
            </w:r>
          </w:p>
        </w:tc>
        <w:tc>
          <w:tcPr>
            <w:tcW w:w="970" w:type="pct"/>
            <w:tcBorders>
              <w:top w:val="nil"/>
              <w:left w:val="nil"/>
              <w:bottom w:val="single" w:color="auto" w:sz="4" w:space="0"/>
              <w:right w:val="single" w:color="auto" w:sz="4" w:space="0"/>
            </w:tcBorders>
            <w:vAlign w:val="center"/>
          </w:tcPr>
          <w:p w14:paraId="155B4CC5">
            <w:pPr>
              <w:widowControl/>
              <w:jc w:val="left"/>
              <w:rPr>
                <w:rFonts w:ascii="宋体" w:hAnsi="宋体" w:cs="宋体"/>
                <w:kern w:val="0"/>
                <w:sz w:val="21"/>
                <w:szCs w:val="21"/>
                <w:highlight w:val="none"/>
              </w:rPr>
            </w:pPr>
            <w:r>
              <w:rPr>
                <w:rFonts w:hint="eastAsia" w:ascii="宋体" w:hAnsi="宋体" w:cs="宋体"/>
                <w:kern w:val="0"/>
                <w:sz w:val="21"/>
                <w:szCs w:val="21"/>
                <w:highlight w:val="none"/>
              </w:rPr>
              <w:t>100≤X＜300</w:t>
            </w:r>
          </w:p>
        </w:tc>
        <w:tc>
          <w:tcPr>
            <w:tcW w:w="895" w:type="pct"/>
            <w:tcBorders>
              <w:top w:val="nil"/>
              <w:left w:val="nil"/>
              <w:bottom w:val="single" w:color="auto" w:sz="4" w:space="0"/>
              <w:right w:val="single" w:color="auto" w:sz="4" w:space="0"/>
            </w:tcBorders>
            <w:vAlign w:val="center"/>
          </w:tcPr>
          <w:p w14:paraId="74796517">
            <w:pPr>
              <w:widowControl/>
              <w:jc w:val="left"/>
              <w:rPr>
                <w:rFonts w:ascii="宋体" w:hAnsi="宋体" w:cs="宋体"/>
                <w:kern w:val="0"/>
                <w:sz w:val="21"/>
                <w:szCs w:val="21"/>
                <w:highlight w:val="none"/>
              </w:rPr>
            </w:pPr>
            <w:r>
              <w:rPr>
                <w:rFonts w:hint="eastAsia" w:ascii="宋体" w:hAnsi="宋体" w:cs="宋体"/>
                <w:kern w:val="0"/>
                <w:sz w:val="21"/>
                <w:szCs w:val="21"/>
                <w:highlight w:val="none"/>
              </w:rPr>
              <w:t>10≤X＜100</w:t>
            </w:r>
          </w:p>
        </w:tc>
        <w:tc>
          <w:tcPr>
            <w:tcW w:w="596" w:type="pct"/>
            <w:tcBorders>
              <w:top w:val="nil"/>
              <w:left w:val="nil"/>
              <w:bottom w:val="single" w:color="auto" w:sz="4" w:space="0"/>
              <w:right w:val="single" w:color="auto" w:sz="4" w:space="0"/>
            </w:tcBorders>
            <w:vAlign w:val="center"/>
          </w:tcPr>
          <w:p w14:paraId="66E791EC">
            <w:pPr>
              <w:widowControl/>
              <w:jc w:val="left"/>
              <w:rPr>
                <w:rFonts w:ascii="宋体" w:hAnsi="宋体" w:cs="宋体"/>
                <w:kern w:val="0"/>
                <w:sz w:val="21"/>
                <w:szCs w:val="21"/>
                <w:highlight w:val="none"/>
              </w:rPr>
            </w:pPr>
            <w:r>
              <w:rPr>
                <w:rFonts w:hint="eastAsia" w:ascii="宋体" w:hAnsi="宋体" w:cs="宋体"/>
                <w:kern w:val="0"/>
                <w:sz w:val="21"/>
                <w:szCs w:val="21"/>
                <w:highlight w:val="none"/>
              </w:rPr>
              <w:t>X＜10</w:t>
            </w:r>
          </w:p>
        </w:tc>
      </w:tr>
    </w:tbl>
    <w:p w14:paraId="47AEBFD3">
      <w:pPr>
        <w:widowControl/>
        <w:jc w:val="left"/>
        <w:rPr>
          <w:rFonts w:hint="eastAsia" w:ascii="宋体" w:hAnsi="宋体"/>
          <w:sz w:val="21"/>
          <w:szCs w:val="21"/>
          <w:highlight w:val="none"/>
        </w:rPr>
      </w:pPr>
      <w:r>
        <w:rPr>
          <w:rFonts w:hint="eastAsia" w:ascii="宋体" w:hAnsi="宋体"/>
          <w:sz w:val="21"/>
          <w:szCs w:val="21"/>
          <w:highlight w:val="none"/>
        </w:rPr>
        <w:t>说明：上述标准参照《关于印发中小企业划型标准规定的通知》（工信部联企业[2011]300号），</w:t>
      </w:r>
    </w:p>
    <w:p w14:paraId="501EAEF5">
      <w:pPr>
        <w:widowControl/>
        <w:jc w:val="left"/>
        <w:rPr>
          <w:rFonts w:hint="eastAsia" w:ascii="宋体" w:hAnsi="宋体"/>
          <w:sz w:val="21"/>
          <w:szCs w:val="21"/>
          <w:highlight w:val="none"/>
        </w:rPr>
      </w:pPr>
    </w:p>
    <w:p w14:paraId="5B565863">
      <w:pPr>
        <w:widowControl/>
        <w:jc w:val="left"/>
        <w:rPr>
          <w:rFonts w:hint="eastAsia" w:ascii="宋体" w:hAnsi="宋体" w:eastAsia="宋体"/>
          <w:b/>
          <w:kern w:val="0"/>
          <w:sz w:val="21"/>
          <w:szCs w:val="21"/>
          <w:highlight w:val="none"/>
          <w:lang w:eastAsia="zh-CN"/>
        </w:rPr>
      </w:pPr>
      <w:r>
        <w:rPr>
          <w:rFonts w:hint="eastAsia" w:ascii="宋体" w:hAnsi="宋体"/>
          <w:sz w:val="21"/>
          <w:szCs w:val="21"/>
          <w:highlight w:val="none"/>
        </w:rPr>
        <w:t>大型、中型和小型企业须同时满足所列指标的下限，否则下划一档；微型企业只须满足所列指标中的一项即可</w:t>
      </w:r>
      <w:r>
        <w:rPr>
          <w:rFonts w:hint="eastAsia" w:ascii="宋体" w:hAnsi="宋体"/>
          <w:sz w:val="21"/>
          <w:szCs w:val="21"/>
          <w:highlight w:val="none"/>
          <w:lang w:eastAsia="zh-CN"/>
        </w:rPr>
        <w:t>。</w:t>
      </w:r>
    </w:p>
    <w:p w14:paraId="0DCD7B1D">
      <w:pPr>
        <w:pStyle w:val="3"/>
        <w:numPr>
          <w:ilvl w:val="-1"/>
          <w:numId w:val="0"/>
        </w:numPr>
        <w:adjustRightInd/>
        <w:spacing w:line="360" w:lineRule="auto"/>
        <w:jc w:val="center"/>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br w:type="page"/>
      </w:r>
      <w:bookmarkStart w:id="217" w:name="_Toc16187"/>
      <w:bookmarkStart w:id="218" w:name="_Toc21913"/>
      <w:r>
        <w:rPr>
          <w:rFonts w:hint="eastAsia" w:ascii="宋体" w:hAnsi="宋体" w:eastAsia="宋体" w:cs="宋体"/>
          <w:b/>
          <w:color w:val="auto"/>
          <w:kern w:val="2"/>
          <w:sz w:val="30"/>
          <w:szCs w:val="30"/>
          <w:highlight w:val="none"/>
        </w:rPr>
        <w:t xml:space="preserve">第三章  </w:t>
      </w:r>
      <w:bookmarkEnd w:id="106"/>
      <w:r>
        <w:rPr>
          <w:rFonts w:hint="eastAsia" w:ascii="宋体" w:hAnsi="宋体" w:eastAsia="宋体" w:cs="宋体"/>
          <w:b/>
          <w:color w:val="auto"/>
          <w:kern w:val="2"/>
          <w:sz w:val="30"/>
          <w:szCs w:val="30"/>
          <w:highlight w:val="none"/>
        </w:rPr>
        <w:t>评标办法</w:t>
      </w:r>
      <w:bookmarkEnd w:id="217"/>
      <w:bookmarkEnd w:id="218"/>
    </w:p>
    <w:p w14:paraId="2B023F12">
      <w:pPr>
        <w:widowControl/>
        <w:shd w:val="clear" w:color="auto" w:fill="FFFFFF"/>
        <w:adjustRightInd/>
        <w:snapToGrid w:val="0"/>
        <w:spacing w:line="360" w:lineRule="auto"/>
        <w:jc w:val="center"/>
        <w:outlineLvl w:val="1"/>
        <w:rPr>
          <w:rFonts w:hint="eastAsia" w:ascii="宋体" w:hAnsi="宋体" w:eastAsia="宋体" w:cs="宋体"/>
          <w:b/>
          <w:color w:val="auto"/>
          <w:sz w:val="24"/>
          <w:szCs w:val="24"/>
          <w:highlight w:val="none"/>
        </w:rPr>
      </w:pPr>
      <w:bookmarkStart w:id="219" w:name="_Toc19745"/>
      <w:bookmarkStart w:id="220" w:name="_Toc30738"/>
      <w:r>
        <w:rPr>
          <w:rFonts w:hint="eastAsia" w:ascii="宋体" w:hAnsi="宋体" w:eastAsia="宋体" w:cs="宋体"/>
          <w:b/>
          <w:color w:val="auto"/>
          <w:sz w:val="24"/>
          <w:szCs w:val="24"/>
          <w:highlight w:val="none"/>
        </w:rPr>
        <w:t>1、评标办法</w:t>
      </w:r>
      <w:bookmarkEnd w:id="219"/>
      <w:bookmarkEnd w:id="220"/>
    </w:p>
    <w:p w14:paraId="30B9F84A">
      <w:pPr>
        <w:widowControl/>
        <w:adjustRightInd/>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本次评标</w:t>
      </w:r>
      <w:r>
        <w:rPr>
          <w:rFonts w:hint="eastAsia" w:ascii="宋体" w:hAnsi="宋体" w:eastAsia="宋体" w:cs="宋体"/>
          <w:b/>
          <w:color w:val="auto"/>
          <w:sz w:val="24"/>
          <w:szCs w:val="24"/>
          <w:highlight w:val="none"/>
        </w:rPr>
        <w:t>按照《政府采购货物和服务招标投标管理办法》（中华人民共和国财政部令第87号）</w:t>
      </w:r>
      <w:r>
        <w:rPr>
          <w:rFonts w:hint="eastAsia" w:ascii="宋体" w:hAnsi="宋体" w:eastAsia="宋体" w:cs="宋体"/>
          <w:b/>
          <w:color w:val="auto"/>
          <w:kern w:val="2"/>
          <w:sz w:val="24"/>
          <w:szCs w:val="24"/>
          <w:highlight w:val="none"/>
        </w:rPr>
        <w:t>规定的评审标准，采用综合评分法</w:t>
      </w:r>
      <w:r>
        <w:rPr>
          <w:rFonts w:hint="eastAsia" w:ascii="宋体" w:hAnsi="宋体" w:eastAsia="宋体" w:cs="宋体"/>
          <w:color w:val="auto"/>
          <w:sz w:val="24"/>
          <w:szCs w:val="24"/>
          <w:highlight w:val="none"/>
        </w:rPr>
        <w:t xml:space="preserve">。评标委员会对全部满足采购文件实质性要求前提下，按照采购文件中规定的各项因素进行综合评审后，按评审后的综合得分由高到低顺序排列，以评标总得分最高的供应商作为中标候选人。得分相同的，按投标报价由低到高顺序排列。得分且投标报价相同的，按技术指标优劣顺序排列。 </w:t>
      </w:r>
    </w:p>
    <w:p w14:paraId="7D943842">
      <w:pPr>
        <w:widowControl/>
        <w:adjustRightInd/>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2、评审标准</w:t>
      </w:r>
    </w:p>
    <w:p w14:paraId="0AB22187">
      <w:pPr>
        <w:widowControl/>
        <w:adjustRightInd/>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1、评标程序</w:t>
      </w:r>
    </w:p>
    <w:p w14:paraId="114496E1">
      <w:pPr>
        <w:widowControl/>
        <w:adjustRightInd/>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资格审查及符合性检查。 </w:t>
      </w:r>
    </w:p>
    <w:p w14:paraId="3FC04F61">
      <w:pPr>
        <w:widowControl/>
        <w:adjustRightInd/>
        <w:spacing w:line="360" w:lineRule="auto"/>
        <w:ind w:firstLine="240" w:firstLineChars="1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依据法律法规和采购文件的规定，在对响应文件详细评估之前，</w:t>
      </w:r>
      <w:r>
        <w:rPr>
          <w:rFonts w:hint="eastAsia" w:ascii="宋体" w:hAnsi="宋体" w:eastAsia="宋体" w:cs="宋体"/>
          <w:color w:val="auto"/>
          <w:sz w:val="24"/>
          <w:szCs w:val="24"/>
          <w:highlight w:val="none"/>
          <w:lang w:val="en-US" w:eastAsia="zh-CN"/>
        </w:rPr>
        <w:t>资格审查小组</w:t>
      </w:r>
      <w:r>
        <w:rPr>
          <w:rFonts w:hint="eastAsia" w:ascii="宋体" w:hAnsi="宋体" w:eastAsia="宋体" w:cs="宋体"/>
          <w:color w:val="auto"/>
          <w:sz w:val="24"/>
          <w:szCs w:val="24"/>
          <w:highlight w:val="none"/>
        </w:rPr>
        <w:t>将依据供应商提交的响应文件按供应商须知前附表所述的资格标准对供应商进行资格审查，以确定其是否具备投标资格。</w:t>
      </w:r>
      <w:r>
        <w:rPr>
          <w:rFonts w:hint="eastAsia" w:hAnsi="宋体" w:cs="宋体"/>
          <w:color w:val="auto"/>
          <w:kern w:val="2"/>
          <w:sz w:val="24"/>
          <w:szCs w:val="24"/>
          <w:highlight w:val="none"/>
          <w:lang w:val="en-US" w:eastAsia="zh-CN"/>
        </w:rPr>
        <w:t>★</w:t>
      </w:r>
      <w:r>
        <w:rPr>
          <w:rFonts w:hint="eastAsia" w:ascii="宋体" w:hAnsi="宋体" w:eastAsia="宋体" w:cs="宋体"/>
          <w:b/>
          <w:color w:val="auto"/>
          <w:sz w:val="24"/>
          <w:szCs w:val="24"/>
          <w:highlight w:val="none"/>
        </w:rPr>
        <w:t>如果供应商不具备投标资格，不满足采购文件所规定的资格标准或提供资格证明文件不全的，其投标无效。</w:t>
      </w:r>
    </w:p>
    <w:p w14:paraId="39F72785">
      <w:pPr>
        <w:widowControl/>
        <w:adjustRightInd/>
        <w:spacing w:line="360" w:lineRule="auto"/>
        <w:ind w:firstLine="240" w:firstLineChars="1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性检查：由评标委员会依据有关法律、法规及采购文件的要求，对符合资格的供应商的响应文件进行符合性审查，以确定是否对采购文件的实质性要求做出响应。只有通过符合性审查的供应商的响应文件才能进入下一阶段的评审！</w:t>
      </w:r>
    </w:p>
    <w:p w14:paraId="0F37B1B3">
      <w:pPr>
        <w:widowControl/>
        <w:adjustRightInd/>
        <w:spacing w:line="360" w:lineRule="auto"/>
        <w:jc w:val="left"/>
        <w:outlineLvl w:val="2"/>
        <w:rPr>
          <w:rFonts w:hint="eastAsia" w:ascii="宋体" w:hAnsi="宋体" w:eastAsia="宋体" w:cs="宋体"/>
          <w:b/>
          <w:color w:val="auto"/>
          <w:sz w:val="24"/>
          <w:szCs w:val="24"/>
          <w:highlight w:val="none"/>
        </w:rPr>
      </w:pPr>
      <w:bookmarkStart w:id="221" w:name="_Toc6926"/>
      <w:bookmarkStart w:id="222" w:name="_Toc19348"/>
      <w:r>
        <w:rPr>
          <w:rFonts w:hint="eastAsia" w:ascii="宋体" w:hAnsi="宋体" w:eastAsia="宋体" w:cs="宋体"/>
          <w:b/>
          <w:color w:val="auto"/>
          <w:sz w:val="24"/>
          <w:szCs w:val="24"/>
          <w:highlight w:val="none"/>
        </w:rPr>
        <w:t>2.2 比较与评价</w:t>
      </w:r>
      <w:bookmarkEnd w:id="221"/>
      <w:bookmarkEnd w:id="222"/>
    </w:p>
    <w:p w14:paraId="0CD57682">
      <w:pPr>
        <w:widowControl/>
        <w:adjustRightInd/>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评标委员会对通过资格性检查和符合性审查的每个供应商的响应文件，按照采购文件中规定的评审标准</w:t>
      </w:r>
      <w:r>
        <w:rPr>
          <w:rFonts w:hint="eastAsia" w:ascii="宋体" w:hAnsi="宋体" w:eastAsia="宋体" w:cs="宋体"/>
          <w:color w:val="auto"/>
          <w:kern w:val="2"/>
          <w:sz w:val="24"/>
          <w:szCs w:val="24"/>
          <w:highlight w:val="none"/>
        </w:rPr>
        <w:t>审查、评价响应文件是否符合采购文件的商务、技术等实质性要求，并</w:t>
      </w:r>
      <w:r>
        <w:rPr>
          <w:rFonts w:hint="eastAsia" w:ascii="宋体" w:hAnsi="宋体" w:eastAsia="宋体" w:cs="宋体"/>
          <w:color w:val="auto"/>
          <w:sz w:val="24"/>
          <w:szCs w:val="24"/>
          <w:highlight w:val="none"/>
        </w:rPr>
        <w:t>对响应文件的投标价格作进一步综合比较与评价。</w:t>
      </w:r>
    </w:p>
    <w:p w14:paraId="0314E23C">
      <w:pPr>
        <w:widowControl/>
        <w:adjustRightInd/>
        <w:spacing w:line="360" w:lineRule="auto"/>
        <w:jc w:val="left"/>
        <w:outlineLvl w:val="2"/>
        <w:rPr>
          <w:rFonts w:hint="eastAsia" w:ascii="宋体" w:hAnsi="宋体" w:eastAsia="宋体" w:cs="宋体"/>
          <w:color w:val="auto"/>
          <w:sz w:val="24"/>
          <w:szCs w:val="24"/>
          <w:highlight w:val="none"/>
        </w:rPr>
      </w:pPr>
      <w:bookmarkStart w:id="223" w:name="_Toc9227"/>
      <w:bookmarkStart w:id="224" w:name="_Toc3596"/>
      <w:r>
        <w:rPr>
          <w:rFonts w:hint="eastAsia" w:ascii="宋体" w:hAnsi="宋体" w:eastAsia="宋体" w:cs="宋体"/>
          <w:b/>
          <w:color w:val="auto"/>
          <w:sz w:val="24"/>
          <w:szCs w:val="24"/>
          <w:highlight w:val="none"/>
        </w:rPr>
        <w:t>2.3评审因素</w:t>
      </w:r>
      <w:bookmarkEnd w:id="223"/>
      <w:bookmarkEnd w:id="224"/>
    </w:p>
    <w:p w14:paraId="13FF31F4">
      <w:pPr>
        <w:widowControl/>
        <w:adjustRightInd/>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2.3.1评标委员会对全部满足采购文件实质性要求前提下，按照采购文件中规定的各项因素进行综合评审后，并以记名方式进行评分。在评标中，不得改变采购文件中规定的评标标准、方法和中标条件。</w:t>
      </w:r>
    </w:p>
    <w:p w14:paraId="5522FF7E">
      <w:pPr>
        <w:widowControl/>
        <w:adjustRightInd/>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2.3.2在评标中，不得改变采购文件中规定的评标标准、方法和中标条件。不得将供应商的注册资本、资产总额、营业收入、从业人员、利润、纳税额等规模条件作为资格要求或者评审因素，也不得通过将除进口货物以外的生产厂家授权、承诺、证明、背书等作为资格要求，对供应商实行差别待遇或者歧视待遇。</w:t>
      </w:r>
    </w:p>
    <w:p w14:paraId="1FC6A1D7">
      <w:pPr>
        <w:rPr>
          <w:rFonts w:hint="eastAsia" w:ascii="宋体" w:hAnsi="宋体" w:eastAsia="宋体" w:cs="宋体"/>
          <w:b/>
          <w:color w:val="auto"/>
          <w:sz w:val="24"/>
          <w:szCs w:val="24"/>
          <w:highlight w:val="none"/>
        </w:rPr>
      </w:pPr>
      <w:bookmarkStart w:id="225" w:name="_Toc32609"/>
      <w:r>
        <w:rPr>
          <w:rFonts w:hint="eastAsia" w:ascii="宋体" w:hAnsi="宋体" w:eastAsia="宋体" w:cs="宋体"/>
          <w:b/>
          <w:color w:val="auto"/>
          <w:sz w:val="24"/>
          <w:szCs w:val="24"/>
          <w:highlight w:val="none"/>
        </w:rPr>
        <w:br w:type="page"/>
      </w:r>
    </w:p>
    <w:p w14:paraId="68D345DD">
      <w:pPr>
        <w:widowControl/>
        <w:shd w:val="clear" w:color="auto" w:fill="FFFFFF"/>
        <w:adjustRightInd/>
        <w:snapToGrid w:val="0"/>
        <w:spacing w:line="360" w:lineRule="auto"/>
        <w:jc w:val="center"/>
        <w:outlineLvl w:val="1"/>
        <w:rPr>
          <w:rFonts w:hint="eastAsia" w:ascii="宋体" w:hAnsi="宋体" w:eastAsia="宋体" w:cs="宋体"/>
          <w:b/>
          <w:color w:val="auto"/>
          <w:sz w:val="24"/>
          <w:szCs w:val="24"/>
          <w:highlight w:val="none"/>
        </w:rPr>
      </w:pPr>
      <w:bookmarkStart w:id="226" w:name="_Toc27377"/>
      <w:r>
        <w:rPr>
          <w:rFonts w:hint="eastAsia" w:ascii="宋体" w:hAnsi="宋体" w:eastAsia="宋体" w:cs="宋体"/>
          <w:b/>
          <w:color w:val="auto"/>
          <w:sz w:val="24"/>
          <w:szCs w:val="24"/>
          <w:highlight w:val="none"/>
        </w:rPr>
        <w:t>3、评标程序</w:t>
      </w:r>
      <w:bookmarkEnd w:id="225"/>
      <w:bookmarkEnd w:id="226"/>
    </w:p>
    <w:p w14:paraId="54D22392">
      <w:pPr>
        <w:widowControl/>
        <w:adjustRightInd/>
        <w:spacing w:line="360" w:lineRule="auto"/>
        <w:ind w:firstLine="442" w:firstLineChars="200"/>
        <w:jc w:val="left"/>
        <w:rPr>
          <w:rFonts w:hint="eastAsia" w:hAnsi="宋体" w:cs="宋体"/>
          <w:b/>
          <w:color w:val="auto"/>
          <w:kern w:val="2"/>
          <w:sz w:val="22"/>
          <w:szCs w:val="22"/>
          <w:highlight w:val="none"/>
          <w:lang w:val="en-US" w:eastAsia="zh-CN"/>
        </w:rPr>
      </w:pPr>
      <w:r>
        <w:rPr>
          <w:rFonts w:hint="eastAsia" w:ascii="宋体" w:hAnsi="宋体" w:eastAsia="宋体" w:cs="宋体"/>
          <w:b/>
          <w:color w:val="auto"/>
          <w:kern w:val="2"/>
          <w:sz w:val="22"/>
          <w:szCs w:val="22"/>
          <w:highlight w:val="none"/>
        </w:rPr>
        <w:t>资格审查(由采购人或采购代理机构进行资格审查，若供应商资格审查未通过，将认定整个响应文件不响应采购文件而予以投标无效）</w:t>
      </w:r>
    </w:p>
    <w:p w14:paraId="7472BBC4">
      <w:pPr>
        <w:widowControl/>
        <w:adjustRightInd/>
        <w:spacing w:line="360" w:lineRule="auto"/>
        <w:ind w:firstLine="482" w:firstLineChars="200"/>
        <w:jc w:val="center"/>
        <w:rPr>
          <w:rFonts w:hint="eastAsia" w:ascii="宋体" w:hAnsi="宋体" w:eastAsia="宋体" w:cs="宋体"/>
          <w:b/>
          <w:color w:val="auto"/>
          <w:kern w:val="2"/>
          <w:sz w:val="24"/>
          <w:szCs w:val="24"/>
          <w:highlight w:val="none"/>
          <w:lang w:val="en-US" w:eastAsia="zh-CN"/>
        </w:rPr>
      </w:pPr>
      <w:r>
        <w:rPr>
          <w:rFonts w:hint="eastAsia" w:hAnsi="宋体" w:cs="宋体"/>
          <w:b/>
          <w:color w:val="auto"/>
          <w:kern w:val="2"/>
          <w:sz w:val="24"/>
          <w:szCs w:val="24"/>
          <w:highlight w:val="none"/>
          <w:lang w:val="en-US" w:eastAsia="zh-CN"/>
        </w:rPr>
        <w:t>资格审查</w:t>
      </w:r>
    </w:p>
    <w:tbl>
      <w:tblPr>
        <w:tblStyle w:val="3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
        <w:gridCol w:w="3396"/>
        <w:gridCol w:w="4503"/>
        <w:gridCol w:w="458"/>
        <w:gridCol w:w="460"/>
      </w:tblGrid>
      <w:tr w14:paraId="61EBE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jc w:val="center"/>
        </w:trPr>
        <w:tc>
          <w:tcPr>
            <w:tcW w:w="246" w:type="pct"/>
            <w:vMerge w:val="restart"/>
            <w:vAlign w:val="center"/>
          </w:tcPr>
          <w:p w14:paraId="688D59C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序号</w:t>
            </w:r>
          </w:p>
        </w:tc>
        <w:tc>
          <w:tcPr>
            <w:tcW w:w="1830" w:type="pct"/>
            <w:vMerge w:val="restart"/>
            <w:vAlign w:val="center"/>
          </w:tcPr>
          <w:p w14:paraId="500B041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审查因素</w:t>
            </w:r>
          </w:p>
        </w:tc>
        <w:tc>
          <w:tcPr>
            <w:tcW w:w="2427" w:type="pct"/>
            <w:vMerge w:val="restart"/>
            <w:vAlign w:val="center"/>
          </w:tcPr>
          <w:p w14:paraId="442BB1D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48" w:rightChars="-14"/>
              <w:jc w:val="center"/>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审查要求</w:t>
            </w:r>
          </w:p>
        </w:tc>
        <w:tc>
          <w:tcPr>
            <w:tcW w:w="494" w:type="pct"/>
            <w:gridSpan w:val="2"/>
            <w:vAlign w:val="center"/>
          </w:tcPr>
          <w:p w14:paraId="634EB53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bCs/>
                <w:color w:val="auto"/>
                <w:sz w:val="24"/>
                <w:szCs w:val="24"/>
                <w:highlight w:val="none"/>
                <w:vertAlign w:val="baseline"/>
                <w:lang w:val="en-US" w:eastAsia="zh-CN"/>
              </w:rPr>
            </w:pPr>
            <w:r>
              <w:rPr>
                <w:rFonts w:hint="eastAsia" w:hAnsi="宋体" w:cs="宋体"/>
                <w:b/>
                <w:bCs/>
                <w:color w:val="auto"/>
                <w:sz w:val="24"/>
                <w:szCs w:val="24"/>
                <w:highlight w:val="none"/>
                <w:vertAlign w:val="baseline"/>
                <w:lang w:val="en-US" w:eastAsia="zh-CN"/>
              </w:rPr>
              <w:t>评审意见</w:t>
            </w:r>
          </w:p>
        </w:tc>
      </w:tr>
      <w:tr w14:paraId="11A2C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246" w:type="pct"/>
            <w:vMerge w:val="continue"/>
            <w:vAlign w:val="center"/>
          </w:tcPr>
          <w:p w14:paraId="78D6D93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szCs w:val="24"/>
                <w:highlight w:val="none"/>
                <w:vertAlign w:val="baseline"/>
                <w:lang w:val="en-US" w:eastAsia="zh-CN"/>
              </w:rPr>
            </w:pPr>
          </w:p>
        </w:tc>
        <w:tc>
          <w:tcPr>
            <w:tcW w:w="1830" w:type="pct"/>
            <w:vMerge w:val="continue"/>
            <w:vAlign w:val="center"/>
          </w:tcPr>
          <w:p w14:paraId="285F5AB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szCs w:val="24"/>
                <w:highlight w:val="none"/>
                <w:vertAlign w:val="baseline"/>
                <w:lang w:val="en-US" w:eastAsia="zh-CN"/>
              </w:rPr>
            </w:pPr>
          </w:p>
        </w:tc>
        <w:tc>
          <w:tcPr>
            <w:tcW w:w="2427" w:type="pct"/>
            <w:vMerge w:val="continue"/>
            <w:vAlign w:val="center"/>
          </w:tcPr>
          <w:p w14:paraId="52A10AB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szCs w:val="24"/>
                <w:highlight w:val="none"/>
                <w:vertAlign w:val="baseline"/>
                <w:lang w:val="en-US" w:eastAsia="zh-CN"/>
              </w:rPr>
            </w:pPr>
          </w:p>
        </w:tc>
        <w:tc>
          <w:tcPr>
            <w:tcW w:w="246" w:type="pct"/>
            <w:vAlign w:val="center"/>
          </w:tcPr>
          <w:p w14:paraId="759D48B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bCs/>
                <w:color w:val="auto"/>
                <w:sz w:val="24"/>
                <w:szCs w:val="24"/>
                <w:highlight w:val="none"/>
                <w:lang w:val="en-US" w:eastAsia="zh-CN"/>
              </w:rPr>
            </w:pPr>
            <w:r>
              <w:rPr>
                <w:rFonts w:hint="eastAsia" w:hAnsi="宋体" w:cs="宋体"/>
                <w:b/>
                <w:bCs/>
                <w:color w:val="auto"/>
                <w:sz w:val="24"/>
                <w:szCs w:val="24"/>
                <w:highlight w:val="none"/>
                <w:lang w:val="en-US" w:eastAsia="zh-CN"/>
              </w:rPr>
              <w:t>是</w:t>
            </w:r>
          </w:p>
        </w:tc>
        <w:tc>
          <w:tcPr>
            <w:tcW w:w="248" w:type="pct"/>
            <w:vAlign w:val="center"/>
          </w:tcPr>
          <w:p w14:paraId="59C24DF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bCs/>
                <w:color w:val="auto"/>
                <w:sz w:val="24"/>
                <w:szCs w:val="24"/>
                <w:highlight w:val="none"/>
                <w:lang w:val="en-US" w:eastAsia="zh-CN"/>
              </w:rPr>
            </w:pPr>
            <w:r>
              <w:rPr>
                <w:rFonts w:hint="eastAsia" w:hAnsi="宋体" w:cs="宋体"/>
                <w:b/>
                <w:bCs/>
                <w:color w:val="auto"/>
                <w:sz w:val="24"/>
                <w:szCs w:val="24"/>
                <w:highlight w:val="none"/>
                <w:lang w:val="en-US" w:eastAsia="zh-CN"/>
              </w:rPr>
              <w:t>否</w:t>
            </w:r>
          </w:p>
        </w:tc>
      </w:tr>
      <w:tr w14:paraId="48673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 w:type="pct"/>
            <w:vAlign w:val="center"/>
          </w:tcPr>
          <w:p w14:paraId="2B22E1D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1</w:t>
            </w:r>
          </w:p>
        </w:tc>
        <w:tc>
          <w:tcPr>
            <w:tcW w:w="1830" w:type="pct"/>
            <w:vAlign w:val="center"/>
          </w:tcPr>
          <w:p w14:paraId="4A5733E9">
            <w:pPr>
              <w:pStyle w:val="25"/>
              <w:spacing w:line="360" w:lineRule="auto"/>
              <w:ind w:right="-119" w:rightChars="-3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具有独立承担民事责任的能力</w:t>
            </w:r>
          </w:p>
        </w:tc>
        <w:tc>
          <w:tcPr>
            <w:tcW w:w="2427" w:type="pct"/>
            <w:vAlign w:val="center"/>
          </w:tcPr>
          <w:p w14:paraId="7D7217E2">
            <w:pPr>
              <w:pStyle w:val="25"/>
              <w:spacing w:line="360" w:lineRule="auto"/>
              <w:ind w:right="-119" w:rightChars="-3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法人营业执照或事业单位法人证书</w:t>
            </w:r>
          </w:p>
        </w:tc>
        <w:tc>
          <w:tcPr>
            <w:tcW w:w="246" w:type="pct"/>
            <w:vAlign w:val="center"/>
          </w:tcPr>
          <w:p w14:paraId="2CAC60A7">
            <w:pPr>
              <w:widowControl/>
              <w:adjustRightInd/>
              <w:spacing w:line="360" w:lineRule="auto"/>
              <w:jc w:val="left"/>
              <w:rPr>
                <w:rFonts w:hint="eastAsia" w:ascii="宋体" w:hAnsi="宋体" w:eastAsia="宋体" w:cs="宋体"/>
                <w:color w:val="auto"/>
                <w:sz w:val="24"/>
                <w:szCs w:val="24"/>
                <w:highlight w:val="none"/>
                <w:lang w:val="en-US" w:eastAsia="zh-CN"/>
              </w:rPr>
            </w:pPr>
          </w:p>
        </w:tc>
        <w:tc>
          <w:tcPr>
            <w:tcW w:w="248" w:type="pct"/>
            <w:vAlign w:val="center"/>
          </w:tcPr>
          <w:p w14:paraId="329D8BF9">
            <w:pPr>
              <w:widowControl/>
              <w:adjustRightInd/>
              <w:spacing w:line="360" w:lineRule="auto"/>
              <w:jc w:val="left"/>
              <w:rPr>
                <w:rFonts w:hint="eastAsia" w:ascii="宋体" w:hAnsi="宋体" w:eastAsia="宋体" w:cs="宋体"/>
                <w:color w:val="auto"/>
                <w:sz w:val="24"/>
                <w:szCs w:val="24"/>
                <w:highlight w:val="none"/>
                <w:lang w:val="en-US" w:eastAsia="zh-CN"/>
              </w:rPr>
            </w:pPr>
          </w:p>
        </w:tc>
      </w:tr>
      <w:tr w14:paraId="47DC0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 w:type="pct"/>
            <w:vAlign w:val="center"/>
          </w:tcPr>
          <w:p w14:paraId="6550CDF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2</w:t>
            </w:r>
          </w:p>
        </w:tc>
        <w:tc>
          <w:tcPr>
            <w:tcW w:w="1830" w:type="pct"/>
            <w:vAlign w:val="center"/>
          </w:tcPr>
          <w:p w14:paraId="56098C6B">
            <w:pPr>
              <w:pStyle w:val="25"/>
              <w:spacing w:line="360" w:lineRule="auto"/>
              <w:ind w:right="-119" w:rightChars="-35"/>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具有良好的商业信誉和健全的财务会计</w:t>
            </w:r>
            <w:r>
              <w:rPr>
                <w:rFonts w:hint="eastAsia" w:hAnsi="宋体" w:cs="宋体"/>
                <w:color w:val="auto"/>
                <w:sz w:val="24"/>
                <w:szCs w:val="24"/>
                <w:highlight w:val="none"/>
                <w:lang w:val="en-US" w:eastAsia="zh-CN"/>
              </w:rPr>
              <w:t>证明</w:t>
            </w:r>
          </w:p>
        </w:tc>
        <w:tc>
          <w:tcPr>
            <w:tcW w:w="2427" w:type="pct"/>
            <w:vAlign w:val="center"/>
          </w:tcPr>
          <w:p w14:paraId="34060282">
            <w:pPr>
              <w:pStyle w:val="25"/>
              <w:spacing w:line="360" w:lineRule="auto"/>
              <w:ind w:right="-119" w:rightChars="-3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须提供本单位上一年度</w:t>
            </w:r>
            <w:r>
              <w:rPr>
                <w:rFonts w:hint="eastAsia" w:hAnsi="宋体" w:cs="宋体"/>
                <w:color w:val="auto"/>
                <w:sz w:val="24"/>
                <w:szCs w:val="24"/>
                <w:highlight w:val="none"/>
                <w:lang w:val="en-US" w:eastAsia="zh-CN"/>
              </w:rPr>
              <w:t>（2025年）</w:t>
            </w:r>
            <w:r>
              <w:rPr>
                <w:rFonts w:hint="eastAsia" w:ascii="宋体" w:hAnsi="宋体" w:eastAsia="宋体" w:cs="宋体"/>
                <w:color w:val="auto"/>
                <w:sz w:val="24"/>
                <w:szCs w:val="24"/>
                <w:highlight w:val="none"/>
                <w:lang w:val="en-US" w:eastAsia="zh-CN"/>
              </w:rPr>
              <w:t>由会计师事务所出具的财务审计报告，审计报告须包括资产负债表、利润表、现金流量表、所有者权益变动（如有）及其附注（扫描件并加盖本单位电子盖章）。如投标人无法提供上年度审计报告，则需提供开标日前三个月内银行出具的资信证明。银行资信证明可提供原件扫描件加盖电子盖章。</w:t>
            </w:r>
          </w:p>
        </w:tc>
        <w:tc>
          <w:tcPr>
            <w:tcW w:w="246" w:type="pct"/>
            <w:vAlign w:val="center"/>
          </w:tcPr>
          <w:p w14:paraId="3D5DC329">
            <w:pPr>
              <w:widowControl/>
              <w:adjustRightInd/>
              <w:spacing w:line="360" w:lineRule="auto"/>
              <w:jc w:val="left"/>
              <w:rPr>
                <w:rFonts w:hint="eastAsia" w:ascii="宋体" w:hAnsi="宋体" w:eastAsia="宋体" w:cs="宋体"/>
                <w:color w:val="auto"/>
                <w:sz w:val="24"/>
                <w:szCs w:val="24"/>
                <w:highlight w:val="none"/>
                <w:lang w:val="en-US" w:eastAsia="zh-CN"/>
              </w:rPr>
            </w:pPr>
          </w:p>
        </w:tc>
        <w:tc>
          <w:tcPr>
            <w:tcW w:w="248" w:type="pct"/>
            <w:vAlign w:val="center"/>
          </w:tcPr>
          <w:p w14:paraId="349FF57E">
            <w:pPr>
              <w:widowControl/>
              <w:adjustRightInd/>
              <w:spacing w:line="360" w:lineRule="auto"/>
              <w:jc w:val="left"/>
              <w:rPr>
                <w:rFonts w:hint="eastAsia" w:ascii="宋体" w:hAnsi="宋体" w:eastAsia="宋体" w:cs="宋体"/>
                <w:color w:val="auto"/>
                <w:sz w:val="24"/>
                <w:szCs w:val="24"/>
                <w:highlight w:val="none"/>
                <w:lang w:val="en-US" w:eastAsia="zh-CN"/>
              </w:rPr>
            </w:pPr>
          </w:p>
        </w:tc>
      </w:tr>
      <w:tr w14:paraId="29BA4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 w:type="pct"/>
            <w:vAlign w:val="center"/>
          </w:tcPr>
          <w:p w14:paraId="13DD4D1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3</w:t>
            </w:r>
          </w:p>
        </w:tc>
        <w:tc>
          <w:tcPr>
            <w:tcW w:w="1830" w:type="pct"/>
            <w:vAlign w:val="center"/>
          </w:tcPr>
          <w:p w14:paraId="12E07A61">
            <w:pPr>
              <w:pStyle w:val="25"/>
              <w:spacing w:line="360" w:lineRule="auto"/>
              <w:ind w:right="-119" w:rightChars="-35"/>
              <w:rPr>
                <w:rFonts w:hint="eastAsia" w:ascii="宋体" w:hAnsi="宋体" w:eastAsia="宋体" w:cs="宋体"/>
                <w:color w:val="FF0000"/>
                <w:sz w:val="24"/>
                <w:szCs w:val="24"/>
                <w:highlight w:val="none"/>
                <w:lang w:val="en-US" w:eastAsia="zh-CN"/>
              </w:rPr>
            </w:pPr>
            <w:r>
              <w:rPr>
                <w:rFonts w:hint="eastAsia" w:ascii="宋体" w:hAnsi="宋体" w:eastAsia="宋体" w:cs="宋体"/>
                <w:color w:val="FF0000"/>
                <w:sz w:val="24"/>
                <w:szCs w:val="24"/>
                <w:highlight w:val="none"/>
                <w:lang w:val="en-US" w:eastAsia="zh-CN"/>
              </w:rPr>
              <w:t>具有履行合同所必需的设备和专业技术能力</w:t>
            </w:r>
          </w:p>
        </w:tc>
        <w:tc>
          <w:tcPr>
            <w:tcW w:w="2427" w:type="pct"/>
            <w:vAlign w:val="center"/>
          </w:tcPr>
          <w:p w14:paraId="30C19CE3">
            <w:pPr>
              <w:pStyle w:val="25"/>
              <w:spacing w:line="360" w:lineRule="auto"/>
              <w:ind w:right="-119" w:rightChars="-35"/>
              <w:rPr>
                <w:rFonts w:hint="eastAsia" w:ascii="宋体" w:hAnsi="宋体" w:eastAsia="宋体" w:cs="宋体"/>
                <w:color w:val="FF0000"/>
                <w:sz w:val="24"/>
                <w:szCs w:val="24"/>
                <w:highlight w:val="none"/>
                <w:lang w:val="en-US" w:eastAsia="zh-CN"/>
              </w:rPr>
            </w:pPr>
            <w:r>
              <w:rPr>
                <w:rFonts w:hint="eastAsia" w:ascii="宋体" w:hAnsi="宋体" w:eastAsia="宋体" w:cs="宋体"/>
                <w:color w:val="FF0000"/>
                <w:sz w:val="24"/>
                <w:szCs w:val="24"/>
                <w:highlight w:val="none"/>
                <w:lang w:val="en-US" w:eastAsia="zh-CN"/>
              </w:rPr>
              <w:t>根据项目需求提供履行合同所必需的设备和专业技术能力的书面承诺函</w:t>
            </w:r>
          </w:p>
        </w:tc>
        <w:tc>
          <w:tcPr>
            <w:tcW w:w="246" w:type="pct"/>
            <w:vAlign w:val="center"/>
          </w:tcPr>
          <w:p w14:paraId="0304CE59">
            <w:pPr>
              <w:widowControl/>
              <w:adjustRightInd/>
              <w:spacing w:line="360" w:lineRule="auto"/>
              <w:jc w:val="left"/>
              <w:rPr>
                <w:rFonts w:hint="eastAsia" w:ascii="宋体" w:hAnsi="宋体" w:eastAsia="宋体" w:cs="宋体"/>
                <w:color w:val="auto"/>
                <w:sz w:val="24"/>
                <w:szCs w:val="24"/>
                <w:highlight w:val="none"/>
                <w:lang w:val="en-US" w:eastAsia="zh-CN"/>
              </w:rPr>
            </w:pPr>
          </w:p>
        </w:tc>
        <w:tc>
          <w:tcPr>
            <w:tcW w:w="248" w:type="pct"/>
            <w:vAlign w:val="center"/>
          </w:tcPr>
          <w:p w14:paraId="6A59EE21">
            <w:pPr>
              <w:widowControl/>
              <w:adjustRightInd/>
              <w:spacing w:line="360" w:lineRule="auto"/>
              <w:jc w:val="left"/>
              <w:rPr>
                <w:rFonts w:hint="eastAsia" w:ascii="宋体" w:hAnsi="宋体" w:eastAsia="宋体" w:cs="宋体"/>
                <w:color w:val="auto"/>
                <w:sz w:val="24"/>
                <w:szCs w:val="24"/>
                <w:highlight w:val="none"/>
                <w:lang w:val="en-US" w:eastAsia="zh-CN"/>
              </w:rPr>
            </w:pPr>
          </w:p>
        </w:tc>
      </w:tr>
      <w:tr w14:paraId="433EB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 w:type="pct"/>
            <w:vAlign w:val="center"/>
          </w:tcPr>
          <w:p w14:paraId="7E8A8DC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4</w:t>
            </w:r>
          </w:p>
        </w:tc>
        <w:tc>
          <w:tcPr>
            <w:tcW w:w="1830" w:type="pct"/>
            <w:vAlign w:val="center"/>
          </w:tcPr>
          <w:p w14:paraId="3484CA70">
            <w:pPr>
              <w:pStyle w:val="25"/>
              <w:spacing w:line="360" w:lineRule="auto"/>
              <w:ind w:right="-119" w:rightChars="-3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有依法缴纳税收和依法缴纳社会保障资金的记录</w:t>
            </w:r>
          </w:p>
        </w:tc>
        <w:tc>
          <w:tcPr>
            <w:tcW w:w="2427" w:type="pct"/>
            <w:vAlign w:val="center"/>
          </w:tcPr>
          <w:p w14:paraId="4B323B49">
            <w:pPr>
              <w:pStyle w:val="25"/>
              <w:spacing w:line="360" w:lineRule="auto"/>
              <w:ind w:right="-119" w:rightChars="-3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须提供响应文件递交截止日期之前六个月内任何一期的纳税记录或证明文件原件扫描件加盖电子盖章（依法免税的应提供相应文件说明）</w:t>
            </w:r>
          </w:p>
          <w:p w14:paraId="5558944E">
            <w:pPr>
              <w:pStyle w:val="25"/>
              <w:spacing w:line="360" w:lineRule="auto"/>
              <w:ind w:right="-119" w:rightChars="-3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须提供响应文件递交截止日期之前六个月内为员工缴纳社会保障资金的证明材料原件扫描件加盖电子盖章（任意一个月即可），证明材料是社会保险登记证和缴纳社会保险的凭据（专用收据或社会保险缴纳清单）（依法不需要缴纳社会保障资金的应提供相应文件说明）</w:t>
            </w:r>
          </w:p>
        </w:tc>
        <w:tc>
          <w:tcPr>
            <w:tcW w:w="246" w:type="pct"/>
            <w:vAlign w:val="center"/>
          </w:tcPr>
          <w:p w14:paraId="25CFB18F">
            <w:pPr>
              <w:widowControl/>
              <w:adjustRightInd/>
              <w:spacing w:line="360" w:lineRule="auto"/>
              <w:jc w:val="left"/>
              <w:rPr>
                <w:rFonts w:hint="eastAsia" w:ascii="宋体" w:hAnsi="宋体" w:eastAsia="宋体" w:cs="宋体"/>
                <w:color w:val="auto"/>
                <w:sz w:val="24"/>
                <w:szCs w:val="24"/>
                <w:highlight w:val="none"/>
                <w:lang w:val="en-US" w:eastAsia="zh-CN"/>
              </w:rPr>
            </w:pPr>
          </w:p>
        </w:tc>
        <w:tc>
          <w:tcPr>
            <w:tcW w:w="248" w:type="pct"/>
            <w:vAlign w:val="center"/>
          </w:tcPr>
          <w:p w14:paraId="0CE7E324">
            <w:pPr>
              <w:widowControl/>
              <w:adjustRightInd/>
              <w:spacing w:line="360" w:lineRule="auto"/>
              <w:jc w:val="left"/>
              <w:rPr>
                <w:rFonts w:hint="eastAsia" w:ascii="宋体" w:hAnsi="宋体" w:eastAsia="宋体" w:cs="宋体"/>
                <w:color w:val="auto"/>
                <w:sz w:val="24"/>
                <w:szCs w:val="24"/>
                <w:highlight w:val="none"/>
                <w:lang w:val="en-US" w:eastAsia="zh-CN"/>
              </w:rPr>
            </w:pPr>
          </w:p>
        </w:tc>
      </w:tr>
      <w:tr w14:paraId="2E9E6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 w:type="pct"/>
            <w:vAlign w:val="center"/>
          </w:tcPr>
          <w:p w14:paraId="7CA6895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5</w:t>
            </w:r>
          </w:p>
        </w:tc>
        <w:tc>
          <w:tcPr>
            <w:tcW w:w="1830" w:type="pct"/>
            <w:vAlign w:val="center"/>
          </w:tcPr>
          <w:p w14:paraId="6E51BAAF">
            <w:pPr>
              <w:pStyle w:val="25"/>
              <w:spacing w:line="360" w:lineRule="auto"/>
              <w:ind w:right="-119" w:rightChars="-3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参加政府采购活动前三年内，在经营活动中没有重大违法记录</w:t>
            </w:r>
          </w:p>
        </w:tc>
        <w:tc>
          <w:tcPr>
            <w:tcW w:w="2427" w:type="pct"/>
            <w:vAlign w:val="center"/>
          </w:tcPr>
          <w:p w14:paraId="344FA902">
            <w:pPr>
              <w:pStyle w:val="25"/>
              <w:spacing w:line="360" w:lineRule="auto"/>
              <w:ind w:right="-119" w:rightChars="-35"/>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提供参加本次政府采购活动前3年内在经营活动中没有重大违法记录的书面承诺函</w:t>
            </w:r>
          </w:p>
        </w:tc>
        <w:tc>
          <w:tcPr>
            <w:tcW w:w="246" w:type="pct"/>
            <w:vAlign w:val="center"/>
          </w:tcPr>
          <w:p w14:paraId="76811EF1">
            <w:pPr>
              <w:widowControl/>
              <w:adjustRightInd/>
              <w:spacing w:line="360" w:lineRule="auto"/>
              <w:jc w:val="left"/>
              <w:rPr>
                <w:rFonts w:hint="eastAsia" w:ascii="宋体" w:hAnsi="宋体" w:eastAsia="宋体" w:cs="宋体"/>
                <w:color w:val="auto"/>
                <w:sz w:val="24"/>
                <w:szCs w:val="24"/>
                <w:highlight w:val="none"/>
                <w:lang w:val="en-US" w:eastAsia="zh-CN"/>
              </w:rPr>
            </w:pPr>
          </w:p>
        </w:tc>
        <w:tc>
          <w:tcPr>
            <w:tcW w:w="248" w:type="pct"/>
            <w:vAlign w:val="center"/>
          </w:tcPr>
          <w:p w14:paraId="24B1695A">
            <w:pPr>
              <w:widowControl/>
              <w:adjustRightInd/>
              <w:spacing w:line="360" w:lineRule="auto"/>
              <w:jc w:val="left"/>
              <w:rPr>
                <w:rFonts w:hint="eastAsia" w:ascii="宋体" w:hAnsi="宋体" w:eastAsia="宋体" w:cs="宋体"/>
                <w:color w:val="auto"/>
                <w:sz w:val="24"/>
                <w:szCs w:val="24"/>
                <w:highlight w:val="none"/>
                <w:lang w:val="en-US" w:eastAsia="zh-CN"/>
              </w:rPr>
            </w:pPr>
          </w:p>
        </w:tc>
      </w:tr>
      <w:tr w14:paraId="14C5F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 w:type="pct"/>
            <w:vAlign w:val="center"/>
          </w:tcPr>
          <w:p w14:paraId="4752DF3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hAnsi="宋体" w:cs="宋体"/>
                <w:b w:val="0"/>
                <w:bCs w:val="0"/>
                <w:color w:val="auto"/>
                <w:sz w:val="24"/>
                <w:szCs w:val="24"/>
                <w:highlight w:val="none"/>
                <w:vertAlign w:val="baseline"/>
                <w:lang w:val="en-US" w:eastAsia="zh-CN"/>
              </w:rPr>
              <w:t>6</w:t>
            </w:r>
          </w:p>
        </w:tc>
        <w:tc>
          <w:tcPr>
            <w:tcW w:w="1830" w:type="pct"/>
            <w:vAlign w:val="center"/>
          </w:tcPr>
          <w:p w14:paraId="60C46119">
            <w:pPr>
              <w:pStyle w:val="25"/>
              <w:spacing w:line="360" w:lineRule="auto"/>
              <w:ind w:right="-119" w:rightChars="-3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未被“信用中国”（www.creditchina.gov.cn）、中国政府采购网（www.ccgp.gov.cn）列入失信被执行人、重大税收违法案件当事人名单、政府采购严重违法失信行为记录名单；</w:t>
            </w:r>
          </w:p>
        </w:tc>
        <w:tc>
          <w:tcPr>
            <w:tcW w:w="2427" w:type="pct"/>
            <w:vAlign w:val="center"/>
          </w:tcPr>
          <w:p w14:paraId="550434E8">
            <w:pPr>
              <w:pStyle w:val="25"/>
              <w:spacing w:line="360" w:lineRule="auto"/>
              <w:ind w:right="-119" w:rightChars="-35"/>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提供网页截图</w:t>
            </w:r>
          </w:p>
        </w:tc>
        <w:tc>
          <w:tcPr>
            <w:tcW w:w="246" w:type="pct"/>
            <w:vAlign w:val="center"/>
          </w:tcPr>
          <w:p w14:paraId="27695A6B">
            <w:pPr>
              <w:widowControl/>
              <w:adjustRightInd/>
              <w:spacing w:line="360" w:lineRule="auto"/>
              <w:jc w:val="left"/>
              <w:rPr>
                <w:rFonts w:hint="eastAsia" w:ascii="宋体" w:hAnsi="宋体" w:eastAsia="宋体" w:cs="宋体"/>
                <w:color w:val="auto"/>
                <w:sz w:val="24"/>
                <w:szCs w:val="24"/>
                <w:highlight w:val="none"/>
                <w:lang w:val="en-US" w:eastAsia="zh-CN"/>
              </w:rPr>
            </w:pPr>
          </w:p>
        </w:tc>
        <w:tc>
          <w:tcPr>
            <w:tcW w:w="248" w:type="pct"/>
            <w:vAlign w:val="center"/>
          </w:tcPr>
          <w:p w14:paraId="5EBCD9CE">
            <w:pPr>
              <w:widowControl/>
              <w:adjustRightInd/>
              <w:spacing w:line="360" w:lineRule="auto"/>
              <w:jc w:val="left"/>
              <w:rPr>
                <w:rFonts w:hint="eastAsia" w:ascii="宋体" w:hAnsi="宋体" w:eastAsia="宋体" w:cs="宋体"/>
                <w:color w:val="auto"/>
                <w:sz w:val="24"/>
                <w:szCs w:val="24"/>
                <w:highlight w:val="none"/>
                <w:lang w:val="en-US" w:eastAsia="zh-CN"/>
              </w:rPr>
            </w:pPr>
          </w:p>
        </w:tc>
      </w:tr>
      <w:tr w14:paraId="329B5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jc w:val="center"/>
        </w:trPr>
        <w:tc>
          <w:tcPr>
            <w:tcW w:w="246" w:type="pct"/>
            <w:vAlign w:val="center"/>
          </w:tcPr>
          <w:p w14:paraId="0AF3920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hAnsi="宋体" w:cs="宋体"/>
                <w:b w:val="0"/>
                <w:bCs w:val="0"/>
                <w:color w:val="auto"/>
                <w:sz w:val="24"/>
                <w:szCs w:val="24"/>
                <w:highlight w:val="none"/>
                <w:vertAlign w:val="baseline"/>
                <w:lang w:val="en-US" w:eastAsia="zh-CN"/>
              </w:rPr>
              <w:t>7</w:t>
            </w:r>
          </w:p>
        </w:tc>
        <w:tc>
          <w:tcPr>
            <w:tcW w:w="1830" w:type="pct"/>
            <w:vAlign w:val="center"/>
          </w:tcPr>
          <w:p w14:paraId="0140DE63">
            <w:pPr>
              <w:pStyle w:val="25"/>
              <w:spacing w:line="360" w:lineRule="auto"/>
              <w:ind w:right="-119" w:rightChars="-3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落实政府采购政策的资格要求</w:t>
            </w:r>
            <w:r>
              <w:rPr>
                <w:rFonts w:hint="eastAsia" w:hAnsi="宋体" w:cs="宋体"/>
                <w:color w:val="auto"/>
                <w:sz w:val="24"/>
                <w:szCs w:val="24"/>
                <w:highlight w:val="none"/>
                <w:lang w:val="en-US" w:eastAsia="zh-CN"/>
              </w:rPr>
              <w:t>：</w:t>
            </w:r>
            <w:r>
              <w:rPr>
                <w:rFonts w:hint="eastAsia" w:hAnsi="宋体" w:cs="宋体"/>
                <w:color w:val="FF0000"/>
                <w:sz w:val="24"/>
                <w:szCs w:val="24"/>
                <w:highlight w:val="none"/>
                <w:lang w:val="en-US" w:eastAsia="zh-CN"/>
              </w:rPr>
              <w:t>本项目专门面向中小微企业采购项目</w:t>
            </w:r>
          </w:p>
        </w:tc>
        <w:tc>
          <w:tcPr>
            <w:tcW w:w="2427" w:type="pct"/>
            <w:vAlign w:val="center"/>
          </w:tcPr>
          <w:p w14:paraId="6F52CE59">
            <w:pPr>
              <w:keepNext w:val="0"/>
              <w:keepLines w:val="0"/>
              <w:widowControl/>
              <w:suppressLineNumbers w:val="0"/>
              <w:jc w:val="left"/>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投标人应按招标文件要求提供《中小企业声明函》</w:t>
            </w:r>
          </w:p>
        </w:tc>
        <w:tc>
          <w:tcPr>
            <w:tcW w:w="246" w:type="pct"/>
            <w:vAlign w:val="center"/>
          </w:tcPr>
          <w:p w14:paraId="418C5D33">
            <w:pPr>
              <w:widowControl/>
              <w:adjustRightInd/>
              <w:spacing w:line="360" w:lineRule="auto"/>
              <w:jc w:val="left"/>
              <w:rPr>
                <w:rFonts w:hint="eastAsia" w:ascii="宋体" w:hAnsi="宋体" w:eastAsia="宋体" w:cs="宋体"/>
                <w:color w:val="auto"/>
                <w:sz w:val="24"/>
                <w:szCs w:val="24"/>
                <w:highlight w:val="none"/>
                <w:lang w:val="en-US" w:eastAsia="zh-CN"/>
              </w:rPr>
            </w:pPr>
          </w:p>
        </w:tc>
        <w:tc>
          <w:tcPr>
            <w:tcW w:w="248" w:type="pct"/>
            <w:vAlign w:val="center"/>
          </w:tcPr>
          <w:p w14:paraId="19C5A36A">
            <w:pPr>
              <w:widowControl/>
              <w:adjustRightInd/>
              <w:spacing w:line="360" w:lineRule="auto"/>
              <w:jc w:val="left"/>
              <w:rPr>
                <w:rFonts w:hint="eastAsia" w:ascii="宋体" w:hAnsi="宋体" w:eastAsia="宋体" w:cs="宋体"/>
                <w:color w:val="auto"/>
                <w:sz w:val="24"/>
                <w:szCs w:val="24"/>
                <w:highlight w:val="none"/>
                <w:lang w:val="en-US" w:eastAsia="zh-CN"/>
              </w:rPr>
            </w:pPr>
          </w:p>
        </w:tc>
      </w:tr>
      <w:tr w14:paraId="2AAF1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 w:type="pct"/>
            <w:vAlign w:val="center"/>
          </w:tcPr>
          <w:p w14:paraId="44C21FCC">
            <w:pPr>
              <w:pStyle w:val="57"/>
              <w:widowControl w:val="0"/>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8</w:t>
            </w:r>
          </w:p>
        </w:tc>
        <w:tc>
          <w:tcPr>
            <w:tcW w:w="1830" w:type="pct"/>
            <w:vAlign w:val="center"/>
          </w:tcPr>
          <w:p w14:paraId="2E3E5657">
            <w:pPr>
              <w:pStyle w:val="25"/>
              <w:spacing w:line="360" w:lineRule="auto"/>
              <w:ind w:right="-119" w:rightChars="-3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其他说明：①与招标人存在利害关系可能影响招标公正性的法人、其他组织或者个人，不得参加投标；②单位负责人为同一人或者存在控股、管理关系的不同单位，不得参加同一合同段投标。违反前两款规定的，相关投标均无效；</w:t>
            </w:r>
          </w:p>
        </w:tc>
        <w:tc>
          <w:tcPr>
            <w:tcW w:w="2427" w:type="pct"/>
            <w:vAlign w:val="center"/>
          </w:tcPr>
          <w:p w14:paraId="0A8711E6">
            <w:pPr>
              <w:pStyle w:val="25"/>
              <w:spacing w:line="360" w:lineRule="auto"/>
              <w:ind w:right="-119" w:rightChars="-35"/>
              <w:rPr>
                <w:rFonts w:hint="default"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提供承诺函</w:t>
            </w:r>
          </w:p>
        </w:tc>
        <w:tc>
          <w:tcPr>
            <w:tcW w:w="246" w:type="pct"/>
            <w:vAlign w:val="center"/>
          </w:tcPr>
          <w:p w14:paraId="53738209">
            <w:pPr>
              <w:pStyle w:val="25"/>
              <w:spacing w:line="360" w:lineRule="auto"/>
              <w:ind w:right="-119" w:rightChars="-35"/>
              <w:jc w:val="both"/>
              <w:rPr>
                <w:rFonts w:hint="eastAsia" w:ascii="宋体" w:hAnsi="宋体" w:eastAsia="宋体" w:cs="宋体"/>
                <w:color w:val="auto"/>
                <w:sz w:val="24"/>
                <w:szCs w:val="24"/>
                <w:highlight w:val="none"/>
                <w:lang w:val="en-US" w:eastAsia="zh-CN"/>
              </w:rPr>
            </w:pPr>
          </w:p>
        </w:tc>
        <w:tc>
          <w:tcPr>
            <w:tcW w:w="248" w:type="pct"/>
            <w:vAlign w:val="center"/>
          </w:tcPr>
          <w:p w14:paraId="51BB5EE6">
            <w:pPr>
              <w:pStyle w:val="25"/>
              <w:spacing w:line="360" w:lineRule="auto"/>
              <w:ind w:right="-119" w:rightChars="-35"/>
              <w:jc w:val="both"/>
              <w:rPr>
                <w:rFonts w:hint="eastAsia" w:ascii="宋体" w:hAnsi="宋体" w:eastAsia="宋体" w:cs="宋体"/>
                <w:color w:val="auto"/>
                <w:sz w:val="24"/>
                <w:szCs w:val="24"/>
                <w:highlight w:val="none"/>
                <w:lang w:val="en-US" w:eastAsia="zh-CN"/>
              </w:rPr>
            </w:pPr>
          </w:p>
        </w:tc>
      </w:tr>
    </w:tbl>
    <w:p w14:paraId="7A18E1BD">
      <w:pPr>
        <w:widowControl/>
        <w:adjustRightInd/>
        <w:spacing w:line="360" w:lineRule="auto"/>
        <w:jc w:val="left"/>
        <w:rPr>
          <w:rFonts w:hint="eastAsia" w:ascii="宋体" w:hAnsi="宋体" w:eastAsia="宋体" w:cs="宋体"/>
          <w:b/>
          <w:color w:val="auto"/>
          <w:kern w:val="2"/>
          <w:sz w:val="22"/>
          <w:szCs w:val="22"/>
          <w:highlight w:val="none"/>
        </w:rPr>
      </w:pPr>
      <w:r>
        <w:rPr>
          <w:rFonts w:hint="eastAsia" w:ascii="宋体" w:hAnsi="宋体" w:eastAsia="宋体" w:cs="宋体"/>
          <w:color w:val="auto"/>
          <w:kern w:val="2"/>
          <w:sz w:val="22"/>
          <w:szCs w:val="22"/>
          <w:highlight w:val="none"/>
        </w:rPr>
        <w:t xml:space="preserve">3.1.2 </w:t>
      </w:r>
      <w:r>
        <w:rPr>
          <w:rFonts w:hint="eastAsia" w:ascii="宋体" w:hAnsi="宋体" w:eastAsia="宋体" w:cs="宋体"/>
          <w:b/>
          <w:color w:val="auto"/>
          <w:kern w:val="2"/>
          <w:sz w:val="22"/>
          <w:szCs w:val="22"/>
          <w:highlight w:val="none"/>
        </w:rPr>
        <w:t>评标委员会对以下规定标准进行符合性审查，未通过符合性审查的响应文件，其响应文件作为无效响应文件，不进入下一步评审：</w:t>
      </w:r>
    </w:p>
    <w:p w14:paraId="0A5432D3">
      <w:pPr>
        <w:widowControl/>
        <w:adjustRightInd/>
        <w:spacing w:line="360" w:lineRule="auto"/>
        <w:jc w:val="center"/>
        <w:rPr>
          <w:rFonts w:hint="eastAsia" w:ascii="宋体" w:hAnsi="宋体" w:eastAsia="宋体" w:cs="宋体"/>
          <w:b/>
          <w:color w:val="auto"/>
          <w:kern w:val="2"/>
          <w:sz w:val="24"/>
          <w:szCs w:val="24"/>
          <w:highlight w:val="none"/>
          <w:lang w:val="en-US" w:eastAsia="zh-CN"/>
        </w:rPr>
      </w:pPr>
      <w:r>
        <w:rPr>
          <w:rFonts w:hint="eastAsia" w:hAnsi="宋体" w:cs="宋体"/>
          <w:b/>
          <w:color w:val="auto"/>
          <w:kern w:val="2"/>
          <w:sz w:val="24"/>
          <w:szCs w:val="24"/>
          <w:highlight w:val="none"/>
          <w:lang w:val="en-US" w:eastAsia="zh-CN"/>
        </w:rPr>
        <w:t>符合性审查</w:t>
      </w:r>
    </w:p>
    <w:tbl>
      <w:tblPr>
        <w:tblStyle w:val="35"/>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2"/>
        <w:gridCol w:w="1324"/>
        <w:gridCol w:w="3879"/>
        <w:gridCol w:w="3353"/>
      </w:tblGrid>
      <w:tr w14:paraId="2D4BA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38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C3EB834">
            <w:pPr>
              <w:pStyle w:val="25"/>
              <w:spacing w:line="360" w:lineRule="auto"/>
              <w:ind w:right="-1"/>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71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A686422">
            <w:pPr>
              <w:pStyle w:val="25"/>
              <w:spacing w:line="360" w:lineRule="auto"/>
              <w:ind w:right="105" w:rightChars="31"/>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评审因素</w:t>
            </w:r>
          </w:p>
        </w:tc>
        <w:tc>
          <w:tcPr>
            <w:tcW w:w="209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26D4B67">
            <w:pPr>
              <w:pStyle w:val="25"/>
              <w:spacing w:line="360" w:lineRule="auto"/>
              <w:ind w:right="-119" w:rightChars="-35"/>
              <w:jc w:val="center"/>
              <w:rPr>
                <w:rFonts w:hint="default" w:ascii="宋体" w:hAnsi="宋体" w:eastAsia="宋体" w:cs="宋体"/>
                <w:b/>
                <w:color w:val="auto"/>
                <w:sz w:val="24"/>
                <w:szCs w:val="24"/>
                <w:highlight w:val="none"/>
                <w:lang w:val="en-US" w:eastAsia="zh-CN"/>
              </w:rPr>
            </w:pPr>
            <w:r>
              <w:rPr>
                <w:rFonts w:hint="eastAsia" w:hAnsi="宋体" w:cs="宋体"/>
                <w:b/>
                <w:color w:val="auto"/>
                <w:sz w:val="24"/>
                <w:szCs w:val="24"/>
                <w:highlight w:val="none"/>
                <w:lang w:val="en-US" w:eastAsia="zh-CN"/>
              </w:rPr>
              <w:t>审查要求</w:t>
            </w:r>
          </w:p>
        </w:tc>
        <w:tc>
          <w:tcPr>
            <w:tcW w:w="180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65A8AB0">
            <w:pPr>
              <w:pStyle w:val="25"/>
              <w:spacing w:line="360" w:lineRule="auto"/>
              <w:ind w:right="-119" w:rightChars="-35"/>
              <w:jc w:val="center"/>
              <w:rPr>
                <w:rFonts w:hint="default" w:ascii="宋体" w:hAnsi="宋体" w:eastAsia="宋体" w:cs="宋体"/>
                <w:b/>
                <w:color w:val="auto"/>
                <w:sz w:val="24"/>
                <w:szCs w:val="24"/>
                <w:highlight w:val="none"/>
                <w:lang w:val="en-US" w:eastAsia="zh-CN"/>
              </w:rPr>
            </w:pPr>
            <w:r>
              <w:rPr>
                <w:rFonts w:hint="eastAsia" w:hAnsi="宋体" w:cs="宋体"/>
                <w:b/>
                <w:color w:val="auto"/>
                <w:sz w:val="24"/>
                <w:szCs w:val="24"/>
                <w:highlight w:val="none"/>
                <w:lang w:val="en-US" w:eastAsia="zh-CN"/>
              </w:rPr>
              <w:t>要求说明</w:t>
            </w:r>
          </w:p>
        </w:tc>
      </w:tr>
      <w:tr w14:paraId="16A34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38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4B914AA">
            <w:pPr>
              <w:pStyle w:val="25"/>
              <w:spacing w:line="360" w:lineRule="auto"/>
              <w:ind w:right="-116" w:rightChars="-34"/>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71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5100BE7">
            <w:pPr>
              <w:pStyle w:val="25"/>
              <w:spacing w:line="360" w:lineRule="auto"/>
              <w:ind w:right="105" w:rightChars="3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投标文件签章</w:t>
            </w:r>
          </w:p>
        </w:tc>
        <w:tc>
          <w:tcPr>
            <w:tcW w:w="209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64390A3">
            <w:pPr>
              <w:pStyle w:val="25"/>
              <w:spacing w:line="360" w:lineRule="auto"/>
              <w:ind w:right="-119" w:rightChars="-35"/>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是否按照规定在应由企业法人或法人授权代表在所有规定签字处逐一盖电子章或签字及加盖单位电子</w:t>
            </w:r>
            <w:r>
              <w:rPr>
                <w:rFonts w:hint="eastAsia" w:ascii="宋体" w:hAnsi="宋体" w:eastAsia="宋体" w:cs="宋体"/>
                <w:color w:val="auto"/>
                <w:sz w:val="24"/>
                <w:szCs w:val="24"/>
                <w:highlight w:val="none"/>
                <w:lang w:eastAsia="zh-CN"/>
              </w:rPr>
              <w:t>盖章</w:t>
            </w:r>
          </w:p>
        </w:tc>
        <w:tc>
          <w:tcPr>
            <w:tcW w:w="180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D4CF910">
            <w:pPr>
              <w:pStyle w:val="25"/>
              <w:spacing w:line="360" w:lineRule="auto"/>
              <w:ind w:right="-119" w:rightChars="-35"/>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按照规定在应由企业法人或法人授权代表在所有规定签字处逐一盖电子章或签字及加盖单位电子</w:t>
            </w:r>
            <w:r>
              <w:rPr>
                <w:rFonts w:hint="eastAsia" w:ascii="宋体" w:hAnsi="宋体" w:eastAsia="宋体" w:cs="宋体"/>
                <w:color w:val="auto"/>
                <w:sz w:val="24"/>
                <w:szCs w:val="24"/>
                <w:highlight w:val="none"/>
                <w:lang w:eastAsia="zh-CN"/>
              </w:rPr>
              <w:t>盖章</w:t>
            </w:r>
          </w:p>
        </w:tc>
      </w:tr>
      <w:tr w14:paraId="4D31F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 w:hRule="atLeast"/>
          <w:jc w:val="center"/>
        </w:trPr>
        <w:tc>
          <w:tcPr>
            <w:tcW w:w="38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5F629A4">
            <w:pPr>
              <w:pStyle w:val="25"/>
              <w:spacing w:line="360" w:lineRule="auto"/>
              <w:ind w:right="-116" w:rightChars="-34"/>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71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922238B">
            <w:pPr>
              <w:pStyle w:val="25"/>
              <w:spacing w:line="360" w:lineRule="auto"/>
              <w:ind w:right="105" w:rightChars="3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w:t>
            </w:r>
          </w:p>
        </w:tc>
        <w:tc>
          <w:tcPr>
            <w:tcW w:w="3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0C8FEC5">
            <w:pPr>
              <w:pStyle w:val="25"/>
              <w:spacing w:line="360" w:lineRule="auto"/>
              <w:ind w:right="-119" w:rightChars="-35"/>
              <w:jc w:val="both"/>
              <w:rPr>
                <w:rFonts w:hint="eastAsia" w:ascii="宋体" w:hAnsi="宋体" w:eastAsia="宋体" w:cs="宋体"/>
                <w:color w:val="auto"/>
                <w:sz w:val="24"/>
                <w:szCs w:val="24"/>
                <w:highlight w:val="none"/>
              </w:rPr>
            </w:pPr>
            <w:r>
              <w:rPr>
                <w:rFonts w:hint="eastAsia" w:ascii="宋体" w:hAnsi="宋体" w:eastAsia="宋体" w:cs="宋体"/>
                <w:color w:val="000000"/>
                <w:sz w:val="24"/>
                <w:szCs w:val="24"/>
                <w:highlight w:val="none"/>
              </w:rPr>
              <w:t>投标文件是否针对同一种货物出现了两个或两个以上的报价；报价是否超过项目预算或最高限价或经评标委员会认定低于成本的</w:t>
            </w:r>
          </w:p>
        </w:tc>
        <w:tc>
          <w:tcPr>
            <w:tcW w:w="33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09A69CF">
            <w:pPr>
              <w:pStyle w:val="25"/>
              <w:spacing w:line="360" w:lineRule="auto"/>
              <w:ind w:right="-119" w:rightChars="-35"/>
              <w:jc w:val="both"/>
              <w:rPr>
                <w:rFonts w:hint="eastAsia" w:ascii="宋体" w:hAnsi="宋体" w:eastAsia="宋体" w:cs="宋体"/>
                <w:color w:val="auto"/>
                <w:sz w:val="24"/>
                <w:szCs w:val="24"/>
                <w:highlight w:val="none"/>
              </w:rPr>
            </w:pPr>
            <w:r>
              <w:rPr>
                <w:rFonts w:hint="eastAsia" w:ascii="宋体" w:hAnsi="宋体" w:eastAsia="宋体" w:cs="宋体"/>
                <w:color w:val="000000"/>
                <w:sz w:val="24"/>
                <w:szCs w:val="24"/>
                <w:highlight w:val="none"/>
              </w:rPr>
              <w:t>针对同一种货物未出现了两个或两个以上的报价；报价未超过项目预算或最高限价，经评标委员会认定报价未低于成本的</w:t>
            </w:r>
          </w:p>
        </w:tc>
      </w:tr>
      <w:tr w14:paraId="5A47B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38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9FEBDB4">
            <w:pPr>
              <w:pStyle w:val="25"/>
              <w:spacing w:line="360" w:lineRule="auto"/>
              <w:ind w:right="-116" w:rightChars="-34"/>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71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46B3892">
            <w:pPr>
              <w:pStyle w:val="25"/>
              <w:spacing w:line="360" w:lineRule="auto"/>
              <w:ind w:right="105" w:rightChars="3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投标文件内容</w:t>
            </w:r>
          </w:p>
        </w:tc>
        <w:tc>
          <w:tcPr>
            <w:tcW w:w="209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291D6AE">
            <w:pPr>
              <w:pStyle w:val="25"/>
              <w:spacing w:line="360" w:lineRule="auto"/>
              <w:ind w:right="-119" w:rightChars="-3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是否按照投标文件规定的内容填写</w:t>
            </w:r>
          </w:p>
        </w:tc>
        <w:tc>
          <w:tcPr>
            <w:tcW w:w="180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B8EE3E2">
            <w:pPr>
              <w:pStyle w:val="25"/>
              <w:spacing w:line="360" w:lineRule="auto"/>
              <w:ind w:right="-119" w:rightChars="-3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按照投标文件规定的内容填写</w:t>
            </w:r>
          </w:p>
        </w:tc>
      </w:tr>
      <w:tr w14:paraId="128BA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38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4B392C6">
            <w:pPr>
              <w:pStyle w:val="25"/>
              <w:spacing w:line="360" w:lineRule="auto"/>
              <w:ind w:right="-116" w:rightChars="-34"/>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71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20B4162">
            <w:pPr>
              <w:pStyle w:val="25"/>
              <w:spacing w:line="360" w:lineRule="auto"/>
              <w:ind w:right="105" w:rightChars="31"/>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投标保证金</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保函</w:t>
            </w:r>
          </w:p>
        </w:tc>
        <w:tc>
          <w:tcPr>
            <w:tcW w:w="209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0AC003F">
            <w:pPr>
              <w:pStyle w:val="25"/>
              <w:spacing w:line="360" w:lineRule="auto"/>
              <w:ind w:right="-119" w:rightChars="-35"/>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是否按招标文件规定递交保证金</w:t>
            </w:r>
            <w:r>
              <w:rPr>
                <w:rFonts w:hint="eastAsia" w:ascii="宋体" w:hAnsi="宋体" w:eastAsia="宋体" w:cs="宋体"/>
                <w:color w:val="auto"/>
                <w:sz w:val="24"/>
                <w:szCs w:val="24"/>
                <w:highlight w:val="none"/>
                <w:lang w:val="en-US" w:eastAsia="zh-CN"/>
              </w:rPr>
              <w:t>或保函</w:t>
            </w:r>
          </w:p>
        </w:tc>
        <w:tc>
          <w:tcPr>
            <w:tcW w:w="180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EE7BEF9">
            <w:pPr>
              <w:pStyle w:val="25"/>
              <w:spacing w:line="360" w:lineRule="auto"/>
              <w:ind w:right="-119" w:rightChars="-35"/>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按招标文件规定递交保证金、保</w:t>
            </w:r>
            <w:r>
              <w:rPr>
                <w:rFonts w:hint="eastAsia" w:ascii="宋体" w:hAnsi="宋体" w:eastAsia="宋体" w:cs="宋体"/>
                <w:color w:val="auto"/>
                <w:sz w:val="24"/>
                <w:szCs w:val="24"/>
                <w:highlight w:val="none"/>
                <w:lang w:val="en-US" w:eastAsia="zh-CN"/>
              </w:rPr>
              <w:t>函（供应商</w:t>
            </w:r>
            <w:r>
              <w:rPr>
                <w:rFonts w:hint="eastAsia" w:ascii="宋体" w:hAnsi="宋体" w:eastAsia="宋体" w:cs="宋体"/>
                <w:color w:val="auto"/>
                <w:kern w:val="0"/>
                <w:sz w:val="24"/>
                <w:szCs w:val="24"/>
                <w:highlight w:val="none"/>
                <w:lang w:val="en-US" w:eastAsia="zh-CN"/>
              </w:rPr>
              <w:t>须提供保证金汇款凭证或保函扫描件</w:t>
            </w:r>
            <w:r>
              <w:rPr>
                <w:rFonts w:hint="eastAsia" w:ascii="宋体" w:hAnsi="宋体" w:eastAsia="宋体" w:cs="宋体"/>
                <w:color w:val="auto"/>
                <w:sz w:val="24"/>
                <w:szCs w:val="24"/>
                <w:highlight w:val="none"/>
                <w:lang w:val="en-US" w:eastAsia="zh-CN"/>
              </w:rPr>
              <w:t>）</w:t>
            </w:r>
          </w:p>
        </w:tc>
      </w:tr>
      <w:tr w14:paraId="24DCC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38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211C80B">
            <w:pPr>
              <w:pStyle w:val="25"/>
              <w:spacing w:line="360" w:lineRule="auto"/>
              <w:ind w:right="-116" w:rightChars="-34"/>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71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F69B98F">
            <w:pPr>
              <w:pStyle w:val="25"/>
              <w:spacing w:line="360" w:lineRule="auto"/>
              <w:ind w:right="105" w:rightChars="3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投标有效期</w:t>
            </w:r>
          </w:p>
        </w:tc>
        <w:tc>
          <w:tcPr>
            <w:tcW w:w="209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1D26225">
            <w:pPr>
              <w:pStyle w:val="25"/>
              <w:spacing w:line="360" w:lineRule="auto"/>
              <w:ind w:right="-119" w:rightChars="-3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投标有效期是否满足投标文件要求</w:t>
            </w:r>
          </w:p>
        </w:tc>
        <w:tc>
          <w:tcPr>
            <w:tcW w:w="180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DDE3885">
            <w:pPr>
              <w:pStyle w:val="25"/>
              <w:spacing w:line="360" w:lineRule="auto"/>
              <w:ind w:right="-119" w:rightChars="-35"/>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投标有效期</w:t>
            </w:r>
            <w:r>
              <w:rPr>
                <w:rFonts w:hint="eastAsia" w:hAnsi="宋体" w:cs="宋体"/>
                <w:color w:val="auto"/>
                <w:sz w:val="24"/>
                <w:szCs w:val="24"/>
                <w:highlight w:val="none"/>
                <w:lang w:val="en-US" w:eastAsia="zh-CN"/>
              </w:rPr>
              <w:t>90天</w:t>
            </w:r>
          </w:p>
        </w:tc>
      </w:tr>
      <w:tr w14:paraId="76177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38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17E4C01">
            <w:pPr>
              <w:pStyle w:val="25"/>
              <w:spacing w:line="360" w:lineRule="auto"/>
              <w:ind w:right="-116" w:rightChars="-34"/>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71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2E1E0B3">
            <w:pPr>
              <w:pStyle w:val="25"/>
              <w:spacing w:line="360" w:lineRule="auto"/>
              <w:ind w:right="105" w:rightChars="3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实质性响应</w:t>
            </w:r>
          </w:p>
        </w:tc>
        <w:tc>
          <w:tcPr>
            <w:tcW w:w="209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5F256D5">
            <w:pPr>
              <w:pStyle w:val="25"/>
              <w:spacing w:line="360" w:lineRule="auto"/>
              <w:ind w:right="-119" w:rightChars="-35"/>
              <w:jc w:val="both"/>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是否响应招标文件中</w:t>
            </w:r>
            <w:r>
              <w:rPr>
                <w:rFonts w:hint="eastAsia" w:ascii="宋体" w:hAnsi="宋体" w:eastAsia="宋体" w:cs="宋体"/>
                <w:b/>
                <w:bCs/>
                <w:color w:val="auto"/>
                <w:sz w:val="24"/>
                <w:szCs w:val="24"/>
                <w:highlight w:val="none"/>
                <w:lang w:val="en-US" w:eastAsia="zh-CN"/>
              </w:rPr>
              <w:t>商务条款和技术参数</w:t>
            </w:r>
            <w:r>
              <w:rPr>
                <w:rFonts w:hint="eastAsia" w:ascii="宋体" w:hAnsi="宋体" w:eastAsia="宋体" w:cs="宋体"/>
                <w:b/>
                <w:bCs/>
                <w:color w:val="auto"/>
                <w:sz w:val="24"/>
                <w:szCs w:val="24"/>
                <w:highlight w:val="none"/>
              </w:rPr>
              <w:t>实质性条款的要求</w:t>
            </w:r>
          </w:p>
        </w:tc>
        <w:tc>
          <w:tcPr>
            <w:tcW w:w="180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D8AC76B">
            <w:pPr>
              <w:pStyle w:val="25"/>
              <w:spacing w:line="360" w:lineRule="auto"/>
              <w:ind w:right="-119" w:rightChars="-35"/>
              <w:jc w:val="both"/>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响应招标文件中</w:t>
            </w:r>
            <w:r>
              <w:rPr>
                <w:rFonts w:hint="eastAsia" w:ascii="宋体" w:hAnsi="宋体" w:eastAsia="宋体" w:cs="宋体"/>
                <w:b/>
                <w:bCs/>
                <w:color w:val="auto"/>
                <w:sz w:val="24"/>
                <w:szCs w:val="24"/>
                <w:highlight w:val="none"/>
                <w:lang w:val="en-US" w:eastAsia="zh-CN"/>
              </w:rPr>
              <w:t>商务条款和技术参数</w:t>
            </w:r>
            <w:r>
              <w:rPr>
                <w:rFonts w:hint="eastAsia" w:ascii="宋体" w:hAnsi="宋体" w:eastAsia="宋体" w:cs="宋体"/>
                <w:b/>
                <w:bCs/>
                <w:color w:val="auto"/>
                <w:sz w:val="24"/>
                <w:szCs w:val="24"/>
                <w:highlight w:val="none"/>
              </w:rPr>
              <w:t>实质性条款的要求</w:t>
            </w:r>
            <w:r>
              <w:rPr>
                <w:rFonts w:hint="eastAsia" w:ascii="宋体" w:hAnsi="宋体" w:eastAsia="宋体" w:cs="宋体"/>
                <w:b/>
                <w:bCs/>
                <w:color w:val="auto"/>
                <w:sz w:val="24"/>
                <w:szCs w:val="24"/>
                <w:highlight w:val="none"/>
                <w:lang w:eastAsia="zh-CN"/>
              </w:rPr>
              <w:t>（即标注★条款）</w:t>
            </w:r>
            <w:r>
              <w:rPr>
                <w:rFonts w:hint="eastAsia" w:ascii="宋体" w:hAnsi="宋体" w:eastAsia="宋体" w:cs="宋体"/>
                <w:b/>
                <w:bCs/>
                <w:color w:val="auto"/>
                <w:sz w:val="24"/>
                <w:szCs w:val="24"/>
                <w:highlight w:val="none"/>
                <w:lang w:val="en-US" w:eastAsia="zh-CN"/>
              </w:rPr>
              <w:t>且无负</w:t>
            </w:r>
            <w:r>
              <w:rPr>
                <w:rFonts w:hint="eastAsia" w:ascii="宋体" w:hAnsi="宋体" w:eastAsia="宋体" w:cs="宋体"/>
                <w:b/>
                <w:bCs/>
                <w:color w:val="auto"/>
                <w:sz w:val="24"/>
                <w:szCs w:val="24"/>
                <w:highlight w:val="none"/>
                <w:lang w:eastAsia="zh-CN"/>
              </w:rPr>
              <w:t>偏离的。</w:t>
            </w:r>
          </w:p>
        </w:tc>
      </w:tr>
      <w:tr w14:paraId="28725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8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266E1FE">
            <w:pPr>
              <w:pStyle w:val="25"/>
              <w:spacing w:line="360" w:lineRule="auto"/>
              <w:ind w:right="-116" w:rightChars="-34"/>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71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428B3B6">
            <w:pPr>
              <w:pStyle w:val="25"/>
              <w:spacing w:line="360" w:lineRule="auto"/>
              <w:ind w:right="105" w:rightChars="3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附加条件</w:t>
            </w:r>
          </w:p>
        </w:tc>
        <w:tc>
          <w:tcPr>
            <w:tcW w:w="209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6460148">
            <w:pPr>
              <w:pStyle w:val="25"/>
              <w:spacing w:line="360" w:lineRule="auto"/>
              <w:ind w:right="-119" w:rightChars="-3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响应文件是否含有采购人不能接受的附加条件的</w:t>
            </w:r>
          </w:p>
        </w:tc>
        <w:tc>
          <w:tcPr>
            <w:tcW w:w="180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F8540AC">
            <w:pPr>
              <w:pStyle w:val="25"/>
              <w:spacing w:line="360" w:lineRule="auto"/>
              <w:ind w:right="-119" w:rightChars="-35"/>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响应文件</w:t>
            </w:r>
            <w:r>
              <w:rPr>
                <w:rFonts w:hint="eastAsia" w:hAnsi="宋体" w:cs="宋体"/>
                <w:color w:val="auto"/>
                <w:sz w:val="24"/>
                <w:szCs w:val="24"/>
                <w:highlight w:val="none"/>
                <w:lang w:val="en-US" w:eastAsia="zh-CN"/>
              </w:rPr>
              <w:t>未</w:t>
            </w:r>
            <w:r>
              <w:rPr>
                <w:rFonts w:hint="eastAsia" w:ascii="宋体" w:hAnsi="宋体" w:eastAsia="宋体" w:cs="宋体"/>
                <w:color w:val="auto"/>
                <w:sz w:val="24"/>
                <w:szCs w:val="24"/>
                <w:highlight w:val="none"/>
              </w:rPr>
              <w:t>含有采购人不能接受的附加条件</w:t>
            </w:r>
          </w:p>
        </w:tc>
      </w:tr>
      <w:tr w14:paraId="0A3FA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38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5EFF78B">
            <w:pPr>
              <w:pStyle w:val="25"/>
              <w:spacing w:line="360" w:lineRule="auto"/>
              <w:ind w:right="-116" w:rightChars="-34"/>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71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305FFCD">
            <w:pPr>
              <w:pStyle w:val="25"/>
              <w:spacing w:line="360" w:lineRule="auto"/>
              <w:ind w:right="105" w:rightChars="3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w:t>
            </w:r>
          </w:p>
        </w:tc>
        <w:tc>
          <w:tcPr>
            <w:tcW w:w="209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132B336">
            <w:pPr>
              <w:pStyle w:val="25"/>
              <w:spacing w:line="360" w:lineRule="auto"/>
              <w:ind w:right="-119" w:rightChars="-3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投标文件中是否存在违反国家法律、法规和招标文件规定的其他无效情形</w:t>
            </w:r>
          </w:p>
        </w:tc>
        <w:tc>
          <w:tcPr>
            <w:tcW w:w="180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E66A0F9">
            <w:pPr>
              <w:pStyle w:val="25"/>
              <w:spacing w:line="360" w:lineRule="auto"/>
              <w:ind w:right="-119" w:rightChars="-35"/>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投标文件中不存在违反国家法律、法规和招标文件规定的其他无效情形</w:t>
            </w:r>
          </w:p>
        </w:tc>
      </w:tr>
    </w:tbl>
    <w:p w14:paraId="5067E649">
      <w:pPr>
        <w:widowControl/>
        <w:adjustRightInd/>
        <w:spacing w:line="360" w:lineRule="auto"/>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3.1.4评标委员会判断响应文件的响应性仅基于响应文件本身而不靠外部证据。</w:t>
      </w:r>
    </w:p>
    <w:p w14:paraId="6F4417C4">
      <w:pPr>
        <w:widowControl/>
        <w:adjustRightInd/>
        <w:spacing w:line="360" w:lineRule="auto"/>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3.1.5评标委员会将拒绝被确定为非实质性响应的投标，供应商不能通过修正或撤销不符之处而使其投标成为实质性响应的投标。</w:t>
      </w:r>
    </w:p>
    <w:p w14:paraId="62841994">
      <w:pPr>
        <w:widowControl/>
        <w:adjustRightInd/>
        <w:spacing w:line="360" w:lineRule="auto"/>
        <w:jc w:val="left"/>
        <w:outlineLvl w:val="2"/>
        <w:rPr>
          <w:rFonts w:hint="eastAsia" w:ascii="宋体" w:hAnsi="宋体" w:eastAsia="宋体" w:cs="宋体"/>
          <w:color w:val="auto"/>
          <w:sz w:val="24"/>
          <w:szCs w:val="24"/>
          <w:highlight w:val="none"/>
        </w:rPr>
      </w:pPr>
      <w:bookmarkStart w:id="227" w:name="_Toc26137"/>
      <w:bookmarkStart w:id="228" w:name="_Toc3602"/>
      <w:r>
        <w:rPr>
          <w:rFonts w:hint="eastAsia" w:ascii="宋体" w:hAnsi="宋体" w:eastAsia="宋体" w:cs="宋体"/>
          <w:b/>
          <w:color w:val="auto"/>
          <w:kern w:val="2"/>
          <w:sz w:val="24"/>
          <w:szCs w:val="24"/>
          <w:highlight w:val="none"/>
        </w:rPr>
        <w:t xml:space="preserve">3.2 </w:t>
      </w:r>
      <w:r>
        <w:rPr>
          <w:rFonts w:hint="eastAsia" w:ascii="宋体" w:hAnsi="宋体" w:eastAsia="宋体" w:cs="宋体"/>
          <w:b/>
          <w:color w:val="auto"/>
          <w:sz w:val="24"/>
          <w:szCs w:val="24"/>
          <w:highlight w:val="none"/>
        </w:rPr>
        <w:t>响应文件澄清</w:t>
      </w:r>
      <w:bookmarkEnd w:id="227"/>
      <w:bookmarkEnd w:id="228"/>
    </w:p>
    <w:p w14:paraId="35A8703F">
      <w:pPr>
        <w:widowControl/>
        <w:adjustRightInd/>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3.2.1评标委员会将允许供应商修改响应文件中不构成重大偏离的微小的、非正规、不一致或不规则地方，但这种允许不能损害或影响任何供应商的相对排序。</w:t>
      </w:r>
    </w:p>
    <w:p w14:paraId="5199F6E0">
      <w:pPr>
        <w:widowControl/>
        <w:adjustRightInd/>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3.2.2对于响应文件中含义不明确、同类问题表述不一致或者有明显文字和计算错误的内容，评标委员会应当以书面形式要求供应商作出必要的澄清、说明或者补正。</w:t>
      </w:r>
    </w:p>
    <w:p w14:paraId="65DA3D40">
      <w:pPr>
        <w:widowControl/>
        <w:adjustRightInd/>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供应商的澄清、说明或者补正应当采用书面形式，并加盖</w:t>
      </w:r>
      <w:r>
        <w:rPr>
          <w:rFonts w:hint="eastAsia" w:ascii="宋体" w:hAnsi="宋体" w:eastAsia="宋体" w:cs="宋体"/>
          <w:color w:val="auto"/>
          <w:sz w:val="24"/>
          <w:szCs w:val="24"/>
          <w:highlight w:val="none"/>
          <w:lang w:eastAsia="zh-CN"/>
        </w:rPr>
        <w:t>盖章</w:t>
      </w:r>
      <w:r>
        <w:rPr>
          <w:rFonts w:hint="eastAsia" w:ascii="宋体" w:hAnsi="宋体" w:eastAsia="宋体" w:cs="宋体"/>
          <w:color w:val="auto"/>
          <w:sz w:val="24"/>
          <w:szCs w:val="24"/>
          <w:highlight w:val="none"/>
        </w:rPr>
        <w:t>，或者由法定代表人或其授权的代表签字。供应商的澄清、说明或者补正不得超出响应文件的范围或者改变响应文件的实质性内容。</w:t>
      </w:r>
    </w:p>
    <w:p w14:paraId="58A1641B">
      <w:pPr>
        <w:widowControl/>
        <w:adjustRightInd/>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3.2.3响应文件报价出现前后不一致的，除采购文件另有规定外，按照下列规定修正：</w:t>
      </w:r>
    </w:p>
    <w:p w14:paraId="54318FE7">
      <w:pPr>
        <w:widowControl/>
        <w:adjustRightInd/>
        <w:spacing w:line="360" w:lineRule="auto"/>
        <w:ind w:firstLine="240" w:firstLineChars="1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（一）响应文件中开标一览表（报价表）内容与响应文件中相应内容不一致的，以开标一览表（报价表）为准；</w:t>
      </w:r>
    </w:p>
    <w:p w14:paraId="75297087">
      <w:pPr>
        <w:widowControl/>
        <w:adjustRightInd/>
        <w:spacing w:line="360" w:lineRule="auto"/>
        <w:ind w:firstLine="240" w:firstLineChars="1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（二）大写金额和小写金额不一致的，以大写金额为准；</w:t>
      </w:r>
    </w:p>
    <w:p w14:paraId="096103E0">
      <w:pPr>
        <w:widowControl/>
        <w:adjustRightInd/>
        <w:spacing w:line="360" w:lineRule="auto"/>
        <w:ind w:firstLine="240" w:firstLineChars="1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（三）单价金额小数点或者百分比有明显错位的，以开标一览表的总价为准，并修改单价；</w:t>
      </w:r>
    </w:p>
    <w:p w14:paraId="7EADF136">
      <w:pPr>
        <w:widowControl/>
        <w:adjustRightInd/>
        <w:spacing w:line="360" w:lineRule="auto"/>
        <w:ind w:firstLine="240" w:firstLineChars="1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（四）总价金额与按单价汇总金额不一致的，以单价金额计算结果为准。</w:t>
      </w:r>
    </w:p>
    <w:p w14:paraId="6EEF571F">
      <w:pPr>
        <w:widowControl/>
        <w:adjustRightInd/>
        <w:spacing w:line="360" w:lineRule="auto"/>
        <w:ind w:firstLine="42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同时出现两种以上不一致的，按照前款规定的顺序修正。修正后的报价按照供应商须知第6.5.2条第二款的规定经供应商确认后产生约束力，</w:t>
      </w:r>
      <w:r>
        <w:rPr>
          <w:rFonts w:hint="eastAsia" w:hAnsi="宋体" w:cs="宋体"/>
          <w:color w:val="auto"/>
          <w:kern w:val="2"/>
          <w:sz w:val="24"/>
          <w:szCs w:val="24"/>
          <w:highlight w:val="none"/>
          <w:lang w:val="en-US" w:eastAsia="zh-CN"/>
        </w:rPr>
        <w:t>★</w:t>
      </w:r>
      <w:r>
        <w:rPr>
          <w:rFonts w:hint="eastAsia" w:ascii="宋体" w:hAnsi="宋体" w:eastAsia="宋体" w:cs="宋体"/>
          <w:b/>
          <w:color w:val="auto"/>
          <w:sz w:val="24"/>
          <w:szCs w:val="24"/>
          <w:highlight w:val="none"/>
        </w:rPr>
        <w:t>供应商不确认的，其投标无效。</w:t>
      </w:r>
    </w:p>
    <w:p w14:paraId="169DF899">
      <w:pPr>
        <w:widowControl/>
        <w:adjustRightInd/>
        <w:spacing w:line="360" w:lineRule="auto"/>
        <w:jc w:val="left"/>
        <w:outlineLvl w:val="2"/>
        <w:rPr>
          <w:rFonts w:hint="eastAsia" w:ascii="宋体" w:hAnsi="宋体" w:eastAsia="宋体" w:cs="宋体"/>
          <w:b/>
          <w:color w:val="auto"/>
          <w:kern w:val="2"/>
          <w:sz w:val="24"/>
          <w:szCs w:val="24"/>
          <w:highlight w:val="none"/>
        </w:rPr>
      </w:pPr>
      <w:bookmarkStart w:id="229" w:name="_Toc4855"/>
      <w:bookmarkStart w:id="230" w:name="_Toc9457"/>
      <w:r>
        <w:rPr>
          <w:rFonts w:hint="eastAsia" w:ascii="宋体" w:hAnsi="宋体" w:eastAsia="宋体" w:cs="宋体"/>
          <w:color w:val="auto"/>
          <w:sz w:val="24"/>
          <w:szCs w:val="24"/>
          <w:highlight w:val="none"/>
        </w:rPr>
        <w:t>3.3</w:t>
      </w:r>
      <w:r>
        <w:rPr>
          <w:rFonts w:hint="eastAsia" w:ascii="宋体" w:hAnsi="宋体" w:eastAsia="宋体" w:cs="宋体"/>
          <w:b/>
          <w:color w:val="auto"/>
          <w:kern w:val="2"/>
          <w:sz w:val="24"/>
          <w:szCs w:val="24"/>
          <w:highlight w:val="none"/>
        </w:rPr>
        <w:t xml:space="preserve"> 比较与评价</w:t>
      </w:r>
      <w:bookmarkEnd w:id="229"/>
      <w:bookmarkEnd w:id="230"/>
    </w:p>
    <w:p w14:paraId="342053DE">
      <w:pPr>
        <w:widowControl/>
        <w:adjustRightInd/>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3.3.1</w:t>
      </w:r>
      <w:r>
        <w:rPr>
          <w:rFonts w:hint="eastAsia" w:ascii="宋体" w:hAnsi="宋体" w:eastAsia="宋体" w:cs="宋体"/>
          <w:color w:val="auto"/>
          <w:kern w:val="2"/>
          <w:sz w:val="24"/>
          <w:szCs w:val="24"/>
          <w:highlight w:val="none"/>
        </w:rPr>
        <w:t>评标委员会</w:t>
      </w:r>
      <w:r>
        <w:rPr>
          <w:rFonts w:hint="eastAsia" w:ascii="宋体" w:hAnsi="宋体" w:eastAsia="宋体" w:cs="宋体"/>
          <w:color w:val="auto"/>
          <w:sz w:val="24"/>
          <w:szCs w:val="24"/>
          <w:highlight w:val="none"/>
        </w:rPr>
        <w:t>按采购文件中规定的评标方法和标准，对资格性检查和符合性检查合格的响应文件进行商务和技术评估，综合比较与评价。</w:t>
      </w:r>
    </w:p>
    <w:p w14:paraId="1CEDD6CE">
      <w:pPr>
        <w:widowControl/>
        <w:adjustRightInd/>
        <w:spacing w:line="360" w:lineRule="auto"/>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3.3.2 评标委员会按本章第2.3 款规定的量化因素进行评审。</w:t>
      </w:r>
    </w:p>
    <w:p w14:paraId="6A84772C">
      <w:pPr>
        <w:widowControl/>
        <w:adjustRightInd/>
        <w:spacing w:line="360" w:lineRule="auto"/>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（1）按本章评标办法规定的评审因素对商务、技术和投标价格进行评审；</w:t>
      </w:r>
    </w:p>
    <w:p w14:paraId="49E4A8A7">
      <w:pPr>
        <w:widowControl/>
        <w:adjustRightInd/>
        <w:spacing w:line="360" w:lineRule="auto"/>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（2）按本章评标办法规定，评标委员会对全部满足采购文件实质性要求前提下，</w:t>
      </w:r>
      <w:r>
        <w:rPr>
          <w:rFonts w:hint="eastAsia" w:ascii="宋体" w:hAnsi="宋体" w:eastAsia="宋体" w:cs="宋体"/>
          <w:color w:val="auto"/>
          <w:sz w:val="24"/>
          <w:szCs w:val="24"/>
          <w:highlight w:val="none"/>
        </w:rPr>
        <w:t>按照采购文件中规定的各项因素进行综合评审后，按评审后的综合得分由高到低顺序排列，以评标总得分最高的供应商作为中标候选人。得分相同的，按投标报价由低到高顺序排列。得分且投标报价相同的，按技术指标优劣顺序排列</w:t>
      </w:r>
      <w:r>
        <w:rPr>
          <w:rFonts w:hint="eastAsia" w:ascii="宋体" w:hAnsi="宋体" w:eastAsia="宋体" w:cs="宋体"/>
          <w:color w:val="auto"/>
          <w:kern w:val="2"/>
          <w:sz w:val="24"/>
          <w:szCs w:val="24"/>
          <w:highlight w:val="none"/>
        </w:rPr>
        <w:t>。</w:t>
      </w:r>
    </w:p>
    <w:p w14:paraId="35C2370A">
      <w:pPr>
        <w:widowControl/>
        <w:adjustRightInd/>
        <w:spacing w:line="360" w:lineRule="auto"/>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3.3.3 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w:t>
      </w:r>
      <w:r>
        <w:rPr>
          <w:rFonts w:hint="eastAsia" w:ascii="宋体" w:hAnsi="宋体" w:eastAsia="宋体" w:cs="宋体"/>
          <w:b/>
          <w:color w:val="auto"/>
          <w:kern w:val="2"/>
          <w:sz w:val="24"/>
          <w:szCs w:val="24"/>
          <w:highlight w:val="none"/>
        </w:rPr>
        <w:t>无效投标处理</w:t>
      </w:r>
      <w:r>
        <w:rPr>
          <w:rFonts w:hint="eastAsia" w:ascii="宋体" w:hAnsi="宋体" w:eastAsia="宋体" w:cs="宋体"/>
          <w:color w:val="auto"/>
          <w:kern w:val="2"/>
          <w:sz w:val="24"/>
          <w:szCs w:val="24"/>
          <w:highlight w:val="none"/>
        </w:rPr>
        <w:t>。</w:t>
      </w:r>
    </w:p>
    <w:p w14:paraId="4A119B67">
      <w:pPr>
        <w:widowControl/>
        <w:adjustRightInd/>
        <w:spacing w:line="360" w:lineRule="auto"/>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3.3.4经评审后，若出现符合本须知规定的所有投标条件的供应商不足三家情形的，本次招标终止，除采购任务取消情形外，招标单位将依法重新组织招标或者采取其他方式采购。</w:t>
      </w:r>
    </w:p>
    <w:p w14:paraId="3CD68F39">
      <w:pPr>
        <w:widowControl/>
        <w:adjustRightInd/>
        <w:spacing w:line="360" w:lineRule="auto"/>
        <w:jc w:val="left"/>
        <w:outlineLvl w:val="2"/>
        <w:rPr>
          <w:rFonts w:hint="eastAsia" w:ascii="宋体" w:hAnsi="宋体" w:eastAsia="宋体" w:cs="宋体"/>
          <w:b/>
          <w:color w:val="auto"/>
          <w:kern w:val="2"/>
          <w:sz w:val="24"/>
          <w:szCs w:val="24"/>
          <w:highlight w:val="none"/>
        </w:rPr>
      </w:pPr>
      <w:bookmarkStart w:id="231" w:name="_Toc5762"/>
      <w:bookmarkStart w:id="232" w:name="_Toc18365"/>
      <w:r>
        <w:rPr>
          <w:rFonts w:hint="eastAsia" w:ascii="宋体" w:hAnsi="宋体" w:eastAsia="宋体" w:cs="宋体"/>
          <w:b/>
          <w:color w:val="auto"/>
          <w:kern w:val="2"/>
          <w:sz w:val="24"/>
          <w:szCs w:val="24"/>
          <w:highlight w:val="none"/>
        </w:rPr>
        <w:t>3.4评分标准与分值构成</w:t>
      </w:r>
      <w:bookmarkEnd w:id="231"/>
      <w:bookmarkEnd w:id="232"/>
    </w:p>
    <w:p w14:paraId="17612252">
      <w:pPr>
        <w:widowControl/>
        <w:snapToGrid w:val="0"/>
        <w:spacing w:line="360" w:lineRule="auto"/>
        <w:ind w:firstLine="480" w:firstLineChars="200"/>
        <w:jc w:val="left"/>
        <w:rPr>
          <w:rFonts w:hint="eastAsia" w:ascii="宋体" w:hAnsi="宋体" w:eastAsia="宋体" w:cs="宋体"/>
          <w:b/>
          <w:color w:val="auto"/>
          <w:kern w:val="2"/>
          <w:sz w:val="24"/>
          <w:szCs w:val="24"/>
          <w:highlight w:val="none"/>
        </w:rPr>
      </w:pPr>
      <w:r>
        <w:rPr>
          <w:rFonts w:hint="eastAsia" w:ascii="宋体" w:hAnsi="宋体" w:eastAsia="宋体" w:cs="宋体"/>
          <w:color w:val="auto"/>
          <w:kern w:val="2"/>
          <w:sz w:val="24"/>
          <w:szCs w:val="24"/>
          <w:highlight w:val="none"/>
        </w:rPr>
        <w:t>综合评分法将按商务技术和投标价格两个部分分别进行评分，商务技术部分满分为</w:t>
      </w:r>
      <w:r>
        <w:rPr>
          <w:rFonts w:hint="eastAsia" w:hAnsi="宋体" w:cs="宋体"/>
          <w:color w:val="auto"/>
          <w:kern w:val="2"/>
          <w:sz w:val="24"/>
          <w:szCs w:val="24"/>
          <w:highlight w:val="none"/>
          <w:lang w:val="en-US" w:eastAsia="zh-CN"/>
        </w:rPr>
        <w:t>70</w:t>
      </w:r>
      <w:r>
        <w:rPr>
          <w:rFonts w:hint="eastAsia" w:ascii="宋体" w:hAnsi="宋体" w:eastAsia="宋体" w:cs="宋体"/>
          <w:color w:val="auto"/>
          <w:kern w:val="2"/>
          <w:sz w:val="24"/>
          <w:szCs w:val="24"/>
          <w:highlight w:val="none"/>
        </w:rPr>
        <w:t>分，价格部分满分为</w:t>
      </w:r>
      <w:r>
        <w:rPr>
          <w:rFonts w:hint="eastAsia" w:hAnsi="宋体" w:cs="宋体"/>
          <w:color w:val="auto"/>
          <w:kern w:val="2"/>
          <w:sz w:val="24"/>
          <w:szCs w:val="24"/>
          <w:highlight w:val="none"/>
          <w:lang w:val="en-US" w:eastAsia="zh-CN"/>
        </w:rPr>
        <w:t>30</w:t>
      </w:r>
      <w:r>
        <w:rPr>
          <w:rFonts w:hint="eastAsia" w:ascii="宋体" w:hAnsi="宋体" w:eastAsia="宋体" w:cs="宋体"/>
          <w:color w:val="auto"/>
          <w:kern w:val="2"/>
          <w:sz w:val="24"/>
          <w:szCs w:val="24"/>
          <w:highlight w:val="none"/>
        </w:rPr>
        <w:t>分，合计总分100分。</w:t>
      </w:r>
    </w:p>
    <w:p w14:paraId="35A9A2FA">
      <w:pPr>
        <w:widowControl/>
        <w:snapToGrid w:val="0"/>
        <w:spacing w:line="360" w:lineRule="auto"/>
        <w:ind w:right="313"/>
        <w:jc w:val="left"/>
        <w:rPr>
          <w:rFonts w:hint="eastAsia" w:ascii="宋体" w:hAnsi="宋体" w:eastAsia="宋体" w:cs="宋体"/>
          <w:color w:val="auto"/>
          <w:highlight w:val="none"/>
        </w:rPr>
      </w:pPr>
      <w:r>
        <w:rPr>
          <w:rFonts w:hint="eastAsia" w:ascii="宋体" w:hAnsi="宋体" w:eastAsia="宋体" w:cs="宋体"/>
          <w:b/>
          <w:color w:val="auto"/>
          <w:kern w:val="2"/>
          <w:sz w:val="24"/>
          <w:szCs w:val="24"/>
          <w:highlight w:val="none"/>
        </w:rPr>
        <w:t>3.4.1详细评审部分</w:t>
      </w:r>
    </w:p>
    <w:p w14:paraId="4779BABD">
      <w:pPr>
        <w:widowControl/>
        <w:snapToGrid w:val="0"/>
        <w:spacing w:line="360" w:lineRule="auto"/>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报价</w:t>
      </w:r>
      <w:r>
        <w:rPr>
          <w:rFonts w:hint="eastAsia" w:ascii="宋体" w:hAnsi="宋体" w:eastAsia="宋体" w:cs="宋体"/>
          <w:color w:val="auto"/>
          <w:kern w:val="2"/>
          <w:sz w:val="24"/>
          <w:szCs w:val="24"/>
          <w:highlight w:val="none"/>
          <w:lang w:val="en-US" w:eastAsia="zh-CN"/>
        </w:rPr>
        <w:t>部分</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lang w:val="en-US" w:eastAsia="zh-CN"/>
        </w:rPr>
        <w:t>30分</w:t>
      </w:r>
      <w:r>
        <w:rPr>
          <w:rFonts w:hint="eastAsia" w:ascii="宋体" w:hAnsi="宋体" w:eastAsia="宋体" w:cs="宋体"/>
          <w:color w:val="auto"/>
          <w:kern w:val="2"/>
          <w:sz w:val="24"/>
          <w:szCs w:val="24"/>
          <w:highlight w:val="none"/>
          <w:lang w:eastAsia="zh-CN"/>
        </w:rPr>
        <w:t>）</w:t>
      </w:r>
    </w:p>
    <w:tbl>
      <w:tblPr>
        <w:tblStyle w:val="3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831"/>
        <w:gridCol w:w="836"/>
        <w:gridCol w:w="1049"/>
        <w:gridCol w:w="5803"/>
      </w:tblGrid>
      <w:tr w14:paraId="644E8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07" w:type="pct"/>
            <w:vAlign w:val="center"/>
          </w:tcPr>
          <w:p w14:paraId="76FB4785">
            <w:pPr>
              <w:widowControl/>
              <w:snapToGrid w:val="0"/>
              <w:spacing w:line="360" w:lineRule="auto"/>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序号</w:t>
            </w:r>
          </w:p>
        </w:tc>
        <w:tc>
          <w:tcPr>
            <w:tcW w:w="447" w:type="pct"/>
            <w:vAlign w:val="center"/>
          </w:tcPr>
          <w:p w14:paraId="4C4393D9">
            <w:pPr>
              <w:widowControl/>
              <w:snapToGrid w:val="0"/>
              <w:spacing w:line="360" w:lineRule="auto"/>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类别</w:t>
            </w:r>
          </w:p>
        </w:tc>
        <w:tc>
          <w:tcPr>
            <w:tcW w:w="450" w:type="pct"/>
            <w:vAlign w:val="center"/>
          </w:tcPr>
          <w:p w14:paraId="572418CB">
            <w:pPr>
              <w:widowControl/>
              <w:snapToGrid w:val="0"/>
              <w:spacing w:line="360" w:lineRule="auto"/>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项目</w:t>
            </w:r>
          </w:p>
        </w:tc>
        <w:tc>
          <w:tcPr>
            <w:tcW w:w="565" w:type="pct"/>
            <w:vAlign w:val="center"/>
          </w:tcPr>
          <w:p w14:paraId="3629D553">
            <w:pPr>
              <w:widowControl/>
              <w:snapToGrid w:val="0"/>
              <w:spacing w:line="360" w:lineRule="auto"/>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标准分</w:t>
            </w:r>
          </w:p>
        </w:tc>
        <w:tc>
          <w:tcPr>
            <w:tcW w:w="3128" w:type="pct"/>
            <w:vAlign w:val="center"/>
          </w:tcPr>
          <w:p w14:paraId="6B3AB1A8">
            <w:pPr>
              <w:widowControl/>
              <w:snapToGrid w:val="0"/>
              <w:spacing w:line="360" w:lineRule="auto"/>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评分标准说明</w:t>
            </w:r>
          </w:p>
        </w:tc>
      </w:tr>
      <w:tr w14:paraId="4628D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14:paraId="6FDF269E">
            <w:pPr>
              <w:widowControl/>
              <w:snapToGrid w:val="0"/>
              <w:spacing w:line="360" w:lineRule="auto"/>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w:t>
            </w:r>
          </w:p>
        </w:tc>
        <w:tc>
          <w:tcPr>
            <w:tcW w:w="447" w:type="pct"/>
            <w:vAlign w:val="center"/>
          </w:tcPr>
          <w:p w14:paraId="455CA5FF">
            <w:pPr>
              <w:widowControl/>
              <w:snapToGrid w:val="0"/>
              <w:spacing w:line="360" w:lineRule="auto"/>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报价部分</w:t>
            </w:r>
          </w:p>
        </w:tc>
        <w:tc>
          <w:tcPr>
            <w:tcW w:w="450" w:type="pct"/>
            <w:vAlign w:val="center"/>
          </w:tcPr>
          <w:p w14:paraId="4FC469F1">
            <w:pPr>
              <w:widowControl/>
              <w:snapToGrid w:val="0"/>
              <w:spacing w:line="360" w:lineRule="auto"/>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报价部分</w:t>
            </w:r>
          </w:p>
        </w:tc>
        <w:tc>
          <w:tcPr>
            <w:tcW w:w="565" w:type="pct"/>
            <w:vAlign w:val="center"/>
          </w:tcPr>
          <w:p w14:paraId="6046166A">
            <w:pPr>
              <w:widowControl/>
              <w:snapToGrid w:val="0"/>
              <w:spacing w:line="360" w:lineRule="auto"/>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30</w:t>
            </w:r>
          </w:p>
        </w:tc>
        <w:tc>
          <w:tcPr>
            <w:tcW w:w="3128" w:type="pct"/>
            <w:vAlign w:val="center"/>
          </w:tcPr>
          <w:p w14:paraId="59F8E207">
            <w:pPr>
              <w:widowControl/>
              <w:snapToGrid w:val="0"/>
              <w:spacing w:line="360" w:lineRule="auto"/>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报价分应当采用低价优先法计算，即实质性响应了</w:t>
            </w:r>
            <w:r>
              <w:rPr>
                <w:rFonts w:hint="eastAsia" w:ascii="宋体" w:hAnsi="宋体" w:eastAsia="宋体" w:cs="宋体"/>
                <w:color w:val="auto"/>
                <w:kern w:val="2"/>
                <w:sz w:val="24"/>
                <w:szCs w:val="24"/>
                <w:highlight w:val="none"/>
                <w:lang w:val="en-US" w:eastAsia="zh-CN"/>
              </w:rPr>
              <w:t>招标</w:t>
            </w:r>
            <w:r>
              <w:rPr>
                <w:rFonts w:hint="eastAsia" w:ascii="宋体" w:hAnsi="宋体" w:eastAsia="宋体" w:cs="宋体"/>
                <w:color w:val="auto"/>
                <w:kern w:val="2"/>
                <w:sz w:val="24"/>
                <w:szCs w:val="24"/>
                <w:highlight w:val="none"/>
              </w:rPr>
              <w:t>文件要求且</w:t>
            </w:r>
            <w:r>
              <w:rPr>
                <w:rFonts w:hint="eastAsia" w:ascii="宋体" w:hAnsi="宋体" w:eastAsia="宋体" w:cs="宋体"/>
                <w:color w:val="auto"/>
                <w:kern w:val="2"/>
                <w:sz w:val="24"/>
                <w:szCs w:val="24"/>
                <w:highlight w:val="none"/>
                <w:lang w:val="en-US" w:eastAsia="zh-CN"/>
              </w:rPr>
              <w:t>投标报价</w:t>
            </w:r>
            <w:r>
              <w:rPr>
                <w:rFonts w:hint="eastAsia" w:ascii="宋体" w:hAnsi="宋体" w:eastAsia="宋体" w:cs="宋体"/>
                <w:color w:val="auto"/>
                <w:kern w:val="2"/>
                <w:sz w:val="24"/>
                <w:szCs w:val="24"/>
                <w:highlight w:val="none"/>
              </w:rPr>
              <w:t>最低的</w:t>
            </w:r>
            <w:r>
              <w:rPr>
                <w:rFonts w:hint="eastAsia" w:ascii="宋体" w:hAnsi="宋体" w:eastAsia="宋体" w:cs="宋体"/>
                <w:color w:val="auto"/>
                <w:kern w:val="2"/>
                <w:sz w:val="24"/>
                <w:szCs w:val="24"/>
                <w:highlight w:val="none"/>
                <w:lang w:val="en-US" w:eastAsia="zh-CN"/>
              </w:rPr>
              <w:t>投标</w:t>
            </w:r>
            <w:r>
              <w:rPr>
                <w:rFonts w:hint="eastAsia" w:ascii="宋体" w:hAnsi="宋体" w:eastAsia="宋体" w:cs="宋体"/>
                <w:color w:val="auto"/>
                <w:kern w:val="2"/>
                <w:sz w:val="24"/>
                <w:szCs w:val="24"/>
                <w:highlight w:val="none"/>
              </w:rPr>
              <w:t>报价为评审基准价，其报价得分为满分。其他</w:t>
            </w:r>
            <w:r>
              <w:rPr>
                <w:rFonts w:hint="eastAsia" w:ascii="宋体" w:hAnsi="宋体" w:eastAsia="宋体" w:cs="宋体"/>
                <w:color w:val="auto"/>
                <w:kern w:val="2"/>
                <w:sz w:val="24"/>
                <w:szCs w:val="24"/>
                <w:highlight w:val="none"/>
                <w:lang w:val="en-US" w:eastAsia="zh-CN"/>
              </w:rPr>
              <w:t>投标人</w:t>
            </w:r>
            <w:r>
              <w:rPr>
                <w:rFonts w:hint="eastAsia" w:ascii="宋体" w:hAnsi="宋体" w:eastAsia="宋体" w:cs="宋体"/>
                <w:color w:val="auto"/>
                <w:kern w:val="2"/>
                <w:sz w:val="24"/>
                <w:szCs w:val="24"/>
                <w:highlight w:val="none"/>
              </w:rPr>
              <w:t>的报价得分统一按照下列公式计算：</w:t>
            </w:r>
          </w:p>
          <w:p w14:paraId="4C5A7419">
            <w:pPr>
              <w:widowControl/>
              <w:snapToGrid w:val="0"/>
              <w:spacing w:line="360" w:lineRule="auto"/>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报价得分=(评审基准价／</w:t>
            </w:r>
            <w:r>
              <w:rPr>
                <w:rFonts w:hint="eastAsia" w:ascii="宋体" w:hAnsi="宋体" w:eastAsia="宋体" w:cs="宋体"/>
                <w:color w:val="auto"/>
                <w:kern w:val="2"/>
                <w:sz w:val="24"/>
                <w:szCs w:val="24"/>
                <w:highlight w:val="none"/>
                <w:lang w:eastAsia="zh-CN"/>
              </w:rPr>
              <w:t>最后报价</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val="en-US" w:eastAsia="zh-CN"/>
              </w:rPr>
              <w:t>30</w:t>
            </w:r>
            <w:r>
              <w:rPr>
                <w:rFonts w:hint="eastAsia" w:ascii="宋体" w:hAnsi="宋体" w:eastAsia="宋体" w:cs="宋体"/>
                <w:color w:val="auto"/>
                <w:kern w:val="2"/>
                <w:sz w:val="24"/>
                <w:szCs w:val="24"/>
                <w:highlight w:val="none"/>
              </w:rPr>
              <w:t>%×100。(保留小数点后两位)</w:t>
            </w:r>
          </w:p>
        </w:tc>
      </w:tr>
      <w:tr w14:paraId="61EA5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vAlign w:val="center"/>
          </w:tcPr>
          <w:p w14:paraId="77298DE5">
            <w:pPr>
              <w:widowControl/>
              <w:snapToGrid w:val="0"/>
              <w:spacing w:line="360" w:lineRule="auto"/>
              <w:ind w:firstLine="480" w:firstLineChars="200"/>
              <w:jc w:val="left"/>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落实政府采购政策需满足的资格要求：本项目专门面向中小</w:t>
            </w:r>
            <w:r>
              <w:rPr>
                <w:rFonts w:hint="eastAsia" w:hAnsi="宋体" w:cs="宋体"/>
                <w:color w:val="auto"/>
                <w:kern w:val="2"/>
                <w:sz w:val="24"/>
                <w:szCs w:val="24"/>
                <w:highlight w:val="none"/>
                <w:lang w:val="en-US" w:eastAsia="zh-CN"/>
              </w:rPr>
              <w:t>微</w:t>
            </w:r>
            <w:r>
              <w:rPr>
                <w:rFonts w:hint="eastAsia" w:ascii="宋体" w:hAnsi="宋体" w:eastAsia="宋体" w:cs="宋体"/>
                <w:color w:val="auto"/>
                <w:kern w:val="2"/>
                <w:sz w:val="24"/>
                <w:szCs w:val="24"/>
                <w:highlight w:val="none"/>
                <w:lang w:val="en-US" w:eastAsia="zh-CN"/>
              </w:rPr>
              <w:t>企业</w:t>
            </w:r>
          </w:p>
          <w:p w14:paraId="2C10E84F">
            <w:pPr>
              <w:widowControl/>
              <w:snapToGrid w:val="0"/>
              <w:spacing w:line="360" w:lineRule="auto"/>
              <w:ind w:firstLine="480" w:firstLineChars="200"/>
              <w:jc w:val="left"/>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 xml:space="preserve">①《政府采购促进中小企业发展管理办法》（财库〔2020〕46号）； </w:t>
            </w:r>
          </w:p>
          <w:p w14:paraId="23B8313A">
            <w:pPr>
              <w:widowControl/>
              <w:snapToGrid w:val="0"/>
              <w:spacing w:line="360" w:lineRule="auto"/>
              <w:ind w:firstLine="480" w:firstLineChars="200"/>
              <w:jc w:val="left"/>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 xml:space="preserve">②《财政部、司法部关于政府采购支持监狱企业发展有关问题的通知》（财库〔2014〕68号）； </w:t>
            </w:r>
          </w:p>
          <w:p w14:paraId="11CDE6F0">
            <w:pPr>
              <w:widowControl/>
              <w:snapToGrid w:val="0"/>
              <w:spacing w:line="360" w:lineRule="auto"/>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③《财政部、民政部、中国残疾人联合会关于促进残疾人就业政府采购政策的通知》财库〔2017〕141号。</w:t>
            </w:r>
          </w:p>
        </w:tc>
      </w:tr>
    </w:tbl>
    <w:p w14:paraId="2ADBEDD6">
      <w:pPr>
        <w:pStyle w:val="108"/>
        <w:spacing w:line="240" w:lineRule="auto"/>
        <w:rPr>
          <w:rFonts w:hint="eastAsia" w:ascii="宋体" w:hAnsi="宋体" w:eastAsia="宋体" w:cs="宋体"/>
          <w:color w:val="FF0000"/>
          <w:sz w:val="24"/>
          <w:szCs w:val="24"/>
          <w:highlight w:val="none"/>
          <w:shd w:val="clear" w:color="auto" w:fill="FFFFFF"/>
        </w:rPr>
      </w:pPr>
    </w:p>
    <w:p w14:paraId="2C1203EF">
      <w:pPr>
        <w:pStyle w:val="108"/>
        <w:spacing w:line="240" w:lineRule="auto"/>
        <w:rPr>
          <w:rFonts w:hint="eastAsia" w:ascii="宋体" w:hAnsi="宋体" w:eastAsia="宋体" w:cs="宋体"/>
          <w:b/>
          <w:bCs/>
          <w:color w:val="FF0000"/>
          <w:sz w:val="24"/>
          <w:szCs w:val="24"/>
          <w:highlight w:val="none"/>
          <w:shd w:val="clear" w:color="auto" w:fill="FFFFFF"/>
          <w:lang w:val="en-US" w:eastAsia="zh-CN"/>
        </w:rPr>
      </w:pPr>
      <w:r>
        <w:rPr>
          <w:rFonts w:hint="eastAsia" w:ascii="宋体" w:hAnsi="宋体" w:eastAsia="宋体" w:cs="宋体"/>
          <w:b/>
          <w:bCs/>
          <w:color w:val="FF0000"/>
          <w:sz w:val="24"/>
          <w:szCs w:val="24"/>
          <w:highlight w:val="none"/>
          <w:shd w:val="clear" w:color="auto" w:fill="FFFFFF"/>
        </w:rPr>
        <w:t>商务</w:t>
      </w:r>
      <w:r>
        <w:rPr>
          <w:rFonts w:hint="eastAsia" w:hAnsi="宋体" w:cs="宋体"/>
          <w:b/>
          <w:bCs/>
          <w:color w:val="FF0000"/>
          <w:sz w:val="24"/>
          <w:szCs w:val="24"/>
          <w:highlight w:val="none"/>
          <w:shd w:val="clear" w:color="auto" w:fill="FFFFFF"/>
          <w:lang w:val="en-US" w:eastAsia="zh-CN"/>
        </w:rPr>
        <w:t xml:space="preserve">部分 </w:t>
      </w:r>
    </w:p>
    <w:tbl>
      <w:tblPr>
        <w:tblStyle w:val="35"/>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947"/>
        <w:gridCol w:w="823"/>
        <w:gridCol w:w="6476"/>
      </w:tblGrid>
      <w:tr w14:paraId="12F2F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795" w:type="dxa"/>
            <w:gridSpan w:val="2"/>
            <w:vAlign w:val="center"/>
          </w:tcPr>
          <w:p w14:paraId="2C25A6B4">
            <w:pPr>
              <w:keepNext w:val="0"/>
              <w:keepLines w:val="0"/>
              <w:pageBreakBefore w:val="0"/>
              <w:kinsoku/>
              <w:wordWrap/>
              <w:overflowPunct/>
              <w:topLinePunct w:val="0"/>
              <w:autoSpaceDE/>
              <w:autoSpaceDN/>
              <w:bidi w:val="0"/>
              <w:adjustRightInd/>
              <w:spacing w:line="46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评分因素</w:t>
            </w:r>
          </w:p>
        </w:tc>
        <w:tc>
          <w:tcPr>
            <w:tcW w:w="823" w:type="dxa"/>
            <w:vAlign w:val="center"/>
          </w:tcPr>
          <w:p w14:paraId="746C8267">
            <w:pPr>
              <w:keepNext w:val="0"/>
              <w:keepLines w:val="0"/>
              <w:pageBreakBefore w:val="0"/>
              <w:kinsoku/>
              <w:wordWrap/>
              <w:overflowPunct/>
              <w:topLinePunct w:val="0"/>
              <w:autoSpaceDE/>
              <w:autoSpaceDN/>
              <w:bidi w:val="0"/>
              <w:adjustRightInd/>
              <w:spacing w:line="46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分值</w:t>
            </w:r>
          </w:p>
        </w:tc>
        <w:tc>
          <w:tcPr>
            <w:tcW w:w="6476" w:type="dxa"/>
            <w:vAlign w:val="center"/>
          </w:tcPr>
          <w:p w14:paraId="3CA98BFB">
            <w:pPr>
              <w:keepNext w:val="0"/>
              <w:keepLines w:val="0"/>
              <w:pageBreakBefore w:val="0"/>
              <w:kinsoku/>
              <w:wordWrap/>
              <w:overflowPunct/>
              <w:topLinePunct w:val="0"/>
              <w:autoSpaceDE/>
              <w:autoSpaceDN/>
              <w:bidi w:val="0"/>
              <w:adjustRightInd/>
              <w:spacing w:line="46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评分细则</w:t>
            </w:r>
          </w:p>
        </w:tc>
      </w:tr>
      <w:tr w14:paraId="7969B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3" w:hRule="atLeast"/>
          <w:jc w:val="center"/>
        </w:trPr>
        <w:tc>
          <w:tcPr>
            <w:tcW w:w="848" w:type="dxa"/>
            <w:vMerge w:val="restart"/>
            <w:tcBorders>
              <w:right w:val="single" w:color="000000" w:sz="4" w:space="0"/>
            </w:tcBorders>
            <w:vAlign w:val="center"/>
          </w:tcPr>
          <w:p w14:paraId="7CE99C9B">
            <w:pPr>
              <w:keepNext w:val="0"/>
              <w:keepLines w:val="0"/>
              <w:pageBreakBefore w:val="0"/>
              <w:kinsoku/>
              <w:wordWrap/>
              <w:overflowPunct/>
              <w:topLinePunct w:val="0"/>
              <w:autoSpaceDE/>
              <w:autoSpaceDN/>
              <w:bidi w:val="0"/>
              <w:adjustRightInd/>
              <w:spacing w:line="4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商务部分</w:t>
            </w:r>
          </w:p>
        </w:tc>
        <w:tc>
          <w:tcPr>
            <w:tcW w:w="947" w:type="dxa"/>
            <w:tcBorders>
              <w:left w:val="single" w:color="000000" w:sz="4" w:space="0"/>
            </w:tcBorders>
            <w:vAlign w:val="center"/>
          </w:tcPr>
          <w:p w14:paraId="51BD8169">
            <w:pPr>
              <w:keepNext w:val="0"/>
              <w:keepLines w:val="0"/>
              <w:pageBreakBefore w:val="0"/>
              <w:kinsoku/>
              <w:wordWrap/>
              <w:overflowPunct/>
              <w:topLinePunct w:val="0"/>
              <w:autoSpaceDE/>
              <w:autoSpaceDN/>
              <w:bidi w:val="0"/>
              <w:adjustRightInd/>
              <w:spacing w:line="4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w:t>
            </w:r>
          </w:p>
          <w:p w14:paraId="4AF55481">
            <w:pPr>
              <w:keepNext w:val="0"/>
              <w:keepLines w:val="0"/>
              <w:pageBreakBefore w:val="0"/>
              <w:kinsoku/>
              <w:wordWrap/>
              <w:overflowPunct/>
              <w:topLinePunct w:val="0"/>
              <w:autoSpaceDE/>
              <w:autoSpaceDN/>
              <w:bidi w:val="0"/>
              <w:adjustRightInd/>
              <w:spacing w:line="4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业绩</w:t>
            </w:r>
          </w:p>
        </w:tc>
        <w:tc>
          <w:tcPr>
            <w:tcW w:w="823" w:type="dxa"/>
            <w:vAlign w:val="center"/>
          </w:tcPr>
          <w:p w14:paraId="17D1F4DF">
            <w:pPr>
              <w:keepNext w:val="0"/>
              <w:keepLines w:val="0"/>
              <w:pageBreakBefore w:val="0"/>
              <w:kinsoku/>
              <w:wordWrap/>
              <w:overflowPunct/>
              <w:topLinePunct w:val="0"/>
              <w:autoSpaceDE/>
              <w:autoSpaceDN/>
              <w:bidi w:val="0"/>
              <w:adjustRightInd/>
              <w:spacing w:line="460" w:lineRule="exact"/>
              <w:jc w:val="center"/>
              <w:textAlignment w:val="auto"/>
              <w:rPr>
                <w:rFonts w:hint="eastAsia" w:ascii="宋体" w:hAnsi="宋体" w:eastAsia="宋体" w:cs="宋体"/>
                <w:color w:val="auto"/>
                <w:sz w:val="24"/>
                <w:szCs w:val="24"/>
                <w:highlight w:val="none"/>
              </w:rPr>
            </w:pPr>
            <w:r>
              <w:rPr>
                <w:rFonts w:hint="eastAsia" w:hAnsi="宋体" w:cs="宋体"/>
                <w:color w:val="auto"/>
                <w:sz w:val="24"/>
                <w:szCs w:val="24"/>
                <w:highlight w:val="none"/>
                <w:lang w:val="en-US" w:eastAsia="zh-CN"/>
              </w:rPr>
              <w:t>20</w:t>
            </w:r>
            <w:r>
              <w:rPr>
                <w:rFonts w:hint="eastAsia" w:ascii="宋体" w:hAnsi="宋体" w:eastAsia="宋体" w:cs="宋体"/>
                <w:color w:val="auto"/>
                <w:sz w:val="24"/>
                <w:szCs w:val="24"/>
                <w:highlight w:val="none"/>
              </w:rPr>
              <w:t>分</w:t>
            </w:r>
          </w:p>
        </w:tc>
        <w:tc>
          <w:tcPr>
            <w:tcW w:w="6476" w:type="dxa"/>
            <w:vAlign w:val="center"/>
          </w:tcPr>
          <w:p w14:paraId="3EAF6358">
            <w:pPr>
              <w:keepNext w:val="0"/>
              <w:keepLines w:val="0"/>
              <w:pageBreakBefore w:val="0"/>
              <w:kinsoku/>
              <w:wordWrap/>
              <w:overflowPunct/>
              <w:topLinePunct w:val="0"/>
              <w:autoSpaceDE/>
              <w:autoSpaceDN/>
              <w:bidi w:val="0"/>
              <w:adjustRightInd/>
              <w:spacing w:line="4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投标供应商提供近三年（2023年1月1-日至今）类似项目业绩，每提供一份有效业绩得4分，最多得</w:t>
            </w:r>
            <w:r>
              <w:rPr>
                <w:rFonts w:hint="eastAsia" w:hAnsi="宋体" w:cs="宋体"/>
                <w:color w:val="auto"/>
                <w:sz w:val="24"/>
                <w:szCs w:val="24"/>
                <w:highlight w:val="none"/>
                <w:lang w:val="en-US" w:eastAsia="zh-CN"/>
              </w:rPr>
              <w:t>20</w:t>
            </w:r>
            <w:r>
              <w:rPr>
                <w:rFonts w:hint="eastAsia" w:ascii="宋体" w:hAnsi="宋体" w:eastAsia="宋体" w:cs="宋体"/>
                <w:color w:val="auto"/>
                <w:sz w:val="24"/>
                <w:szCs w:val="24"/>
                <w:highlight w:val="none"/>
                <w:lang w:val="en-US" w:eastAsia="zh-CN"/>
              </w:rPr>
              <w:t>分。</w:t>
            </w:r>
          </w:p>
          <w:p w14:paraId="0968BFDA">
            <w:pPr>
              <w:keepNext w:val="0"/>
              <w:keepLines w:val="0"/>
              <w:pageBreakBefore w:val="0"/>
              <w:kinsoku/>
              <w:wordWrap/>
              <w:overflowPunct/>
              <w:topLinePunct w:val="0"/>
              <w:autoSpaceDE/>
              <w:autoSpaceDN/>
              <w:bidi w:val="0"/>
              <w:adjustRightInd/>
              <w:spacing w:line="46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注：有效业绩须包括对应合同（合同首页、合同关键页、合同金额页、签字盖章页）</w:t>
            </w:r>
          </w:p>
        </w:tc>
      </w:tr>
      <w:tr w14:paraId="6FC9D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8" w:type="dxa"/>
            <w:vMerge w:val="restart"/>
            <w:tcBorders>
              <w:right w:val="single" w:color="000000" w:sz="4" w:space="0"/>
            </w:tcBorders>
            <w:vAlign w:val="center"/>
          </w:tcPr>
          <w:p w14:paraId="4C31F2D5">
            <w:pPr>
              <w:pStyle w:val="25"/>
              <w:keepNext w:val="0"/>
              <w:keepLines w:val="0"/>
              <w:pageBreakBefore w:val="0"/>
              <w:kinsoku/>
              <w:wordWrap/>
              <w:overflowPunct/>
              <w:topLinePunct w:val="0"/>
              <w:autoSpaceDE/>
              <w:autoSpaceDN/>
              <w:bidi w:val="0"/>
              <w:adjustRightInd/>
              <w:spacing w:line="4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技术部分 </w:t>
            </w:r>
          </w:p>
        </w:tc>
        <w:tc>
          <w:tcPr>
            <w:tcW w:w="947" w:type="dxa"/>
            <w:tcBorders>
              <w:left w:val="single" w:color="000000" w:sz="4" w:space="0"/>
            </w:tcBorders>
            <w:vAlign w:val="center"/>
          </w:tcPr>
          <w:p w14:paraId="192BDED2">
            <w:pPr>
              <w:keepNext w:val="0"/>
              <w:keepLines w:val="0"/>
              <w:pageBreakBefore w:val="0"/>
              <w:kinsoku/>
              <w:wordWrap/>
              <w:overflowPunct/>
              <w:topLinePunct w:val="0"/>
              <w:autoSpaceDE/>
              <w:autoSpaceDN/>
              <w:bidi w:val="0"/>
              <w:adjustRightInd/>
              <w:spacing w:line="460" w:lineRule="exact"/>
              <w:jc w:val="center"/>
              <w:textAlignment w:val="auto"/>
              <w:rPr>
                <w:rFonts w:hint="default" w:ascii="宋体" w:hAnsi="宋体" w:eastAsia="宋体" w:cs="宋体"/>
                <w:color w:val="auto"/>
                <w:sz w:val="24"/>
                <w:szCs w:val="24"/>
                <w:highlight w:val="none"/>
                <w:lang w:val="en-US"/>
              </w:rPr>
            </w:pPr>
            <w:r>
              <w:rPr>
                <w:rFonts w:hint="eastAsia" w:hAnsi="宋体" w:cs="宋体"/>
                <w:color w:val="auto"/>
                <w:sz w:val="24"/>
                <w:szCs w:val="24"/>
                <w:highlight w:val="none"/>
                <w:lang w:val="en-US" w:eastAsia="zh-CN"/>
              </w:rPr>
              <w:t>配置及性能指标</w:t>
            </w:r>
          </w:p>
        </w:tc>
        <w:tc>
          <w:tcPr>
            <w:tcW w:w="823" w:type="dxa"/>
            <w:vAlign w:val="center"/>
          </w:tcPr>
          <w:p w14:paraId="05001ECE">
            <w:pPr>
              <w:keepNext w:val="0"/>
              <w:keepLines w:val="0"/>
              <w:pageBreakBefore w:val="0"/>
              <w:kinsoku/>
              <w:wordWrap/>
              <w:overflowPunct/>
              <w:topLinePunct w:val="0"/>
              <w:autoSpaceDE/>
              <w:autoSpaceDN/>
              <w:bidi w:val="0"/>
              <w:adjustRightInd/>
              <w:spacing w:line="460" w:lineRule="exact"/>
              <w:jc w:val="center"/>
              <w:textAlignment w:val="auto"/>
              <w:rPr>
                <w:rFonts w:hint="eastAsia" w:ascii="宋体" w:hAnsi="宋体" w:eastAsia="宋体" w:cs="宋体"/>
                <w:color w:val="auto"/>
                <w:sz w:val="24"/>
                <w:szCs w:val="24"/>
                <w:highlight w:val="none"/>
              </w:rPr>
            </w:pPr>
            <w:r>
              <w:rPr>
                <w:rFonts w:hint="eastAsia" w:hAnsi="宋体" w:cs="宋体"/>
                <w:color w:val="auto"/>
                <w:sz w:val="24"/>
                <w:szCs w:val="24"/>
                <w:highlight w:val="none"/>
                <w:lang w:val="en-US" w:eastAsia="zh-CN"/>
              </w:rPr>
              <w:t>15</w:t>
            </w:r>
            <w:r>
              <w:rPr>
                <w:rFonts w:hint="eastAsia" w:ascii="宋体" w:hAnsi="宋体" w:eastAsia="宋体" w:cs="宋体"/>
                <w:color w:val="auto"/>
                <w:sz w:val="24"/>
                <w:szCs w:val="24"/>
                <w:highlight w:val="none"/>
                <w:lang w:val="en-US" w:eastAsia="zh-CN"/>
              </w:rPr>
              <w:t>分</w:t>
            </w:r>
          </w:p>
        </w:tc>
        <w:tc>
          <w:tcPr>
            <w:tcW w:w="6476" w:type="dxa"/>
            <w:vAlign w:val="center"/>
          </w:tcPr>
          <w:p w14:paraId="0DB49C5A">
            <w:pPr>
              <w:keepNext w:val="0"/>
              <w:keepLines w:val="0"/>
              <w:pageBreakBefore w:val="0"/>
              <w:kinsoku/>
              <w:wordWrap/>
              <w:overflowPunct/>
              <w:topLinePunct w:val="0"/>
              <w:autoSpaceDE/>
              <w:autoSpaceDN/>
              <w:bidi w:val="0"/>
              <w:adjustRightInd/>
              <w:spacing w:line="4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000000"/>
                <w:kern w:val="0"/>
                <w:sz w:val="24"/>
                <w:szCs w:val="24"/>
                <w:lang w:val="en-US" w:eastAsia="zh-CN" w:bidi="ar"/>
              </w:rPr>
              <w:t>1</w:t>
            </w:r>
            <w:r>
              <w:rPr>
                <w:rFonts w:hint="eastAsia" w:ascii="宋体" w:hAnsi="宋体" w:eastAsia="宋体" w:cs="宋体"/>
                <w:color w:val="auto"/>
                <w:sz w:val="24"/>
                <w:szCs w:val="24"/>
                <w:highlight w:val="none"/>
                <w:lang w:val="en-US" w:eastAsia="zh-CN"/>
              </w:rPr>
              <w:t xml:space="preserve">、供应商须对照《采购需求》全部内容逐条在《技术偏离表》中列明响应内容及是否偏离等情况，要求提供相关证明资 </w:t>
            </w:r>
          </w:p>
          <w:p w14:paraId="5926FBAF">
            <w:pPr>
              <w:keepNext w:val="0"/>
              <w:keepLines w:val="0"/>
              <w:pageBreakBefore w:val="0"/>
              <w:kinsoku/>
              <w:wordWrap/>
              <w:overflowPunct/>
              <w:topLinePunct w:val="0"/>
              <w:autoSpaceDE/>
              <w:autoSpaceDN/>
              <w:bidi w:val="0"/>
              <w:adjustRightInd/>
              <w:spacing w:line="4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料，须在“备注”栏说明证明资料在《投标文件》的具体位置或页码） </w:t>
            </w:r>
          </w:p>
          <w:p w14:paraId="33F2A4A6">
            <w:pPr>
              <w:keepNext w:val="0"/>
              <w:keepLines w:val="0"/>
              <w:pageBreakBefore w:val="0"/>
              <w:kinsoku/>
              <w:wordWrap/>
              <w:overflowPunct/>
              <w:topLinePunct w:val="0"/>
              <w:autoSpaceDE/>
              <w:autoSpaceDN/>
              <w:bidi w:val="0"/>
              <w:adjustRightInd/>
              <w:spacing w:line="4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2、对《采购需求》中的条款，每出现一处负偏离扣 </w:t>
            </w:r>
            <w:r>
              <w:rPr>
                <w:rFonts w:hint="eastAsia"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分，超过</w:t>
            </w:r>
            <w:r>
              <w:rPr>
                <w:rFonts w:hint="eastAsia"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处本项不得分，本项总分</w:t>
            </w:r>
            <w:r>
              <w:rPr>
                <w:rFonts w:hint="eastAsia" w:hAnsi="宋体" w:cs="宋体"/>
                <w:color w:val="auto"/>
                <w:sz w:val="24"/>
                <w:szCs w:val="24"/>
                <w:highlight w:val="none"/>
                <w:lang w:val="en-US" w:eastAsia="zh-CN"/>
              </w:rPr>
              <w:t>15</w:t>
            </w:r>
            <w:r>
              <w:rPr>
                <w:rFonts w:hint="eastAsia" w:ascii="宋体" w:hAnsi="宋体" w:eastAsia="宋体" w:cs="宋体"/>
                <w:color w:val="auto"/>
                <w:sz w:val="24"/>
                <w:szCs w:val="24"/>
                <w:highlight w:val="none"/>
                <w:lang w:val="en-US" w:eastAsia="zh-CN"/>
              </w:rPr>
              <w:t xml:space="preserve">分。 </w:t>
            </w:r>
          </w:p>
          <w:p w14:paraId="27DA11DE">
            <w:pPr>
              <w:pStyle w:val="29"/>
              <w:keepNext w:val="0"/>
              <w:keepLines w:val="0"/>
              <w:pageBreakBefore w:val="0"/>
              <w:kinsoku/>
              <w:wordWrap/>
              <w:overflowPunct/>
              <w:topLinePunct w:val="0"/>
              <w:autoSpaceDE/>
              <w:autoSpaceDN/>
              <w:bidi w:val="0"/>
              <w:adjustRightInd/>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注：投标人须对本采购文件技术要求进行点对点应答，根据本采购文件的要求,结合所投产品的实际参数值，进行逐条逐项答复、说明和解释并提供产品检测报告，未按上述要求提供检验报告的，评审得0分。</w:t>
            </w:r>
          </w:p>
        </w:tc>
      </w:tr>
      <w:tr w14:paraId="0B3BF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8" w:type="dxa"/>
            <w:vMerge w:val="continue"/>
            <w:tcBorders>
              <w:right w:val="single" w:color="000000" w:sz="4" w:space="0"/>
            </w:tcBorders>
            <w:vAlign w:val="center"/>
          </w:tcPr>
          <w:p w14:paraId="33AB8EC0">
            <w:pPr>
              <w:pStyle w:val="25"/>
              <w:keepNext w:val="0"/>
              <w:keepLines w:val="0"/>
              <w:pageBreakBefore w:val="0"/>
              <w:kinsoku/>
              <w:wordWrap/>
              <w:overflowPunct/>
              <w:topLinePunct w:val="0"/>
              <w:autoSpaceDE/>
              <w:autoSpaceDN/>
              <w:bidi w:val="0"/>
              <w:adjustRightInd/>
              <w:spacing w:line="460" w:lineRule="exact"/>
              <w:textAlignment w:val="auto"/>
              <w:rPr>
                <w:rFonts w:hint="eastAsia" w:ascii="宋体" w:hAnsi="宋体" w:eastAsia="宋体" w:cs="宋体"/>
                <w:color w:val="auto"/>
                <w:sz w:val="24"/>
                <w:szCs w:val="24"/>
                <w:highlight w:val="none"/>
              </w:rPr>
            </w:pPr>
          </w:p>
        </w:tc>
        <w:tc>
          <w:tcPr>
            <w:tcW w:w="947" w:type="dxa"/>
            <w:tcBorders>
              <w:left w:val="single" w:color="000000" w:sz="4" w:space="0"/>
            </w:tcBorders>
            <w:vAlign w:val="center"/>
          </w:tcPr>
          <w:p w14:paraId="096AD894">
            <w:pPr>
              <w:keepNext w:val="0"/>
              <w:keepLines w:val="0"/>
              <w:pageBreakBefore w:val="0"/>
              <w:kinsoku/>
              <w:wordWrap/>
              <w:overflowPunct/>
              <w:topLinePunct w:val="0"/>
              <w:autoSpaceDE/>
              <w:autoSpaceDN/>
              <w:bidi w:val="0"/>
              <w:adjustRightInd/>
              <w:spacing w:line="46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实施</w:t>
            </w:r>
          </w:p>
          <w:p w14:paraId="11C308D0">
            <w:pPr>
              <w:keepNext w:val="0"/>
              <w:keepLines w:val="0"/>
              <w:pageBreakBefore w:val="0"/>
              <w:kinsoku/>
              <w:wordWrap/>
              <w:overflowPunct/>
              <w:topLinePunct w:val="0"/>
              <w:autoSpaceDE/>
              <w:autoSpaceDN/>
              <w:bidi w:val="0"/>
              <w:adjustRightInd/>
              <w:spacing w:line="46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方案</w:t>
            </w:r>
          </w:p>
        </w:tc>
        <w:tc>
          <w:tcPr>
            <w:tcW w:w="823" w:type="dxa"/>
            <w:vAlign w:val="center"/>
          </w:tcPr>
          <w:p w14:paraId="2A521F6E">
            <w:pPr>
              <w:keepNext w:val="0"/>
              <w:keepLines w:val="0"/>
              <w:pageBreakBefore w:val="0"/>
              <w:kinsoku/>
              <w:wordWrap/>
              <w:overflowPunct/>
              <w:topLinePunct w:val="0"/>
              <w:autoSpaceDE/>
              <w:autoSpaceDN/>
              <w:bidi w:val="0"/>
              <w:adjustRightInd/>
              <w:spacing w:line="460" w:lineRule="exact"/>
              <w:jc w:val="center"/>
              <w:textAlignment w:val="auto"/>
              <w:rPr>
                <w:rFonts w:hint="eastAsia"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13</w:t>
            </w:r>
            <w:r>
              <w:rPr>
                <w:rFonts w:hint="eastAsia" w:ascii="宋体" w:hAnsi="宋体" w:eastAsia="宋体" w:cs="宋体"/>
                <w:color w:val="auto"/>
                <w:sz w:val="24"/>
                <w:szCs w:val="24"/>
                <w:highlight w:val="none"/>
                <w:lang w:eastAsia="zh-CN"/>
              </w:rPr>
              <w:t>分</w:t>
            </w:r>
          </w:p>
        </w:tc>
        <w:tc>
          <w:tcPr>
            <w:tcW w:w="6476" w:type="dxa"/>
            <w:vAlign w:val="center"/>
          </w:tcPr>
          <w:p w14:paraId="4D51A48F">
            <w:pPr>
              <w:keepNext w:val="0"/>
              <w:keepLines w:val="0"/>
              <w:pageBreakBefore w:val="0"/>
              <w:kinsoku/>
              <w:wordWrap/>
              <w:overflowPunct/>
              <w:topLinePunct w:val="0"/>
              <w:autoSpaceDE/>
              <w:autoSpaceDN/>
              <w:bidi w:val="0"/>
              <w:adjustRightInd/>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依据采购需求，投标人针对本项目制定</w:t>
            </w:r>
            <w:r>
              <w:rPr>
                <w:rFonts w:hint="eastAsia" w:ascii="宋体" w:hAnsi="宋体" w:eastAsia="宋体" w:cs="宋体"/>
                <w:color w:val="auto"/>
                <w:sz w:val="24"/>
                <w:szCs w:val="24"/>
                <w:highlight w:val="none"/>
                <w:lang w:eastAsia="zh-CN"/>
              </w:rPr>
              <w:t>项目实施方案</w:t>
            </w:r>
            <w:r>
              <w:rPr>
                <w:rFonts w:hint="eastAsia" w:ascii="宋体" w:hAnsi="宋体" w:eastAsia="宋体" w:cs="宋体"/>
                <w:color w:val="auto"/>
                <w:sz w:val="24"/>
                <w:szCs w:val="24"/>
                <w:highlight w:val="none"/>
              </w:rPr>
              <w:t>，内容包括不限于：1、</w:t>
            </w:r>
            <w:r>
              <w:rPr>
                <w:rFonts w:hint="eastAsia" w:ascii="宋体" w:hAnsi="宋体" w:eastAsia="宋体" w:cs="宋体"/>
                <w:color w:val="auto"/>
                <w:sz w:val="24"/>
                <w:szCs w:val="24"/>
                <w:highlight w:val="none"/>
                <w:lang w:eastAsia="zh-CN"/>
              </w:rPr>
              <w:t>供货方案；</w:t>
            </w:r>
            <w:r>
              <w:rPr>
                <w:rFonts w:hint="eastAsia" w:ascii="宋体" w:hAnsi="宋体" w:eastAsia="宋体" w:cs="宋体"/>
                <w:color w:val="auto"/>
                <w:sz w:val="24"/>
                <w:szCs w:val="24"/>
                <w:highlight w:val="none"/>
              </w:rPr>
              <w:t>2</w:t>
            </w:r>
            <w:r>
              <w:rPr>
                <w:rFonts w:hint="eastAsia" w:ascii="宋体" w:hAnsi="宋体" w:eastAsia="宋体" w:cs="宋体"/>
                <w:color w:val="auto"/>
                <w:kern w:val="2"/>
                <w:sz w:val="24"/>
                <w:szCs w:val="24"/>
                <w:highlight w:val="none"/>
                <w:lang w:val="en-US" w:eastAsia="zh-CN" w:bidi="ar-SA"/>
              </w:rPr>
              <w:t>、配送计划及措施；</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设备验收</w:t>
            </w:r>
            <w:r>
              <w:rPr>
                <w:rFonts w:hint="eastAsia" w:ascii="宋体" w:hAnsi="宋体" w:eastAsia="宋体" w:cs="宋体"/>
                <w:color w:val="auto"/>
                <w:sz w:val="24"/>
                <w:szCs w:val="24"/>
                <w:highlight w:val="none"/>
              </w:rPr>
              <w:t>方案；4、产品质量保证措施</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eastAsia="zh-CN"/>
              </w:rPr>
              <w:t>应急生产方案及措施；</w:t>
            </w:r>
            <w:r>
              <w:rPr>
                <w:rFonts w:hint="eastAsia" w:ascii="宋体" w:hAnsi="宋体" w:eastAsia="宋体" w:cs="宋体"/>
                <w:color w:val="auto"/>
                <w:sz w:val="24"/>
                <w:szCs w:val="24"/>
                <w:highlight w:val="none"/>
              </w:rPr>
              <w:t>投标人提供的以上所有要素内容可行性、描述清晰、合理可行、能充分结合本项目实际情况得</w:t>
            </w:r>
            <w:r>
              <w:rPr>
                <w:rFonts w:hint="eastAsia" w:hAnsi="宋体" w:cs="宋体"/>
                <w:color w:val="auto"/>
                <w:sz w:val="24"/>
                <w:szCs w:val="24"/>
                <w:highlight w:val="none"/>
                <w:lang w:val="en-US" w:eastAsia="zh-CN"/>
              </w:rPr>
              <w:t>13</w:t>
            </w:r>
            <w:r>
              <w:rPr>
                <w:rFonts w:hint="eastAsia" w:ascii="宋体" w:hAnsi="宋体" w:eastAsia="宋体" w:cs="宋体"/>
                <w:color w:val="auto"/>
                <w:sz w:val="24"/>
                <w:szCs w:val="24"/>
                <w:highlight w:val="none"/>
              </w:rPr>
              <w:t xml:space="preserve"> 分；每缺一个要素扣 2分， 每个要素里每有一处内容有缺陷扣 1分（ 扣完为止） 。</w:t>
            </w:r>
          </w:p>
          <w:p w14:paraId="508026D0">
            <w:pPr>
              <w:pStyle w:val="29"/>
              <w:keepNext w:val="0"/>
              <w:keepLines w:val="0"/>
              <w:pageBreakBefore w:val="0"/>
              <w:kinsoku/>
              <w:wordWrap/>
              <w:overflowPunct/>
              <w:topLinePunct w:val="0"/>
              <w:autoSpaceDE/>
              <w:autoSpaceDN/>
              <w:bidi w:val="0"/>
              <w:adjustRightInd/>
              <w:spacing w:line="46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1.内容存在缺陷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⑦该项内容套用其他项目内容。</w:t>
            </w:r>
          </w:p>
        </w:tc>
      </w:tr>
      <w:tr w14:paraId="4297C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8" w:type="dxa"/>
            <w:vMerge w:val="continue"/>
            <w:tcBorders>
              <w:right w:val="single" w:color="000000" w:sz="4" w:space="0"/>
            </w:tcBorders>
            <w:vAlign w:val="center"/>
          </w:tcPr>
          <w:p w14:paraId="6CC9F12A">
            <w:pPr>
              <w:pStyle w:val="25"/>
              <w:keepNext w:val="0"/>
              <w:keepLines w:val="0"/>
              <w:pageBreakBefore w:val="0"/>
              <w:kinsoku/>
              <w:wordWrap/>
              <w:overflowPunct/>
              <w:topLinePunct w:val="0"/>
              <w:autoSpaceDE/>
              <w:autoSpaceDN/>
              <w:bidi w:val="0"/>
              <w:adjustRightInd/>
              <w:spacing w:line="460" w:lineRule="exact"/>
              <w:textAlignment w:val="auto"/>
              <w:rPr>
                <w:rFonts w:hint="eastAsia" w:ascii="宋体" w:hAnsi="宋体" w:eastAsia="宋体" w:cs="宋体"/>
                <w:color w:val="auto"/>
                <w:sz w:val="24"/>
                <w:szCs w:val="24"/>
                <w:highlight w:val="none"/>
              </w:rPr>
            </w:pPr>
          </w:p>
        </w:tc>
        <w:tc>
          <w:tcPr>
            <w:tcW w:w="947" w:type="dxa"/>
            <w:tcBorders>
              <w:left w:val="single" w:color="000000" w:sz="4" w:space="0"/>
            </w:tcBorders>
            <w:vAlign w:val="center"/>
          </w:tcPr>
          <w:p w14:paraId="4BE22BD3">
            <w:pPr>
              <w:keepNext w:val="0"/>
              <w:keepLines w:val="0"/>
              <w:pageBreakBefore w:val="0"/>
              <w:kinsoku/>
              <w:wordWrap/>
              <w:overflowPunct/>
              <w:topLinePunct w:val="0"/>
              <w:autoSpaceDE/>
              <w:autoSpaceDN/>
              <w:bidi w:val="0"/>
              <w:adjustRightInd/>
              <w:spacing w:line="46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货物运输及包装要求</w:t>
            </w:r>
          </w:p>
        </w:tc>
        <w:tc>
          <w:tcPr>
            <w:tcW w:w="823" w:type="dxa"/>
            <w:vAlign w:val="center"/>
          </w:tcPr>
          <w:p w14:paraId="04497F2F">
            <w:pPr>
              <w:keepNext w:val="0"/>
              <w:keepLines w:val="0"/>
              <w:pageBreakBefore w:val="0"/>
              <w:kinsoku/>
              <w:wordWrap/>
              <w:overflowPunct/>
              <w:topLinePunct w:val="0"/>
              <w:autoSpaceDE/>
              <w:autoSpaceDN/>
              <w:bidi w:val="0"/>
              <w:adjustRightInd/>
              <w:spacing w:line="46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p>
        </w:tc>
        <w:tc>
          <w:tcPr>
            <w:tcW w:w="6476" w:type="dxa"/>
            <w:vAlign w:val="center"/>
          </w:tcPr>
          <w:p w14:paraId="499456BA">
            <w:pPr>
              <w:pStyle w:val="2"/>
              <w:keepNext w:val="0"/>
              <w:keepLines w:val="0"/>
              <w:pageBreakBefore w:val="0"/>
              <w:kinsoku/>
              <w:wordWrap/>
              <w:overflowPunct/>
              <w:topLinePunct w:val="0"/>
              <w:autoSpaceDE/>
              <w:autoSpaceDN/>
              <w:bidi w:val="0"/>
              <w:adjustRightInd/>
              <w:spacing w:line="46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4"/>
                <w:szCs w:val="24"/>
                <w:highlight w:val="none"/>
              </w:rPr>
              <w:t>货物运输及包装要求，包括①应按符合国家规定、适合长途运输、搬运及仓储的方式对产品进行妥善的包装；②所有产品的包装应根据材料特点具备防尘、防潮、防水、防撞、防晒等功能；③每批产品的包装必须附有装箱清单，包装物上必须标明，产品名称（含代码）、规格、数量、生产日期、批次等资料；④运送产品时应当同时向甲方提供相配套的专用拆卸工具，批次订单数量总和千分之五比例的固封装置损耗，随批次订单一同交付。完全满足得</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分，每缺一个要素扣</w:t>
            </w: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分，每个要素里每有一处内容有缺陷扣</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 扣完为止） 。</w:t>
            </w:r>
          </w:p>
          <w:p w14:paraId="61AEAC46">
            <w:pPr>
              <w:pStyle w:val="2"/>
              <w:keepNext w:val="0"/>
              <w:keepLines w:val="0"/>
              <w:pageBreakBefore w:val="0"/>
              <w:kinsoku/>
              <w:wordWrap/>
              <w:overflowPunct/>
              <w:topLinePunct w:val="0"/>
              <w:autoSpaceDE/>
              <w:autoSpaceDN/>
              <w:bidi w:val="0"/>
              <w:adjustRightInd/>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注：1.内容存在缺陷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⑦该项内容套用其他项目内容。</w:t>
            </w:r>
          </w:p>
        </w:tc>
      </w:tr>
      <w:tr w14:paraId="1E802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8" w:type="dxa"/>
            <w:vMerge w:val="continue"/>
            <w:tcBorders>
              <w:right w:val="single" w:color="000000" w:sz="4" w:space="0"/>
            </w:tcBorders>
            <w:vAlign w:val="center"/>
          </w:tcPr>
          <w:p w14:paraId="7E3F2E6D">
            <w:pPr>
              <w:pStyle w:val="25"/>
              <w:keepNext w:val="0"/>
              <w:keepLines w:val="0"/>
              <w:pageBreakBefore w:val="0"/>
              <w:kinsoku/>
              <w:wordWrap/>
              <w:overflowPunct/>
              <w:topLinePunct w:val="0"/>
              <w:autoSpaceDE/>
              <w:autoSpaceDN/>
              <w:bidi w:val="0"/>
              <w:adjustRightInd/>
              <w:spacing w:line="460" w:lineRule="exact"/>
              <w:textAlignment w:val="auto"/>
              <w:rPr>
                <w:rFonts w:hint="eastAsia" w:ascii="宋体" w:hAnsi="宋体" w:eastAsia="宋体" w:cs="宋体"/>
                <w:color w:val="auto"/>
                <w:sz w:val="24"/>
                <w:szCs w:val="24"/>
                <w:highlight w:val="none"/>
              </w:rPr>
            </w:pPr>
          </w:p>
        </w:tc>
        <w:tc>
          <w:tcPr>
            <w:tcW w:w="947" w:type="dxa"/>
            <w:tcBorders>
              <w:left w:val="single" w:color="000000" w:sz="4" w:space="0"/>
            </w:tcBorders>
            <w:vAlign w:val="center"/>
          </w:tcPr>
          <w:p w14:paraId="70658270">
            <w:pPr>
              <w:keepNext w:val="0"/>
              <w:keepLines w:val="0"/>
              <w:pageBreakBefore w:val="0"/>
              <w:kinsoku/>
              <w:wordWrap/>
              <w:overflowPunct/>
              <w:topLinePunct w:val="0"/>
              <w:autoSpaceDE/>
              <w:autoSpaceDN/>
              <w:bidi w:val="0"/>
              <w:adjustRightInd/>
              <w:spacing w:line="4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售后方案</w:t>
            </w:r>
          </w:p>
        </w:tc>
        <w:tc>
          <w:tcPr>
            <w:tcW w:w="823" w:type="dxa"/>
            <w:vAlign w:val="center"/>
          </w:tcPr>
          <w:p w14:paraId="3C4679E4">
            <w:pPr>
              <w:keepNext w:val="0"/>
              <w:keepLines w:val="0"/>
              <w:pageBreakBefore w:val="0"/>
              <w:kinsoku/>
              <w:wordWrap/>
              <w:overflowPunct/>
              <w:topLinePunct w:val="0"/>
              <w:autoSpaceDE/>
              <w:autoSpaceDN/>
              <w:bidi w:val="0"/>
              <w:adjustRightInd/>
              <w:spacing w:line="4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分</w:t>
            </w:r>
          </w:p>
        </w:tc>
        <w:tc>
          <w:tcPr>
            <w:tcW w:w="6476" w:type="dxa"/>
            <w:vAlign w:val="center"/>
          </w:tcPr>
          <w:p w14:paraId="51FABFB3">
            <w:pPr>
              <w:keepNext w:val="0"/>
              <w:keepLines w:val="0"/>
              <w:pageBreakBefore w:val="0"/>
              <w:kinsoku/>
              <w:wordWrap/>
              <w:overflowPunct/>
              <w:topLinePunct w:val="0"/>
              <w:autoSpaceDE/>
              <w:autoSpaceDN/>
              <w:bidi w:val="0"/>
              <w:adjustRightInd/>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依据采购需求，投标人针对本项目制定售后方案，内容包括不限于：</w:t>
            </w:r>
            <w:r>
              <w:rPr>
                <w:rFonts w:hint="eastAsia" w:ascii="宋体" w:hAnsi="宋体" w:eastAsia="宋体" w:cs="宋体"/>
                <w:color w:val="auto"/>
                <w:sz w:val="24"/>
                <w:szCs w:val="24"/>
                <w:highlight w:val="none"/>
                <w:lang w:val="zh-CN"/>
              </w:rPr>
              <w:t>1、</w:t>
            </w:r>
            <w:r>
              <w:rPr>
                <w:rFonts w:hint="eastAsia" w:ascii="宋体" w:hAnsi="宋体" w:eastAsia="宋体" w:cs="宋体"/>
                <w:color w:val="auto"/>
                <w:sz w:val="24"/>
                <w:szCs w:val="24"/>
                <w:highlight w:val="none"/>
                <w:lang w:val="en-US" w:eastAsia="zh-CN"/>
              </w:rPr>
              <w:t>质保的承诺；2、售后服务保证方案；</w:t>
            </w:r>
            <w:r>
              <w:rPr>
                <w:rFonts w:hint="eastAsia" w:ascii="宋体" w:hAnsi="宋体" w:eastAsia="宋体" w:cs="宋体"/>
                <w:color w:val="auto"/>
                <w:sz w:val="24"/>
                <w:szCs w:val="24"/>
                <w:highlight w:val="none"/>
              </w:rPr>
              <w:t>3、投标人具备售后服务能力（提供投标人处理突发情况的应急预案）；4、</w:t>
            </w:r>
            <w:r>
              <w:rPr>
                <w:rFonts w:hint="eastAsia" w:ascii="宋体" w:hAnsi="宋体" w:eastAsia="宋体" w:cs="宋体"/>
                <w:color w:val="auto"/>
                <w:sz w:val="24"/>
                <w:szCs w:val="24"/>
                <w:highlight w:val="none"/>
                <w:lang w:eastAsia="zh-CN"/>
              </w:rPr>
              <w:t>售后服务的形式及响应时间；</w:t>
            </w:r>
            <w:r>
              <w:rPr>
                <w:rFonts w:hint="eastAsia" w:ascii="宋体" w:hAnsi="宋体" w:eastAsia="宋体" w:cs="宋体"/>
                <w:color w:val="auto"/>
                <w:sz w:val="24"/>
                <w:szCs w:val="24"/>
                <w:highlight w:val="none"/>
                <w:lang w:val="en-US" w:eastAsia="zh-CN"/>
              </w:rPr>
              <w:t>5、质量问题专属方案；6、</w:t>
            </w:r>
            <w:r>
              <w:rPr>
                <w:rFonts w:hint="eastAsia" w:ascii="宋体" w:hAnsi="宋体" w:eastAsia="宋体" w:cs="宋体"/>
                <w:color w:val="auto"/>
                <w:sz w:val="24"/>
                <w:szCs w:val="24"/>
                <w:highlight w:val="none"/>
              </w:rPr>
              <w:t>给甲方提供实质性优惠服务；</w:t>
            </w:r>
          </w:p>
          <w:p w14:paraId="69B99B44">
            <w:pPr>
              <w:keepNext w:val="0"/>
              <w:keepLines w:val="0"/>
              <w:pageBreakBefore w:val="0"/>
              <w:kinsoku/>
              <w:wordWrap/>
              <w:overflowPunct/>
              <w:topLinePunct w:val="0"/>
              <w:autoSpaceDE/>
              <w:autoSpaceDN/>
              <w:bidi w:val="0"/>
              <w:adjustRightInd/>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投标人提供的以上所有要素内容可行性、描述清晰、合理可行、能充分结合本项目实际情况得</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分；每缺一个要素扣</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 每个要素里每有一处内容有缺陷扣</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分（扣完为止） 。</w:t>
            </w:r>
          </w:p>
          <w:p w14:paraId="157F038E">
            <w:pPr>
              <w:pStyle w:val="2"/>
              <w:keepNext w:val="0"/>
              <w:keepLines w:val="0"/>
              <w:pageBreakBefore w:val="0"/>
              <w:kinsoku/>
              <w:wordWrap/>
              <w:overflowPunct/>
              <w:topLinePunct w:val="0"/>
              <w:autoSpaceDE/>
              <w:autoSpaceDN/>
              <w:bidi w:val="0"/>
              <w:adjustRightInd/>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注：1.内容存在缺陷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⑦该项内容套用其他项目内容。</w:t>
            </w:r>
          </w:p>
        </w:tc>
      </w:tr>
      <w:tr w14:paraId="6EE4D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8" w:type="dxa"/>
            <w:vMerge w:val="continue"/>
            <w:tcBorders>
              <w:right w:val="single" w:color="000000" w:sz="4" w:space="0"/>
            </w:tcBorders>
            <w:vAlign w:val="center"/>
          </w:tcPr>
          <w:p w14:paraId="13CD9C58">
            <w:pPr>
              <w:pStyle w:val="25"/>
              <w:keepNext w:val="0"/>
              <w:keepLines w:val="0"/>
              <w:pageBreakBefore w:val="0"/>
              <w:kinsoku/>
              <w:wordWrap/>
              <w:overflowPunct/>
              <w:topLinePunct w:val="0"/>
              <w:autoSpaceDE/>
              <w:autoSpaceDN/>
              <w:bidi w:val="0"/>
              <w:adjustRightInd/>
              <w:spacing w:line="460" w:lineRule="exact"/>
              <w:textAlignment w:val="auto"/>
              <w:rPr>
                <w:rFonts w:hint="eastAsia" w:ascii="宋体" w:hAnsi="宋体" w:eastAsia="宋体" w:cs="宋体"/>
                <w:color w:val="auto"/>
                <w:sz w:val="24"/>
                <w:szCs w:val="24"/>
                <w:highlight w:val="none"/>
              </w:rPr>
            </w:pPr>
          </w:p>
        </w:tc>
        <w:tc>
          <w:tcPr>
            <w:tcW w:w="947" w:type="dxa"/>
            <w:tcBorders>
              <w:left w:val="single" w:color="000000" w:sz="4" w:space="0"/>
            </w:tcBorders>
            <w:vAlign w:val="center"/>
          </w:tcPr>
          <w:p w14:paraId="7FDC9E24">
            <w:pPr>
              <w:keepNext w:val="0"/>
              <w:keepLines w:val="0"/>
              <w:pageBreakBefore w:val="0"/>
              <w:kinsoku/>
              <w:wordWrap/>
              <w:overflowPunct/>
              <w:topLinePunct w:val="0"/>
              <w:autoSpaceDE/>
              <w:autoSpaceDN/>
              <w:bidi w:val="0"/>
              <w:adjustRightInd/>
              <w:spacing w:line="460" w:lineRule="exact"/>
              <w:jc w:val="center"/>
              <w:textAlignment w:val="auto"/>
              <w:rPr>
                <w:rFonts w:hint="eastAsia" w:ascii="宋体" w:hAnsi="宋体" w:eastAsia="宋体" w:cs="宋体"/>
                <w:color w:val="auto"/>
                <w:sz w:val="24"/>
                <w:szCs w:val="24"/>
                <w:highlight w:val="none"/>
              </w:rPr>
            </w:pPr>
          </w:p>
        </w:tc>
        <w:tc>
          <w:tcPr>
            <w:tcW w:w="823" w:type="dxa"/>
            <w:vAlign w:val="center"/>
          </w:tcPr>
          <w:p w14:paraId="7E342C2B">
            <w:pPr>
              <w:keepNext w:val="0"/>
              <w:keepLines w:val="0"/>
              <w:pageBreakBefore w:val="0"/>
              <w:kinsoku/>
              <w:wordWrap/>
              <w:overflowPunct/>
              <w:topLinePunct w:val="0"/>
              <w:autoSpaceDE/>
              <w:autoSpaceDN/>
              <w:bidi w:val="0"/>
              <w:adjustRightInd/>
              <w:spacing w:line="460" w:lineRule="exact"/>
              <w:jc w:val="center"/>
              <w:textAlignment w:val="auto"/>
              <w:rPr>
                <w:rFonts w:hint="eastAsia" w:ascii="宋体" w:hAnsi="宋体" w:eastAsia="宋体" w:cs="宋体"/>
                <w:color w:val="auto"/>
                <w:sz w:val="24"/>
                <w:szCs w:val="24"/>
                <w:highlight w:val="none"/>
              </w:rPr>
            </w:pPr>
          </w:p>
        </w:tc>
        <w:tc>
          <w:tcPr>
            <w:tcW w:w="6476" w:type="dxa"/>
            <w:vAlign w:val="center"/>
          </w:tcPr>
          <w:p w14:paraId="65C74256">
            <w:pPr>
              <w:pStyle w:val="2"/>
              <w:keepNext w:val="0"/>
              <w:keepLines w:val="0"/>
              <w:pageBreakBefore w:val="0"/>
              <w:kinsoku/>
              <w:wordWrap/>
              <w:overflowPunct/>
              <w:topLinePunct w:val="0"/>
              <w:autoSpaceDE/>
              <w:autoSpaceDN/>
              <w:bidi w:val="0"/>
              <w:adjustRightInd/>
              <w:spacing w:line="460" w:lineRule="exact"/>
              <w:textAlignment w:val="auto"/>
              <w:rPr>
                <w:rFonts w:hint="eastAsia" w:ascii="宋体" w:hAnsi="宋体" w:eastAsia="宋体" w:cs="宋体"/>
                <w:color w:val="auto"/>
                <w:sz w:val="24"/>
                <w:szCs w:val="24"/>
                <w:highlight w:val="none"/>
              </w:rPr>
            </w:pPr>
          </w:p>
        </w:tc>
      </w:tr>
    </w:tbl>
    <w:p w14:paraId="1CF4E145">
      <w:pPr>
        <w:pStyle w:val="108"/>
        <w:spacing w:line="240" w:lineRule="auto"/>
        <w:rPr>
          <w:rFonts w:hint="eastAsia" w:ascii="宋体" w:hAnsi="宋体" w:eastAsia="宋体" w:cs="宋体"/>
          <w:b/>
          <w:bCs/>
          <w:color w:val="FF0000"/>
          <w:sz w:val="24"/>
          <w:szCs w:val="24"/>
          <w:highlight w:val="none"/>
          <w:shd w:val="clear" w:color="auto" w:fill="FFFFFF"/>
        </w:rPr>
      </w:pPr>
    </w:p>
    <w:p w14:paraId="2BA9A10D">
      <w:pPr>
        <w:pStyle w:val="2"/>
        <w:spacing w:line="360" w:lineRule="auto"/>
        <w:rPr>
          <w:rFonts w:hint="eastAsia" w:ascii="宋体" w:hAnsi="宋体" w:eastAsia="宋体" w:cs="宋体"/>
          <w:b/>
          <w:color w:val="FF0000"/>
          <w:sz w:val="24"/>
          <w:szCs w:val="24"/>
          <w:highlight w:val="none"/>
        </w:rPr>
      </w:pPr>
      <w:r>
        <w:rPr>
          <w:rFonts w:hint="eastAsia" w:ascii="宋体" w:hAnsi="宋体" w:eastAsia="宋体" w:cs="宋体"/>
          <w:b/>
          <w:color w:val="FF0000"/>
          <w:sz w:val="24"/>
          <w:szCs w:val="24"/>
          <w:highlight w:val="none"/>
        </w:rPr>
        <w:t>本项目评审标准中所提供的证明材料提供原件扫描件或复印件加盖供应商</w:t>
      </w:r>
      <w:r>
        <w:rPr>
          <w:rFonts w:hint="eastAsia" w:ascii="宋体" w:hAnsi="宋体" w:eastAsia="宋体" w:cs="宋体"/>
          <w:b/>
          <w:color w:val="FF0000"/>
          <w:sz w:val="24"/>
          <w:szCs w:val="24"/>
          <w:highlight w:val="none"/>
          <w:lang w:eastAsia="zh-CN"/>
        </w:rPr>
        <w:t>盖章</w:t>
      </w:r>
      <w:r>
        <w:rPr>
          <w:rFonts w:hint="eastAsia" w:ascii="宋体" w:hAnsi="宋体" w:eastAsia="宋体" w:cs="宋体"/>
          <w:b/>
          <w:color w:val="FF0000"/>
          <w:sz w:val="24"/>
          <w:szCs w:val="24"/>
          <w:highlight w:val="none"/>
        </w:rPr>
        <w:t>即可。</w:t>
      </w:r>
    </w:p>
    <w:p w14:paraId="63121FCF">
      <w:pPr>
        <w:widowControl/>
        <w:adjustRightInd/>
        <w:spacing w:line="360" w:lineRule="auto"/>
        <w:jc w:val="left"/>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3.4.2供应商得分</w:t>
      </w:r>
    </w:p>
    <w:p w14:paraId="5CF37D5F">
      <w:pPr>
        <w:widowControl/>
        <w:adjustRightInd/>
        <w:spacing w:line="360" w:lineRule="auto"/>
        <w:jc w:val="left"/>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 xml:space="preserve">   总分＝商务技术部分+价格部分 注：以上计算分数时四舍五入取小数点后两位。</w:t>
      </w:r>
    </w:p>
    <w:p w14:paraId="56F5B3AD">
      <w:pPr>
        <w:widowControl/>
        <w:adjustRightInd/>
        <w:spacing w:line="360" w:lineRule="auto"/>
        <w:jc w:val="left"/>
        <w:outlineLvl w:val="2"/>
        <w:rPr>
          <w:rFonts w:hint="eastAsia" w:ascii="宋体" w:hAnsi="宋体" w:eastAsia="宋体" w:cs="宋体"/>
          <w:b/>
          <w:color w:val="auto"/>
          <w:kern w:val="2"/>
          <w:sz w:val="24"/>
          <w:szCs w:val="24"/>
          <w:highlight w:val="none"/>
        </w:rPr>
      </w:pPr>
      <w:bookmarkStart w:id="233" w:name="_Toc7160"/>
      <w:bookmarkStart w:id="234" w:name="_Toc14968"/>
      <w:r>
        <w:rPr>
          <w:rFonts w:hint="eastAsia" w:ascii="宋体" w:hAnsi="宋体" w:eastAsia="宋体" w:cs="宋体"/>
          <w:b/>
          <w:color w:val="auto"/>
          <w:kern w:val="2"/>
          <w:sz w:val="24"/>
          <w:szCs w:val="24"/>
          <w:highlight w:val="none"/>
        </w:rPr>
        <w:t>3.5</w:t>
      </w:r>
      <w:r>
        <w:rPr>
          <w:rFonts w:hint="eastAsia" w:ascii="宋体" w:hAnsi="宋体" w:eastAsia="宋体" w:cs="宋体"/>
          <w:b/>
          <w:color w:val="auto"/>
          <w:sz w:val="24"/>
          <w:szCs w:val="24"/>
          <w:highlight w:val="none"/>
        </w:rPr>
        <w:t>推荐中标候选供应商名单</w:t>
      </w:r>
      <w:bookmarkEnd w:id="233"/>
      <w:bookmarkEnd w:id="234"/>
    </w:p>
    <w:p w14:paraId="525818C0">
      <w:pPr>
        <w:widowControl/>
        <w:adjustRightInd/>
        <w:spacing w:line="360" w:lineRule="auto"/>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 xml:space="preserve">3.5.1中标候选供应商数量为3人，但必须按顺序排列中标候选供应商。 </w:t>
      </w:r>
    </w:p>
    <w:p w14:paraId="09D7627A">
      <w:pPr>
        <w:widowControl/>
        <w:adjustRightInd/>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rPr>
        <w:t>3.5.2评标委员会对全部满足采购文件实质性要求前提下，</w:t>
      </w:r>
      <w:r>
        <w:rPr>
          <w:rFonts w:hint="eastAsia" w:ascii="宋体" w:hAnsi="宋体" w:eastAsia="宋体" w:cs="宋体"/>
          <w:color w:val="auto"/>
          <w:sz w:val="24"/>
          <w:szCs w:val="24"/>
          <w:highlight w:val="none"/>
        </w:rPr>
        <w:t>按照采购文件中规定的各项因素进行综合评审后，按评审后的综合得分由高到低顺序排列，以评标总得分最高的供应商作为中标候选人。得分相同的，按投标报价由低到高顺序排列。得分且投标报价相同的，按技术方案优劣顺序排列。</w:t>
      </w:r>
    </w:p>
    <w:p w14:paraId="29D28BF6">
      <w:pPr>
        <w:pStyle w:val="2"/>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3.5.3同品牌处理办法：</w:t>
      </w:r>
    </w:p>
    <w:p w14:paraId="198E92D4">
      <w:pPr>
        <w:pStyle w:val="51"/>
        <w:spacing w:line="360" w:lineRule="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综合评标法：提供相同品牌产品且通过资格审查、符合性审查的不同投标人，按一家投标人计算，评审后得分最高的同品牌投标人获得中标人推荐资格；评审得分相同的，按投标报价最低的获得中标人推荐资格；评审得分和投标报价均相同的，按技术评审得分最高的获得中标人推荐资格，评审得分、投标报价和技术评审得分三项均相同的由评标委员会采取随机抽取方式确定，其他同品牌投标人不作为中标候选人。</w:t>
      </w:r>
    </w:p>
    <w:p w14:paraId="1B3323F4">
      <w:pPr>
        <w:widowControl/>
        <w:adjustRightInd/>
        <w:spacing w:line="360" w:lineRule="auto"/>
        <w:jc w:val="left"/>
        <w:outlineLvl w:val="2"/>
        <w:rPr>
          <w:rFonts w:hint="eastAsia" w:ascii="宋体" w:hAnsi="宋体" w:eastAsia="宋体" w:cs="宋体"/>
          <w:b/>
          <w:color w:val="auto"/>
          <w:sz w:val="24"/>
          <w:szCs w:val="24"/>
          <w:highlight w:val="none"/>
        </w:rPr>
      </w:pPr>
      <w:bookmarkStart w:id="235" w:name="_Toc21259"/>
      <w:bookmarkStart w:id="236" w:name="_Toc6546"/>
      <w:r>
        <w:rPr>
          <w:rFonts w:hint="eastAsia" w:ascii="宋体" w:hAnsi="宋体" w:eastAsia="宋体" w:cs="宋体"/>
          <w:b/>
          <w:color w:val="auto"/>
          <w:sz w:val="24"/>
          <w:szCs w:val="24"/>
          <w:highlight w:val="none"/>
        </w:rPr>
        <w:t>3.6编写评标报告</w:t>
      </w:r>
      <w:bookmarkEnd w:id="235"/>
      <w:bookmarkEnd w:id="236"/>
    </w:p>
    <w:p w14:paraId="0BA5F360">
      <w:pPr>
        <w:widowControl/>
        <w:adjustRightInd/>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3.6.1</w:t>
      </w:r>
      <w:r>
        <w:rPr>
          <w:rFonts w:hint="eastAsia" w:ascii="宋体" w:hAnsi="宋体" w:eastAsia="宋体" w:cs="宋体"/>
          <w:color w:val="auto"/>
          <w:kern w:val="2"/>
          <w:sz w:val="24"/>
          <w:szCs w:val="24"/>
          <w:highlight w:val="none"/>
        </w:rPr>
        <w:t>评标委员会完成评标后</w:t>
      </w:r>
      <w:r>
        <w:rPr>
          <w:rFonts w:hint="eastAsia" w:ascii="宋体" w:hAnsi="宋体" w:eastAsia="宋体" w:cs="宋体"/>
          <w:color w:val="auto"/>
          <w:sz w:val="24"/>
          <w:szCs w:val="24"/>
          <w:highlight w:val="none"/>
        </w:rPr>
        <w:t xml:space="preserve">，根据全体评标成员签字的原始评标记录和评标结果编写的报告，其主要内容包括： </w:t>
      </w:r>
    </w:p>
    <w:p w14:paraId="1DB98A3F">
      <w:pPr>
        <w:widowControl/>
        <w:adjustRightInd/>
        <w:spacing w:line="360" w:lineRule="auto"/>
        <w:ind w:firstLine="240" w:firstLineChars="1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（1）招标公告刊登的媒体名称、开标日期和地点； </w:t>
      </w:r>
    </w:p>
    <w:p w14:paraId="5547FE4F">
      <w:pPr>
        <w:widowControl/>
        <w:adjustRightInd/>
        <w:spacing w:line="360" w:lineRule="auto"/>
        <w:ind w:firstLine="240" w:firstLineChars="1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（2）购买采购文件的供应商名单和评标委员会成员名单； </w:t>
      </w:r>
    </w:p>
    <w:p w14:paraId="16F01B55">
      <w:pPr>
        <w:widowControl/>
        <w:adjustRightInd/>
        <w:spacing w:line="360" w:lineRule="auto"/>
        <w:ind w:firstLine="240" w:firstLineChars="1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（3）评标方法和标准； </w:t>
      </w:r>
    </w:p>
    <w:p w14:paraId="6013F168">
      <w:pPr>
        <w:widowControl/>
        <w:adjustRightInd/>
        <w:spacing w:line="360" w:lineRule="auto"/>
        <w:ind w:firstLine="240" w:firstLineChars="1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（4）开标记录和评标情况及说明，包括投标无效供应商名单及原因； </w:t>
      </w:r>
    </w:p>
    <w:p w14:paraId="209852B3">
      <w:pPr>
        <w:widowControl/>
        <w:adjustRightInd/>
        <w:spacing w:line="360" w:lineRule="auto"/>
        <w:ind w:firstLine="240" w:firstLineChars="1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（5）评标结果和中标候人排序表； </w:t>
      </w:r>
    </w:p>
    <w:p w14:paraId="490016A8">
      <w:pPr>
        <w:widowControl/>
        <w:adjustRightInd/>
        <w:spacing w:line="360" w:lineRule="auto"/>
        <w:ind w:firstLine="240" w:firstLineChars="1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（6）评标委员会的授标建议。 </w:t>
      </w:r>
    </w:p>
    <w:p w14:paraId="58205CA6">
      <w:pPr>
        <w:widowControl/>
        <w:adjustRightInd/>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3.6.2采购代理机构在评标结束后5个工作日内将评标报告送采购人。</w:t>
      </w:r>
    </w:p>
    <w:p w14:paraId="29405B87">
      <w:pPr>
        <w:widowControl/>
        <w:adjustRightInd/>
        <w:spacing w:line="360" w:lineRule="auto"/>
        <w:jc w:val="left"/>
        <w:outlineLvl w:val="2"/>
        <w:rPr>
          <w:rFonts w:hint="eastAsia" w:ascii="宋体" w:hAnsi="宋体" w:eastAsia="宋体" w:cs="宋体"/>
          <w:b/>
          <w:color w:val="auto"/>
          <w:kern w:val="2"/>
          <w:sz w:val="24"/>
          <w:szCs w:val="24"/>
          <w:highlight w:val="none"/>
        </w:rPr>
      </w:pPr>
      <w:bookmarkStart w:id="237" w:name="_Toc28832"/>
      <w:bookmarkStart w:id="238" w:name="_Toc31759"/>
      <w:r>
        <w:rPr>
          <w:rFonts w:hint="eastAsia" w:ascii="宋体" w:hAnsi="宋体" w:eastAsia="宋体" w:cs="宋体"/>
          <w:b/>
          <w:color w:val="auto"/>
          <w:kern w:val="2"/>
          <w:sz w:val="24"/>
          <w:szCs w:val="24"/>
          <w:highlight w:val="none"/>
        </w:rPr>
        <w:t>3.6确定中标人</w:t>
      </w:r>
      <w:bookmarkEnd w:id="237"/>
      <w:bookmarkEnd w:id="238"/>
    </w:p>
    <w:p w14:paraId="0A5A71E9">
      <w:pPr>
        <w:widowControl/>
        <w:adjustRightInd/>
        <w:spacing w:line="360" w:lineRule="auto"/>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3.6.1采购人应当自收到评标报告之日起5个工作日内，在评标报告确定的中标候选人名单中按顺序确定中标人。中标候选人并列的，由采购人或者采购人委托评标委员会按照采购文件规定的方式确定中标人；采购文件未规定的，采取随机抽取的方式确定。</w:t>
      </w:r>
    </w:p>
    <w:p w14:paraId="6147D535">
      <w:pPr>
        <w:widowControl/>
        <w:adjustRightInd/>
        <w:spacing w:line="360" w:lineRule="auto"/>
        <w:jc w:val="left"/>
        <w:rPr>
          <w:rFonts w:hint="eastAsia" w:ascii="宋体" w:hAnsi="宋体" w:eastAsia="宋体" w:cs="宋体"/>
          <w:b/>
          <w:bCs/>
          <w:color w:val="auto"/>
          <w:spacing w:val="6"/>
          <w:sz w:val="31"/>
          <w:szCs w:val="31"/>
          <w:highlight w:val="none"/>
        </w:rPr>
      </w:pPr>
      <w:r>
        <w:rPr>
          <w:rFonts w:hint="eastAsia" w:ascii="宋体" w:hAnsi="宋体" w:eastAsia="宋体" w:cs="宋体"/>
          <w:color w:val="auto"/>
          <w:kern w:val="2"/>
          <w:sz w:val="24"/>
          <w:szCs w:val="24"/>
          <w:highlight w:val="none"/>
        </w:rPr>
        <w:t>3.6.2采购人在收到评标报告5个工作日内未按评标报告推荐的中标候选人顺序确定中标人，又不能说明合法理由的，视同按评标报告推荐的顺序确定排名第一的中标候选人为中标人。</w:t>
      </w:r>
      <w:bookmarkStart w:id="239" w:name="_Toc2889"/>
      <w:r>
        <w:rPr>
          <w:rFonts w:hint="eastAsia" w:ascii="宋体" w:hAnsi="宋体" w:eastAsia="宋体" w:cs="宋体"/>
          <w:b/>
          <w:color w:val="auto"/>
          <w:kern w:val="2"/>
          <w:sz w:val="44"/>
          <w:szCs w:val="24"/>
          <w:highlight w:val="none"/>
        </w:rPr>
        <w:br w:type="page"/>
      </w:r>
      <w:bookmarkEnd w:id="239"/>
      <w:bookmarkStart w:id="240" w:name="_Toc12201"/>
    </w:p>
    <w:p w14:paraId="64B46A51">
      <w:pPr>
        <w:pStyle w:val="3"/>
        <w:numPr>
          <w:ilvl w:val="-1"/>
          <w:numId w:val="0"/>
        </w:numPr>
        <w:spacing w:line="360" w:lineRule="auto"/>
        <w:jc w:val="center"/>
        <w:outlineLvl w:val="0"/>
        <w:rPr>
          <w:rFonts w:hint="eastAsia" w:ascii="宋体" w:hAnsi="宋体" w:eastAsia="宋体" w:cs="宋体"/>
          <w:b/>
          <w:bCs/>
          <w:color w:val="auto"/>
          <w:spacing w:val="-2"/>
          <w:sz w:val="22"/>
          <w:szCs w:val="22"/>
          <w:highlight w:val="none"/>
        </w:rPr>
      </w:pPr>
      <w:bookmarkStart w:id="241" w:name="_Toc24800"/>
      <w:bookmarkStart w:id="242" w:name="_Toc14881"/>
      <w:r>
        <w:rPr>
          <w:rFonts w:hint="eastAsia" w:ascii="宋体" w:hAnsi="宋体" w:eastAsia="宋体" w:cs="宋体"/>
          <w:b/>
          <w:bCs/>
          <w:color w:val="auto"/>
          <w:spacing w:val="6"/>
          <w:sz w:val="30"/>
          <w:szCs w:val="30"/>
          <w:highlight w:val="none"/>
        </w:rPr>
        <w:t>第四章</w:t>
      </w:r>
      <w:r>
        <w:rPr>
          <w:rFonts w:hint="eastAsia" w:ascii="宋体" w:hAnsi="宋体" w:eastAsia="宋体" w:cs="宋体"/>
          <w:color w:val="auto"/>
          <w:spacing w:val="6"/>
          <w:sz w:val="30"/>
          <w:szCs w:val="30"/>
          <w:highlight w:val="none"/>
        </w:rPr>
        <w:t xml:space="preserve">  </w:t>
      </w:r>
      <w:r>
        <w:rPr>
          <w:rFonts w:hint="eastAsia" w:ascii="宋体" w:hAnsi="宋体" w:eastAsia="宋体" w:cs="宋体"/>
          <w:b/>
          <w:bCs/>
          <w:color w:val="auto"/>
          <w:spacing w:val="6"/>
          <w:sz w:val="30"/>
          <w:szCs w:val="30"/>
          <w:highlight w:val="none"/>
        </w:rPr>
        <w:t>合同条款及格式</w:t>
      </w:r>
      <w:bookmarkEnd w:id="241"/>
      <w:bookmarkEnd w:id="242"/>
    </w:p>
    <w:bookmarkEnd w:id="240"/>
    <w:p w14:paraId="098038C5">
      <w:pPr>
        <w:spacing w:before="204" w:line="360" w:lineRule="auto"/>
        <w:ind w:left="1313"/>
        <w:rPr>
          <w:rFonts w:hint="eastAsia" w:ascii="宋体" w:hAnsi="宋体" w:eastAsia="宋体" w:cs="宋体"/>
          <w:sz w:val="22"/>
          <w:szCs w:val="22"/>
          <w:highlight w:val="none"/>
        </w:rPr>
      </w:pPr>
      <w:bookmarkStart w:id="243" w:name="_Toc27973"/>
      <w:bookmarkStart w:id="244" w:name="_Toc31017"/>
      <w:r>
        <w:rPr>
          <w:rFonts w:hint="eastAsia" w:ascii="宋体" w:hAnsi="宋体" w:eastAsia="宋体" w:cs="宋体"/>
          <w:b/>
          <w:bCs/>
          <w:spacing w:val="-2"/>
          <w:sz w:val="22"/>
          <w:szCs w:val="22"/>
          <w:highlight w:val="none"/>
        </w:rPr>
        <w:t>(本合同条款及格式仅供参考，具体以采购人和中标人签订的合同为准。)</w:t>
      </w:r>
    </w:p>
    <w:p w14:paraId="253998F0">
      <w:pPr>
        <w:pStyle w:val="20"/>
        <w:spacing w:line="460" w:lineRule="exact"/>
        <w:rPr>
          <w:rFonts w:hint="eastAsia" w:ascii="宋体" w:hAnsi="宋体" w:eastAsia="宋体" w:cs="宋体"/>
          <w:b/>
          <w:sz w:val="24"/>
          <w:szCs w:val="24"/>
          <w:highlight w:val="none"/>
        </w:rPr>
      </w:pPr>
      <w:r>
        <w:rPr>
          <w:rFonts w:hint="eastAsia" w:ascii="宋体" w:hAnsi="宋体" w:eastAsia="宋体" w:cs="宋体"/>
          <w:b/>
          <w:sz w:val="24"/>
          <w:szCs w:val="24"/>
          <w:highlight w:val="none"/>
        </w:rPr>
        <w:t>l．定义</w:t>
      </w:r>
    </w:p>
    <w:p w14:paraId="1A19B459">
      <w:pPr>
        <w:pStyle w:val="20"/>
        <w:spacing w:line="4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本合同下列术语应解释为：</w:t>
      </w:r>
    </w:p>
    <w:p w14:paraId="6D0AEA69">
      <w:pPr>
        <w:pStyle w:val="20"/>
        <w:spacing w:line="460" w:lineRule="exact"/>
        <w:ind w:left="960" w:hanging="960" w:hangingChars="4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(1)“合同”系指买卖双方签署的、合同格式中载明的买卖双方所达成的协议，包括所有的附件、附录和上述文件所提到的构成合同的所有文件。</w:t>
      </w:r>
    </w:p>
    <w:p w14:paraId="6E99C031">
      <w:pPr>
        <w:pStyle w:val="20"/>
        <w:spacing w:line="460" w:lineRule="exact"/>
        <w:ind w:left="960" w:hanging="960" w:hangingChars="4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(2)“合同价”系指根据合同规定乙方在正确地完全履行合同义务后甲方应支付给乙方的价格。</w:t>
      </w:r>
    </w:p>
    <w:p w14:paraId="30A94C40">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(3) “货物” 系指乙方按合同要求，须向甲方提供的一切产品、备件、工具、 </w:t>
      </w:r>
    </w:p>
    <w:p w14:paraId="1AB345B2">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   手册及其他技术资料和其他材料。</w:t>
      </w:r>
    </w:p>
    <w:p w14:paraId="78EA0DAE">
      <w:pPr>
        <w:pStyle w:val="20"/>
        <w:spacing w:line="460" w:lineRule="exact"/>
        <w:ind w:left="960" w:hanging="960" w:hangingChars="4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(4)“服务”系指根据合同规定乙方承担与供货有关的辅助服务，比如运输、保险以及其它的伴随服务，比如：吊装、卸货、安装、调试、提供技术援助、培训和合同中规定乙方应承担的其它义务。</w:t>
      </w:r>
    </w:p>
    <w:p w14:paraId="7D1B8EE4">
      <w:pPr>
        <w:pStyle w:val="20"/>
        <w:spacing w:line="4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(5)“甲方”系指采购人。</w:t>
      </w:r>
    </w:p>
    <w:p w14:paraId="6165415F">
      <w:pPr>
        <w:pStyle w:val="20"/>
        <w:spacing w:line="4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(6)“乙方”系指提供货物和服务的公司或实体。</w:t>
      </w:r>
    </w:p>
    <w:p w14:paraId="7F491413">
      <w:pPr>
        <w:pStyle w:val="20"/>
        <w:spacing w:line="460" w:lineRule="exact"/>
        <w:ind w:left="480" w:hanging="480" w:hanging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(7)“天”指日历天数。 </w:t>
      </w:r>
    </w:p>
    <w:p w14:paraId="327F3B01">
      <w:pPr>
        <w:pStyle w:val="20"/>
        <w:spacing w:line="460" w:lineRule="exact"/>
        <w:ind w:left="482" w:hanging="482" w:hangingChars="200"/>
        <w:rPr>
          <w:rFonts w:hint="eastAsia" w:ascii="宋体" w:hAnsi="宋体" w:eastAsia="宋体" w:cs="宋体"/>
          <w:sz w:val="24"/>
          <w:szCs w:val="24"/>
          <w:highlight w:val="none"/>
        </w:rPr>
      </w:pPr>
      <w:r>
        <w:rPr>
          <w:rFonts w:hint="eastAsia" w:ascii="宋体" w:hAnsi="宋体" w:eastAsia="宋体" w:cs="宋体"/>
          <w:b/>
          <w:sz w:val="24"/>
          <w:szCs w:val="24"/>
          <w:highlight w:val="none"/>
        </w:rPr>
        <w:t>2．产品名称、型号、数量、金额：</w:t>
      </w:r>
      <w:r>
        <w:rPr>
          <w:rFonts w:hint="eastAsia" w:ascii="宋体" w:hAnsi="宋体" w:eastAsia="宋体" w:cs="宋体"/>
          <w:sz w:val="24"/>
          <w:szCs w:val="24"/>
          <w:highlight w:val="none"/>
        </w:rPr>
        <w:t xml:space="preserve"> </w:t>
      </w:r>
    </w:p>
    <w:tbl>
      <w:tblPr>
        <w:tblStyle w:val="3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1094"/>
        <w:gridCol w:w="1310"/>
        <w:gridCol w:w="1311"/>
        <w:gridCol w:w="1311"/>
        <w:gridCol w:w="1311"/>
        <w:gridCol w:w="1311"/>
      </w:tblGrid>
      <w:tr w14:paraId="491E4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Align w:val="center"/>
          </w:tcPr>
          <w:p w14:paraId="53A8970B">
            <w:pPr>
              <w:pStyle w:val="20"/>
              <w:spacing w:line="4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产品名称</w:t>
            </w:r>
          </w:p>
        </w:tc>
        <w:tc>
          <w:tcPr>
            <w:tcW w:w="1094" w:type="dxa"/>
            <w:vAlign w:val="center"/>
          </w:tcPr>
          <w:p w14:paraId="41F335F3">
            <w:pPr>
              <w:pStyle w:val="20"/>
              <w:spacing w:line="4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规格</w:t>
            </w:r>
          </w:p>
        </w:tc>
        <w:tc>
          <w:tcPr>
            <w:tcW w:w="1310" w:type="dxa"/>
            <w:vAlign w:val="center"/>
          </w:tcPr>
          <w:p w14:paraId="1294A634">
            <w:pPr>
              <w:pStyle w:val="20"/>
              <w:spacing w:line="4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单位</w:t>
            </w:r>
          </w:p>
        </w:tc>
        <w:tc>
          <w:tcPr>
            <w:tcW w:w="1311" w:type="dxa"/>
            <w:vAlign w:val="center"/>
          </w:tcPr>
          <w:p w14:paraId="5A3CB069">
            <w:pPr>
              <w:pStyle w:val="20"/>
              <w:spacing w:line="4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数量</w:t>
            </w:r>
          </w:p>
        </w:tc>
        <w:tc>
          <w:tcPr>
            <w:tcW w:w="1311" w:type="dxa"/>
            <w:vAlign w:val="center"/>
          </w:tcPr>
          <w:p w14:paraId="491C9C8C">
            <w:pPr>
              <w:pStyle w:val="20"/>
              <w:spacing w:line="4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单价</w:t>
            </w:r>
          </w:p>
        </w:tc>
        <w:tc>
          <w:tcPr>
            <w:tcW w:w="1311" w:type="dxa"/>
            <w:vAlign w:val="center"/>
          </w:tcPr>
          <w:p w14:paraId="244DF4D5">
            <w:pPr>
              <w:pStyle w:val="20"/>
              <w:spacing w:line="4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金额</w:t>
            </w:r>
          </w:p>
        </w:tc>
        <w:tc>
          <w:tcPr>
            <w:tcW w:w="1311" w:type="dxa"/>
            <w:vAlign w:val="center"/>
          </w:tcPr>
          <w:p w14:paraId="2233060C">
            <w:pPr>
              <w:pStyle w:val="20"/>
              <w:spacing w:line="4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备注</w:t>
            </w:r>
          </w:p>
        </w:tc>
      </w:tr>
      <w:tr w14:paraId="1F683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Align w:val="center"/>
          </w:tcPr>
          <w:p w14:paraId="59E56342">
            <w:pPr>
              <w:pStyle w:val="20"/>
              <w:spacing w:line="460" w:lineRule="exact"/>
              <w:jc w:val="center"/>
              <w:rPr>
                <w:rFonts w:hint="eastAsia" w:ascii="宋体" w:hAnsi="宋体" w:eastAsia="宋体" w:cs="宋体"/>
                <w:sz w:val="24"/>
                <w:szCs w:val="24"/>
                <w:highlight w:val="none"/>
              </w:rPr>
            </w:pPr>
          </w:p>
        </w:tc>
        <w:tc>
          <w:tcPr>
            <w:tcW w:w="1094" w:type="dxa"/>
            <w:vAlign w:val="center"/>
          </w:tcPr>
          <w:p w14:paraId="23719B04">
            <w:pPr>
              <w:pStyle w:val="20"/>
              <w:spacing w:line="460" w:lineRule="exact"/>
              <w:jc w:val="center"/>
              <w:rPr>
                <w:rFonts w:hint="eastAsia" w:ascii="宋体" w:hAnsi="宋体" w:eastAsia="宋体" w:cs="宋体"/>
                <w:sz w:val="24"/>
                <w:szCs w:val="24"/>
                <w:highlight w:val="none"/>
              </w:rPr>
            </w:pPr>
          </w:p>
        </w:tc>
        <w:tc>
          <w:tcPr>
            <w:tcW w:w="1310" w:type="dxa"/>
            <w:vAlign w:val="center"/>
          </w:tcPr>
          <w:p w14:paraId="291BAEF6">
            <w:pPr>
              <w:pStyle w:val="20"/>
              <w:spacing w:line="460" w:lineRule="exact"/>
              <w:jc w:val="center"/>
              <w:rPr>
                <w:rFonts w:hint="eastAsia" w:ascii="宋体" w:hAnsi="宋体" w:eastAsia="宋体" w:cs="宋体"/>
                <w:sz w:val="24"/>
                <w:szCs w:val="24"/>
                <w:highlight w:val="none"/>
              </w:rPr>
            </w:pPr>
          </w:p>
        </w:tc>
        <w:tc>
          <w:tcPr>
            <w:tcW w:w="1311" w:type="dxa"/>
            <w:vAlign w:val="center"/>
          </w:tcPr>
          <w:p w14:paraId="5AF7F325">
            <w:pPr>
              <w:pStyle w:val="20"/>
              <w:spacing w:line="460" w:lineRule="exact"/>
              <w:jc w:val="center"/>
              <w:rPr>
                <w:rFonts w:hint="eastAsia" w:ascii="宋体" w:hAnsi="宋体" w:eastAsia="宋体" w:cs="宋体"/>
                <w:sz w:val="24"/>
                <w:szCs w:val="24"/>
                <w:highlight w:val="none"/>
              </w:rPr>
            </w:pPr>
          </w:p>
        </w:tc>
        <w:tc>
          <w:tcPr>
            <w:tcW w:w="1311" w:type="dxa"/>
            <w:vAlign w:val="center"/>
          </w:tcPr>
          <w:p w14:paraId="4A95BEE0">
            <w:pPr>
              <w:pStyle w:val="20"/>
              <w:spacing w:line="460" w:lineRule="exact"/>
              <w:jc w:val="center"/>
              <w:rPr>
                <w:rFonts w:hint="eastAsia" w:ascii="宋体" w:hAnsi="宋体" w:eastAsia="宋体" w:cs="宋体"/>
                <w:sz w:val="24"/>
                <w:szCs w:val="24"/>
                <w:highlight w:val="none"/>
              </w:rPr>
            </w:pPr>
          </w:p>
        </w:tc>
        <w:tc>
          <w:tcPr>
            <w:tcW w:w="1311" w:type="dxa"/>
            <w:vAlign w:val="center"/>
          </w:tcPr>
          <w:p w14:paraId="0617DC42">
            <w:pPr>
              <w:pStyle w:val="20"/>
              <w:spacing w:line="460" w:lineRule="exact"/>
              <w:jc w:val="center"/>
              <w:rPr>
                <w:rFonts w:hint="eastAsia" w:ascii="宋体" w:hAnsi="宋体" w:eastAsia="宋体" w:cs="宋体"/>
                <w:sz w:val="24"/>
                <w:szCs w:val="24"/>
                <w:highlight w:val="none"/>
              </w:rPr>
            </w:pPr>
          </w:p>
        </w:tc>
        <w:tc>
          <w:tcPr>
            <w:tcW w:w="1311" w:type="dxa"/>
            <w:vAlign w:val="center"/>
          </w:tcPr>
          <w:p w14:paraId="017F019D">
            <w:pPr>
              <w:pStyle w:val="20"/>
              <w:spacing w:line="460" w:lineRule="exact"/>
              <w:jc w:val="center"/>
              <w:rPr>
                <w:rFonts w:hint="eastAsia" w:ascii="宋体" w:hAnsi="宋体" w:eastAsia="宋体" w:cs="宋体"/>
                <w:sz w:val="24"/>
                <w:szCs w:val="24"/>
                <w:highlight w:val="none"/>
              </w:rPr>
            </w:pPr>
          </w:p>
        </w:tc>
      </w:tr>
      <w:tr w14:paraId="64332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Align w:val="center"/>
          </w:tcPr>
          <w:p w14:paraId="3BB19345">
            <w:pPr>
              <w:pStyle w:val="20"/>
              <w:spacing w:line="460" w:lineRule="exact"/>
              <w:jc w:val="center"/>
              <w:rPr>
                <w:rFonts w:hint="eastAsia" w:ascii="宋体" w:hAnsi="宋体" w:eastAsia="宋体" w:cs="宋体"/>
                <w:sz w:val="24"/>
                <w:szCs w:val="24"/>
                <w:highlight w:val="none"/>
              </w:rPr>
            </w:pPr>
          </w:p>
        </w:tc>
        <w:tc>
          <w:tcPr>
            <w:tcW w:w="1094" w:type="dxa"/>
            <w:vAlign w:val="center"/>
          </w:tcPr>
          <w:p w14:paraId="77826B9C">
            <w:pPr>
              <w:pStyle w:val="20"/>
              <w:spacing w:line="460" w:lineRule="exact"/>
              <w:jc w:val="center"/>
              <w:rPr>
                <w:rFonts w:hint="eastAsia" w:ascii="宋体" w:hAnsi="宋体" w:eastAsia="宋体" w:cs="宋体"/>
                <w:sz w:val="24"/>
                <w:szCs w:val="24"/>
                <w:highlight w:val="none"/>
              </w:rPr>
            </w:pPr>
          </w:p>
        </w:tc>
        <w:tc>
          <w:tcPr>
            <w:tcW w:w="1310" w:type="dxa"/>
            <w:vAlign w:val="center"/>
          </w:tcPr>
          <w:p w14:paraId="3A3B96B5">
            <w:pPr>
              <w:pStyle w:val="20"/>
              <w:spacing w:line="460" w:lineRule="exact"/>
              <w:jc w:val="center"/>
              <w:rPr>
                <w:rFonts w:hint="eastAsia" w:ascii="宋体" w:hAnsi="宋体" w:eastAsia="宋体" w:cs="宋体"/>
                <w:sz w:val="24"/>
                <w:szCs w:val="24"/>
                <w:highlight w:val="none"/>
              </w:rPr>
            </w:pPr>
          </w:p>
        </w:tc>
        <w:tc>
          <w:tcPr>
            <w:tcW w:w="1311" w:type="dxa"/>
            <w:vAlign w:val="center"/>
          </w:tcPr>
          <w:p w14:paraId="4CC93D81">
            <w:pPr>
              <w:pStyle w:val="20"/>
              <w:spacing w:line="460" w:lineRule="exact"/>
              <w:jc w:val="center"/>
              <w:rPr>
                <w:rFonts w:hint="eastAsia" w:ascii="宋体" w:hAnsi="宋体" w:eastAsia="宋体" w:cs="宋体"/>
                <w:sz w:val="24"/>
                <w:szCs w:val="24"/>
                <w:highlight w:val="none"/>
              </w:rPr>
            </w:pPr>
          </w:p>
        </w:tc>
        <w:tc>
          <w:tcPr>
            <w:tcW w:w="1311" w:type="dxa"/>
            <w:vAlign w:val="center"/>
          </w:tcPr>
          <w:p w14:paraId="07CDCEF4">
            <w:pPr>
              <w:pStyle w:val="20"/>
              <w:spacing w:line="460" w:lineRule="exact"/>
              <w:jc w:val="center"/>
              <w:rPr>
                <w:rFonts w:hint="eastAsia" w:ascii="宋体" w:hAnsi="宋体" w:eastAsia="宋体" w:cs="宋体"/>
                <w:sz w:val="24"/>
                <w:szCs w:val="24"/>
                <w:highlight w:val="none"/>
              </w:rPr>
            </w:pPr>
          </w:p>
        </w:tc>
        <w:tc>
          <w:tcPr>
            <w:tcW w:w="1311" w:type="dxa"/>
            <w:vAlign w:val="center"/>
          </w:tcPr>
          <w:p w14:paraId="21280503">
            <w:pPr>
              <w:pStyle w:val="20"/>
              <w:spacing w:line="460" w:lineRule="exact"/>
              <w:jc w:val="center"/>
              <w:rPr>
                <w:rFonts w:hint="eastAsia" w:ascii="宋体" w:hAnsi="宋体" w:eastAsia="宋体" w:cs="宋体"/>
                <w:sz w:val="24"/>
                <w:szCs w:val="24"/>
                <w:highlight w:val="none"/>
              </w:rPr>
            </w:pPr>
          </w:p>
        </w:tc>
        <w:tc>
          <w:tcPr>
            <w:tcW w:w="1311" w:type="dxa"/>
            <w:vAlign w:val="center"/>
          </w:tcPr>
          <w:p w14:paraId="50092E02">
            <w:pPr>
              <w:pStyle w:val="20"/>
              <w:spacing w:line="460" w:lineRule="exact"/>
              <w:jc w:val="center"/>
              <w:rPr>
                <w:rFonts w:hint="eastAsia" w:ascii="宋体" w:hAnsi="宋体" w:eastAsia="宋体" w:cs="宋体"/>
                <w:sz w:val="24"/>
                <w:szCs w:val="24"/>
                <w:highlight w:val="none"/>
              </w:rPr>
            </w:pPr>
          </w:p>
        </w:tc>
      </w:tr>
    </w:tbl>
    <w:p w14:paraId="1AA71CA8">
      <w:pPr>
        <w:pStyle w:val="20"/>
        <w:spacing w:line="440" w:lineRule="exact"/>
        <w:rPr>
          <w:rFonts w:hint="eastAsia" w:ascii="宋体" w:hAnsi="宋体" w:eastAsia="宋体" w:cs="宋体"/>
          <w:b/>
          <w:sz w:val="24"/>
          <w:szCs w:val="24"/>
          <w:highlight w:val="none"/>
        </w:rPr>
      </w:pPr>
      <w:r>
        <w:rPr>
          <w:rFonts w:hint="eastAsia" w:ascii="宋体" w:hAnsi="宋体" w:eastAsia="宋体" w:cs="宋体"/>
          <w:b/>
          <w:sz w:val="24"/>
          <w:szCs w:val="24"/>
          <w:highlight w:val="none"/>
        </w:rPr>
        <w:t>3．技术规格</w:t>
      </w:r>
    </w:p>
    <w:p w14:paraId="50C82DF0">
      <w:pPr>
        <w:pStyle w:val="20"/>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3.1  交付的货物的技术规格应与招标文件规定的技术规格以及所附的技术规格响应表或偏离表(如果有的话)相一致。</w:t>
      </w:r>
    </w:p>
    <w:p w14:paraId="2646E2CB">
      <w:pPr>
        <w:pStyle w:val="20"/>
        <w:spacing w:line="440" w:lineRule="exact"/>
        <w:ind w:firstLine="480" w:firstLineChars="200"/>
        <w:outlineLvl w:val="2"/>
        <w:rPr>
          <w:rFonts w:hint="eastAsia" w:ascii="宋体" w:hAnsi="宋体" w:eastAsia="宋体" w:cs="宋体"/>
          <w:sz w:val="24"/>
          <w:szCs w:val="24"/>
          <w:highlight w:val="none"/>
        </w:rPr>
      </w:pPr>
      <w:bookmarkStart w:id="245" w:name="_Toc17379"/>
      <w:bookmarkStart w:id="246" w:name="_Toc9260"/>
      <w:r>
        <w:rPr>
          <w:rFonts w:hint="eastAsia" w:ascii="宋体" w:hAnsi="宋体" w:eastAsia="宋体" w:cs="宋体"/>
          <w:sz w:val="24"/>
          <w:szCs w:val="24"/>
          <w:highlight w:val="none"/>
        </w:rPr>
        <w:t>3.2  除技术规格另有规定外，计量单位应该使用公制。</w:t>
      </w:r>
      <w:bookmarkEnd w:id="245"/>
      <w:bookmarkEnd w:id="246"/>
    </w:p>
    <w:p w14:paraId="6A38E8A3">
      <w:pPr>
        <w:pStyle w:val="20"/>
        <w:spacing w:line="440" w:lineRule="exact"/>
        <w:outlineLvl w:val="1"/>
        <w:rPr>
          <w:rFonts w:hint="eastAsia" w:ascii="宋体" w:hAnsi="宋体" w:eastAsia="宋体" w:cs="宋体"/>
          <w:b/>
          <w:sz w:val="24"/>
          <w:szCs w:val="24"/>
          <w:highlight w:val="none"/>
        </w:rPr>
      </w:pPr>
      <w:bookmarkStart w:id="247" w:name="_Toc22730"/>
      <w:bookmarkStart w:id="248" w:name="_Toc24647"/>
      <w:r>
        <w:rPr>
          <w:rFonts w:hint="eastAsia" w:ascii="宋体" w:hAnsi="宋体" w:eastAsia="宋体" w:cs="宋体"/>
          <w:b/>
          <w:sz w:val="24"/>
          <w:szCs w:val="24"/>
          <w:highlight w:val="none"/>
        </w:rPr>
        <w:t>4．专利权</w:t>
      </w:r>
      <w:bookmarkEnd w:id="247"/>
      <w:bookmarkEnd w:id="248"/>
    </w:p>
    <w:p w14:paraId="1834720C">
      <w:pPr>
        <w:pStyle w:val="20"/>
        <w:spacing w:line="440" w:lineRule="exact"/>
        <w:ind w:left="941" w:leftChars="171" w:hanging="360" w:hangingChars="150"/>
        <w:rPr>
          <w:rFonts w:hint="eastAsia" w:ascii="宋体" w:hAnsi="宋体" w:eastAsia="宋体" w:cs="宋体"/>
          <w:sz w:val="24"/>
          <w:szCs w:val="24"/>
          <w:highlight w:val="none"/>
        </w:rPr>
      </w:pPr>
      <w:r>
        <w:rPr>
          <w:rFonts w:hint="eastAsia" w:ascii="宋体" w:hAnsi="宋体" w:eastAsia="宋体" w:cs="宋体"/>
          <w:sz w:val="24"/>
          <w:szCs w:val="24"/>
          <w:highlight w:val="none"/>
        </w:rPr>
        <w:t>4.1  乙方应保证甲方在使用该货物或其任何一部分时免受第三方提出侵犯其</w:t>
      </w:r>
    </w:p>
    <w:p w14:paraId="5F120AA4">
      <w:pPr>
        <w:pStyle w:val="20"/>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专利权、商标权或工业设计权的起诉。 </w:t>
      </w:r>
    </w:p>
    <w:p w14:paraId="1C6DEF30">
      <w:pPr>
        <w:pStyle w:val="20"/>
        <w:spacing w:line="440" w:lineRule="exact"/>
        <w:outlineLvl w:val="1"/>
        <w:rPr>
          <w:rFonts w:hint="eastAsia" w:ascii="宋体" w:hAnsi="宋体" w:eastAsia="宋体" w:cs="宋体"/>
          <w:b/>
          <w:sz w:val="24"/>
          <w:szCs w:val="24"/>
          <w:highlight w:val="none"/>
        </w:rPr>
      </w:pPr>
      <w:bookmarkStart w:id="249" w:name="_Toc14849"/>
      <w:bookmarkStart w:id="250" w:name="_Toc8444"/>
      <w:r>
        <w:rPr>
          <w:rFonts w:hint="eastAsia" w:ascii="宋体" w:hAnsi="宋体" w:eastAsia="宋体" w:cs="宋体"/>
          <w:b/>
          <w:sz w:val="24"/>
          <w:szCs w:val="24"/>
          <w:highlight w:val="none"/>
        </w:rPr>
        <w:t>5．交货、包装要求</w:t>
      </w:r>
      <w:bookmarkEnd w:id="249"/>
      <w:bookmarkEnd w:id="250"/>
    </w:p>
    <w:p w14:paraId="47C7AF26">
      <w:pPr>
        <w:pStyle w:val="20"/>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5.1  除合同另有规定外，乙方提供的全部货物均应按标准保护措施进行包装，这类包装应适应于远距离运输、防潮、防震、防锈和防野蛮装卸，以确保货物安全无损运抵指定现场。一个包装箱内应附一份详细装箱单和质量证书。</w:t>
      </w:r>
    </w:p>
    <w:p w14:paraId="42629222">
      <w:pPr>
        <w:pStyle w:val="20"/>
        <w:spacing w:line="440" w:lineRule="exact"/>
        <w:ind w:firstLine="470" w:firstLineChars="196"/>
        <w:rPr>
          <w:rFonts w:hint="eastAsia" w:ascii="宋体" w:hAnsi="宋体" w:eastAsia="宋体" w:cs="宋体"/>
          <w:b/>
          <w:sz w:val="24"/>
          <w:szCs w:val="24"/>
          <w:highlight w:val="none"/>
        </w:rPr>
      </w:pPr>
      <w:r>
        <w:rPr>
          <w:rFonts w:hint="eastAsia" w:ascii="宋体" w:hAnsi="宋体" w:eastAsia="宋体" w:cs="宋体"/>
          <w:sz w:val="24"/>
          <w:szCs w:val="24"/>
          <w:highlight w:val="none"/>
        </w:rPr>
        <w:t>5.2  乙方应在每一包装箱的相邻四侧用不褪色的油漆以醒目的中文字样做出下列标记：</w:t>
      </w:r>
    </w:p>
    <w:p w14:paraId="74181AC9">
      <w:pPr>
        <w:pStyle w:val="20"/>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(a) 收货人：</w:t>
      </w:r>
      <w:r>
        <w:rPr>
          <w:rFonts w:hint="eastAsia" w:ascii="宋体" w:hAnsi="宋体" w:eastAsia="宋体" w:cs="宋体"/>
          <w:sz w:val="24"/>
          <w:szCs w:val="24"/>
          <w:highlight w:val="none"/>
          <w:u w:val="single"/>
        </w:rPr>
        <w:t xml:space="preserve">                                      </w:t>
      </w:r>
    </w:p>
    <w:p w14:paraId="23F7B876">
      <w:pPr>
        <w:pStyle w:val="20"/>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(b) 目的地：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14:paraId="315FA889">
      <w:pPr>
        <w:pStyle w:val="20"/>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(c) 货物名称：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14:paraId="1C571A27">
      <w:pPr>
        <w:pStyle w:val="20"/>
        <w:spacing w:line="44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(d) 毛重／净重：</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kg</w:t>
      </w:r>
    </w:p>
    <w:p w14:paraId="09C9ACF3">
      <w:pPr>
        <w:pStyle w:val="20"/>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5.3  如果每件包装箱重量在2吨(t)或2吨(t)以上，乙方应在每件包装箱的两侧用中文和适当的运输标记，标明“重心”和“吊装点”，以便装卸和搬运。根据货物的特点和运输的不同要求，乙方应在包装箱上清楚地标注“小心轻放”、“请勿倒置”、“防潮”等字祥和其他适当的标志。 </w:t>
      </w:r>
    </w:p>
    <w:p w14:paraId="5A59A1DC">
      <w:pPr>
        <w:pStyle w:val="20"/>
        <w:spacing w:line="44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5.4 设备的包装应符合国家标准，以保证设备在运输过程中不受损伤，由于包装不当造成设备在运输过程中有任何损坏或丢失，由乙方负责。</w:t>
      </w:r>
    </w:p>
    <w:p w14:paraId="12D8CE45">
      <w:pPr>
        <w:pStyle w:val="20"/>
        <w:spacing w:line="44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5.5 乙方应自带用以安装、调试过程中所需的各种工具、仪器仪表及易损件。</w:t>
      </w:r>
    </w:p>
    <w:p w14:paraId="02E439B5">
      <w:pPr>
        <w:pStyle w:val="20"/>
        <w:spacing w:line="440" w:lineRule="exact"/>
        <w:outlineLvl w:val="1"/>
        <w:rPr>
          <w:rFonts w:hint="eastAsia" w:ascii="宋体" w:hAnsi="宋体" w:eastAsia="宋体" w:cs="宋体"/>
          <w:b/>
          <w:sz w:val="24"/>
          <w:szCs w:val="24"/>
          <w:highlight w:val="none"/>
        </w:rPr>
      </w:pPr>
      <w:bookmarkStart w:id="251" w:name="_Toc3952"/>
      <w:bookmarkStart w:id="252" w:name="_Toc3021"/>
      <w:r>
        <w:rPr>
          <w:rFonts w:hint="eastAsia" w:ascii="宋体" w:hAnsi="宋体" w:eastAsia="宋体" w:cs="宋体"/>
          <w:b/>
          <w:sz w:val="24"/>
          <w:szCs w:val="24"/>
          <w:highlight w:val="none"/>
        </w:rPr>
        <w:t>6．保险</w:t>
      </w:r>
      <w:bookmarkEnd w:id="251"/>
      <w:bookmarkEnd w:id="252"/>
    </w:p>
    <w:p w14:paraId="70283CB0">
      <w:pPr>
        <w:pStyle w:val="20"/>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6.l  以出厂价、仓库交货价或货架交货价签订的国内供货合同，其保险将由乙方办理，保险范围应包括乙方装运的全部货物；所有其它情况将由乙方办理货物在运抵目的港／项目现场途中的保险，保险应以人民币按照发票金额的百分之一百一十 (110％)办理“一切险”。</w:t>
      </w:r>
    </w:p>
    <w:p w14:paraId="7C6EE577">
      <w:pPr>
        <w:pStyle w:val="20"/>
        <w:spacing w:line="440" w:lineRule="exact"/>
        <w:outlineLvl w:val="1"/>
        <w:rPr>
          <w:rFonts w:hint="eastAsia" w:ascii="宋体" w:hAnsi="宋体" w:eastAsia="宋体" w:cs="宋体"/>
          <w:b/>
          <w:sz w:val="24"/>
          <w:szCs w:val="24"/>
          <w:highlight w:val="none"/>
        </w:rPr>
      </w:pPr>
      <w:bookmarkStart w:id="253" w:name="_Toc30314"/>
      <w:bookmarkStart w:id="254" w:name="_Toc17254"/>
      <w:r>
        <w:rPr>
          <w:rFonts w:hint="eastAsia" w:ascii="宋体" w:hAnsi="宋体" w:eastAsia="宋体" w:cs="宋体"/>
          <w:b/>
          <w:sz w:val="24"/>
          <w:szCs w:val="24"/>
          <w:highlight w:val="none"/>
        </w:rPr>
        <w:t>7．付款</w:t>
      </w:r>
      <w:bookmarkEnd w:id="253"/>
      <w:bookmarkEnd w:id="254"/>
    </w:p>
    <w:p w14:paraId="41BD7885">
      <w:pPr>
        <w:pStyle w:val="20"/>
        <w:spacing w:line="440" w:lineRule="exact"/>
        <w:ind w:firstLine="480" w:firstLineChars="200"/>
        <w:outlineLvl w:val="2"/>
        <w:rPr>
          <w:rFonts w:hint="eastAsia" w:ascii="宋体" w:hAnsi="宋体" w:eastAsia="宋体" w:cs="宋体"/>
          <w:sz w:val="24"/>
          <w:szCs w:val="24"/>
          <w:highlight w:val="none"/>
        </w:rPr>
      </w:pPr>
      <w:bookmarkStart w:id="255" w:name="_Toc24515"/>
      <w:bookmarkStart w:id="256" w:name="_Toc27715"/>
      <w:r>
        <w:rPr>
          <w:rFonts w:hint="eastAsia" w:ascii="宋体" w:hAnsi="宋体" w:eastAsia="宋体" w:cs="宋体"/>
          <w:sz w:val="24"/>
          <w:szCs w:val="24"/>
          <w:highlight w:val="none"/>
        </w:rPr>
        <w:t>7.1  本合同以人民币付款。</w:t>
      </w:r>
      <w:bookmarkEnd w:id="255"/>
      <w:bookmarkEnd w:id="256"/>
    </w:p>
    <w:p w14:paraId="58D31DC1">
      <w:pPr>
        <w:pStyle w:val="20"/>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7.2  乙方应按照双方签订的合同规定交货。交货后乙方应把下列单据提交给甲方，甲方按合同规定审核后付款：</w:t>
      </w:r>
    </w:p>
    <w:p w14:paraId="4F5F8316">
      <w:pPr>
        <w:pStyle w:val="20"/>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(1) 有关运输部门出具的票据；</w:t>
      </w:r>
    </w:p>
    <w:p w14:paraId="327D2784">
      <w:pPr>
        <w:pStyle w:val="20"/>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(2) 发票；   </w:t>
      </w:r>
    </w:p>
    <w:p w14:paraId="48CEEEEC">
      <w:pPr>
        <w:pStyle w:val="20"/>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(3) 装箱单；</w:t>
      </w:r>
    </w:p>
    <w:p w14:paraId="597EB3C0">
      <w:pPr>
        <w:pStyle w:val="20"/>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(4) 制造厂商出具的质量检验证书和数量证明书；</w:t>
      </w:r>
    </w:p>
    <w:p w14:paraId="29B579BB">
      <w:pPr>
        <w:pStyle w:val="20"/>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(5) 验收证书。</w:t>
      </w:r>
    </w:p>
    <w:p w14:paraId="7F1446D9">
      <w:pPr>
        <w:pStyle w:val="20"/>
        <w:spacing w:line="440" w:lineRule="exact"/>
        <w:ind w:firstLine="480" w:firstLineChars="200"/>
        <w:outlineLvl w:val="2"/>
        <w:rPr>
          <w:rFonts w:hint="eastAsia" w:ascii="宋体" w:hAnsi="宋体" w:eastAsia="宋体" w:cs="宋体"/>
          <w:sz w:val="24"/>
          <w:szCs w:val="24"/>
          <w:highlight w:val="none"/>
        </w:rPr>
      </w:pPr>
      <w:bookmarkStart w:id="257" w:name="_Toc7011"/>
      <w:r>
        <w:rPr>
          <w:rFonts w:hint="eastAsia" w:ascii="宋体" w:hAnsi="宋体" w:eastAsia="宋体" w:cs="宋体"/>
          <w:sz w:val="24"/>
          <w:szCs w:val="24"/>
          <w:highlight w:val="none"/>
        </w:rPr>
        <w:t>7.3交货地点和交货期限</w:t>
      </w:r>
      <w:bookmarkEnd w:id="257"/>
    </w:p>
    <w:p w14:paraId="6CBA0D86">
      <w:pPr>
        <w:pStyle w:val="20"/>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交货地点：招标人指定地点。</w:t>
      </w:r>
    </w:p>
    <w:p w14:paraId="15467AF5">
      <w:pPr>
        <w:pStyle w:val="20"/>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交货期限：详见须知前附表。</w:t>
      </w:r>
    </w:p>
    <w:p w14:paraId="51F232E4">
      <w:pPr>
        <w:pStyle w:val="20"/>
        <w:spacing w:line="440" w:lineRule="exact"/>
        <w:ind w:firstLine="480" w:firstLineChars="200"/>
        <w:outlineLvl w:val="2"/>
        <w:rPr>
          <w:rFonts w:hint="eastAsia" w:ascii="宋体" w:hAnsi="宋体" w:eastAsia="宋体" w:cs="宋体"/>
          <w:sz w:val="24"/>
          <w:szCs w:val="24"/>
          <w:highlight w:val="none"/>
        </w:rPr>
      </w:pPr>
      <w:bookmarkStart w:id="258" w:name="_Toc26891"/>
      <w:bookmarkStart w:id="259" w:name="_Toc24082"/>
      <w:r>
        <w:rPr>
          <w:rFonts w:hint="eastAsia" w:ascii="宋体" w:hAnsi="宋体" w:eastAsia="宋体" w:cs="宋体"/>
          <w:sz w:val="24"/>
          <w:szCs w:val="24"/>
          <w:highlight w:val="none"/>
        </w:rPr>
        <w:t>7.4付款方式</w:t>
      </w:r>
      <w:bookmarkEnd w:id="258"/>
      <w:bookmarkEnd w:id="259"/>
    </w:p>
    <w:p w14:paraId="46B214AD">
      <w:pPr>
        <w:pStyle w:val="20"/>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付款方式：</w:t>
      </w:r>
      <w:r>
        <w:rPr>
          <w:rFonts w:hint="eastAsia" w:ascii="宋体" w:hAnsi="宋体" w:eastAsia="宋体" w:cs="宋体"/>
          <w:sz w:val="24"/>
          <w:szCs w:val="24"/>
          <w:highlight w:val="none"/>
        </w:rPr>
        <w:t>详见须知前附表。</w:t>
      </w:r>
    </w:p>
    <w:p w14:paraId="73532C3B">
      <w:pPr>
        <w:pStyle w:val="20"/>
        <w:spacing w:line="440" w:lineRule="exact"/>
        <w:ind w:firstLine="482" w:firstLineChars="200"/>
        <w:outlineLvl w:val="1"/>
        <w:rPr>
          <w:rFonts w:hint="eastAsia" w:ascii="宋体" w:hAnsi="宋体" w:eastAsia="宋体" w:cs="宋体"/>
          <w:b/>
          <w:sz w:val="24"/>
          <w:szCs w:val="24"/>
          <w:highlight w:val="none"/>
        </w:rPr>
      </w:pPr>
      <w:bookmarkStart w:id="260" w:name="_Toc27037"/>
      <w:bookmarkStart w:id="261" w:name="_Toc9836"/>
      <w:r>
        <w:rPr>
          <w:rFonts w:hint="eastAsia" w:ascii="宋体" w:hAnsi="宋体" w:eastAsia="宋体" w:cs="宋体"/>
          <w:b/>
          <w:sz w:val="24"/>
          <w:szCs w:val="24"/>
          <w:highlight w:val="none"/>
        </w:rPr>
        <w:t>8．伴随服务</w:t>
      </w:r>
      <w:bookmarkEnd w:id="260"/>
      <w:bookmarkEnd w:id="261"/>
    </w:p>
    <w:p w14:paraId="0F5A30C4">
      <w:pPr>
        <w:pStyle w:val="20"/>
        <w:spacing w:line="440" w:lineRule="exact"/>
        <w:ind w:firstLine="480" w:firstLineChars="200"/>
        <w:outlineLvl w:val="2"/>
        <w:rPr>
          <w:rFonts w:hint="eastAsia" w:ascii="宋体" w:hAnsi="宋体" w:eastAsia="宋体" w:cs="宋体"/>
          <w:sz w:val="24"/>
          <w:szCs w:val="24"/>
          <w:highlight w:val="none"/>
        </w:rPr>
      </w:pPr>
      <w:bookmarkStart w:id="262" w:name="_Toc28518"/>
      <w:bookmarkStart w:id="263" w:name="_Toc5354"/>
      <w:r>
        <w:rPr>
          <w:rFonts w:hint="eastAsia" w:ascii="宋体" w:hAnsi="宋体" w:eastAsia="宋体" w:cs="宋体"/>
          <w:sz w:val="24"/>
          <w:szCs w:val="24"/>
          <w:highlight w:val="none"/>
        </w:rPr>
        <w:t>8.1  除合同条款中另有规定外，乙方应提供如下服务：</w:t>
      </w:r>
      <w:bookmarkEnd w:id="262"/>
      <w:bookmarkEnd w:id="263"/>
    </w:p>
    <w:p w14:paraId="735F21FE">
      <w:pPr>
        <w:pStyle w:val="20"/>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（1）所供货物必须是原厂制造、全新的产品，符合国家标准以及该产品的出厂标准。</w:t>
      </w:r>
    </w:p>
    <w:p w14:paraId="498F43D0">
      <w:pPr>
        <w:pStyle w:val="20"/>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（2）所供货物及所使用的原材料必须符合国家环保验收标准，并出具相关采购证明，否则，无条件退货。</w:t>
      </w:r>
    </w:p>
    <w:p w14:paraId="21EEEEDD">
      <w:pPr>
        <w:pStyle w:val="20"/>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（3）所有货物必须由中标人免费送货上门到用户指定地点并免费安装。</w:t>
      </w:r>
    </w:p>
    <w:p w14:paraId="18B6FB19">
      <w:pPr>
        <w:pStyle w:val="20"/>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（4）所有货物必须由中标人提供招标人约定的免费质量保修期服务；在质量保修服务期内，使用者如有投诉，须在8小时内响应，72小时内处理完毕。</w:t>
      </w:r>
    </w:p>
    <w:p w14:paraId="11F4B953">
      <w:pPr>
        <w:pStyle w:val="20"/>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（5）供货商还须保证甲方所采购的设备在质量保修服务期期满后以优惠价供应正常使用所必须的零配件，并列出清单，标明价格、单价。</w:t>
      </w:r>
    </w:p>
    <w:p w14:paraId="4D521BCC">
      <w:pPr>
        <w:pStyle w:val="20"/>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（6）中标人应将关键产品的用户手册、保修手册、有关单证资料及配备件、随机工具等交付给甲方。</w:t>
      </w:r>
    </w:p>
    <w:p w14:paraId="439AA091">
      <w:pPr>
        <w:pStyle w:val="20"/>
        <w:spacing w:line="440" w:lineRule="exact"/>
        <w:ind w:firstLine="480" w:firstLineChars="200"/>
        <w:outlineLvl w:val="2"/>
        <w:rPr>
          <w:rFonts w:hint="eastAsia" w:ascii="宋体" w:hAnsi="宋体" w:eastAsia="宋体" w:cs="宋体"/>
          <w:sz w:val="24"/>
          <w:szCs w:val="24"/>
          <w:highlight w:val="none"/>
        </w:rPr>
      </w:pPr>
      <w:bookmarkStart w:id="264" w:name="_Toc11323"/>
      <w:bookmarkStart w:id="265" w:name="_Toc18561"/>
      <w:r>
        <w:rPr>
          <w:rFonts w:hint="eastAsia" w:ascii="宋体" w:hAnsi="宋体" w:eastAsia="宋体" w:cs="宋体"/>
          <w:sz w:val="24"/>
          <w:szCs w:val="24"/>
          <w:highlight w:val="none"/>
        </w:rPr>
        <w:t>8.2乙方还应提供下列服务：</w:t>
      </w:r>
      <w:bookmarkEnd w:id="264"/>
      <w:bookmarkEnd w:id="265"/>
    </w:p>
    <w:p w14:paraId="0469B781">
      <w:pPr>
        <w:pStyle w:val="20"/>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(1) 货物的现场安装和启动监督；</w:t>
      </w:r>
    </w:p>
    <w:p w14:paraId="3B0F438D">
      <w:pPr>
        <w:pStyle w:val="20"/>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(2) 提供货物组装和维修所需的工具；</w:t>
      </w:r>
    </w:p>
    <w:p w14:paraId="7A264640">
      <w:pPr>
        <w:pStyle w:val="20"/>
        <w:spacing w:line="440" w:lineRule="exact"/>
        <w:ind w:left="960" w:hanging="960" w:hangingChars="4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(3) 在双方商定的一定期限内对所供货物实施运行监督、维修，但前提条件是该服务并不能免除乙方在质量保证期内所承担的义务。</w:t>
      </w:r>
    </w:p>
    <w:p w14:paraId="65B96A61">
      <w:pPr>
        <w:pStyle w:val="20"/>
        <w:spacing w:line="440" w:lineRule="exact"/>
        <w:ind w:left="1200" w:hanging="1200" w:hangingChars="5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(4) 在项目现场就货物的安装、启动、维护等对甲方人员进行培训。</w:t>
      </w:r>
    </w:p>
    <w:p w14:paraId="75F44B7B">
      <w:pPr>
        <w:pStyle w:val="20"/>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8.3 除合同条款中另有规定外，伴随服务的费用应含在合同价中，不单独进行支付。</w:t>
      </w:r>
    </w:p>
    <w:p w14:paraId="5785A737">
      <w:pPr>
        <w:pStyle w:val="20"/>
        <w:spacing w:line="440" w:lineRule="exact"/>
        <w:outlineLvl w:val="1"/>
        <w:rPr>
          <w:rFonts w:hint="eastAsia" w:ascii="宋体" w:hAnsi="宋体" w:eastAsia="宋体" w:cs="宋体"/>
          <w:b/>
          <w:sz w:val="24"/>
          <w:szCs w:val="24"/>
          <w:highlight w:val="none"/>
        </w:rPr>
      </w:pPr>
      <w:bookmarkStart w:id="266" w:name="_Toc6075"/>
      <w:bookmarkStart w:id="267" w:name="_Toc29920"/>
      <w:r>
        <w:rPr>
          <w:rFonts w:hint="eastAsia" w:ascii="宋体" w:hAnsi="宋体" w:eastAsia="宋体" w:cs="宋体"/>
          <w:b/>
          <w:sz w:val="24"/>
          <w:szCs w:val="24"/>
          <w:highlight w:val="none"/>
        </w:rPr>
        <w:t>9．质量保证</w:t>
      </w:r>
      <w:bookmarkEnd w:id="266"/>
      <w:bookmarkEnd w:id="267"/>
    </w:p>
    <w:p w14:paraId="6C5E5D41">
      <w:pPr>
        <w:pStyle w:val="20"/>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9.1 乙方应保证所供货物是全新的、未使用过的和用一流的工艺生产的，并完全符合国家标准、消防标准、行业标准，销售渠道符合乙方身份。 </w:t>
      </w:r>
    </w:p>
    <w:p w14:paraId="1A5E9086">
      <w:pPr>
        <w:pStyle w:val="20"/>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9.2  根据当地商检局或有关部门检验结果或者在质量保证期内，如果货物的数量、质量或规格与合同不符，或证实货物是有缺陷的，包括潜在的缺陷或使用不符合要求的材料等，甲方应尽快以书面形式向乙方提出本保证下的索赔。</w:t>
      </w:r>
    </w:p>
    <w:p w14:paraId="6029D893">
      <w:pPr>
        <w:pStyle w:val="20"/>
        <w:spacing w:line="440" w:lineRule="exact"/>
        <w:ind w:left="1735" w:leftChars="228" w:hanging="960" w:hangingChars="400"/>
        <w:rPr>
          <w:rFonts w:hint="eastAsia" w:ascii="宋体" w:hAnsi="宋体" w:eastAsia="宋体" w:cs="宋体"/>
          <w:sz w:val="24"/>
          <w:szCs w:val="24"/>
          <w:highlight w:val="none"/>
        </w:rPr>
      </w:pPr>
      <w:r>
        <w:rPr>
          <w:rFonts w:hint="eastAsia" w:ascii="宋体" w:hAnsi="宋体" w:eastAsia="宋体" w:cs="宋体"/>
          <w:sz w:val="24"/>
          <w:szCs w:val="24"/>
          <w:highlight w:val="none"/>
        </w:rPr>
        <w:t>9.3  乙方在收到通知后十(10)天内应免费维修或更换有缺陷的货物或部件。</w:t>
      </w:r>
    </w:p>
    <w:p w14:paraId="5702A69B">
      <w:pPr>
        <w:pStyle w:val="20"/>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9.4  如果乙方在收到通知后十(10)天内没有弥补缺陷，甲方可采取必要的补救措施，但其风险和费用将由乙方承担，甲方根据合同规定对乙方行使的其他权力不受影响。</w:t>
      </w:r>
    </w:p>
    <w:p w14:paraId="0D750A7C">
      <w:pPr>
        <w:pStyle w:val="20"/>
        <w:spacing w:line="440" w:lineRule="exact"/>
        <w:ind w:firstLine="480" w:firstLineChars="200"/>
        <w:outlineLvl w:val="2"/>
        <w:rPr>
          <w:rFonts w:hint="eastAsia" w:ascii="宋体" w:hAnsi="宋体" w:eastAsia="宋体" w:cs="宋体"/>
          <w:sz w:val="24"/>
          <w:szCs w:val="24"/>
          <w:highlight w:val="none"/>
        </w:rPr>
      </w:pPr>
      <w:bookmarkStart w:id="268" w:name="_Toc8310"/>
      <w:bookmarkStart w:id="269" w:name="_Toc30334"/>
      <w:r>
        <w:rPr>
          <w:rFonts w:hint="eastAsia" w:ascii="宋体" w:hAnsi="宋体" w:eastAsia="宋体" w:cs="宋体"/>
          <w:sz w:val="24"/>
          <w:szCs w:val="24"/>
          <w:highlight w:val="none"/>
        </w:rPr>
        <w:t>9.5 设备投入正常运营后，乙方应定期回访使用方。</w:t>
      </w:r>
      <w:bookmarkEnd w:id="268"/>
      <w:bookmarkEnd w:id="269"/>
    </w:p>
    <w:p w14:paraId="039C0CD7">
      <w:pPr>
        <w:pStyle w:val="20"/>
        <w:spacing w:line="440" w:lineRule="exact"/>
        <w:outlineLvl w:val="1"/>
        <w:rPr>
          <w:rFonts w:hint="eastAsia" w:ascii="宋体" w:hAnsi="宋体" w:eastAsia="宋体" w:cs="宋体"/>
          <w:b/>
          <w:sz w:val="24"/>
          <w:szCs w:val="24"/>
          <w:highlight w:val="none"/>
        </w:rPr>
      </w:pPr>
      <w:bookmarkStart w:id="270" w:name="_Toc5523"/>
      <w:bookmarkStart w:id="271" w:name="_Toc17495"/>
      <w:r>
        <w:rPr>
          <w:rFonts w:hint="eastAsia" w:ascii="宋体" w:hAnsi="宋体" w:eastAsia="宋体" w:cs="宋体"/>
          <w:b/>
          <w:sz w:val="24"/>
          <w:szCs w:val="24"/>
          <w:highlight w:val="none"/>
        </w:rPr>
        <w:t>10．检验</w:t>
      </w:r>
      <w:bookmarkEnd w:id="270"/>
      <w:bookmarkEnd w:id="271"/>
    </w:p>
    <w:p w14:paraId="76DD9005">
      <w:pPr>
        <w:pStyle w:val="20"/>
        <w:spacing w:line="440" w:lineRule="exact"/>
        <w:ind w:firstLine="480" w:firstLineChars="200"/>
        <w:rPr>
          <w:rFonts w:hint="eastAsia" w:ascii="宋体" w:hAnsi="宋体" w:eastAsia="宋体" w:cs="宋体"/>
          <w:b/>
          <w:sz w:val="24"/>
          <w:szCs w:val="24"/>
          <w:highlight w:val="none"/>
        </w:rPr>
      </w:pPr>
      <w:r>
        <w:rPr>
          <w:rFonts w:hint="eastAsia" w:ascii="宋体" w:hAnsi="宋体" w:eastAsia="宋体" w:cs="宋体"/>
          <w:sz w:val="24"/>
          <w:szCs w:val="24"/>
          <w:highlight w:val="none"/>
        </w:rPr>
        <w:t>10.1  在交货前，制造商应对货物的质量、规格、性能、数量等进行详细而全面的检验，所交产品符合相关验收标准，并出具—份证明货物符合合同规定的质量检验证书，检验证书是付款时所需要的文件的组成部分，但不能作为有关质量、规格、数量或重量的最终检验。制造商检验的结果和细节应附在检验证书后面。</w:t>
      </w:r>
    </w:p>
    <w:p w14:paraId="6BF3E60C">
      <w:pPr>
        <w:pStyle w:val="20"/>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10.2  货物运抵现场后，甲方现场验收，如有需要，可抽取样品交有关检测部门检验。</w:t>
      </w:r>
    </w:p>
    <w:p w14:paraId="619EFF02">
      <w:pPr>
        <w:pStyle w:val="20"/>
        <w:spacing w:line="440" w:lineRule="exact"/>
        <w:outlineLvl w:val="1"/>
        <w:rPr>
          <w:rFonts w:hint="eastAsia" w:ascii="宋体" w:hAnsi="宋体" w:eastAsia="宋体" w:cs="宋体"/>
          <w:b/>
          <w:sz w:val="24"/>
          <w:szCs w:val="24"/>
          <w:highlight w:val="none"/>
        </w:rPr>
      </w:pPr>
      <w:bookmarkStart w:id="272" w:name="_Toc25641"/>
      <w:bookmarkStart w:id="273" w:name="_Toc32568"/>
      <w:r>
        <w:rPr>
          <w:rFonts w:hint="eastAsia" w:ascii="宋体" w:hAnsi="宋体" w:eastAsia="宋体" w:cs="宋体"/>
          <w:b/>
          <w:sz w:val="24"/>
          <w:szCs w:val="24"/>
          <w:highlight w:val="none"/>
        </w:rPr>
        <w:t>11．索赔</w:t>
      </w:r>
      <w:bookmarkEnd w:id="272"/>
      <w:bookmarkEnd w:id="273"/>
    </w:p>
    <w:p w14:paraId="2FCCBEA5">
      <w:pPr>
        <w:pStyle w:val="20"/>
        <w:spacing w:line="440" w:lineRule="exact"/>
        <w:ind w:firstLine="480" w:firstLineChars="200"/>
        <w:rPr>
          <w:rFonts w:hint="eastAsia" w:ascii="宋体" w:hAnsi="宋体" w:eastAsia="宋体" w:cs="宋体"/>
          <w:b/>
          <w:sz w:val="24"/>
          <w:szCs w:val="24"/>
          <w:highlight w:val="none"/>
        </w:rPr>
      </w:pPr>
      <w:r>
        <w:rPr>
          <w:rFonts w:hint="eastAsia" w:ascii="宋体" w:hAnsi="宋体" w:eastAsia="宋体" w:cs="宋体"/>
          <w:sz w:val="24"/>
          <w:szCs w:val="24"/>
          <w:highlight w:val="none"/>
        </w:rPr>
        <w:t>11.1  甲方有权根据当地商检局或有关部门出具的检验证书向乙方提出索赔，如不符合招标文件相关质量要求，甲方有权拒付部分或全部货款，并保留追索因延期交付造成相关损失的权利。</w:t>
      </w:r>
    </w:p>
    <w:p w14:paraId="6669657C">
      <w:pPr>
        <w:pStyle w:val="20"/>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11.2  在合同第10条规定的检验期和质量保证期内，如果乙方对差异负有责任而甲方提出索赔，乙方应按照甲方同意的下列一种或多种方式解决索赔事宜：</w:t>
      </w:r>
    </w:p>
    <w:p w14:paraId="0E352A5D">
      <w:pPr>
        <w:pStyle w:val="20"/>
        <w:spacing w:line="440" w:lineRule="exact"/>
        <w:ind w:firstLine="600" w:firstLineChars="250"/>
        <w:rPr>
          <w:rFonts w:hint="eastAsia" w:ascii="宋体" w:hAnsi="宋体" w:eastAsia="宋体" w:cs="宋体"/>
          <w:sz w:val="24"/>
          <w:szCs w:val="24"/>
          <w:highlight w:val="none"/>
        </w:rPr>
      </w:pPr>
      <w:r>
        <w:rPr>
          <w:rFonts w:hint="eastAsia" w:ascii="宋体" w:hAnsi="宋体" w:eastAsia="宋体" w:cs="宋体"/>
          <w:sz w:val="24"/>
          <w:szCs w:val="24"/>
          <w:highlight w:val="none"/>
        </w:rPr>
        <w:t>(1) 乙方同意退货并用合同规定的货币将货款退还给甲方，并承担由此发生的一切损失和费用，包括利息、银行手续费、运费、保险费、检验费、仓储费、装卸费以及为保护退回货物所需的其它必要费用。</w:t>
      </w:r>
    </w:p>
    <w:p w14:paraId="7B024C7F">
      <w:pPr>
        <w:pStyle w:val="20"/>
        <w:spacing w:line="440" w:lineRule="exact"/>
        <w:ind w:firstLine="600" w:firstLineChars="250"/>
        <w:rPr>
          <w:rFonts w:hint="eastAsia" w:ascii="宋体" w:hAnsi="宋体" w:eastAsia="宋体" w:cs="宋体"/>
          <w:sz w:val="24"/>
          <w:szCs w:val="24"/>
          <w:highlight w:val="none"/>
        </w:rPr>
      </w:pPr>
      <w:r>
        <w:rPr>
          <w:rFonts w:hint="eastAsia" w:ascii="宋体" w:hAnsi="宋体" w:eastAsia="宋体" w:cs="宋体"/>
          <w:sz w:val="24"/>
          <w:szCs w:val="24"/>
          <w:highlight w:val="none"/>
        </w:rPr>
        <w:t>(2)  根据货物低劣程度、损坏程度以及甲方所遭受损失的金额，经买卖双方商定降低货物的价格。</w:t>
      </w:r>
    </w:p>
    <w:p w14:paraId="69176E1D">
      <w:pPr>
        <w:pStyle w:val="20"/>
        <w:spacing w:line="440" w:lineRule="exact"/>
        <w:ind w:firstLine="600" w:firstLineChars="250"/>
        <w:rPr>
          <w:rFonts w:hint="eastAsia" w:ascii="宋体" w:hAnsi="宋体" w:eastAsia="宋体" w:cs="宋体"/>
          <w:sz w:val="24"/>
          <w:szCs w:val="24"/>
          <w:highlight w:val="none"/>
        </w:rPr>
      </w:pPr>
      <w:r>
        <w:rPr>
          <w:rFonts w:hint="eastAsia" w:ascii="宋体" w:hAnsi="宋体" w:eastAsia="宋体" w:cs="宋体"/>
          <w:sz w:val="24"/>
          <w:szCs w:val="24"/>
          <w:highlight w:val="none"/>
        </w:rPr>
        <w:t>(3)  用符合合同规定的规格、质量和性能要求的新零件、部件和／或设备来更换有缺陷的部分和／或修补缺陷部分，乙方应承担一切费用和风险并负担甲方蒙受的全部直接损失费用。同时，乙方应按合同第12条规定，相应延长修补和／或更换件的质量保证期。</w:t>
      </w:r>
    </w:p>
    <w:p w14:paraId="1597DED4">
      <w:pPr>
        <w:pStyle w:val="20"/>
        <w:spacing w:line="440" w:lineRule="exact"/>
        <w:ind w:firstLine="600" w:firstLineChars="25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11.3 如果在甲方发出索赔通知后十(10)天内，乙方未作答复，上述索赔应视为已被乙方接受。如乙方未能在甲方发出索赔通知后十(10)天内或甲方同意的延长期限内，按照本合同第11．2条规定的任何一种方法解决索赔事宜并征得甲方同意，甲方将从议付货款或从乙方开具的履约保证金中扣回索赔金额。 </w:t>
      </w:r>
    </w:p>
    <w:p w14:paraId="3C7AE875">
      <w:pPr>
        <w:pStyle w:val="20"/>
        <w:spacing w:line="440" w:lineRule="exact"/>
        <w:rPr>
          <w:rFonts w:hint="eastAsia" w:ascii="宋体" w:hAnsi="宋体" w:eastAsia="宋体" w:cs="宋体"/>
          <w:b/>
          <w:sz w:val="24"/>
          <w:szCs w:val="24"/>
          <w:highlight w:val="none"/>
        </w:rPr>
      </w:pPr>
    </w:p>
    <w:p w14:paraId="08D8802E">
      <w:pPr>
        <w:pStyle w:val="20"/>
        <w:spacing w:line="440" w:lineRule="exact"/>
        <w:outlineLvl w:val="1"/>
        <w:rPr>
          <w:rFonts w:hint="eastAsia" w:ascii="宋体" w:hAnsi="宋体" w:eastAsia="宋体" w:cs="宋体"/>
          <w:b/>
          <w:sz w:val="24"/>
          <w:szCs w:val="24"/>
          <w:highlight w:val="none"/>
        </w:rPr>
      </w:pPr>
      <w:bookmarkStart w:id="274" w:name="_Toc6938"/>
      <w:bookmarkStart w:id="275" w:name="_Toc19384"/>
      <w:r>
        <w:rPr>
          <w:rFonts w:hint="eastAsia" w:ascii="宋体" w:hAnsi="宋体" w:eastAsia="宋体" w:cs="宋体"/>
          <w:b/>
          <w:sz w:val="24"/>
          <w:szCs w:val="24"/>
          <w:highlight w:val="none"/>
        </w:rPr>
        <w:t>12．乙方履约延误</w:t>
      </w:r>
      <w:bookmarkEnd w:id="274"/>
      <w:bookmarkEnd w:id="275"/>
    </w:p>
    <w:p w14:paraId="17823F7D">
      <w:pPr>
        <w:pStyle w:val="20"/>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12.1  乙方应按照“采购内容及技术参数要求部分”中甲方规定的时间表交货和提供服务。</w:t>
      </w:r>
    </w:p>
    <w:p w14:paraId="6F0D2B8D">
      <w:pPr>
        <w:pStyle w:val="20"/>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12.2  如乙方无正当理由而拖延交货，将受到以下制裁：没收履约保证金，加收误期赔偿和／或违约终止合同。</w:t>
      </w:r>
    </w:p>
    <w:p w14:paraId="5BA5CB83">
      <w:pPr>
        <w:pStyle w:val="20"/>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12.3  在履行合同过程中，如果乙方可能遇到妨碍按时交货和提供服务的情况时，应及时以书面形式将拖延的事实，可能拖延的期限和理由通知甲方。甲方在收到乙方通知后，应尽快对情况进行评价，并确定是否通过修改合同，酌情延长交货时间。 </w:t>
      </w:r>
    </w:p>
    <w:p w14:paraId="4F489FC9">
      <w:pPr>
        <w:pStyle w:val="20"/>
        <w:spacing w:line="440" w:lineRule="exact"/>
        <w:outlineLvl w:val="1"/>
        <w:rPr>
          <w:rFonts w:hint="eastAsia" w:ascii="宋体" w:hAnsi="宋体" w:eastAsia="宋体" w:cs="宋体"/>
          <w:b/>
          <w:sz w:val="24"/>
          <w:szCs w:val="24"/>
          <w:highlight w:val="none"/>
        </w:rPr>
      </w:pPr>
      <w:bookmarkStart w:id="276" w:name="_Toc23449"/>
      <w:bookmarkStart w:id="277" w:name="_Toc23745"/>
      <w:r>
        <w:rPr>
          <w:rFonts w:hint="eastAsia" w:ascii="宋体" w:hAnsi="宋体" w:eastAsia="宋体" w:cs="宋体"/>
          <w:b/>
          <w:sz w:val="24"/>
          <w:szCs w:val="24"/>
          <w:highlight w:val="none"/>
        </w:rPr>
        <w:t>13．误期赔偿</w:t>
      </w:r>
      <w:bookmarkEnd w:id="276"/>
      <w:bookmarkEnd w:id="277"/>
    </w:p>
    <w:p w14:paraId="40FCC65D">
      <w:pPr>
        <w:pStyle w:val="20"/>
        <w:spacing w:line="440" w:lineRule="exact"/>
        <w:ind w:firstLine="480" w:firstLineChars="200"/>
        <w:rPr>
          <w:rFonts w:hint="eastAsia" w:ascii="宋体" w:hAnsi="宋体" w:eastAsia="宋体" w:cs="宋体"/>
          <w:b/>
          <w:sz w:val="24"/>
          <w:szCs w:val="24"/>
          <w:highlight w:val="none"/>
        </w:rPr>
      </w:pPr>
      <w:r>
        <w:rPr>
          <w:rFonts w:hint="eastAsia" w:ascii="宋体" w:hAnsi="宋体" w:eastAsia="宋体" w:cs="宋体"/>
          <w:sz w:val="24"/>
          <w:szCs w:val="24"/>
          <w:highlight w:val="none"/>
        </w:rPr>
        <w:t xml:space="preserve">13.1 除合同第14条规定外，如果乙方没有按照合同规定的时间交货和提供服务，甲方应从货款中扣除误期赔偿费而不影响合同项下的其他补救方法，赔偿费按每日迟交货物交货价或未提供服务费用的百分之零点五(0.5％)计收，直至交货或提供服务为止。但误期赔偿费的最高限额不超过误期货物或服务合同价的百分之五 (5％)。一旦达到误期赔偿的最高限额，甲方可考虑终止合同，并且保留追究乙方因延期交货造成无法按期使用的间接损失的权利。 </w:t>
      </w:r>
    </w:p>
    <w:p w14:paraId="64B3C762">
      <w:pPr>
        <w:pStyle w:val="20"/>
        <w:spacing w:line="440" w:lineRule="exact"/>
        <w:outlineLvl w:val="1"/>
        <w:rPr>
          <w:rFonts w:hint="eastAsia" w:ascii="宋体" w:hAnsi="宋体" w:eastAsia="宋体" w:cs="宋体"/>
          <w:b/>
          <w:sz w:val="24"/>
          <w:szCs w:val="24"/>
          <w:highlight w:val="none"/>
        </w:rPr>
      </w:pPr>
      <w:bookmarkStart w:id="278" w:name="_Toc16853"/>
      <w:bookmarkStart w:id="279" w:name="_Toc15422"/>
      <w:r>
        <w:rPr>
          <w:rFonts w:hint="eastAsia" w:ascii="宋体" w:hAnsi="宋体" w:eastAsia="宋体" w:cs="宋体"/>
          <w:b/>
          <w:sz w:val="24"/>
          <w:szCs w:val="24"/>
          <w:highlight w:val="none"/>
        </w:rPr>
        <w:t>14．不可抗力</w:t>
      </w:r>
      <w:bookmarkEnd w:id="278"/>
      <w:bookmarkEnd w:id="279"/>
    </w:p>
    <w:p w14:paraId="2E4F2906">
      <w:pPr>
        <w:pStyle w:val="20"/>
        <w:spacing w:line="440" w:lineRule="exact"/>
        <w:ind w:firstLine="480" w:firstLineChars="200"/>
        <w:rPr>
          <w:rFonts w:hint="eastAsia" w:ascii="宋体" w:hAnsi="宋体" w:eastAsia="宋体" w:cs="宋体"/>
          <w:b/>
          <w:sz w:val="24"/>
          <w:szCs w:val="24"/>
          <w:highlight w:val="none"/>
        </w:rPr>
      </w:pPr>
      <w:r>
        <w:rPr>
          <w:rFonts w:hint="eastAsia" w:ascii="宋体" w:hAnsi="宋体" w:eastAsia="宋体" w:cs="宋体"/>
          <w:sz w:val="24"/>
          <w:szCs w:val="24"/>
          <w:highlight w:val="none"/>
        </w:rPr>
        <w:t>14.1  尽管有合同条款第13条、14条和19条的规定，如果乙方因不可抗力而导致合同实施延误或不能履行合同义务的话，不应该被没收履约保证金，也不应该承担误期赔偿或终止合同的责任。</w:t>
      </w:r>
    </w:p>
    <w:p w14:paraId="2C8BCE40">
      <w:pPr>
        <w:pStyle w:val="20"/>
        <w:spacing w:line="440" w:lineRule="exact"/>
        <w:ind w:firstLine="480" w:firstLineChars="200"/>
        <w:rPr>
          <w:rFonts w:hint="eastAsia" w:ascii="宋体" w:hAnsi="宋体" w:eastAsia="宋体" w:cs="宋体"/>
          <w:b/>
          <w:sz w:val="24"/>
          <w:szCs w:val="24"/>
          <w:highlight w:val="none"/>
        </w:rPr>
      </w:pPr>
      <w:r>
        <w:rPr>
          <w:rFonts w:hint="eastAsia" w:ascii="宋体" w:hAnsi="宋体" w:eastAsia="宋体" w:cs="宋体"/>
          <w:sz w:val="24"/>
          <w:szCs w:val="24"/>
          <w:highlight w:val="none"/>
        </w:rPr>
        <w:t>14.2  本条所述的“不可抗力”系指那些乙方无法控制，不可预见的事件，但不包括乙方的违约或疏忽。这些事件包括，但不限于：战争、严重火灾、洪水、台风、地震以及其它双方商定的事件。</w:t>
      </w:r>
    </w:p>
    <w:p w14:paraId="56FF9358">
      <w:pPr>
        <w:pStyle w:val="20"/>
        <w:spacing w:line="440" w:lineRule="exact"/>
        <w:ind w:firstLine="480" w:firstLineChars="200"/>
        <w:rPr>
          <w:rFonts w:hint="eastAsia" w:ascii="宋体" w:hAnsi="宋体" w:eastAsia="宋体" w:cs="宋体"/>
          <w:b/>
          <w:sz w:val="24"/>
          <w:szCs w:val="24"/>
          <w:highlight w:val="none"/>
        </w:rPr>
      </w:pPr>
      <w:r>
        <w:rPr>
          <w:rFonts w:hint="eastAsia" w:ascii="宋体" w:hAnsi="宋体" w:eastAsia="宋体" w:cs="宋体"/>
          <w:sz w:val="24"/>
          <w:szCs w:val="24"/>
          <w:highlight w:val="none"/>
        </w:rPr>
        <w:t xml:space="preserve">14.3  在不可抗力事件发生后，乙方应尽快以书面形式将不可抗力的情况和原因通知甲方。除甲方书面另行要求外，乙方应尽实际可能继续履行合同义务，以及寻求采取合理的方案履行不受不可抗力影响的其他事项。如果不可抗力事件影响持续超过一百二十六(126)天，双方应通过友好协商在合理的时间内达成进一步履行合同的协议。 </w:t>
      </w:r>
    </w:p>
    <w:p w14:paraId="62062AAF">
      <w:pPr>
        <w:pStyle w:val="20"/>
        <w:spacing w:line="440" w:lineRule="exact"/>
        <w:outlineLvl w:val="1"/>
        <w:rPr>
          <w:rFonts w:hint="eastAsia" w:ascii="宋体" w:hAnsi="宋体" w:eastAsia="宋体" w:cs="宋体"/>
          <w:b/>
          <w:sz w:val="24"/>
          <w:szCs w:val="24"/>
          <w:highlight w:val="none"/>
        </w:rPr>
      </w:pPr>
      <w:bookmarkStart w:id="280" w:name="_Toc20710"/>
      <w:bookmarkStart w:id="281" w:name="_Toc17261"/>
      <w:r>
        <w:rPr>
          <w:rFonts w:hint="eastAsia" w:ascii="宋体" w:hAnsi="宋体" w:eastAsia="宋体" w:cs="宋体"/>
          <w:b/>
          <w:sz w:val="24"/>
          <w:szCs w:val="24"/>
          <w:highlight w:val="none"/>
        </w:rPr>
        <w:t>15．履约保证金</w:t>
      </w:r>
      <w:bookmarkEnd w:id="280"/>
      <w:bookmarkEnd w:id="281"/>
    </w:p>
    <w:p w14:paraId="1202FFB0">
      <w:pPr>
        <w:pStyle w:val="20"/>
        <w:spacing w:line="440" w:lineRule="exact"/>
        <w:ind w:firstLine="480" w:firstLineChars="200"/>
        <w:outlineLvl w:val="2"/>
        <w:rPr>
          <w:rFonts w:hint="eastAsia" w:ascii="宋体" w:hAnsi="宋体" w:eastAsia="宋体" w:cs="宋体"/>
          <w:sz w:val="24"/>
          <w:szCs w:val="24"/>
          <w:highlight w:val="none"/>
        </w:rPr>
      </w:pPr>
      <w:bookmarkStart w:id="282" w:name="_Toc25757"/>
      <w:bookmarkStart w:id="283" w:name="_Toc29593"/>
      <w:r>
        <w:rPr>
          <w:rFonts w:hint="eastAsia" w:ascii="宋体" w:hAnsi="宋体" w:eastAsia="宋体" w:cs="宋体"/>
          <w:sz w:val="24"/>
          <w:szCs w:val="24"/>
          <w:highlight w:val="none"/>
        </w:rPr>
        <w:t>15.1  乙方应按规定支付履约保证金。</w:t>
      </w:r>
      <w:bookmarkEnd w:id="282"/>
      <w:bookmarkEnd w:id="283"/>
    </w:p>
    <w:p w14:paraId="66674DD9">
      <w:pPr>
        <w:pStyle w:val="20"/>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15.2  乙方提供的履约保证金应按招标文件所附的格式或甲方可接受的其他格式提供，与此有关的费用均由乙方负担。</w:t>
      </w:r>
    </w:p>
    <w:p w14:paraId="3B64C168">
      <w:pPr>
        <w:pStyle w:val="20"/>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15.3  如乙方未能履行合同规定的任何义务，甲方有权从履约保证金中得到补偿。 </w:t>
      </w:r>
    </w:p>
    <w:p w14:paraId="38BC5A87">
      <w:pPr>
        <w:pStyle w:val="20"/>
        <w:spacing w:line="440" w:lineRule="exact"/>
        <w:ind w:left="723" w:hanging="723" w:hangingChars="300"/>
        <w:outlineLvl w:val="1"/>
        <w:rPr>
          <w:rFonts w:hint="eastAsia" w:ascii="宋体" w:hAnsi="宋体" w:eastAsia="宋体" w:cs="宋体"/>
          <w:b/>
          <w:sz w:val="24"/>
          <w:szCs w:val="24"/>
          <w:highlight w:val="none"/>
        </w:rPr>
      </w:pPr>
      <w:bookmarkStart w:id="284" w:name="_Toc7231"/>
      <w:bookmarkStart w:id="285" w:name="_Toc9669"/>
      <w:r>
        <w:rPr>
          <w:rFonts w:hint="eastAsia" w:ascii="宋体" w:hAnsi="宋体" w:eastAsia="宋体" w:cs="宋体"/>
          <w:b/>
          <w:sz w:val="24"/>
          <w:szCs w:val="24"/>
          <w:highlight w:val="none"/>
        </w:rPr>
        <w:t>16．争端的解决</w:t>
      </w:r>
      <w:bookmarkEnd w:id="284"/>
      <w:bookmarkEnd w:id="285"/>
    </w:p>
    <w:p w14:paraId="52F7D79E">
      <w:pPr>
        <w:pStyle w:val="20"/>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16.1 买卖双方应通过友好协商，解决在执行本合同中所发生的或与本合同有关的一切争端。如从协商开始十(10)天内仍不能解决，双方均可向当地人民法院提起诉讼。 </w:t>
      </w:r>
    </w:p>
    <w:p w14:paraId="4F59EEDD">
      <w:pPr>
        <w:pStyle w:val="20"/>
        <w:spacing w:line="440" w:lineRule="exact"/>
        <w:outlineLvl w:val="1"/>
        <w:rPr>
          <w:rFonts w:hint="eastAsia" w:ascii="宋体" w:hAnsi="宋体" w:eastAsia="宋体" w:cs="宋体"/>
          <w:b/>
          <w:sz w:val="24"/>
          <w:szCs w:val="24"/>
          <w:highlight w:val="none"/>
        </w:rPr>
      </w:pPr>
      <w:bookmarkStart w:id="286" w:name="_Toc22870"/>
      <w:bookmarkStart w:id="287" w:name="_Toc11966"/>
      <w:r>
        <w:rPr>
          <w:rFonts w:hint="eastAsia" w:ascii="宋体" w:hAnsi="宋体" w:eastAsia="宋体" w:cs="宋体"/>
          <w:b/>
          <w:sz w:val="24"/>
          <w:szCs w:val="24"/>
          <w:highlight w:val="none"/>
        </w:rPr>
        <w:t>17. 违约终止合同</w:t>
      </w:r>
      <w:bookmarkEnd w:id="286"/>
      <w:bookmarkEnd w:id="287"/>
    </w:p>
    <w:p w14:paraId="6DEAF7FB">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17.1　在补救违约而采取的任何其他措施未能实现的情况下，即在卖方收到买方发出的违约通知后30天内(或经买方书面确认的更长时间内)仍未纠正其下述任何一种违约行为，买方可向卖方发出书面违约通知，终止全部或部分合同：</w:t>
      </w:r>
    </w:p>
    <w:p w14:paraId="2B1F2D4C">
      <w:pPr>
        <w:spacing w:line="440" w:lineRule="exact"/>
        <w:rPr>
          <w:rFonts w:hint="eastAsia" w:ascii="宋体" w:hAnsi="宋体" w:eastAsia="宋体" w:cs="宋体"/>
          <w:sz w:val="24"/>
          <w:highlight w:val="none"/>
        </w:rPr>
      </w:pPr>
      <w:r>
        <w:rPr>
          <w:rFonts w:hint="eastAsia" w:ascii="宋体" w:hAnsi="宋体" w:eastAsia="宋体" w:cs="宋体"/>
          <w:sz w:val="24"/>
          <w:highlight w:val="none"/>
        </w:rPr>
        <w:t xml:space="preserve">    (1)如果卖方未能在合同规定的期限内或买方准许的任何延期内交付部分或全部货物。</w:t>
      </w:r>
    </w:p>
    <w:p w14:paraId="4663C11B">
      <w:pPr>
        <w:spacing w:line="440" w:lineRule="exact"/>
        <w:outlineLvl w:val="2"/>
        <w:rPr>
          <w:rFonts w:hint="eastAsia" w:ascii="宋体" w:hAnsi="宋体" w:eastAsia="宋体" w:cs="宋体"/>
          <w:sz w:val="24"/>
          <w:highlight w:val="none"/>
        </w:rPr>
      </w:pPr>
      <w:r>
        <w:rPr>
          <w:rFonts w:hint="eastAsia" w:ascii="宋体" w:hAnsi="宋体" w:eastAsia="宋体" w:cs="宋体"/>
          <w:sz w:val="24"/>
          <w:highlight w:val="none"/>
        </w:rPr>
        <w:t xml:space="preserve">    </w:t>
      </w:r>
      <w:bookmarkStart w:id="288" w:name="_Toc17609"/>
      <w:bookmarkStart w:id="289" w:name="_Toc21983"/>
      <w:r>
        <w:rPr>
          <w:rFonts w:hint="eastAsia" w:ascii="宋体" w:hAnsi="宋体" w:eastAsia="宋体" w:cs="宋体"/>
          <w:sz w:val="24"/>
          <w:highlight w:val="none"/>
        </w:rPr>
        <w:t>(2)卖方未能履行合同项下的其它义务。</w:t>
      </w:r>
      <w:bookmarkEnd w:id="288"/>
      <w:bookmarkEnd w:id="289"/>
    </w:p>
    <w:p w14:paraId="0CBD001A">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17.2一旦买方根据第17.1款终止部分或全部合同，买方可以按其认为适当的条件和方式采购类似未交付部分的货物。卖方应承担买方购买类似货物的价格差及额外费用。但是，卖方应继续履行合同中未终止的部分。</w:t>
      </w:r>
    </w:p>
    <w:p w14:paraId="1C43707E">
      <w:pPr>
        <w:spacing w:line="440" w:lineRule="exact"/>
        <w:outlineLvl w:val="1"/>
        <w:rPr>
          <w:rFonts w:hint="eastAsia" w:ascii="宋体" w:hAnsi="宋体" w:eastAsia="宋体" w:cs="宋体"/>
          <w:b/>
          <w:sz w:val="24"/>
          <w:highlight w:val="none"/>
        </w:rPr>
      </w:pPr>
      <w:bookmarkStart w:id="290" w:name="_Toc30928"/>
      <w:bookmarkStart w:id="291" w:name="_Toc8742"/>
      <w:r>
        <w:rPr>
          <w:rFonts w:hint="eastAsia" w:ascii="宋体" w:hAnsi="宋体" w:eastAsia="宋体" w:cs="宋体"/>
          <w:b/>
          <w:sz w:val="24"/>
          <w:highlight w:val="none"/>
        </w:rPr>
        <w:t>18.变更指示</w:t>
      </w:r>
      <w:bookmarkEnd w:id="290"/>
      <w:bookmarkEnd w:id="291"/>
    </w:p>
    <w:p w14:paraId="1AC5FFCC">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18.1　甲方可以随时向乙方发出书面指示，在合同总体范围内对如下一点或几点提出变更：</w:t>
      </w:r>
    </w:p>
    <w:p w14:paraId="6424FC59">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(1)合同项下需为甲方特殊制造货物的图纸、设计或规格；</w:t>
      </w:r>
    </w:p>
    <w:p w14:paraId="40FB49CD">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(2)装运方式和包装方式；</w:t>
      </w:r>
    </w:p>
    <w:p w14:paraId="6CC18D99">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(3)交货地点；</w:t>
      </w:r>
    </w:p>
    <w:p w14:paraId="2336EA36">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(4)乙方须提供的服务。</w:t>
      </w:r>
    </w:p>
    <w:p w14:paraId="261F135A">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18.2　若上述变更导致了乙方履行合同项下任何部分义务的费用或所需时间的增减，应对合同价格或交货进度进行合理的调整，同时相应地修改合同。乙方必须在接到甲方的变更指示后30天内根据本款提出调整的实施意见。</w:t>
      </w:r>
    </w:p>
    <w:p w14:paraId="3DD84BF1">
      <w:pPr>
        <w:spacing w:line="440" w:lineRule="exact"/>
        <w:outlineLvl w:val="1"/>
        <w:rPr>
          <w:rFonts w:hint="eastAsia" w:ascii="宋体" w:hAnsi="宋体" w:eastAsia="宋体" w:cs="宋体"/>
          <w:b/>
          <w:sz w:val="24"/>
          <w:highlight w:val="none"/>
        </w:rPr>
      </w:pPr>
      <w:bookmarkStart w:id="292" w:name="_Toc17604"/>
      <w:bookmarkStart w:id="293" w:name="_Toc27254"/>
      <w:r>
        <w:rPr>
          <w:rFonts w:hint="eastAsia" w:ascii="宋体" w:hAnsi="宋体" w:eastAsia="宋体" w:cs="宋体"/>
          <w:b/>
          <w:sz w:val="24"/>
          <w:highlight w:val="none"/>
        </w:rPr>
        <w:t>19.通知</w:t>
      </w:r>
      <w:bookmarkEnd w:id="292"/>
      <w:bookmarkEnd w:id="293"/>
    </w:p>
    <w:p w14:paraId="611D8B59">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19.1　本合同任何一方给另一方的通知都应以书面或电传、电报、传真的形式发送，而另一方应以书面形式确认并发送到对方明确的地址。</w:t>
      </w:r>
    </w:p>
    <w:p w14:paraId="78C77F83">
      <w:pPr>
        <w:pStyle w:val="20"/>
        <w:spacing w:line="440" w:lineRule="exact"/>
        <w:outlineLvl w:val="1"/>
        <w:rPr>
          <w:rFonts w:hint="eastAsia" w:ascii="宋体" w:hAnsi="宋体" w:eastAsia="宋体" w:cs="宋体"/>
          <w:b/>
          <w:sz w:val="24"/>
          <w:szCs w:val="24"/>
          <w:highlight w:val="none"/>
        </w:rPr>
      </w:pPr>
      <w:bookmarkStart w:id="294" w:name="_Toc24633"/>
      <w:bookmarkStart w:id="295" w:name="_Toc23494"/>
      <w:r>
        <w:rPr>
          <w:rFonts w:hint="eastAsia" w:ascii="宋体" w:hAnsi="宋体" w:eastAsia="宋体" w:cs="宋体"/>
          <w:b/>
          <w:sz w:val="24"/>
          <w:szCs w:val="24"/>
          <w:highlight w:val="none"/>
        </w:rPr>
        <w:t>20．适用法律</w:t>
      </w:r>
      <w:bookmarkEnd w:id="294"/>
      <w:bookmarkEnd w:id="295"/>
    </w:p>
    <w:p w14:paraId="2C6451A2">
      <w:pPr>
        <w:pStyle w:val="20"/>
        <w:spacing w:line="440" w:lineRule="exact"/>
        <w:ind w:firstLine="480" w:firstLineChars="200"/>
        <w:outlineLvl w:val="2"/>
        <w:rPr>
          <w:rFonts w:hint="eastAsia" w:ascii="宋体" w:hAnsi="宋体" w:eastAsia="宋体" w:cs="宋体"/>
          <w:sz w:val="24"/>
          <w:szCs w:val="24"/>
          <w:highlight w:val="none"/>
        </w:rPr>
      </w:pPr>
      <w:bookmarkStart w:id="296" w:name="_Toc29693"/>
      <w:bookmarkStart w:id="297" w:name="_Toc10655"/>
      <w:r>
        <w:rPr>
          <w:rFonts w:hint="eastAsia" w:ascii="宋体" w:hAnsi="宋体" w:eastAsia="宋体" w:cs="宋体"/>
          <w:sz w:val="24"/>
          <w:szCs w:val="24"/>
          <w:highlight w:val="none"/>
        </w:rPr>
        <w:t>20.1  本合同应按照中华人民共和国的现行法律进行解释。</w:t>
      </w:r>
      <w:bookmarkEnd w:id="296"/>
      <w:bookmarkEnd w:id="297"/>
    </w:p>
    <w:p w14:paraId="0A955972">
      <w:pPr>
        <w:pStyle w:val="20"/>
        <w:spacing w:line="440" w:lineRule="exact"/>
        <w:outlineLvl w:val="1"/>
        <w:rPr>
          <w:rFonts w:hint="eastAsia" w:ascii="宋体" w:hAnsi="宋体" w:eastAsia="宋体" w:cs="宋体"/>
          <w:b/>
          <w:sz w:val="24"/>
          <w:szCs w:val="24"/>
          <w:highlight w:val="none"/>
        </w:rPr>
      </w:pPr>
      <w:bookmarkStart w:id="298" w:name="_Toc18698"/>
      <w:bookmarkStart w:id="299" w:name="_Toc27154"/>
      <w:r>
        <w:rPr>
          <w:rFonts w:hint="eastAsia" w:ascii="宋体" w:hAnsi="宋体" w:eastAsia="宋体" w:cs="宋体"/>
          <w:b/>
          <w:sz w:val="24"/>
          <w:szCs w:val="24"/>
          <w:highlight w:val="none"/>
        </w:rPr>
        <w:t>21．合同生效</w:t>
      </w:r>
      <w:bookmarkEnd w:id="298"/>
      <w:bookmarkEnd w:id="299"/>
    </w:p>
    <w:p w14:paraId="15E560EE">
      <w:pPr>
        <w:pStyle w:val="20"/>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21.1  本合同应在双方签字并盖章，同时甲方收到乙方提供的履约保证金后生效。    </w:t>
      </w:r>
    </w:p>
    <w:p w14:paraId="3970DF3F">
      <w:pPr>
        <w:pStyle w:val="20"/>
        <w:spacing w:line="440" w:lineRule="exact"/>
        <w:outlineLvl w:val="1"/>
        <w:rPr>
          <w:rFonts w:hint="eastAsia" w:ascii="宋体" w:hAnsi="宋体" w:eastAsia="宋体" w:cs="宋体"/>
          <w:b/>
          <w:sz w:val="24"/>
          <w:szCs w:val="24"/>
          <w:highlight w:val="none"/>
        </w:rPr>
      </w:pPr>
      <w:bookmarkStart w:id="300" w:name="_Toc531"/>
      <w:bookmarkStart w:id="301" w:name="_Toc19239"/>
      <w:r>
        <w:rPr>
          <w:rFonts w:hint="eastAsia" w:ascii="宋体" w:hAnsi="宋体" w:eastAsia="宋体" w:cs="宋体"/>
          <w:b/>
          <w:sz w:val="24"/>
          <w:szCs w:val="24"/>
          <w:highlight w:val="none"/>
        </w:rPr>
        <w:t>22．主导语言</w:t>
      </w:r>
      <w:bookmarkEnd w:id="300"/>
      <w:bookmarkEnd w:id="301"/>
    </w:p>
    <w:p w14:paraId="2ACB17E8">
      <w:pPr>
        <w:pStyle w:val="20"/>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22.1  本合同正本一式两份，以中文书写，双方签字盖章后生效，双方各执正本一份。</w:t>
      </w:r>
    </w:p>
    <w:p w14:paraId="0C4E4CF5">
      <w:pPr>
        <w:pStyle w:val="20"/>
        <w:spacing w:line="440" w:lineRule="exact"/>
        <w:outlineLvl w:val="1"/>
        <w:rPr>
          <w:rFonts w:hint="eastAsia" w:ascii="宋体" w:hAnsi="宋体" w:eastAsia="宋体" w:cs="宋体"/>
          <w:b/>
          <w:sz w:val="24"/>
          <w:szCs w:val="24"/>
          <w:highlight w:val="none"/>
        </w:rPr>
      </w:pPr>
      <w:bookmarkStart w:id="302" w:name="_Toc26626"/>
      <w:bookmarkStart w:id="303" w:name="_Toc27172"/>
      <w:r>
        <w:rPr>
          <w:rFonts w:hint="eastAsia" w:ascii="宋体" w:hAnsi="宋体" w:eastAsia="宋体" w:cs="宋体"/>
          <w:b/>
          <w:sz w:val="24"/>
          <w:szCs w:val="24"/>
          <w:highlight w:val="none"/>
        </w:rPr>
        <w:t>23．合同修改</w:t>
      </w:r>
      <w:bookmarkEnd w:id="302"/>
      <w:bookmarkEnd w:id="303"/>
    </w:p>
    <w:p w14:paraId="1A0DF557">
      <w:pPr>
        <w:pStyle w:val="20"/>
        <w:spacing w:line="440" w:lineRule="exact"/>
        <w:ind w:firstLine="472" w:firstLineChars="197"/>
        <w:rPr>
          <w:rFonts w:hint="eastAsia" w:ascii="宋体" w:hAnsi="宋体" w:eastAsia="宋体" w:cs="宋体"/>
          <w:sz w:val="24"/>
          <w:szCs w:val="24"/>
          <w:highlight w:val="none"/>
        </w:rPr>
      </w:pPr>
      <w:r>
        <w:rPr>
          <w:rFonts w:hint="eastAsia" w:ascii="宋体" w:hAnsi="宋体" w:eastAsia="宋体" w:cs="宋体"/>
          <w:sz w:val="24"/>
          <w:szCs w:val="24"/>
          <w:highlight w:val="none"/>
        </w:rPr>
        <w:t>23.1  除了双方签署书面修改协议并成为本合同不可分割的一部分的情况之外，本合同的条件不得有任何变化或修改。</w:t>
      </w:r>
    </w:p>
    <w:p w14:paraId="75A999D0">
      <w:pPr>
        <w:pStyle w:val="20"/>
        <w:spacing w:line="440" w:lineRule="exact"/>
        <w:outlineLvl w:val="1"/>
        <w:rPr>
          <w:rFonts w:hint="eastAsia" w:ascii="宋体" w:hAnsi="宋体" w:eastAsia="宋体" w:cs="宋体"/>
          <w:b/>
          <w:sz w:val="24"/>
          <w:szCs w:val="24"/>
          <w:highlight w:val="none"/>
        </w:rPr>
      </w:pPr>
      <w:bookmarkStart w:id="304" w:name="_Toc2529"/>
      <w:bookmarkStart w:id="305" w:name="_Toc5712"/>
      <w:r>
        <w:rPr>
          <w:rFonts w:hint="eastAsia" w:ascii="宋体" w:hAnsi="宋体" w:eastAsia="宋体" w:cs="宋体"/>
          <w:b/>
          <w:sz w:val="24"/>
          <w:szCs w:val="24"/>
          <w:highlight w:val="none"/>
        </w:rPr>
        <w:t>24．其他</w:t>
      </w:r>
      <w:bookmarkEnd w:id="304"/>
      <w:bookmarkEnd w:id="305"/>
    </w:p>
    <w:p w14:paraId="382D5315">
      <w:pPr>
        <w:pStyle w:val="20"/>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其他未尽事宜，双方协商解决。</w:t>
      </w:r>
    </w:p>
    <w:p w14:paraId="7421C359">
      <w:pPr>
        <w:pStyle w:val="20"/>
        <w:spacing w:line="440" w:lineRule="exact"/>
        <w:ind w:firstLine="480" w:firstLineChars="200"/>
        <w:rPr>
          <w:rFonts w:hint="eastAsia" w:ascii="宋体" w:hAnsi="宋体" w:eastAsia="宋体" w:cs="宋体"/>
          <w:sz w:val="24"/>
          <w:szCs w:val="24"/>
          <w:highlight w:val="none"/>
        </w:rPr>
      </w:pPr>
    </w:p>
    <w:p w14:paraId="47E57DA7">
      <w:pPr>
        <w:pStyle w:val="20"/>
        <w:spacing w:line="440" w:lineRule="exact"/>
        <w:ind w:firstLine="480" w:firstLineChars="200"/>
        <w:rPr>
          <w:rFonts w:hint="eastAsia" w:ascii="宋体" w:hAnsi="宋体" w:eastAsia="宋体" w:cs="宋体"/>
          <w:sz w:val="24"/>
          <w:szCs w:val="24"/>
          <w:highlight w:val="none"/>
        </w:rPr>
      </w:pPr>
    </w:p>
    <w:tbl>
      <w:tblPr>
        <w:tblStyle w:val="36"/>
        <w:tblW w:w="4999"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4635"/>
        <w:gridCol w:w="4638"/>
      </w:tblGrid>
      <w:tr w14:paraId="6FCF67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5" w:hRule="atLeast"/>
        </w:trPr>
        <w:tc>
          <w:tcPr>
            <w:tcW w:w="2499" w:type="pct"/>
            <w:tcBorders>
              <w:right w:val="single" w:color="auto" w:sz="4" w:space="0"/>
            </w:tcBorders>
            <w:noWrap w:val="0"/>
            <w:vAlign w:val="top"/>
          </w:tcPr>
          <w:p w14:paraId="2BA11245">
            <w:pPr>
              <w:spacing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发包人：  (盖章) </w:t>
            </w:r>
          </w:p>
        </w:tc>
        <w:tc>
          <w:tcPr>
            <w:tcW w:w="2500" w:type="pct"/>
            <w:tcBorders>
              <w:left w:val="single" w:color="auto" w:sz="4" w:space="0"/>
            </w:tcBorders>
            <w:noWrap w:val="0"/>
            <w:vAlign w:val="top"/>
          </w:tcPr>
          <w:p w14:paraId="237FFA34">
            <w:pPr>
              <w:spacing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承包人：  (盖章)</w:t>
            </w:r>
          </w:p>
        </w:tc>
      </w:tr>
      <w:tr w14:paraId="01FEA2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2499" w:type="pct"/>
            <w:tcBorders>
              <w:right w:val="single" w:color="auto" w:sz="4" w:space="0"/>
            </w:tcBorders>
            <w:noWrap w:val="0"/>
            <w:vAlign w:val="top"/>
          </w:tcPr>
          <w:p w14:paraId="77F44136">
            <w:pPr>
              <w:spacing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法定代表人</w:t>
            </w:r>
          </w:p>
        </w:tc>
        <w:tc>
          <w:tcPr>
            <w:tcW w:w="2500" w:type="pct"/>
            <w:tcBorders>
              <w:left w:val="single" w:color="auto" w:sz="4" w:space="0"/>
            </w:tcBorders>
            <w:noWrap w:val="0"/>
            <w:vAlign w:val="top"/>
          </w:tcPr>
          <w:p w14:paraId="4D6946A5">
            <w:pPr>
              <w:spacing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法定代表人</w:t>
            </w:r>
          </w:p>
        </w:tc>
      </w:tr>
      <w:tr w14:paraId="1A5122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2499" w:type="pct"/>
            <w:tcBorders>
              <w:right w:val="single" w:color="auto" w:sz="4" w:space="0"/>
            </w:tcBorders>
            <w:noWrap w:val="0"/>
            <w:vAlign w:val="top"/>
          </w:tcPr>
          <w:p w14:paraId="717292B9">
            <w:pPr>
              <w:spacing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或委托代理人（</w:t>
            </w:r>
            <w:r>
              <w:rPr>
                <w:rFonts w:hint="eastAsia" w:ascii="宋体" w:hAnsi="宋体" w:eastAsia="宋体" w:cs="宋体"/>
                <w:kern w:val="0"/>
                <w:sz w:val="24"/>
                <w:szCs w:val="24"/>
                <w:highlight w:val="none"/>
                <w:lang w:eastAsia="zh-CN"/>
              </w:rPr>
              <w:t>盖</w:t>
            </w:r>
            <w:r>
              <w:rPr>
                <w:rFonts w:hint="eastAsia" w:ascii="宋体" w:hAnsi="宋体" w:eastAsia="宋体" w:cs="宋体"/>
                <w:kern w:val="0"/>
                <w:sz w:val="24"/>
                <w:szCs w:val="24"/>
                <w:highlight w:val="none"/>
              </w:rPr>
              <w:t>字）：</w:t>
            </w:r>
          </w:p>
        </w:tc>
        <w:tc>
          <w:tcPr>
            <w:tcW w:w="2500" w:type="pct"/>
            <w:tcBorders>
              <w:left w:val="single" w:color="auto" w:sz="4" w:space="0"/>
            </w:tcBorders>
            <w:noWrap w:val="0"/>
            <w:vAlign w:val="top"/>
          </w:tcPr>
          <w:p w14:paraId="7196C26C">
            <w:pPr>
              <w:spacing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或委托代理人（</w:t>
            </w:r>
            <w:r>
              <w:rPr>
                <w:rFonts w:hint="eastAsia" w:ascii="宋体" w:hAnsi="宋体" w:eastAsia="宋体" w:cs="宋体"/>
                <w:kern w:val="0"/>
                <w:sz w:val="24"/>
                <w:szCs w:val="24"/>
                <w:highlight w:val="none"/>
                <w:lang w:eastAsia="zh-CN"/>
              </w:rPr>
              <w:t>盖</w:t>
            </w:r>
            <w:r>
              <w:rPr>
                <w:rFonts w:hint="eastAsia" w:ascii="宋体" w:hAnsi="宋体" w:eastAsia="宋体" w:cs="宋体"/>
                <w:kern w:val="0"/>
                <w:sz w:val="24"/>
                <w:szCs w:val="24"/>
                <w:highlight w:val="none"/>
              </w:rPr>
              <w:t>字）：</w:t>
            </w:r>
          </w:p>
        </w:tc>
      </w:tr>
      <w:tr w14:paraId="091869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2499" w:type="pct"/>
            <w:tcBorders>
              <w:right w:val="single" w:color="auto" w:sz="4" w:space="0"/>
            </w:tcBorders>
            <w:noWrap w:val="0"/>
            <w:vAlign w:val="top"/>
          </w:tcPr>
          <w:p w14:paraId="515B3F68">
            <w:pPr>
              <w:spacing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社会信用代码：</w:t>
            </w:r>
          </w:p>
        </w:tc>
        <w:tc>
          <w:tcPr>
            <w:tcW w:w="2500" w:type="pct"/>
            <w:tcBorders>
              <w:left w:val="single" w:color="auto" w:sz="4" w:space="0"/>
            </w:tcBorders>
            <w:noWrap w:val="0"/>
            <w:vAlign w:val="top"/>
          </w:tcPr>
          <w:p w14:paraId="2FF0CA2E">
            <w:pPr>
              <w:spacing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社会信用代码：</w:t>
            </w:r>
          </w:p>
        </w:tc>
      </w:tr>
      <w:tr w14:paraId="2CA78E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73" w:hRule="atLeast"/>
        </w:trPr>
        <w:tc>
          <w:tcPr>
            <w:tcW w:w="2499" w:type="pct"/>
            <w:tcBorders>
              <w:right w:val="single" w:color="auto" w:sz="4" w:space="0"/>
            </w:tcBorders>
            <w:noWrap w:val="0"/>
            <w:vAlign w:val="top"/>
          </w:tcPr>
          <w:p w14:paraId="2A3A7A89">
            <w:pPr>
              <w:spacing w:line="360" w:lineRule="auto"/>
              <w:ind w:left="960" w:hanging="960" w:hangingChars="400"/>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rPr>
              <w:t>地  址：</w:t>
            </w:r>
          </w:p>
        </w:tc>
        <w:tc>
          <w:tcPr>
            <w:tcW w:w="2500" w:type="pct"/>
            <w:tcBorders>
              <w:left w:val="single" w:color="auto" w:sz="4" w:space="0"/>
            </w:tcBorders>
            <w:noWrap w:val="0"/>
            <w:vAlign w:val="top"/>
          </w:tcPr>
          <w:p w14:paraId="44492A87">
            <w:pPr>
              <w:spacing w:line="360" w:lineRule="auto"/>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eastAsia="zh-CN"/>
              </w:rPr>
              <w:t>地址</w:t>
            </w:r>
          </w:p>
        </w:tc>
      </w:tr>
      <w:tr w14:paraId="2B1386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2499" w:type="pct"/>
            <w:tcBorders>
              <w:right w:val="single" w:color="auto" w:sz="4" w:space="0"/>
            </w:tcBorders>
            <w:noWrap w:val="0"/>
            <w:vAlign w:val="top"/>
          </w:tcPr>
          <w:p w14:paraId="7CE9829A">
            <w:pPr>
              <w:spacing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邮政编码：  </w:t>
            </w:r>
          </w:p>
        </w:tc>
        <w:tc>
          <w:tcPr>
            <w:tcW w:w="2500" w:type="pct"/>
            <w:tcBorders>
              <w:left w:val="single" w:color="auto" w:sz="4" w:space="0"/>
            </w:tcBorders>
            <w:noWrap w:val="0"/>
            <w:vAlign w:val="top"/>
          </w:tcPr>
          <w:p w14:paraId="13A6E2FA">
            <w:pPr>
              <w:spacing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邮政编码：</w:t>
            </w:r>
          </w:p>
        </w:tc>
      </w:tr>
      <w:tr w14:paraId="1D411F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2499" w:type="pct"/>
            <w:tcBorders>
              <w:right w:val="single" w:color="auto" w:sz="4" w:space="0"/>
            </w:tcBorders>
            <w:noWrap w:val="0"/>
            <w:vAlign w:val="top"/>
          </w:tcPr>
          <w:p w14:paraId="35DED5BC">
            <w:pPr>
              <w:spacing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电  话：</w:t>
            </w:r>
          </w:p>
        </w:tc>
        <w:tc>
          <w:tcPr>
            <w:tcW w:w="2500" w:type="pct"/>
            <w:tcBorders>
              <w:left w:val="single" w:color="auto" w:sz="4" w:space="0"/>
            </w:tcBorders>
            <w:noWrap w:val="0"/>
            <w:vAlign w:val="top"/>
          </w:tcPr>
          <w:p w14:paraId="66456C8F">
            <w:pPr>
              <w:spacing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电  话：</w:t>
            </w:r>
          </w:p>
        </w:tc>
      </w:tr>
      <w:tr w14:paraId="6C66C1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2499" w:type="pct"/>
            <w:tcBorders>
              <w:right w:val="single" w:color="auto" w:sz="4" w:space="0"/>
            </w:tcBorders>
            <w:noWrap w:val="0"/>
            <w:vAlign w:val="top"/>
          </w:tcPr>
          <w:p w14:paraId="1A50C7B6">
            <w:pPr>
              <w:spacing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传  真： </w:t>
            </w:r>
          </w:p>
        </w:tc>
        <w:tc>
          <w:tcPr>
            <w:tcW w:w="2500" w:type="pct"/>
            <w:tcBorders>
              <w:left w:val="single" w:color="auto" w:sz="4" w:space="0"/>
            </w:tcBorders>
            <w:noWrap w:val="0"/>
            <w:vAlign w:val="top"/>
          </w:tcPr>
          <w:p w14:paraId="38CB39F3">
            <w:pPr>
              <w:spacing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传  真： </w:t>
            </w:r>
          </w:p>
        </w:tc>
      </w:tr>
      <w:tr w14:paraId="72B521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2499" w:type="pct"/>
            <w:tcBorders>
              <w:right w:val="single" w:color="auto" w:sz="4" w:space="0"/>
            </w:tcBorders>
            <w:noWrap w:val="0"/>
            <w:vAlign w:val="top"/>
          </w:tcPr>
          <w:p w14:paraId="76AC4FEA">
            <w:pPr>
              <w:spacing w:line="360" w:lineRule="auto"/>
              <w:ind w:left="1200" w:hanging="1200" w:hangingChars="5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开户银行：</w:t>
            </w:r>
          </w:p>
        </w:tc>
        <w:tc>
          <w:tcPr>
            <w:tcW w:w="2500" w:type="pct"/>
            <w:tcBorders>
              <w:left w:val="single" w:color="auto" w:sz="4" w:space="0"/>
            </w:tcBorders>
            <w:noWrap w:val="0"/>
            <w:vAlign w:val="top"/>
          </w:tcPr>
          <w:p w14:paraId="3621BDF9">
            <w:pPr>
              <w:spacing w:line="360" w:lineRule="auto"/>
              <w:ind w:left="1200" w:hanging="1200" w:hangingChars="5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开户银行:</w:t>
            </w:r>
          </w:p>
        </w:tc>
      </w:tr>
      <w:tr w14:paraId="49B8AB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2499" w:type="pct"/>
            <w:tcBorders>
              <w:right w:val="single" w:color="auto" w:sz="4" w:space="0"/>
            </w:tcBorders>
            <w:noWrap w:val="0"/>
            <w:vAlign w:val="top"/>
          </w:tcPr>
          <w:p w14:paraId="5CD1BAFF">
            <w:pPr>
              <w:spacing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账  号：</w:t>
            </w:r>
          </w:p>
        </w:tc>
        <w:tc>
          <w:tcPr>
            <w:tcW w:w="2500" w:type="pct"/>
            <w:tcBorders>
              <w:left w:val="single" w:color="auto" w:sz="4" w:space="0"/>
            </w:tcBorders>
            <w:noWrap w:val="0"/>
            <w:vAlign w:val="top"/>
          </w:tcPr>
          <w:p w14:paraId="07C078B2">
            <w:pPr>
              <w:spacing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账  号：</w:t>
            </w:r>
          </w:p>
        </w:tc>
      </w:tr>
      <w:tr w14:paraId="51C06F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2499" w:type="pct"/>
            <w:tcBorders>
              <w:right w:val="single" w:color="auto" w:sz="4" w:space="0"/>
            </w:tcBorders>
            <w:noWrap w:val="0"/>
            <w:vAlign w:val="top"/>
          </w:tcPr>
          <w:p w14:paraId="4F9909F6">
            <w:pPr>
              <w:spacing w:line="360" w:lineRule="auto"/>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eastAsia="zh-CN"/>
              </w:rPr>
              <w:t>签订</w:t>
            </w:r>
            <w:r>
              <w:rPr>
                <w:rFonts w:hint="eastAsia" w:ascii="宋体" w:hAnsi="宋体" w:eastAsia="宋体" w:cs="宋体"/>
                <w:kern w:val="0"/>
                <w:sz w:val="24"/>
                <w:szCs w:val="24"/>
                <w:highlight w:val="none"/>
              </w:rPr>
              <w:t>日期：</w:t>
            </w:r>
            <w:r>
              <w:rPr>
                <w:rFonts w:hint="eastAsia" w:ascii="宋体" w:hAnsi="宋体" w:eastAsia="宋体" w:cs="宋体"/>
                <w:kern w:val="0"/>
                <w:sz w:val="24"/>
                <w:szCs w:val="24"/>
                <w:highlight w:val="none"/>
                <w:lang w:val="en-US" w:eastAsia="zh-CN"/>
              </w:rPr>
              <w:t xml:space="preserve">   </w:t>
            </w:r>
            <w:r>
              <w:rPr>
                <w:rFonts w:hint="eastAsia" w:ascii="宋体" w:hAnsi="宋体" w:eastAsia="宋体" w:cs="宋体"/>
                <w:kern w:val="0"/>
                <w:sz w:val="24"/>
                <w:szCs w:val="24"/>
                <w:highlight w:val="none"/>
              </w:rPr>
              <w:t>年</w:t>
            </w:r>
            <w:r>
              <w:rPr>
                <w:rFonts w:hint="eastAsia" w:ascii="宋体" w:hAnsi="宋体" w:eastAsia="宋体" w:cs="宋体"/>
                <w:kern w:val="0"/>
                <w:sz w:val="24"/>
                <w:szCs w:val="24"/>
                <w:highlight w:val="none"/>
                <w:lang w:val="en-US" w:eastAsia="zh-CN"/>
              </w:rPr>
              <w:t xml:space="preserve">  </w:t>
            </w:r>
            <w:r>
              <w:rPr>
                <w:rFonts w:hint="eastAsia" w:ascii="宋体" w:hAnsi="宋体" w:eastAsia="宋体" w:cs="宋体"/>
                <w:kern w:val="0"/>
                <w:sz w:val="24"/>
                <w:szCs w:val="24"/>
                <w:highlight w:val="none"/>
              </w:rPr>
              <w:t xml:space="preserve">月 </w:t>
            </w:r>
            <w:r>
              <w:rPr>
                <w:rFonts w:hint="eastAsia" w:ascii="宋体" w:hAnsi="宋体" w:eastAsia="宋体" w:cs="宋体"/>
                <w:kern w:val="0"/>
                <w:sz w:val="24"/>
                <w:szCs w:val="24"/>
                <w:highlight w:val="none"/>
                <w:lang w:val="en-US" w:eastAsia="zh-CN"/>
              </w:rPr>
              <w:t xml:space="preserve"> </w:t>
            </w:r>
            <w:r>
              <w:rPr>
                <w:rFonts w:hint="eastAsia" w:ascii="宋体" w:hAnsi="宋体" w:eastAsia="宋体" w:cs="宋体"/>
                <w:kern w:val="0"/>
                <w:sz w:val="24"/>
                <w:szCs w:val="24"/>
                <w:highlight w:val="none"/>
              </w:rPr>
              <w:t>日</w:t>
            </w:r>
          </w:p>
        </w:tc>
        <w:tc>
          <w:tcPr>
            <w:tcW w:w="2500" w:type="pct"/>
            <w:tcBorders>
              <w:left w:val="single" w:color="auto" w:sz="4" w:space="0"/>
            </w:tcBorders>
            <w:noWrap w:val="0"/>
            <w:vAlign w:val="top"/>
          </w:tcPr>
          <w:p w14:paraId="1ADFC64B">
            <w:pPr>
              <w:spacing w:line="360" w:lineRule="auto"/>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eastAsia="zh-CN"/>
              </w:rPr>
              <w:t>签订</w:t>
            </w:r>
            <w:r>
              <w:rPr>
                <w:rFonts w:hint="eastAsia" w:ascii="宋体" w:hAnsi="宋体" w:eastAsia="宋体" w:cs="宋体"/>
                <w:kern w:val="0"/>
                <w:sz w:val="24"/>
                <w:szCs w:val="24"/>
                <w:highlight w:val="none"/>
              </w:rPr>
              <w:t>日期</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lang w:val="en-US" w:eastAsia="zh-CN"/>
              </w:rPr>
              <w:t xml:space="preserve">   </w:t>
            </w:r>
            <w:r>
              <w:rPr>
                <w:rFonts w:hint="eastAsia" w:ascii="宋体" w:hAnsi="宋体" w:eastAsia="宋体" w:cs="宋体"/>
                <w:kern w:val="0"/>
                <w:sz w:val="24"/>
                <w:szCs w:val="24"/>
                <w:highlight w:val="none"/>
              </w:rPr>
              <w:t xml:space="preserve">年 </w:t>
            </w:r>
            <w:r>
              <w:rPr>
                <w:rFonts w:hint="eastAsia" w:ascii="宋体" w:hAnsi="宋体" w:eastAsia="宋体" w:cs="宋体"/>
                <w:kern w:val="0"/>
                <w:sz w:val="24"/>
                <w:szCs w:val="24"/>
                <w:highlight w:val="none"/>
                <w:lang w:val="en-US" w:eastAsia="zh-CN"/>
              </w:rPr>
              <w:t xml:space="preserve"> </w:t>
            </w:r>
            <w:r>
              <w:rPr>
                <w:rFonts w:hint="eastAsia" w:ascii="宋体" w:hAnsi="宋体" w:eastAsia="宋体" w:cs="宋体"/>
                <w:kern w:val="0"/>
                <w:sz w:val="24"/>
                <w:szCs w:val="24"/>
                <w:highlight w:val="none"/>
              </w:rPr>
              <w:t xml:space="preserve">月 </w:t>
            </w:r>
            <w:r>
              <w:rPr>
                <w:rFonts w:hint="eastAsia" w:ascii="宋体" w:hAnsi="宋体" w:eastAsia="宋体" w:cs="宋体"/>
                <w:kern w:val="0"/>
                <w:sz w:val="24"/>
                <w:szCs w:val="24"/>
                <w:highlight w:val="none"/>
                <w:lang w:val="en-US" w:eastAsia="zh-CN"/>
              </w:rPr>
              <w:t xml:space="preserve"> </w:t>
            </w:r>
            <w:r>
              <w:rPr>
                <w:rFonts w:hint="eastAsia" w:ascii="宋体" w:hAnsi="宋体" w:eastAsia="宋体" w:cs="宋体"/>
                <w:kern w:val="0"/>
                <w:sz w:val="24"/>
                <w:szCs w:val="24"/>
                <w:highlight w:val="none"/>
              </w:rPr>
              <w:t>日</w:t>
            </w:r>
          </w:p>
        </w:tc>
      </w:tr>
    </w:tbl>
    <w:p w14:paraId="709D403A">
      <w:pPr>
        <w:spacing w:before="1" w:line="360" w:lineRule="auto"/>
        <w:rPr>
          <w:rFonts w:hint="eastAsia" w:ascii="宋体" w:hAnsi="宋体" w:eastAsia="宋体" w:cs="宋体"/>
          <w:sz w:val="24"/>
          <w:szCs w:val="24"/>
          <w:highlight w:val="none"/>
          <w:u w:val="single" w:color="auto"/>
        </w:rPr>
        <w:sectPr>
          <w:footerReference r:id="rId7" w:type="default"/>
          <w:pgSz w:w="11905" w:h="16838"/>
          <w:pgMar w:top="1247" w:right="1423" w:bottom="1247" w:left="1423" w:header="0" w:footer="907" w:gutter="0"/>
          <w:pgNumType w:fmt="decimal" w:start="1"/>
          <w:cols w:space="0" w:num="1"/>
          <w:rtlGutter w:val="0"/>
          <w:docGrid w:linePitch="0" w:charSpace="0"/>
        </w:sectPr>
      </w:pPr>
    </w:p>
    <w:p w14:paraId="193CFE56">
      <w:pPr>
        <w:snapToGrid w:val="0"/>
        <w:spacing w:line="360" w:lineRule="auto"/>
        <w:ind w:firstLine="0" w:firstLineChars="0"/>
        <w:jc w:val="center"/>
        <w:outlineLvl w:val="0"/>
        <w:rPr>
          <w:rFonts w:hint="eastAsia" w:ascii="宋体" w:hAnsi="宋体" w:eastAsia="宋体" w:cs="宋体"/>
          <w:b/>
          <w:color w:val="auto"/>
          <w:sz w:val="30"/>
          <w:szCs w:val="30"/>
          <w:highlight w:val="none"/>
          <w:lang w:eastAsia="zh-CN"/>
        </w:rPr>
      </w:pPr>
      <w:bookmarkStart w:id="306" w:name="_Toc10361"/>
      <w:bookmarkStart w:id="307" w:name="_Toc11750"/>
      <w:r>
        <w:rPr>
          <w:rFonts w:hint="eastAsia" w:ascii="宋体" w:hAnsi="宋体" w:eastAsia="宋体" w:cs="宋体"/>
          <w:b/>
          <w:color w:val="auto"/>
          <w:sz w:val="32"/>
          <w:szCs w:val="24"/>
          <w:highlight w:val="none"/>
          <w:lang w:eastAsia="zh-CN"/>
        </w:rPr>
        <w:t>第五章</w:t>
      </w:r>
      <w:r>
        <w:rPr>
          <w:rFonts w:hint="eastAsia" w:ascii="宋体" w:hAnsi="宋体" w:eastAsia="宋体" w:cs="宋体"/>
          <w:b/>
          <w:color w:val="auto"/>
          <w:sz w:val="32"/>
          <w:szCs w:val="24"/>
          <w:highlight w:val="none"/>
          <w:lang w:val="en-US" w:eastAsia="zh-CN"/>
        </w:rPr>
        <w:t xml:space="preserve">  </w:t>
      </w:r>
      <w:r>
        <w:rPr>
          <w:rFonts w:hint="eastAsia" w:ascii="宋体" w:hAnsi="宋体" w:eastAsia="宋体" w:cs="宋体"/>
          <w:b/>
          <w:color w:val="auto"/>
          <w:sz w:val="30"/>
          <w:szCs w:val="30"/>
          <w:highlight w:val="none"/>
          <w:lang w:eastAsia="zh-CN"/>
        </w:rPr>
        <w:t>采购需求</w:t>
      </w:r>
      <w:bookmarkEnd w:id="243"/>
      <w:bookmarkEnd w:id="244"/>
      <w:bookmarkEnd w:id="306"/>
      <w:bookmarkEnd w:id="307"/>
    </w:p>
    <w:p w14:paraId="09F5073B">
      <w:pPr>
        <w:ind w:firstLine="480" w:firstLineChars="200"/>
        <w:rPr>
          <w:rFonts w:hint="eastAsia" w:ascii="宋体" w:hAnsi="宋体" w:eastAsia="宋体" w:cs="宋体"/>
          <w:sz w:val="24"/>
          <w:szCs w:val="24"/>
        </w:rPr>
      </w:pPr>
      <w:r>
        <w:rPr>
          <w:rFonts w:hint="eastAsia" w:ascii="宋体" w:hAnsi="宋体" w:eastAsia="宋体" w:cs="宋体"/>
          <w:sz w:val="24"/>
          <w:szCs w:val="24"/>
        </w:rPr>
        <w:t>一、 项目概况</w:t>
      </w:r>
    </w:p>
    <w:p w14:paraId="35D1D73B">
      <w:pPr>
        <w:ind w:firstLine="480" w:firstLineChars="200"/>
        <w:rPr>
          <w:rFonts w:hint="eastAsia" w:ascii="宋体" w:hAnsi="宋体" w:eastAsia="宋体" w:cs="宋体"/>
          <w:sz w:val="24"/>
          <w:szCs w:val="24"/>
        </w:rPr>
      </w:pPr>
      <w:r>
        <w:rPr>
          <w:rFonts w:hint="eastAsia" w:ascii="宋体" w:hAnsi="宋体" w:eastAsia="宋体" w:cs="宋体"/>
          <w:sz w:val="24"/>
          <w:szCs w:val="24"/>
        </w:rPr>
        <w:t>本项目旨在采购一批战术训练装备、个人防护器材及应急救援设备，共计 3</w:t>
      </w:r>
      <w:r>
        <w:rPr>
          <w:rFonts w:hint="eastAsia" w:ascii="宋体" w:hAnsi="宋体" w:eastAsia="宋体" w:cs="宋体"/>
          <w:sz w:val="24"/>
          <w:szCs w:val="24"/>
          <w:lang w:val="en-US" w:eastAsia="zh-CN"/>
        </w:rPr>
        <w:t>4</w:t>
      </w:r>
      <w:r>
        <w:rPr>
          <w:rFonts w:hint="eastAsia" w:ascii="宋体" w:hAnsi="宋体" w:eastAsia="宋体" w:cs="宋体"/>
          <w:sz w:val="24"/>
          <w:szCs w:val="24"/>
        </w:rPr>
        <w:t xml:space="preserve"> 个品项，预算总额 459,000 元。所有设备需满足高强度训练及实战应用需求，确保性能稳定、安全可靠。</w:t>
      </w:r>
    </w:p>
    <w:p w14:paraId="2C3682CE">
      <w:pPr>
        <w:numPr>
          <w:ilvl w:val="0"/>
          <w:numId w:val="6"/>
        </w:numPr>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采购品类及技术要求</w:t>
      </w:r>
    </w:p>
    <w:p w14:paraId="1831ECAF">
      <w:pPr>
        <w:numPr>
          <w:ilvl w:val="0"/>
          <w:numId w:val="0"/>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详见项目清单</w:t>
      </w:r>
    </w:p>
    <w:p w14:paraId="0AAA1BC6">
      <w:pPr>
        <w:ind w:firstLine="480" w:firstLineChars="200"/>
        <w:rPr>
          <w:rFonts w:hint="eastAsia" w:ascii="宋体" w:hAnsi="宋体" w:eastAsia="宋体" w:cs="宋体"/>
          <w:sz w:val="24"/>
          <w:szCs w:val="24"/>
        </w:rPr>
      </w:pPr>
      <w:r>
        <w:rPr>
          <w:rFonts w:hint="eastAsia" w:ascii="宋体" w:hAnsi="宋体" w:eastAsia="宋体" w:cs="宋体"/>
          <w:sz w:val="24"/>
          <w:szCs w:val="24"/>
        </w:rPr>
        <w:t>三、 采购预算</w:t>
      </w:r>
    </w:p>
    <w:p w14:paraId="725C30FF">
      <w:pPr>
        <w:ind w:firstLine="480" w:firstLineChars="200"/>
        <w:rPr>
          <w:rFonts w:hint="eastAsia" w:ascii="宋体" w:hAnsi="宋体" w:eastAsia="宋体" w:cs="宋体"/>
          <w:sz w:val="24"/>
          <w:szCs w:val="24"/>
        </w:rPr>
      </w:pPr>
      <w:r>
        <w:rPr>
          <w:rFonts w:hint="eastAsia" w:ascii="宋体" w:hAnsi="宋体" w:eastAsia="宋体" w:cs="宋体"/>
          <w:sz w:val="24"/>
          <w:szCs w:val="24"/>
        </w:rPr>
        <w:t>本项目总预算为人民币 459000 元（大写：肆拾伍万玖仟元整）。</w:t>
      </w:r>
    </w:p>
    <w:p w14:paraId="5A37DA03">
      <w:pPr>
        <w:ind w:firstLine="480" w:firstLineChars="200"/>
        <w:rPr>
          <w:rFonts w:hint="eastAsia" w:ascii="宋体" w:hAnsi="宋体" w:eastAsia="宋体" w:cs="宋体"/>
          <w:sz w:val="24"/>
          <w:szCs w:val="24"/>
        </w:rPr>
      </w:pPr>
      <w:r>
        <w:rPr>
          <w:rFonts w:hint="eastAsia" w:ascii="宋体" w:hAnsi="宋体" w:eastAsia="宋体" w:cs="宋体"/>
          <w:sz w:val="24"/>
          <w:szCs w:val="24"/>
        </w:rPr>
        <w:t>四、 交货及验收要求</w:t>
      </w:r>
    </w:p>
    <w:p w14:paraId="34E071CC">
      <w:pPr>
        <w:ind w:firstLine="480" w:firstLineChars="200"/>
        <w:rPr>
          <w:rFonts w:hint="eastAsia" w:ascii="宋体" w:hAnsi="宋体" w:eastAsia="宋体" w:cs="宋体"/>
          <w:sz w:val="24"/>
          <w:szCs w:val="24"/>
        </w:rPr>
      </w:pPr>
      <w:r>
        <w:rPr>
          <w:rFonts w:hint="eastAsia" w:ascii="宋体" w:hAnsi="宋体" w:eastAsia="宋体" w:cs="宋体"/>
          <w:sz w:val="24"/>
          <w:szCs w:val="24"/>
        </w:rPr>
        <w:t>1.  交货时间：合同签订后 15 个工作日内完成全部货物的交付。</w:t>
      </w:r>
    </w:p>
    <w:p w14:paraId="241E0A3F">
      <w:pPr>
        <w:rPr>
          <w:rFonts w:hint="eastAsia" w:ascii="宋体" w:hAnsi="宋体" w:eastAsia="宋体" w:cs="宋体"/>
          <w:sz w:val="24"/>
          <w:szCs w:val="24"/>
        </w:rPr>
      </w:pPr>
      <w:r>
        <w:rPr>
          <w:rFonts w:hint="eastAsia" w:ascii="宋体" w:hAnsi="宋体" w:eastAsia="宋体" w:cs="宋体"/>
          <w:sz w:val="24"/>
          <w:szCs w:val="24"/>
        </w:rPr>
        <w:t>2.  交货地点：新疆维吾尔自治区</w:t>
      </w:r>
    </w:p>
    <w:p w14:paraId="51CE535F">
      <w:pPr>
        <w:rPr>
          <w:rFonts w:hint="eastAsia" w:ascii="宋体" w:hAnsi="宋体" w:eastAsia="宋体" w:cs="宋体"/>
          <w:sz w:val="24"/>
          <w:szCs w:val="24"/>
        </w:rPr>
      </w:pPr>
      <w:r>
        <w:rPr>
          <w:rFonts w:hint="eastAsia" w:ascii="宋体" w:hAnsi="宋体" w:eastAsia="宋体" w:cs="宋体"/>
          <w:sz w:val="24"/>
          <w:szCs w:val="24"/>
        </w:rPr>
        <w:t>3.  物流要求：</w:t>
      </w:r>
    </w:p>
    <w:p w14:paraId="709F7632">
      <w:pPr>
        <w:rPr>
          <w:rFonts w:hint="eastAsia" w:ascii="宋体" w:hAnsi="宋体" w:eastAsia="宋体" w:cs="宋体"/>
          <w:sz w:val="24"/>
          <w:szCs w:val="24"/>
        </w:rPr>
      </w:pPr>
      <w:r>
        <w:rPr>
          <w:rFonts w:hint="eastAsia" w:ascii="宋体" w:hAnsi="宋体" w:eastAsia="宋体" w:cs="宋体"/>
          <w:sz w:val="24"/>
          <w:szCs w:val="24"/>
        </w:rPr>
        <w:t xml:space="preserve">    *   鉴于新疆地区地理位置特殊，建议采用 空运+落地配 或 高铁快运，确保时效。</w:t>
      </w:r>
    </w:p>
    <w:p w14:paraId="30694C81">
      <w:pPr>
        <w:rPr>
          <w:rFonts w:hint="eastAsia" w:ascii="宋体" w:hAnsi="宋体" w:eastAsia="宋体" w:cs="宋体"/>
          <w:sz w:val="24"/>
          <w:szCs w:val="24"/>
        </w:rPr>
      </w:pPr>
      <w:r>
        <w:rPr>
          <w:rFonts w:hint="eastAsia" w:ascii="宋体" w:hAnsi="宋体" w:eastAsia="宋体" w:cs="宋体"/>
          <w:sz w:val="24"/>
          <w:szCs w:val="24"/>
        </w:rPr>
        <w:t xml:space="preserve">    *   包装需防潮、防压，特别是电子设备（如战术靶机、心肺复苏假人）需单独加固。</w:t>
      </w:r>
    </w:p>
    <w:p w14:paraId="42AB2917">
      <w:pPr>
        <w:rPr>
          <w:rFonts w:hint="eastAsia" w:ascii="宋体" w:hAnsi="宋体" w:eastAsia="宋体" w:cs="宋体"/>
          <w:sz w:val="24"/>
          <w:szCs w:val="24"/>
        </w:rPr>
      </w:pPr>
      <w:r>
        <w:rPr>
          <w:rFonts w:hint="eastAsia" w:ascii="宋体" w:hAnsi="宋体" w:eastAsia="宋体" w:cs="宋体"/>
          <w:sz w:val="24"/>
          <w:szCs w:val="24"/>
        </w:rPr>
        <w:t>4.  验收标准：</w:t>
      </w:r>
    </w:p>
    <w:p w14:paraId="32992E8E">
      <w:pPr>
        <w:rPr>
          <w:rFonts w:hint="eastAsia" w:ascii="宋体" w:hAnsi="宋体" w:eastAsia="宋体" w:cs="宋体"/>
          <w:sz w:val="24"/>
          <w:szCs w:val="24"/>
        </w:rPr>
      </w:pPr>
      <w:r>
        <w:rPr>
          <w:rFonts w:hint="eastAsia" w:ascii="宋体" w:hAnsi="宋体" w:eastAsia="宋体" w:cs="宋体"/>
          <w:sz w:val="24"/>
          <w:szCs w:val="24"/>
        </w:rPr>
        <w:t xml:space="preserve">    *   所有货物需为全新、未使用过的原装正品。</w:t>
      </w:r>
    </w:p>
    <w:p w14:paraId="1B6885EF">
      <w:pPr>
        <w:rPr>
          <w:rFonts w:hint="eastAsia" w:ascii="宋体" w:hAnsi="宋体" w:eastAsia="宋体" w:cs="宋体"/>
          <w:sz w:val="24"/>
          <w:szCs w:val="24"/>
        </w:rPr>
      </w:pPr>
      <w:r>
        <w:rPr>
          <w:rFonts w:hint="eastAsia" w:ascii="宋体" w:hAnsi="宋体" w:eastAsia="宋体" w:cs="宋体"/>
          <w:sz w:val="24"/>
          <w:szCs w:val="24"/>
        </w:rPr>
        <w:t xml:space="preserve">    *   按照清单数量、品牌、规格逐一清点。</w:t>
      </w:r>
    </w:p>
    <w:p w14:paraId="63C5D8A0">
      <w:pPr>
        <w:rPr>
          <w:rFonts w:hint="eastAsia" w:ascii="宋体" w:hAnsi="宋体" w:eastAsia="宋体" w:cs="宋体"/>
          <w:sz w:val="24"/>
          <w:szCs w:val="24"/>
        </w:rPr>
      </w:pPr>
      <w:r>
        <w:rPr>
          <w:rFonts w:hint="eastAsia" w:ascii="宋体" w:hAnsi="宋体" w:eastAsia="宋体" w:cs="宋体"/>
          <w:sz w:val="24"/>
          <w:szCs w:val="24"/>
        </w:rPr>
        <w:t xml:space="preserve">    *   现场通电/功能测试（针对电锯、靶机、手电等）。</w:t>
      </w:r>
    </w:p>
    <w:p w14:paraId="450AA34C">
      <w:pPr>
        <w:rPr>
          <w:rFonts w:hint="eastAsia" w:ascii="宋体" w:hAnsi="宋体" w:eastAsia="宋体" w:cs="宋体"/>
          <w:sz w:val="24"/>
          <w:szCs w:val="24"/>
        </w:rPr>
      </w:pPr>
      <w:r>
        <w:rPr>
          <w:rFonts w:hint="eastAsia" w:ascii="宋体" w:hAnsi="宋体" w:eastAsia="宋体" w:cs="宋体"/>
          <w:sz w:val="24"/>
          <w:szCs w:val="24"/>
        </w:rPr>
        <w:t xml:space="preserve">    *   夏季特别提示：检查橡胶制品（如护具、轮胎破胎器）是否有老化现象，确保在高温环境下正常使用。</w:t>
      </w:r>
    </w:p>
    <w:p w14:paraId="6D2CA95C">
      <w:pPr>
        <w:ind w:firstLine="480" w:firstLineChars="200"/>
        <w:rPr>
          <w:rFonts w:hint="eastAsia" w:ascii="宋体" w:hAnsi="宋体" w:eastAsia="宋体" w:cs="宋体"/>
          <w:sz w:val="24"/>
          <w:szCs w:val="24"/>
        </w:rPr>
      </w:pPr>
      <w:r>
        <w:rPr>
          <w:rFonts w:hint="eastAsia" w:ascii="宋体" w:hAnsi="宋体" w:eastAsia="宋体" w:cs="宋体"/>
          <w:sz w:val="24"/>
          <w:szCs w:val="24"/>
        </w:rPr>
        <w:t>五、 售后服务</w:t>
      </w:r>
    </w:p>
    <w:p w14:paraId="2328CE70">
      <w:pPr>
        <w:ind w:firstLine="480" w:firstLineChars="200"/>
        <w:rPr>
          <w:rFonts w:hint="eastAsia" w:ascii="宋体" w:hAnsi="宋体" w:eastAsia="宋体" w:cs="宋体"/>
          <w:sz w:val="24"/>
          <w:szCs w:val="24"/>
        </w:rPr>
      </w:pPr>
      <w:r>
        <w:rPr>
          <w:rFonts w:hint="eastAsia" w:ascii="宋体" w:hAnsi="宋体" w:eastAsia="宋体" w:cs="宋体"/>
          <w:sz w:val="24"/>
          <w:szCs w:val="24"/>
        </w:rPr>
        <w:t>1.  质保期：所有设备提供至少 12 个月的免费质保（消耗品如靶纸、戒线带除外）。</w:t>
      </w:r>
    </w:p>
    <w:p w14:paraId="0A0BAB32">
      <w:pPr>
        <w:ind w:firstLine="480" w:firstLineChars="200"/>
        <w:rPr>
          <w:rFonts w:hint="eastAsia" w:ascii="宋体" w:hAnsi="宋体" w:eastAsia="宋体" w:cs="宋体"/>
          <w:sz w:val="24"/>
          <w:szCs w:val="24"/>
        </w:rPr>
      </w:pPr>
      <w:r>
        <w:rPr>
          <w:rFonts w:hint="eastAsia" w:ascii="宋体" w:hAnsi="宋体" w:eastAsia="宋体" w:cs="宋体"/>
          <w:sz w:val="24"/>
          <w:szCs w:val="24"/>
        </w:rPr>
        <w:t>2.  响应时间：接到报修通知后，2小时内响应，48小时内提供解决方案或备件。</w:t>
      </w:r>
    </w:p>
    <w:p w14:paraId="3D9F3933">
      <w:pPr>
        <w:ind w:firstLine="480" w:firstLineChars="200"/>
        <w:rPr>
          <w:rFonts w:hint="eastAsia" w:ascii="宋体" w:hAnsi="宋体" w:eastAsia="宋体" w:cs="宋体"/>
          <w:sz w:val="24"/>
          <w:szCs w:val="24"/>
        </w:rPr>
      </w:pPr>
      <w:r>
        <w:rPr>
          <w:rFonts w:hint="eastAsia" w:ascii="宋体" w:hAnsi="宋体" w:eastAsia="宋体" w:cs="宋体"/>
          <w:sz w:val="24"/>
          <w:szCs w:val="24"/>
        </w:rPr>
        <w:t>3.  培训服务：供应商需提供针对战术靶机、心肺复苏假人、电锯等复杂设备的操作培训。</w:t>
      </w:r>
    </w:p>
    <w:p w14:paraId="4ADD7D78">
      <w:pPr>
        <w:snapToGrid w:val="0"/>
        <w:spacing w:line="360" w:lineRule="auto"/>
        <w:ind w:firstLine="0" w:firstLineChars="0"/>
        <w:jc w:val="center"/>
        <w:outlineLvl w:val="0"/>
        <w:rPr>
          <w:rFonts w:hint="eastAsia" w:ascii="宋体" w:hAnsi="宋体" w:eastAsia="宋体" w:cs="宋体"/>
          <w:b/>
          <w:color w:val="auto"/>
          <w:sz w:val="30"/>
          <w:szCs w:val="30"/>
          <w:highlight w:val="none"/>
          <w:lang w:eastAsia="zh-CN"/>
        </w:rPr>
      </w:pPr>
    </w:p>
    <w:tbl>
      <w:tblPr>
        <w:tblStyle w:val="35"/>
        <w:tblW w:w="941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9"/>
        <w:gridCol w:w="1293"/>
        <w:gridCol w:w="2947"/>
        <w:gridCol w:w="894"/>
        <w:gridCol w:w="920"/>
        <w:gridCol w:w="1213"/>
        <w:gridCol w:w="1360"/>
      </w:tblGrid>
      <w:tr w14:paraId="531FE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56EF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23D4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项目名称</w:t>
            </w:r>
          </w:p>
        </w:tc>
        <w:tc>
          <w:tcPr>
            <w:tcW w:w="2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211B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技术参数</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971E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E99E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FE7E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单价（元）</w:t>
            </w: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24E0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总价（元）</w:t>
            </w:r>
          </w:p>
        </w:tc>
      </w:tr>
      <w:tr w14:paraId="622B1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567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9ED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新型战术马甲</w:t>
            </w:r>
          </w:p>
        </w:tc>
        <w:tc>
          <w:tcPr>
            <w:tcW w:w="2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6A7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适应高强度战术动作，材质耐磨，调节灵活</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B40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E93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9C0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50E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92EF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884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623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防割手套</w:t>
            </w:r>
          </w:p>
        </w:tc>
        <w:tc>
          <w:tcPr>
            <w:tcW w:w="2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4C2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具备防割伤功能，手指关节处灵活，透气性好</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405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B0F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298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D0E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B289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E47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0E1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战术轻盔</w:t>
            </w:r>
          </w:p>
        </w:tc>
        <w:tc>
          <w:tcPr>
            <w:tcW w:w="2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5DC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轻量化设计，具备良好抗冲击性能</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162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AC5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45D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702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8A2C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422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F9BA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射击护目镜</w:t>
            </w:r>
          </w:p>
        </w:tc>
        <w:tc>
          <w:tcPr>
            <w:tcW w:w="2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FEC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防冲击、防雾、防紫外线，贴合面部轮廓</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EE3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C98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A1B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6E1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AB32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C12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289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急救箱</w:t>
            </w:r>
          </w:p>
        </w:tc>
        <w:tc>
          <w:tcPr>
            <w:tcW w:w="2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0DC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大号，分层分类，防水耐磨，含基础急救耗材</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68B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138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F48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D63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AAB0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230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DC0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戒线带</w:t>
            </w:r>
          </w:p>
        </w:tc>
        <w:tc>
          <w:tcPr>
            <w:tcW w:w="2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54C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高强度塑料带，印有警示字样</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306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F7B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8DD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D27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0F60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478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713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快速围挡</w:t>
            </w:r>
          </w:p>
        </w:tc>
        <w:tc>
          <w:tcPr>
            <w:tcW w:w="2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9F4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折叠式，展开迅速，用于现场隔离</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11B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C0F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740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14D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0F32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4FA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37B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睡袋</w:t>
            </w:r>
          </w:p>
        </w:tc>
        <w:tc>
          <w:tcPr>
            <w:tcW w:w="2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201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适合温带气候使用，保暖舒适</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F3E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F3F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560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208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3568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CA4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464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伸缩式攀登梯</w:t>
            </w:r>
          </w:p>
        </w:tc>
        <w:tc>
          <w:tcPr>
            <w:tcW w:w="2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477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铝合金材质，轻便伸缩，承重力强</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844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98E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1C8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AA5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8C57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891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4C7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班组急救包</w:t>
            </w:r>
          </w:p>
        </w:tc>
        <w:tc>
          <w:tcPr>
            <w:tcW w:w="2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57C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便携式，含止血包扎及急救药品</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FD7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25F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910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B69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4452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C6D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88F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破门锤</w:t>
            </w:r>
          </w:p>
        </w:tc>
        <w:tc>
          <w:tcPr>
            <w:tcW w:w="2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090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重型破拆，锤头硬度高，手柄防滑减震</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57E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C54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55B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7B6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8B55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BBD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ADE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撬棍</w:t>
            </w:r>
          </w:p>
        </w:tc>
        <w:tc>
          <w:tcPr>
            <w:tcW w:w="2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17B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高强度合金钢，尖端锋利，用于撬动重物</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938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4F9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E79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E16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111A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C82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DF3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电锯</w:t>
            </w:r>
          </w:p>
        </w:tc>
        <w:tc>
          <w:tcPr>
            <w:tcW w:w="2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4AB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动力强劲，链条锋利，具备安全防护罩</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E13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95A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3CA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693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1E28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99B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B96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压力钳</w:t>
            </w:r>
          </w:p>
        </w:tc>
        <w:tc>
          <w:tcPr>
            <w:tcW w:w="2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073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用于剪切钢筋或金属障碍物，钳口硬度高</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190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307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135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C38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8CBD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89C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5E8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破拆训练门</w:t>
            </w:r>
          </w:p>
        </w:tc>
        <w:tc>
          <w:tcPr>
            <w:tcW w:w="2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8D1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模拟真实门体结构，用于破拆技术训练</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D71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897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89F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4FB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6CD7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A94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789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心肺复苏模拟训练假人</w:t>
            </w:r>
          </w:p>
        </w:tc>
        <w:tc>
          <w:tcPr>
            <w:tcW w:w="2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F1A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电子反馈型，模拟真实人体结构</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7A3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E7C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1CA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2ED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8B7C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7B0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D10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散打护具</w:t>
            </w:r>
          </w:p>
        </w:tc>
        <w:tc>
          <w:tcPr>
            <w:tcW w:w="2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592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全套护具（头盔、护胸、护腿等），吸能性好</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EB9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F3B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798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A34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97F0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E28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E17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拳套</w:t>
            </w:r>
          </w:p>
        </w:tc>
        <w:tc>
          <w:tcPr>
            <w:tcW w:w="2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4AE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皮质，系带式，保护手部关节</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277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2A2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BDA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0B0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5164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CCF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CD8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手靶</w:t>
            </w:r>
          </w:p>
        </w:tc>
        <w:tc>
          <w:tcPr>
            <w:tcW w:w="2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F98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高密度海绵填充，牛津布表面，耐用</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29E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CF8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79D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51E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1B06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F6C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3D0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脚靶</w:t>
            </w:r>
          </w:p>
        </w:tc>
        <w:tc>
          <w:tcPr>
            <w:tcW w:w="2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F6E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高密度海绵填充，皮质表面，耐用</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714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F28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C9C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C53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EF67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E00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E74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战术靶机</w:t>
            </w:r>
          </w:p>
        </w:tc>
        <w:tc>
          <w:tcPr>
            <w:tcW w:w="2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4A3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电动驱动，可移动，具备声光反馈功能</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CF5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545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D98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8A5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DB13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F51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C7D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战术掩体</w:t>
            </w:r>
          </w:p>
        </w:tc>
        <w:tc>
          <w:tcPr>
            <w:tcW w:w="2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FC2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模拟实战掩体，移动灵活，具备一定防护能力</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E2C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FBB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3E8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684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94BA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04C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27A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战术枪套</w:t>
            </w:r>
          </w:p>
        </w:tc>
        <w:tc>
          <w:tcPr>
            <w:tcW w:w="2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B6F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快速拔枪设计，具备防尘防水功能</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5A3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8C8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BB1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748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8512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D13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2D9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标识弹训练防护服</w:t>
            </w:r>
          </w:p>
        </w:tc>
        <w:tc>
          <w:tcPr>
            <w:tcW w:w="2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D26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专用防护服，用于标识对抗训练</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38F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A4C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065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B7E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5877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256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B82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靶纸</w:t>
            </w:r>
          </w:p>
        </w:tc>
        <w:tc>
          <w:tcPr>
            <w:tcW w:w="2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F1A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标准环数靶纸及人形靶标</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5EE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BDE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6D3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AC2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5DAA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828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44D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靶标</w:t>
            </w:r>
          </w:p>
        </w:tc>
        <w:tc>
          <w:tcPr>
            <w:tcW w:w="2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B64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标准环数靶纸及人形靶标</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78D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CEF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E27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AC7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05C0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B6A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374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橡胶训练枪</w:t>
            </w:r>
          </w:p>
        </w:tc>
        <w:tc>
          <w:tcPr>
            <w:tcW w:w="2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39D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 模拟真枪重量与尺寸，表面防滑处理</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9FD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385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C2E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B3B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A3DC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43D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155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可拆卸弹匣手枪模型</w:t>
            </w:r>
          </w:p>
        </w:tc>
        <w:tc>
          <w:tcPr>
            <w:tcW w:w="2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C34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塑料/橡胶材质，可模拟换弹匣动作</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1A0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A07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15E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2B1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E92A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59A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7FF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急救包</w:t>
            </w:r>
          </w:p>
        </w:tc>
        <w:tc>
          <w:tcPr>
            <w:tcW w:w="2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8EF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个人携带，轻便耐用</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15B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F8F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269</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5D2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BC1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A1EC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6B5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E94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催泪喷射器</w:t>
            </w:r>
          </w:p>
        </w:tc>
        <w:tc>
          <w:tcPr>
            <w:tcW w:w="2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D2A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符合警用标准，喷射距离远，安全锁止可靠</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DFE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53B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270</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593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592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0A33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949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619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新型多功能腰带</w:t>
            </w:r>
          </w:p>
        </w:tc>
        <w:tc>
          <w:tcPr>
            <w:tcW w:w="2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FF3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承重性强，模块化设计，含多种工具挂点</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A1A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1C4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FE5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5BA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4DEB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C0B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E2A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强光手电</w:t>
            </w:r>
          </w:p>
        </w:tc>
        <w:tc>
          <w:tcPr>
            <w:tcW w:w="2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B92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高亮度，防水防摔，续航时间长</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280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F22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225</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765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5DA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D415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FE7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6FB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破胎器</w:t>
            </w:r>
          </w:p>
        </w:tc>
        <w:tc>
          <w:tcPr>
            <w:tcW w:w="2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6E0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可展开式设计，钢刺锋利，用于拦截车辆</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E1D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AB7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3F7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4A5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E869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F09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DDD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反光马甲</w:t>
            </w:r>
          </w:p>
        </w:tc>
        <w:tc>
          <w:tcPr>
            <w:tcW w:w="2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99A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高亮度反光条，透气网眼材质，适合夏季穿着</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1B2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8D4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E0B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8CA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bl>
    <w:p w14:paraId="6E095F8E">
      <w:pPr>
        <w:snapToGrid w:val="0"/>
        <w:spacing w:line="360" w:lineRule="auto"/>
        <w:ind w:firstLine="0" w:firstLineChars="0"/>
        <w:jc w:val="center"/>
        <w:outlineLvl w:val="0"/>
        <w:rPr>
          <w:rFonts w:hint="eastAsia" w:ascii="宋体" w:hAnsi="宋体" w:eastAsia="宋体" w:cs="宋体"/>
          <w:b/>
          <w:color w:val="auto"/>
          <w:sz w:val="30"/>
          <w:szCs w:val="30"/>
          <w:highlight w:val="none"/>
          <w:lang w:eastAsia="zh-CN"/>
        </w:rPr>
      </w:pPr>
    </w:p>
    <w:p w14:paraId="3F05C0FC">
      <w:pPr>
        <w:snapToGrid w:val="0"/>
        <w:spacing w:line="360" w:lineRule="auto"/>
        <w:ind w:firstLine="0" w:firstLineChars="0"/>
        <w:jc w:val="center"/>
        <w:outlineLvl w:val="0"/>
        <w:rPr>
          <w:rFonts w:hint="eastAsia" w:ascii="宋体" w:hAnsi="宋体" w:eastAsia="宋体" w:cs="宋体"/>
          <w:b/>
          <w:color w:val="auto"/>
          <w:sz w:val="30"/>
          <w:szCs w:val="30"/>
          <w:highlight w:val="none"/>
          <w:lang w:eastAsia="zh-CN"/>
        </w:rPr>
      </w:pPr>
    </w:p>
    <w:p w14:paraId="4DD805C9">
      <w:pPr>
        <w:snapToGrid w:val="0"/>
        <w:spacing w:line="360" w:lineRule="auto"/>
        <w:ind w:firstLine="0" w:firstLineChars="0"/>
        <w:jc w:val="center"/>
        <w:outlineLvl w:val="0"/>
        <w:rPr>
          <w:rFonts w:hint="eastAsia" w:ascii="宋体" w:hAnsi="宋体" w:eastAsia="宋体" w:cs="宋体"/>
          <w:b/>
          <w:color w:val="auto"/>
          <w:sz w:val="30"/>
          <w:szCs w:val="30"/>
          <w:highlight w:val="none"/>
          <w:lang w:eastAsia="zh-CN"/>
        </w:rPr>
      </w:pPr>
    </w:p>
    <w:p w14:paraId="1B2B9F2F">
      <w:pPr>
        <w:snapToGrid w:val="0"/>
        <w:spacing w:line="360" w:lineRule="auto"/>
        <w:ind w:firstLine="0" w:firstLineChars="0"/>
        <w:jc w:val="center"/>
        <w:outlineLvl w:val="0"/>
        <w:rPr>
          <w:rFonts w:hint="eastAsia" w:ascii="宋体" w:hAnsi="宋体" w:eastAsia="宋体" w:cs="宋体"/>
          <w:b/>
          <w:color w:val="auto"/>
          <w:sz w:val="30"/>
          <w:szCs w:val="30"/>
          <w:highlight w:val="none"/>
          <w:lang w:eastAsia="zh-CN"/>
        </w:rPr>
      </w:pPr>
    </w:p>
    <w:p w14:paraId="2F68F49B">
      <w:pPr>
        <w:snapToGrid w:val="0"/>
        <w:spacing w:line="360" w:lineRule="auto"/>
        <w:ind w:firstLine="0" w:firstLineChars="0"/>
        <w:jc w:val="center"/>
        <w:outlineLvl w:val="0"/>
        <w:rPr>
          <w:rFonts w:hint="eastAsia" w:ascii="宋体" w:hAnsi="宋体" w:eastAsia="宋体" w:cs="宋体"/>
          <w:b/>
          <w:color w:val="auto"/>
          <w:sz w:val="30"/>
          <w:szCs w:val="30"/>
          <w:highlight w:val="none"/>
          <w:lang w:eastAsia="zh-CN"/>
        </w:rPr>
      </w:pPr>
    </w:p>
    <w:p w14:paraId="2D299B77">
      <w:pPr>
        <w:snapToGrid w:val="0"/>
        <w:spacing w:line="360" w:lineRule="auto"/>
        <w:ind w:firstLine="0" w:firstLineChars="0"/>
        <w:jc w:val="center"/>
        <w:outlineLvl w:val="0"/>
        <w:rPr>
          <w:rFonts w:hint="eastAsia" w:ascii="宋体" w:hAnsi="宋体" w:eastAsia="宋体" w:cs="宋体"/>
          <w:b/>
          <w:color w:val="auto"/>
          <w:sz w:val="30"/>
          <w:szCs w:val="30"/>
          <w:highlight w:val="none"/>
          <w:lang w:eastAsia="zh-CN"/>
        </w:rPr>
      </w:pPr>
    </w:p>
    <w:p w14:paraId="7CF0C2B1">
      <w:pPr>
        <w:snapToGrid w:val="0"/>
        <w:spacing w:line="360" w:lineRule="auto"/>
        <w:ind w:firstLine="0" w:firstLineChars="0"/>
        <w:jc w:val="center"/>
        <w:outlineLvl w:val="0"/>
        <w:rPr>
          <w:rFonts w:hint="eastAsia" w:ascii="宋体" w:hAnsi="宋体" w:eastAsia="宋体" w:cs="宋体"/>
          <w:b/>
          <w:color w:val="auto"/>
          <w:sz w:val="30"/>
          <w:szCs w:val="30"/>
          <w:highlight w:val="none"/>
          <w:lang w:eastAsia="zh-CN"/>
        </w:rPr>
      </w:pPr>
    </w:p>
    <w:p w14:paraId="3BCE37B7">
      <w:pPr>
        <w:snapToGrid w:val="0"/>
        <w:spacing w:line="360" w:lineRule="auto"/>
        <w:ind w:firstLine="0" w:firstLineChars="0"/>
        <w:jc w:val="center"/>
        <w:outlineLvl w:val="0"/>
        <w:rPr>
          <w:rFonts w:hint="eastAsia" w:ascii="宋体" w:hAnsi="宋体" w:eastAsia="宋体" w:cs="宋体"/>
          <w:b/>
          <w:color w:val="auto"/>
          <w:sz w:val="30"/>
          <w:szCs w:val="30"/>
          <w:highlight w:val="none"/>
          <w:lang w:eastAsia="zh-CN"/>
        </w:rPr>
      </w:pPr>
    </w:p>
    <w:p w14:paraId="67B9B9E1">
      <w:pPr>
        <w:pStyle w:val="3"/>
        <w:numPr>
          <w:ilvl w:val="-1"/>
          <w:numId w:val="0"/>
        </w:numPr>
        <w:spacing w:line="360" w:lineRule="auto"/>
        <w:jc w:val="center"/>
        <w:outlineLvl w:val="0"/>
        <w:rPr>
          <w:rFonts w:hint="eastAsia"/>
          <w:sz w:val="30"/>
          <w:szCs w:val="30"/>
          <w:highlight w:val="none"/>
        </w:rPr>
      </w:pPr>
      <w:bookmarkStart w:id="308" w:name="_Toc17967"/>
      <w:bookmarkStart w:id="309" w:name="_Toc31800"/>
      <w:bookmarkStart w:id="310" w:name="_Toc20389"/>
      <w:bookmarkStart w:id="311" w:name="_Toc14424"/>
      <w:bookmarkStart w:id="312" w:name="_Toc29067"/>
      <w:r>
        <w:rPr>
          <w:rFonts w:hint="eastAsia"/>
          <w:sz w:val="30"/>
          <w:szCs w:val="30"/>
          <w:highlight w:val="none"/>
        </w:rPr>
        <w:t>第六章</w:t>
      </w:r>
      <w:r>
        <w:rPr>
          <w:rFonts w:hint="eastAsia"/>
          <w:sz w:val="30"/>
          <w:szCs w:val="30"/>
          <w:highlight w:val="none"/>
          <w:lang w:val="en-US" w:eastAsia="zh-CN"/>
        </w:rPr>
        <w:t xml:space="preserve">  </w:t>
      </w:r>
      <w:r>
        <w:rPr>
          <w:rFonts w:hint="eastAsia"/>
          <w:sz w:val="30"/>
          <w:szCs w:val="30"/>
          <w:highlight w:val="none"/>
        </w:rPr>
        <w:t>投标文件格式</w:t>
      </w:r>
      <w:bookmarkEnd w:id="308"/>
      <w:bookmarkEnd w:id="309"/>
      <w:bookmarkEnd w:id="310"/>
      <w:bookmarkEnd w:id="311"/>
      <w:bookmarkEnd w:id="312"/>
      <w:bookmarkStart w:id="313" w:name="_Toc507399516"/>
    </w:p>
    <w:bookmarkEnd w:id="313"/>
    <w:p w14:paraId="7B0B6523">
      <w:pPr>
        <w:pStyle w:val="56"/>
        <w:spacing w:line="360" w:lineRule="auto"/>
        <w:ind w:left="5250"/>
        <w:jc w:val="center"/>
        <w:rPr>
          <w:rFonts w:hint="eastAsia" w:ascii="宋体" w:hAnsi="宋体" w:eastAsia="宋体" w:cs="宋体"/>
          <w:b/>
          <w:color w:val="auto"/>
          <w:sz w:val="24"/>
          <w:szCs w:val="24"/>
          <w:highlight w:val="none"/>
        </w:rPr>
      </w:pPr>
      <w:bookmarkStart w:id="314" w:name="_Toc507399517"/>
    </w:p>
    <w:p w14:paraId="71CE042B">
      <w:pPr>
        <w:pStyle w:val="2"/>
        <w:spacing w:line="360" w:lineRule="auto"/>
        <w:ind w:firstLine="452"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为保证评标工作的顺利进行，各投标人需参照如下的格式，认真进行投标文件的编</w:t>
      </w:r>
      <w:r>
        <w:rPr>
          <w:rFonts w:hint="eastAsia" w:ascii="宋体" w:hAnsi="宋体" w:eastAsia="宋体" w:cs="宋体"/>
          <w:color w:val="auto"/>
          <w:spacing w:val="-6"/>
          <w:sz w:val="24"/>
          <w:szCs w:val="24"/>
          <w:highlight w:val="none"/>
        </w:rPr>
        <w:t>写工作。</w:t>
      </w:r>
      <w:r>
        <w:rPr>
          <w:rFonts w:hint="eastAsia" w:ascii="宋体" w:hAnsi="宋体" w:eastAsia="宋体" w:cs="宋体"/>
          <w:color w:val="auto"/>
          <w:sz w:val="24"/>
          <w:szCs w:val="24"/>
          <w:highlight w:val="none"/>
          <w:u w:val="single"/>
        </w:rPr>
        <w:t>需建立详细的目录。</w:t>
      </w:r>
    </w:p>
    <w:p w14:paraId="0FB33D2C">
      <w:pPr>
        <w:pStyle w:val="2"/>
        <w:spacing w:line="360" w:lineRule="auto"/>
        <w:ind w:firstLine="456"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各投标人提交文件中涉及商业机密的，应明确标明，采购人及最终用户将给予保密</w:t>
      </w:r>
      <w:r>
        <w:rPr>
          <w:rFonts w:hint="eastAsia" w:ascii="宋体" w:hAnsi="宋体" w:eastAsia="宋体" w:cs="宋体"/>
          <w:color w:val="auto"/>
          <w:sz w:val="24"/>
          <w:szCs w:val="24"/>
          <w:highlight w:val="none"/>
        </w:rPr>
        <w:t>处理，否则视为公开资料。</w:t>
      </w:r>
    </w:p>
    <w:p w14:paraId="013D8CAC">
      <w:pPr>
        <w:pStyle w:val="56"/>
        <w:spacing w:before="0" w:after="0" w:line="360" w:lineRule="auto"/>
        <w:ind w:left="5250" w:firstLine="522" w:firstLineChars="200"/>
        <w:jc w:val="center"/>
        <w:rPr>
          <w:rFonts w:hint="eastAsia" w:ascii="宋体" w:hAnsi="宋体" w:eastAsia="宋体" w:cs="宋体"/>
          <w:b/>
          <w:color w:val="auto"/>
          <w:sz w:val="24"/>
          <w:szCs w:val="24"/>
          <w:highlight w:val="none"/>
        </w:rPr>
        <w:sectPr>
          <w:footerReference r:id="rId8" w:type="default"/>
          <w:type w:val="nextColumn"/>
          <w:pgSz w:w="11905" w:h="16838"/>
          <w:pgMar w:top="1247" w:right="1423" w:bottom="1247" w:left="1423" w:header="0" w:footer="907" w:gutter="0"/>
          <w:lnNumType w:countBy="0" w:distance="360"/>
          <w:pgNumType w:fmt="decimal"/>
          <w:cols w:space="0" w:num="1"/>
          <w:rtlGutter w:val="0"/>
          <w:docGrid w:linePitch="0" w:charSpace="0"/>
        </w:sectPr>
      </w:pPr>
    </w:p>
    <w:p w14:paraId="74EBA140">
      <w:pPr>
        <w:pStyle w:val="9"/>
        <w:numPr>
          <w:ilvl w:val="5"/>
          <w:numId w:val="0"/>
        </w:numPr>
        <w:spacing w:before="88" w:line="360" w:lineRule="auto"/>
        <w:ind w:left="360" w:leftChars="0" w:firstLine="0" w:firstLineChars="0"/>
        <w:outlineLvl w:val="1"/>
        <w:rPr>
          <w:rFonts w:hint="eastAsia" w:ascii="宋体" w:hAnsi="宋体" w:eastAsia="宋体" w:cs="宋体"/>
          <w:color w:val="auto"/>
          <w:sz w:val="24"/>
          <w:szCs w:val="24"/>
          <w:highlight w:val="none"/>
        </w:rPr>
      </w:pPr>
      <w:bookmarkStart w:id="315" w:name="_Toc10138"/>
      <w:r>
        <w:rPr>
          <w:rFonts w:hint="eastAsia" w:ascii="宋体" w:hAnsi="宋体" w:eastAsia="宋体" w:cs="宋体"/>
          <w:color w:val="auto"/>
          <w:sz w:val="24"/>
          <w:szCs w:val="24"/>
          <w:highlight w:val="none"/>
        </w:rPr>
        <w:t>封面格式</w:t>
      </w:r>
      <w:bookmarkEnd w:id="315"/>
    </w:p>
    <w:p w14:paraId="63922489">
      <w:pPr>
        <w:pStyle w:val="2"/>
        <w:spacing w:line="360" w:lineRule="auto"/>
        <w:jc w:val="right"/>
        <w:rPr>
          <w:rFonts w:hint="eastAsia" w:ascii="宋体" w:hAnsi="宋体" w:eastAsia="宋体" w:cs="宋体"/>
          <w:color w:val="auto"/>
          <w:sz w:val="36"/>
          <w:szCs w:val="48"/>
          <w:highlight w:val="none"/>
          <w:bdr w:val="single" w:color="auto" w:sz="4" w:space="0"/>
        </w:rPr>
      </w:pPr>
      <w:r>
        <w:rPr>
          <w:rFonts w:hint="eastAsia" w:ascii="宋体" w:hAnsi="宋体" w:eastAsia="宋体" w:cs="宋体"/>
          <w:color w:val="auto"/>
          <w:sz w:val="36"/>
          <w:szCs w:val="48"/>
          <w:highlight w:val="none"/>
          <w:bdr w:val="single" w:color="auto" w:sz="4" w:space="0"/>
        </w:rPr>
        <w:t>正本</w:t>
      </w:r>
    </w:p>
    <w:p w14:paraId="33F474B9">
      <w:pPr>
        <w:pStyle w:val="2"/>
        <w:spacing w:line="360" w:lineRule="auto"/>
        <w:rPr>
          <w:rFonts w:hint="eastAsia" w:ascii="宋体" w:hAnsi="宋体" w:eastAsia="宋体" w:cs="宋体"/>
          <w:color w:val="auto"/>
          <w:sz w:val="20"/>
          <w:szCs w:val="24"/>
          <w:highlight w:val="none"/>
        </w:rPr>
      </w:pPr>
    </w:p>
    <w:p w14:paraId="7D1661C5">
      <w:pPr>
        <w:pStyle w:val="2"/>
        <w:spacing w:line="360" w:lineRule="auto"/>
        <w:rPr>
          <w:rFonts w:hint="eastAsia" w:ascii="宋体" w:hAnsi="宋体" w:eastAsia="宋体" w:cs="宋体"/>
          <w:color w:val="auto"/>
          <w:sz w:val="20"/>
          <w:szCs w:val="24"/>
          <w:highlight w:val="none"/>
        </w:rPr>
      </w:pPr>
    </w:p>
    <w:p w14:paraId="51F46DC1">
      <w:pPr>
        <w:pStyle w:val="2"/>
        <w:spacing w:line="360" w:lineRule="auto"/>
        <w:rPr>
          <w:rFonts w:hint="eastAsia" w:ascii="宋体" w:hAnsi="宋体" w:eastAsia="宋体" w:cs="宋体"/>
          <w:color w:val="auto"/>
          <w:sz w:val="20"/>
          <w:szCs w:val="24"/>
          <w:highlight w:val="none"/>
        </w:rPr>
      </w:pPr>
    </w:p>
    <w:p w14:paraId="62BE00C9">
      <w:pPr>
        <w:pStyle w:val="2"/>
        <w:spacing w:line="360" w:lineRule="auto"/>
        <w:rPr>
          <w:rFonts w:hint="eastAsia" w:ascii="宋体" w:hAnsi="宋体" w:eastAsia="宋体" w:cs="宋体"/>
          <w:color w:val="auto"/>
          <w:sz w:val="20"/>
          <w:szCs w:val="24"/>
          <w:highlight w:val="none"/>
        </w:rPr>
      </w:pPr>
    </w:p>
    <w:p w14:paraId="0EE5A8D0">
      <w:pPr>
        <w:pStyle w:val="2"/>
        <w:spacing w:line="360" w:lineRule="auto"/>
        <w:rPr>
          <w:rFonts w:hint="eastAsia" w:ascii="宋体" w:hAnsi="宋体" w:eastAsia="宋体" w:cs="宋体"/>
          <w:color w:val="auto"/>
          <w:sz w:val="20"/>
          <w:szCs w:val="24"/>
          <w:highlight w:val="none"/>
        </w:rPr>
      </w:pPr>
    </w:p>
    <w:p w14:paraId="391D7B11">
      <w:pPr>
        <w:pStyle w:val="2"/>
        <w:spacing w:before="2" w:line="360" w:lineRule="auto"/>
        <w:rPr>
          <w:rFonts w:hint="eastAsia" w:ascii="宋体" w:hAnsi="宋体" w:eastAsia="宋体" w:cs="宋体"/>
          <w:color w:val="auto"/>
          <w:sz w:val="16"/>
          <w:szCs w:val="24"/>
          <w:highlight w:val="none"/>
        </w:rPr>
      </w:pPr>
    </w:p>
    <w:p w14:paraId="66FF427F">
      <w:pPr>
        <w:widowControl/>
        <w:adjustRightInd/>
        <w:spacing w:line="360" w:lineRule="auto"/>
        <w:ind w:right="165"/>
        <w:jc w:val="center"/>
        <w:outlineLvl w:val="0"/>
        <w:rPr>
          <w:rFonts w:hint="eastAsia" w:ascii="宋体" w:hAnsi="宋体" w:eastAsia="宋体" w:cs="宋体"/>
          <w:b/>
          <w:color w:val="auto"/>
          <w:kern w:val="2"/>
          <w:sz w:val="96"/>
          <w:szCs w:val="24"/>
          <w:highlight w:val="none"/>
        </w:rPr>
      </w:pPr>
      <w:bookmarkStart w:id="316" w:name="_Toc8623"/>
      <w:bookmarkStart w:id="317" w:name="_Toc21522"/>
      <w:bookmarkStart w:id="318" w:name="_Toc13611"/>
      <w:bookmarkStart w:id="319" w:name="_Toc25745"/>
      <w:bookmarkStart w:id="320" w:name="_Toc4804"/>
      <w:bookmarkStart w:id="321" w:name="_Toc13737"/>
      <w:bookmarkStart w:id="322" w:name="_Toc17085"/>
      <w:r>
        <w:rPr>
          <w:rFonts w:hint="eastAsia" w:ascii="宋体" w:hAnsi="宋体" w:eastAsia="宋体" w:cs="宋体"/>
          <w:b/>
          <w:color w:val="auto"/>
          <w:kern w:val="2"/>
          <w:sz w:val="72"/>
          <w:szCs w:val="72"/>
          <w:highlight w:val="none"/>
        </w:rPr>
        <w:t>投标文件</w:t>
      </w:r>
      <w:bookmarkEnd w:id="316"/>
      <w:bookmarkEnd w:id="317"/>
      <w:bookmarkEnd w:id="318"/>
      <w:bookmarkEnd w:id="319"/>
      <w:bookmarkEnd w:id="320"/>
      <w:bookmarkEnd w:id="321"/>
      <w:bookmarkEnd w:id="322"/>
    </w:p>
    <w:p w14:paraId="66A68F43">
      <w:pPr>
        <w:widowControl/>
        <w:adjustRightInd/>
        <w:spacing w:before="684" w:line="360" w:lineRule="auto"/>
        <w:ind w:right="156"/>
        <w:jc w:val="center"/>
        <w:rPr>
          <w:rFonts w:hint="eastAsia" w:ascii="宋体" w:hAnsi="宋体" w:eastAsia="宋体" w:cs="宋体"/>
          <w:b/>
          <w:color w:val="auto"/>
          <w:kern w:val="2"/>
          <w:sz w:val="52"/>
          <w:szCs w:val="24"/>
          <w:highlight w:val="none"/>
        </w:rPr>
      </w:pPr>
    </w:p>
    <w:p w14:paraId="6DF08AAD">
      <w:pPr>
        <w:pStyle w:val="2"/>
        <w:spacing w:before="8" w:line="360" w:lineRule="auto"/>
        <w:rPr>
          <w:rFonts w:hint="eastAsia" w:ascii="宋体" w:hAnsi="宋体" w:eastAsia="宋体" w:cs="宋体"/>
          <w:b/>
          <w:color w:val="auto"/>
          <w:sz w:val="73"/>
          <w:szCs w:val="24"/>
          <w:highlight w:val="none"/>
        </w:rPr>
      </w:pPr>
    </w:p>
    <w:p w14:paraId="1E02D3D0">
      <w:pPr>
        <w:pStyle w:val="6"/>
        <w:numPr>
          <w:ilvl w:val="0"/>
          <w:numId w:val="0"/>
        </w:numPr>
        <w:tabs>
          <w:tab w:val="left" w:pos="7306"/>
        </w:tabs>
        <w:spacing w:before="0" w:line="360" w:lineRule="auto"/>
        <w:ind w:left="1389" w:firstLine="0"/>
        <w:jc w:val="both"/>
        <w:rPr>
          <w:rFonts w:hint="eastAsia" w:ascii="宋体" w:hAnsi="宋体" w:eastAsia="宋体" w:cs="宋体"/>
          <w:color w:val="auto"/>
          <w:sz w:val="32"/>
          <w:szCs w:val="32"/>
          <w:highlight w:val="none"/>
        </w:rPr>
      </w:pPr>
      <w:bookmarkStart w:id="323" w:name="_Toc28656"/>
      <w:r>
        <w:rPr>
          <w:rFonts w:hint="eastAsia" w:ascii="宋体" w:hAnsi="宋体" w:eastAsia="宋体" w:cs="宋体"/>
          <w:color w:val="auto"/>
          <w:sz w:val="32"/>
          <w:szCs w:val="32"/>
          <w:highlight w:val="none"/>
        </w:rPr>
        <w:t>招标编号</w:t>
      </w:r>
      <w:r>
        <w:rPr>
          <w:rFonts w:hint="eastAsia" w:ascii="宋体" w:hAnsi="宋体" w:eastAsia="宋体" w:cs="宋体"/>
          <w:color w:val="auto"/>
          <w:spacing w:val="3"/>
          <w:sz w:val="32"/>
          <w:szCs w:val="32"/>
          <w:highlight w:val="none"/>
        </w:rPr>
        <w:t>：</w:t>
      </w:r>
      <w:bookmarkEnd w:id="323"/>
    </w:p>
    <w:p w14:paraId="085E9D3A">
      <w:pPr>
        <w:pStyle w:val="6"/>
        <w:numPr>
          <w:ilvl w:val="0"/>
          <w:numId w:val="0"/>
        </w:numPr>
        <w:tabs>
          <w:tab w:val="left" w:pos="8536"/>
        </w:tabs>
        <w:spacing w:before="0" w:line="360" w:lineRule="auto"/>
        <w:ind w:left="1389" w:firstLine="0"/>
        <w:jc w:val="both"/>
        <w:rPr>
          <w:rFonts w:hint="eastAsia" w:ascii="宋体" w:hAnsi="宋体" w:eastAsia="宋体" w:cs="宋体"/>
          <w:color w:val="auto"/>
          <w:spacing w:val="3"/>
          <w:sz w:val="32"/>
          <w:szCs w:val="32"/>
          <w:highlight w:val="none"/>
        </w:rPr>
      </w:pPr>
      <w:bookmarkStart w:id="324" w:name="_Toc31772"/>
      <w:r>
        <w:rPr>
          <w:rFonts w:hint="eastAsia" w:ascii="宋体" w:hAnsi="宋体" w:eastAsia="宋体" w:cs="宋体"/>
          <w:color w:val="auto"/>
          <w:sz w:val="32"/>
          <w:szCs w:val="32"/>
          <w:highlight w:val="none"/>
        </w:rPr>
        <w:t>项目名称</w:t>
      </w:r>
      <w:r>
        <w:rPr>
          <w:rFonts w:hint="eastAsia" w:ascii="宋体" w:hAnsi="宋体" w:eastAsia="宋体" w:cs="宋体"/>
          <w:color w:val="auto"/>
          <w:spacing w:val="3"/>
          <w:sz w:val="32"/>
          <w:szCs w:val="32"/>
          <w:highlight w:val="none"/>
        </w:rPr>
        <w:t>：</w:t>
      </w:r>
      <w:bookmarkEnd w:id="324"/>
    </w:p>
    <w:p w14:paraId="145E283C">
      <w:pPr>
        <w:pStyle w:val="6"/>
        <w:numPr>
          <w:ilvl w:val="0"/>
          <w:numId w:val="0"/>
        </w:numPr>
        <w:tabs>
          <w:tab w:val="left" w:pos="7787"/>
        </w:tabs>
        <w:spacing w:before="0" w:line="360" w:lineRule="auto"/>
        <w:ind w:left="1389" w:firstLine="0"/>
        <w:jc w:val="both"/>
        <w:rPr>
          <w:rFonts w:hint="eastAsia" w:ascii="宋体" w:hAnsi="宋体" w:eastAsia="宋体" w:cs="宋体"/>
          <w:color w:val="auto"/>
          <w:sz w:val="32"/>
          <w:szCs w:val="32"/>
          <w:highlight w:val="none"/>
        </w:rPr>
      </w:pPr>
      <w:bookmarkStart w:id="325" w:name="_Toc11645"/>
      <w:r>
        <w:rPr>
          <w:rFonts w:hint="eastAsia" w:ascii="宋体" w:hAnsi="宋体" w:eastAsia="宋体" w:cs="宋体"/>
          <w:color w:val="auto"/>
          <w:sz w:val="32"/>
          <w:szCs w:val="32"/>
          <w:highlight w:val="none"/>
        </w:rPr>
        <w:t>投标人名称（</w:t>
      </w:r>
      <w:r>
        <w:rPr>
          <w:rFonts w:hint="eastAsia" w:ascii="宋体" w:hAnsi="宋体" w:eastAsia="宋体" w:cs="宋体"/>
          <w:color w:val="auto"/>
          <w:sz w:val="32"/>
          <w:szCs w:val="32"/>
          <w:highlight w:val="none"/>
          <w:lang w:eastAsia="zh-CN"/>
        </w:rPr>
        <w:t>盖</w:t>
      </w:r>
      <w:r>
        <w:rPr>
          <w:rFonts w:hint="eastAsia" w:ascii="宋体" w:hAnsi="宋体" w:eastAsia="宋体" w:cs="宋体"/>
          <w:color w:val="auto"/>
          <w:sz w:val="32"/>
          <w:szCs w:val="32"/>
          <w:highlight w:val="none"/>
        </w:rPr>
        <w:t>章）</w:t>
      </w:r>
      <w:r>
        <w:rPr>
          <w:rFonts w:hint="eastAsia" w:ascii="宋体" w:hAnsi="宋体" w:eastAsia="宋体" w:cs="宋体"/>
          <w:color w:val="auto"/>
          <w:spacing w:val="3"/>
          <w:sz w:val="32"/>
          <w:szCs w:val="32"/>
          <w:highlight w:val="none"/>
        </w:rPr>
        <w:t>：</w:t>
      </w:r>
      <w:bookmarkEnd w:id="325"/>
    </w:p>
    <w:p w14:paraId="3071DB39">
      <w:pPr>
        <w:pStyle w:val="9"/>
        <w:numPr>
          <w:ilvl w:val="5"/>
          <w:numId w:val="0"/>
        </w:numPr>
        <w:tabs>
          <w:tab w:val="left" w:pos="9453"/>
        </w:tabs>
        <w:adjustRightInd w:val="0"/>
        <w:snapToGrid w:val="0"/>
        <w:spacing w:before="0" w:line="360" w:lineRule="auto"/>
        <w:ind w:left="0" w:leftChars="0" w:firstLine="964" w:firstLineChars="3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 xml:space="preserve"> </w:t>
      </w:r>
      <w:r>
        <w:rPr>
          <w:rFonts w:hint="eastAsia" w:ascii="宋体" w:hAnsi="宋体" w:eastAsia="宋体" w:cs="宋体"/>
          <w:color w:val="auto"/>
          <w:sz w:val="32"/>
          <w:szCs w:val="32"/>
          <w:highlight w:val="none"/>
          <w:lang w:val="en-US" w:eastAsia="zh-CN"/>
        </w:rPr>
        <w:t xml:space="preserve"> </w:t>
      </w:r>
      <w:r>
        <w:rPr>
          <w:rFonts w:hint="eastAsia" w:ascii="宋体" w:hAnsi="宋体" w:eastAsia="宋体" w:cs="宋体"/>
          <w:color w:val="auto"/>
          <w:sz w:val="32"/>
          <w:szCs w:val="32"/>
          <w:highlight w:val="none"/>
        </w:rPr>
        <w:t>法定代表人或其授权代表</w:t>
      </w:r>
      <w:r>
        <w:rPr>
          <w:rFonts w:hint="eastAsia" w:ascii="宋体" w:hAnsi="宋体" w:eastAsia="宋体" w:cs="宋体"/>
          <w:color w:val="auto"/>
          <w:sz w:val="32"/>
          <w:szCs w:val="32"/>
          <w:highlight w:val="none"/>
          <w:lang w:eastAsia="zh-CN"/>
        </w:rPr>
        <w:t>（</w:t>
      </w:r>
      <w:r>
        <w:rPr>
          <w:rFonts w:hint="eastAsia" w:ascii="宋体" w:hAnsi="宋体" w:eastAsia="宋体" w:cs="宋体"/>
          <w:color w:val="auto"/>
          <w:sz w:val="32"/>
          <w:szCs w:val="32"/>
          <w:highlight w:val="none"/>
        </w:rPr>
        <w:t>签字或盖章）：</w:t>
      </w:r>
    </w:p>
    <w:p w14:paraId="53700B3C">
      <w:pPr>
        <w:pStyle w:val="2"/>
        <w:adjustRightInd w:val="0"/>
        <w:snapToGrid w:val="0"/>
        <w:spacing w:line="360" w:lineRule="auto"/>
        <w:rPr>
          <w:rFonts w:hint="eastAsia" w:ascii="宋体" w:hAnsi="宋体" w:eastAsia="宋体" w:cs="宋体"/>
          <w:color w:val="auto"/>
          <w:sz w:val="32"/>
          <w:szCs w:val="32"/>
          <w:highlight w:val="none"/>
        </w:rPr>
      </w:pPr>
    </w:p>
    <w:p w14:paraId="22182AB0">
      <w:pPr>
        <w:pStyle w:val="2"/>
        <w:adjustRightInd w:val="0"/>
        <w:snapToGrid w:val="0"/>
        <w:spacing w:line="360" w:lineRule="auto"/>
        <w:rPr>
          <w:rFonts w:hint="eastAsia" w:ascii="宋体" w:hAnsi="宋体" w:eastAsia="宋体" w:cs="宋体"/>
          <w:color w:val="auto"/>
          <w:sz w:val="20"/>
          <w:szCs w:val="24"/>
          <w:highlight w:val="none"/>
        </w:rPr>
      </w:pPr>
    </w:p>
    <w:p w14:paraId="5F182D2C">
      <w:pPr>
        <w:pStyle w:val="2"/>
        <w:adjustRightInd w:val="0"/>
        <w:snapToGrid w:val="0"/>
        <w:spacing w:line="360" w:lineRule="auto"/>
        <w:rPr>
          <w:rFonts w:hint="eastAsia" w:ascii="宋体" w:hAnsi="宋体" w:eastAsia="宋体" w:cs="宋体"/>
          <w:color w:val="auto"/>
          <w:sz w:val="20"/>
          <w:szCs w:val="24"/>
          <w:highlight w:val="none"/>
        </w:rPr>
      </w:pPr>
    </w:p>
    <w:p w14:paraId="67764FD0">
      <w:pPr>
        <w:pStyle w:val="2"/>
        <w:adjustRightInd w:val="0"/>
        <w:snapToGrid w:val="0"/>
        <w:spacing w:line="360" w:lineRule="auto"/>
        <w:rPr>
          <w:rFonts w:hint="eastAsia" w:ascii="宋体" w:hAnsi="宋体" w:eastAsia="宋体" w:cs="宋体"/>
          <w:color w:val="auto"/>
          <w:sz w:val="20"/>
          <w:szCs w:val="24"/>
          <w:highlight w:val="none"/>
        </w:rPr>
      </w:pPr>
    </w:p>
    <w:p w14:paraId="78971D26">
      <w:pPr>
        <w:pStyle w:val="25"/>
        <w:adjustRightInd w:val="0"/>
        <w:spacing w:line="360" w:lineRule="auto"/>
        <w:jc w:val="center"/>
        <w:outlineLvl w:val="0"/>
        <w:rPr>
          <w:rFonts w:hint="default" w:ascii="宋体" w:hAnsi="宋体" w:eastAsia="宋体" w:cs="宋体"/>
          <w:color w:val="auto"/>
          <w:sz w:val="28"/>
          <w:szCs w:val="28"/>
          <w:highlight w:val="none"/>
          <w:lang w:val="en-US" w:eastAsia="zh-CN"/>
        </w:rPr>
      </w:pPr>
      <w:bookmarkStart w:id="326" w:name="_Toc31285"/>
      <w:bookmarkStart w:id="327" w:name="_Toc21672"/>
      <w:bookmarkStart w:id="328" w:name="_Toc6685"/>
      <w:bookmarkStart w:id="329" w:name="_Toc10143"/>
      <w:bookmarkStart w:id="330" w:name="_Toc32508"/>
      <w:bookmarkStart w:id="331" w:name="_Toc20449"/>
      <w:bookmarkStart w:id="332" w:name="_Toc8454"/>
      <w:r>
        <w:rPr>
          <w:rFonts w:hint="eastAsia" w:ascii="宋体" w:hAnsi="宋体" w:eastAsia="宋体" w:cs="宋体"/>
          <w:color w:val="auto"/>
          <w:sz w:val="28"/>
          <w:szCs w:val="28"/>
          <w:highlight w:val="none"/>
        </w:rPr>
        <w:t>年   月</w:t>
      </w:r>
      <w:bookmarkEnd w:id="326"/>
      <w:bookmarkEnd w:id="327"/>
      <w:bookmarkEnd w:id="328"/>
      <w:bookmarkEnd w:id="329"/>
      <w:bookmarkEnd w:id="330"/>
      <w:bookmarkEnd w:id="331"/>
      <w:bookmarkEnd w:id="332"/>
      <w:r>
        <w:rPr>
          <w:rFonts w:hint="eastAsia" w:hAnsi="宋体" w:cs="宋体"/>
          <w:color w:val="auto"/>
          <w:sz w:val="28"/>
          <w:szCs w:val="28"/>
          <w:highlight w:val="none"/>
          <w:lang w:val="en-US" w:eastAsia="zh-CN"/>
        </w:rPr>
        <w:t xml:space="preserve">   日</w:t>
      </w:r>
    </w:p>
    <w:p w14:paraId="071747F6">
      <w:pPr>
        <w:pStyle w:val="56"/>
        <w:adjustRightInd w:val="0"/>
        <w:snapToGrid w:val="0"/>
        <w:spacing w:before="0" w:after="0" w:line="360" w:lineRule="auto"/>
        <w:ind w:left="5250"/>
        <w:jc w:val="both"/>
        <w:rPr>
          <w:rFonts w:hint="eastAsia" w:ascii="宋体" w:hAnsi="宋体" w:eastAsia="宋体" w:cs="宋体"/>
          <w:b/>
          <w:color w:val="auto"/>
          <w:sz w:val="24"/>
          <w:szCs w:val="24"/>
          <w:highlight w:val="none"/>
          <w:lang w:val="en-US" w:eastAsia="zh-CN"/>
        </w:rPr>
        <w:sectPr>
          <w:pgSz w:w="11905" w:h="16838"/>
          <w:pgMar w:top="1247" w:right="1423" w:bottom="1247" w:left="1423" w:header="0" w:footer="907" w:gutter="0"/>
          <w:lnNumType w:countBy="0" w:distance="360"/>
          <w:pgNumType w:fmt="decimal"/>
          <w:cols w:space="0" w:num="1"/>
          <w:rtlGutter w:val="0"/>
          <w:docGrid w:linePitch="0" w:charSpace="0"/>
        </w:sectPr>
      </w:pPr>
      <w:r>
        <w:rPr>
          <w:rFonts w:hint="eastAsia" w:ascii="宋体" w:hAnsi="宋体" w:cs="宋体"/>
          <w:b/>
          <w:color w:val="auto"/>
          <w:sz w:val="24"/>
          <w:szCs w:val="24"/>
          <w:highlight w:val="none"/>
          <w:lang w:val="en-US" w:eastAsia="zh-CN"/>
        </w:rPr>
        <w:t xml:space="preserve"> </w:t>
      </w:r>
    </w:p>
    <w:p w14:paraId="0C4F105E">
      <w:pPr>
        <w:widowControl/>
        <w:adjustRightInd/>
        <w:spacing w:before="91" w:line="360" w:lineRule="auto"/>
        <w:ind w:left="360"/>
        <w:jc w:val="center"/>
        <w:outlineLvl w:val="0"/>
        <w:rPr>
          <w:rFonts w:hint="eastAsia" w:ascii="宋体" w:hAnsi="宋体" w:eastAsia="宋体" w:cs="宋体"/>
          <w:b/>
          <w:color w:val="auto"/>
          <w:kern w:val="2"/>
          <w:sz w:val="24"/>
          <w:szCs w:val="24"/>
          <w:highlight w:val="none"/>
        </w:rPr>
      </w:pPr>
      <w:bookmarkStart w:id="333" w:name="_Toc31589"/>
      <w:bookmarkStart w:id="334" w:name="_Toc7830"/>
      <w:bookmarkStart w:id="335" w:name="_Toc15136"/>
      <w:bookmarkStart w:id="336" w:name="_Toc31082"/>
      <w:bookmarkStart w:id="337" w:name="_Toc21908"/>
      <w:bookmarkStart w:id="338" w:name="_Toc30669"/>
      <w:bookmarkStart w:id="339" w:name="_Toc24522"/>
      <w:r>
        <w:rPr>
          <w:rFonts w:hint="eastAsia" w:ascii="宋体" w:hAnsi="宋体" w:eastAsia="宋体" w:cs="宋体"/>
          <w:b/>
          <w:color w:val="auto"/>
          <w:kern w:val="2"/>
          <w:sz w:val="24"/>
          <w:szCs w:val="24"/>
          <w:highlight w:val="none"/>
        </w:rPr>
        <w:t>投标文件目录及索引</w:t>
      </w:r>
      <w:bookmarkEnd w:id="333"/>
      <w:bookmarkEnd w:id="334"/>
      <w:bookmarkEnd w:id="335"/>
      <w:bookmarkEnd w:id="336"/>
      <w:bookmarkEnd w:id="337"/>
      <w:bookmarkEnd w:id="338"/>
      <w:bookmarkEnd w:id="339"/>
    </w:p>
    <w:p w14:paraId="63982DFA">
      <w:pPr>
        <w:pStyle w:val="2"/>
        <w:spacing w:before="9" w:line="360" w:lineRule="auto"/>
        <w:rPr>
          <w:rFonts w:hint="default" w:ascii="宋体" w:hAnsi="宋体" w:eastAsia="宋体" w:cs="宋体"/>
          <w:b/>
          <w:color w:val="auto"/>
          <w:sz w:val="24"/>
          <w:szCs w:val="24"/>
          <w:highlight w:val="none"/>
          <w:lang w:val="en-US" w:eastAsia="zh-CN"/>
        </w:rPr>
      </w:pPr>
      <w:r>
        <w:rPr>
          <w:rFonts w:hint="eastAsia" w:hAnsi="宋体" w:cs="宋体"/>
          <w:b/>
          <w:color w:val="auto"/>
          <w:sz w:val="24"/>
          <w:szCs w:val="24"/>
          <w:highlight w:val="none"/>
          <w:lang w:val="en-US" w:eastAsia="zh-CN"/>
        </w:rPr>
        <w:t>格式自拟</w:t>
      </w:r>
    </w:p>
    <w:p w14:paraId="497C069C">
      <w:pPr>
        <w:widowControl/>
        <w:adjustRightInd/>
        <w:spacing w:before="1" w:line="360" w:lineRule="auto"/>
        <w:ind w:left="360" w:right="728" w:rightChars="214"/>
        <w:jc w:val="left"/>
        <w:rPr>
          <w:rFonts w:hint="eastAsia" w:ascii="宋体" w:hAnsi="宋体" w:eastAsia="宋体" w:cs="宋体"/>
          <w:color w:val="auto"/>
          <w:kern w:val="2"/>
          <w:sz w:val="24"/>
          <w:szCs w:val="24"/>
          <w:highlight w:val="none"/>
        </w:rPr>
      </w:pPr>
      <w:r>
        <w:rPr>
          <w:rFonts w:hint="eastAsia" w:ascii="宋体" w:hAnsi="宋体" w:eastAsia="宋体" w:cs="宋体"/>
          <w:b/>
          <w:color w:val="auto"/>
          <w:kern w:val="2"/>
          <w:sz w:val="24"/>
          <w:szCs w:val="24"/>
          <w:highlight w:val="none"/>
        </w:rPr>
        <w:t>注：</w:t>
      </w:r>
      <w:r>
        <w:rPr>
          <w:rFonts w:hint="eastAsia" w:ascii="宋体" w:hAnsi="宋体" w:eastAsia="宋体" w:cs="宋体"/>
          <w:color w:val="auto"/>
          <w:spacing w:val="-1"/>
          <w:kern w:val="2"/>
          <w:sz w:val="24"/>
          <w:szCs w:val="24"/>
          <w:highlight w:val="none"/>
        </w:rPr>
        <w:t>该目录为方便评标委员会查找相关证明文件及评审条件，应尽可能的详细、清晰，投标人可根据</w:t>
      </w:r>
      <w:r>
        <w:rPr>
          <w:rFonts w:hint="eastAsia" w:ascii="宋体" w:hAnsi="宋体" w:eastAsia="宋体" w:cs="宋体"/>
          <w:color w:val="auto"/>
          <w:spacing w:val="-3"/>
          <w:kern w:val="2"/>
          <w:sz w:val="24"/>
          <w:szCs w:val="24"/>
          <w:highlight w:val="none"/>
        </w:rPr>
        <w:t>自身情况补充完善</w:t>
      </w:r>
      <w:r>
        <w:rPr>
          <w:rFonts w:hint="eastAsia" w:ascii="宋体" w:hAnsi="宋体" w:eastAsia="宋体" w:cs="宋体"/>
          <w:color w:val="auto"/>
          <w:spacing w:val="-7"/>
          <w:kern w:val="2"/>
          <w:sz w:val="24"/>
          <w:szCs w:val="24"/>
          <w:highlight w:val="none"/>
        </w:rPr>
        <w:t>。</w:t>
      </w:r>
    </w:p>
    <w:p w14:paraId="5400FBCC">
      <w:pPr>
        <w:pStyle w:val="5"/>
        <w:tabs>
          <w:tab w:val="left" w:pos="682"/>
        </w:tabs>
        <w:autoSpaceDE w:val="0"/>
        <w:autoSpaceDN w:val="0"/>
        <w:spacing w:before="2" w:line="360" w:lineRule="auto"/>
        <w:ind w:right="519" w:firstLine="0" w:firstLineChars="0"/>
        <w:rPr>
          <w:rFonts w:hint="eastAsia" w:ascii="宋体" w:hAnsi="宋体" w:eastAsia="宋体" w:cs="宋体"/>
          <w:color w:val="auto"/>
          <w:spacing w:val="-7"/>
          <w:sz w:val="24"/>
          <w:szCs w:val="24"/>
          <w:highlight w:val="none"/>
        </w:rPr>
      </w:pPr>
    </w:p>
    <w:p w14:paraId="676536D3">
      <w:pPr>
        <w:pStyle w:val="56"/>
        <w:spacing w:line="360" w:lineRule="auto"/>
        <w:ind w:left="5250"/>
        <w:jc w:val="center"/>
        <w:rPr>
          <w:rFonts w:hint="eastAsia" w:ascii="宋体" w:hAnsi="宋体" w:eastAsia="宋体" w:cs="宋体"/>
          <w:b/>
          <w:color w:val="auto"/>
          <w:sz w:val="24"/>
          <w:szCs w:val="24"/>
          <w:highlight w:val="none"/>
        </w:rPr>
        <w:sectPr>
          <w:pgSz w:w="11905" w:h="16838"/>
          <w:pgMar w:top="1247" w:right="1423" w:bottom="1247" w:left="1423" w:header="0" w:footer="907" w:gutter="0"/>
          <w:lnNumType w:countBy="0" w:distance="360"/>
          <w:pgNumType w:fmt="decimal"/>
          <w:cols w:space="0" w:num="1"/>
          <w:rtlGutter w:val="0"/>
          <w:docGrid w:linePitch="0" w:charSpace="0"/>
        </w:sectPr>
      </w:pPr>
    </w:p>
    <w:p w14:paraId="039A301B">
      <w:pPr>
        <w:pStyle w:val="56"/>
        <w:spacing w:line="360" w:lineRule="auto"/>
        <w:ind w:left="0" w:leftChars="0" w:hanging="9" w:firstLineChars="0"/>
        <w:jc w:val="center"/>
        <w:outlineLvl w:val="1"/>
        <w:rPr>
          <w:rFonts w:hint="eastAsia" w:ascii="宋体" w:hAnsi="宋体" w:eastAsia="宋体" w:cs="宋体"/>
          <w:b/>
          <w:color w:val="auto"/>
          <w:sz w:val="24"/>
          <w:szCs w:val="24"/>
          <w:highlight w:val="none"/>
        </w:rPr>
      </w:pPr>
      <w:bookmarkStart w:id="340" w:name="_Toc6410"/>
      <w:r>
        <w:rPr>
          <w:rFonts w:hint="eastAsia" w:ascii="宋体" w:hAnsi="宋体" w:eastAsia="宋体" w:cs="宋体"/>
          <w:b/>
          <w:color w:val="auto"/>
          <w:sz w:val="24"/>
          <w:szCs w:val="24"/>
          <w:highlight w:val="none"/>
        </w:rPr>
        <w:t xml:space="preserve">1  </w:t>
      </w:r>
      <w:r>
        <w:rPr>
          <w:rFonts w:hint="eastAsia" w:ascii="宋体" w:hAnsi="宋体" w:cs="宋体"/>
          <w:b/>
          <w:color w:val="auto"/>
          <w:sz w:val="24"/>
          <w:szCs w:val="24"/>
          <w:highlight w:val="none"/>
          <w:lang w:val="en-US" w:eastAsia="zh-CN"/>
        </w:rPr>
        <w:t>开标</w:t>
      </w:r>
      <w:r>
        <w:rPr>
          <w:rFonts w:hint="eastAsia" w:ascii="宋体" w:hAnsi="宋体" w:eastAsia="宋体" w:cs="宋体"/>
          <w:b/>
          <w:color w:val="auto"/>
          <w:sz w:val="24"/>
          <w:szCs w:val="24"/>
          <w:highlight w:val="none"/>
        </w:rPr>
        <w:t>一览表</w:t>
      </w:r>
      <w:bookmarkEnd w:id="314"/>
      <w:bookmarkEnd w:id="340"/>
    </w:p>
    <w:p w14:paraId="65F7F260">
      <w:pPr>
        <w:pStyle w:val="56"/>
        <w:spacing w:line="360" w:lineRule="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项目名称：</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rPr>
        <w:tab/>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 xml:space="preserve">  </w:t>
      </w:r>
    </w:p>
    <w:p w14:paraId="45D8A6B8">
      <w:pPr>
        <w:widowControl/>
        <w:tabs>
          <w:tab w:val="left" w:pos="2986"/>
          <w:tab w:val="left" w:pos="5974"/>
        </w:tabs>
        <w:adjustRightInd/>
        <w:spacing w:after="18" w:line="360" w:lineRule="auto"/>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项目编</w:t>
      </w:r>
      <w:r>
        <w:rPr>
          <w:rFonts w:hint="eastAsia" w:ascii="宋体" w:hAnsi="宋体" w:eastAsia="宋体" w:cs="宋体"/>
          <w:color w:val="auto"/>
          <w:spacing w:val="-3"/>
          <w:kern w:val="2"/>
          <w:sz w:val="24"/>
          <w:szCs w:val="24"/>
          <w:highlight w:val="none"/>
        </w:rPr>
        <w:t>号</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rPr>
        <w:tab/>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 xml:space="preserve">                   </w:t>
      </w:r>
      <w:r>
        <w:rPr>
          <w:rFonts w:hint="eastAsia" w:ascii="宋体" w:hAnsi="宋体" w:eastAsia="宋体" w:cs="宋体"/>
          <w:color w:val="auto"/>
          <w:spacing w:val="-3"/>
          <w:kern w:val="2"/>
          <w:sz w:val="24"/>
          <w:szCs w:val="24"/>
          <w:highlight w:val="none"/>
        </w:rPr>
        <w:t>报价单位：</w:t>
      </w:r>
      <w:r>
        <w:rPr>
          <w:rFonts w:hint="eastAsia" w:ascii="宋体" w:hAnsi="宋体" w:eastAsia="宋体" w:cs="宋体"/>
          <w:color w:val="auto"/>
          <w:kern w:val="2"/>
          <w:sz w:val="24"/>
          <w:szCs w:val="24"/>
          <w:highlight w:val="none"/>
        </w:rPr>
        <w:t>人</w:t>
      </w:r>
      <w:r>
        <w:rPr>
          <w:rFonts w:hint="eastAsia" w:ascii="宋体" w:hAnsi="宋体" w:eastAsia="宋体" w:cs="宋体"/>
          <w:color w:val="auto"/>
          <w:spacing w:val="-3"/>
          <w:kern w:val="2"/>
          <w:sz w:val="24"/>
          <w:szCs w:val="24"/>
          <w:highlight w:val="none"/>
        </w:rPr>
        <w:t>民</w:t>
      </w:r>
      <w:r>
        <w:rPr>
          <w:rFonts w:hint="eastAsia" w:ascii="宋体" w:hAnsi="宋体" w:eastAsia="宋体" w:cs="宋体"/>
          <w:color w:val="auto"/>
          <w:kern w:val="2"/>
          <w:sz w:val="24"/>
          <w:szCs w:val="24"/>
          <w:highlight w:val="none"/>
        </w:rPr>
        <w:t>币元</w:t>
      </w:r>
    </w:p>
    <w:tbl>
      <w:tblPr>
        <w:tblStyle w:val="35"/>
        <w:tblW w:w="4998" w:type="pct"/>
        <w:tblInd w:w="0" w:type="dxa"/>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Layout w:type="autofit"/>
        <w:tblCellMar>
          <w:top w:w="0" w:type="dxa"/>
          <w:left w:w="0" w:type="dxa"/>
          <w:bottom w:w="0" w:type="dxa"/>
          <w:right w:w="0" w:type="dxa"/>
        </w:tblCellMar>
      </w:tblPr>
      <w:tblGrid>
        <w:gridCol w:w="2288"/>
        <w:gridCol w:w="27"/>
        <w:gridCol w:w="2694"/>
        <w:gridCol w:w="2332"/>
        <w:gridCol w:w="2327"/>
      </w:tblGrid>
      <w:tr w14:paraId="3A70B70E">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543" w:hRule="atLeast"/>
        </w:trPr>
        <w:tc>
          <w:tcPr>
            <w:tcW w:w="1197" w:type="pct"/>
            <w:gridSpan w:val="2"/>
            <w:tcBorders>
              <w:top w:val="double" w:color="000000" w:sz="2" w:space="0"/>
              <w:left w:val="double" w:color="000000" w:sz="2" w:space="0"/>
              <w:bottom w:val="single" w:color="000000" w:sz="6" w:space="0"/>
              <w:right w:val="single" w:color="000000" w:sz="6" w:space="0"/>
              <w:tl2br w:val="nil"/>
              <w:tr2bl w:val="nil"/>
            </w:tcBorders>
            <w:noWrap w:val="0"/>
            <w:vAlign w:val="center"/>
          </w:tcPr>
          <w:p w14:paraId="21170D3A">
            <w:pPr>
              <w:pStyle w:val="73"/>
              <w:autoSpaceDE w:val="0"/>
              <w:autoSpaceDN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kern w:val="2"/>
                <w:sz w:val="24"/>
                <w:szCs w:val="24"/>
                <w:highlight w:val="none"/>
                <w:lang w:val="en-US" w:eastAsia="zh-CN"/>
              </w:rPr>
              <w:t>项</w:t>
            </w:r>
            <w:r>
              <w:rPr>
                <w:rFonts w:hint="eastAsia" w:ascii="宋体" w:hAnsi="宋体" w:eastAsia="宋体" w:cs="宋体"/>
                <w:kern w:val="2"/>
                <w:sz w:val="24"/>
                <w:szCs w:val="24"/>
                <w:highlight w:val="none"/>
              </w:rPr>
              <w:t>目</w:t>
            </w:r>
            <w:r>
              <w:rPr>
                <w:rFonts w:hint="eastAsia" w:ascii="宋体" w:hAnsi="宋体" w:eastAsia="宋体" w:cs="宋体"/>
                <w:sz w:val="24"/>
                <w:szCs w:val="24"/>
                <w:highlight w:val="none"/>
              </w:rPr>
              <w:t>名称</w:t>
            </w:r>
          </w:p>
        </w:tc>
        <w:tc>
          <w:tcPr>
            <w:tcW w:w="1393" w:type="pct"/>
            <w:tcBorders>
              <w:top w:val="double" w:color="000000" w:sz="2" w:space="0"/>
              <w:left w:val="single" w:color="000000" w:sz="6" w:space="0"/>
              <w:bottom w:val="single" w:color="000000" w:sz="6" w:space="0"/>
              <w:right w:val="single" w:color="000000" w:sz="6" w:space="0"/>
              <w:tl2br w:val="nil"/>
              <w:tr2bl w:val="nil"/>
            </w:tcBorders>
            <w:noWrap w:val="0"/>
            <w:vAlign w:val="center"/>
          </w:tcPr>
          <w:p w14:paraId="59F5B661">
            <w:pPr>
              <w:pStyle w:val="73"/>
              <w:autoSpaceDE w:val="0"/>
              <w:autoSpaceDN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rPr>
              <w:t>质保期</w:t>
            </w:r>
          </w:p>
        </w:tc>
        <w:tc>
          <w:tcPr>
            <w:tcW w:w="1206" w:type="pct"/>
            <w:tcBorders>
              <w:top w:val="double" w:color="000000" w:sz="2" w:space="0"/>
              <w:left w:val="single" w:color="000000" w:sz="6" w:space="0"/>
              <w:bottom w:val="single" w:color="000000" w:sz="6" w:space="0"/>
              <w:right w:val="single" w:color="000000" w:sz="6" w:space="0"/>
              <w:tl2br w:val="nil"/>
              <w:tr2bl w:val="nil"/>
            </w:tcBorders>
            <w:noWrap w:val="0"/>
            <w:vAlign w:val="center"/>
          </w:tcPr>
          <w:p w14:paraId="6705EAF5">
            <w:pPr>
              <w:pStyle w:val="73"/>
              <w:autoSpaceDE w:val="0"/>
              <w:autoSpaceDN w:val="0"/>
              <w:snapToGrid w:val="0"/>
              <w:spacing w:line="360" w:lineRule="auto"/>
              <w:jc w:val="center"/>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供货</w:t>
            </w:r>
            <w:r>
              <w:rPr>
                <w:rFonts w:hint="eastAsia" w:ascii="宋体" w:hAnsi="宋体" w:eastAsia="宋体" w:cs="宋体"/>
                <w:sz w:val="24"/>
                <w:szCs w:val="24"/>
                <w:highlight w:val="none"/>
                <w:lang w:val="en-US"/>
              </w:rPr>
              <w:t>期</w:t>
            </w:r>
          </w:p>
        </w:tc>
        <w:tc>
          <w:tcPr>
            <w:tcW w:w="1203" w:type="pct"/>
            <w:tcBorders>
              <w:top w:val="double" w:color="000000" w:sz="2" w:space="0"/>
              <w:left w:val="single" w:color="000000" w:sz="6" w:space="0"/>
              <w:bottom w:val="single" w:color="000000" w:sz="6" w:space="0"/>
              <w:right w:val="double" w:color="000000" w:sz="2" w:space="0"/>
              <w:tl2br w:val="nil"/>
              <w:tr2bl w:val="nil"/>
            </w:tcBorders>
            <w:noWrap w:val="0"/>
            <w:vAlign w:val="center"/>
          </w:tcPr>
          <w:p w14:paraId="421E54E8">
            <w:pPr>
              <w:pStyle w:val="73"/>
              <w:autoSpaceDE w:val="0"/>
              <w:autoSpaceDN w:val="0"/>
              <w:snapToGrid w:val="0"/>
              <w:spacing w:line="360" w:lineRule="auto"/>
              <w:jc w:val="center"/>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备注</w:t>
            </w:r>
          </w:p>
        </w:tc>
      </w:tr>
      <w:tr w14:paraId="5D94C50A">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1336" w:hRule="atLeast"/>
        </w:trPr>
        <w:tc>
          <w:tcPr>
            <w:tcW w:w="1197" w:type="pct"/>
            <w:gridSpan w:val="2"/>
            <w:tcBorders>
              <w:top w:val="single" w:color="000000" w:sz="6" w:space="0"/>
              <w:left w:val="double" w:color="000000" w:sz="2" w:space="0"/>
              <w:bottom w:val="single" w:color="000000" w:sz="6" w:space="0"/>
              <w:right w:val="single" w:color="000000" w:sz="6" w:space="0"/>
              <w:tl2br w:val="nil"/>
              <w:tr2bl w:val="nil"/>
            </w:tcBorders>
            <w:noWrap w:val="0"/>
            <w:vAlign w:val="top"/>
          </w:tcPr>
          <w:p w14:paraId="643D4155">
            <w:pPr>
              <w:pStyle w:val="73"/>
              <w:spacing w:line="360" w:lineRule="auto"/>
              <w:rPr>
                <w:rFonts w:hint="eastAsia" w:ascii="宋体" w:hAnsi="宋体" w:eastAsia="宋体" w:cs="宋体"/>
                <w:sz w:val="24"/>
                <w:szCs w:val="24"/>
                <w:highlight w:val="none"/>
              </w:rPr>
            </w:pPr>
          </w:p>
        </w:tc>
        <w:tc>
          <w:tcPr>
            <w:tcW w:w="1393"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577DF1E4">
            <w:pPr>
              <w:pStyle w:val="73"/>
              <w:spacing w:line="360" w:lineRule="auto"/>
              <w:rPr>
                <w:rFonts w:hint="eastAsia" w:ascii="宋体" w:hAnsi="宋体" w:eastAsia="宋体" w:cs="宋体"/>
                <w:sz w:val="24"/>
                <w:szCs w:val="24"/>
                <w:highlight w:val="none"/>
              </w:rPr>
            </w:pPr>
          </w:p>
        </w:tc>
        <w:tc>
          <w:tcPr>
            <w:tcW w:w="1206"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4BFDFDB2">
            <w:pPr>
              <w:pStyle w:val="73"/>
              <w:spacing w:before="5" w:line="360" w:lineRule="auto"/>
              <w:ind w:left="8"/>
              <w:jc w:val="center"/>
              <w:rPr>
                <w:rFonts w:hint="eastAsia" w:ascii="宋体" w:hAnsi="宋体" w:eastAsia="宋体" w:cs="宋体"/>
                <w:sz w:val="24"/>
                <w:szCs w:val="24"/>
                <w:highlight w:val="none"/>
              </w:rPr>
            </w:pPr>
          </w:p>
        </w:tc>
        <w:tc>
          <w:tcPr>
            <w:tcW w:w="1203" w:type="pct"/>
            <w:tcBorders>
              <w:top w:val="single" w:color="000000" w:sz="6" w:space="0"/>
              <w:left w:val="single" w:color="000000" w:sz="6" w:space="0"/>
              <w:bottom w:val="single" w:color="000000" w:sz="6" w:space="0"/>
              <w:right w:val="double" w:color="000000" w:sz="2" w:space="0"/>
              <w:tl2br w:val="nil"/>
              <w:tr2bl w:val="nil"/>
            </w:tcBorders>
            <w:noWrap w:val="0"/>
            <w:vAlign w:val="top"/>
          </w:tcPr>
          <w:p w14:paraId="6EA139E2">
            <w:pPr>
              <w:pStyle w:val="73"/>
              <w:spacing w:line="360" w:lineRule="auto"/>
              <w:rPr>
                <w:rFonts w:hint="eastAsia" w:ascii="宋体" w:hAnsi="宋体" w:eastAsia="宋体" w:cs="宋体"/>
                <w:sz w:val="24"/>
                <w:szCs w:val="24"/>
                <w:highlight w:val="none"/>
              </w:rPr>
            </w:pPr>
          </w:p>
        </w:tc>
      </w:tr>
      <w:tr w14:paraId="51ADC6B3">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553" w:hRule="atLeast"/>
        </w:trPr>
        <w:tc>
          <w:tcPr>
            <w:tcW w:w="1183" w:type="pct"/>
            <w:tcBorders>
              <w:top w:val="single" w:color="000000" w:sz="6" w:space="0"/>
              <w:left w:val="double" w:color="000000" w:sz="2" w:space="0"/>
              <w:bottom w:val="single" w:color="000000" w:sz="6" w:space="0"/>
              <w:right w:val="single" w:color="000000" w:sz="6" w:space="0"/>
              <w:tl2br w:val="nil"/>
              <w:tr2bl w:val="nil"/>
            </w:tcBorders>
            <w:noWrap w:val="0"/>
            <w:vAlign w:val="top"/>
          </w:tcPr>
          <w:p w14:paraId="0266C524">
            <w:pPr>
              <w:pStyle w:val="73"/>
              <w:spacing w:before="142" w:line="360" w:lineRule="auto"/>
              <w:ind w:left="92"/>
              <w:rPr>
                <w:rFonts w:hint="eastAsia" w:ascii="宋体" w:hAnsi="宋体" w:eastAsia="宋体" w:cs="宋体"/>
                <w:sz w:val="24"/>
                <w:szCs w:val="24"/>
                <w:highlight w:val="none"/>
              </w:rPr>
            </w:pPr>
            <w:r>
              <w:rPr>
                <w:rFonts w:hint="eastAsia" w:ascii="宋体" w:hAnsi="宋体" w:eastAsia="宋体" w:cs="宋体"/>
                <w:sz w:val="24"/>
                <w:szCs w:val="24"/>
                <w:highlight w:val="none"/>
                <w:lang w:val="en-US"/>
              </w:rPr>
              <w:t>投标</w:t>
            </w:r>
            <w:r>
              <w:rPr>
                <w:rFonts w:hint="eastAsia" w:ascii="宋体" w:hAnsi="宋体" w:eastAsia="宋体" w:cs="宋体"/>
                <w:sz w:val="24"/>
                <w:szCs w:val="24"/>
                <w:highlight w:val="none"/>
              </w:rPr>
              <w:t>总价：</w:t>
            </w:r>
          </w:p>
        </w:tc>
        <w:tc>
          <w:tcPr>
            <w:tcW w:w="3816" w:type="pct"/>
            <w:gridSpan w:val="4"/>
            <w:tcBorders>
              <w:top w:val="single" w:color="000000" w:sz="6" w:space="0"/>
              <w:left w:val="single" w:color="000000" w:sz="6" w:space="0"/>
              <w:bottom w:val="single" w:color="000000" w:sz="6" w:space="0"/>
              <w:right w:val="double" w:color="000000" w:sz="2" w:space="0"/>
              <w:tl2br w:val="nil"/>
              <w:tr2bl w:val="nil"/>
            </w:tcBorders>
            <w:noWrap w:val="0"/>
            <w:vAlign w:val="top"/>
          </w:tcPr>
          <w:p w14:paraId="5CB187EA">
            <w:pPr>
              <w:pStyle w:val="73"/>
              <w:tabs>
                <w:tab w:val="left" w:pos="1837"/>
                <w:tab w:val="left" w:pos="2313"/>
                <w:tab w:val="left" w:pos="4040"/>
              </w:tabs>
              <w:spacing w:before="142" w:line="360" w:lineRule="auto"/>
              <w:ind w:left="107"/>
              <w:rPr>
                <w:rFonts w:hint="eastAsia" w:ascii="宋体" w:hAnsi="宋体" w:eastAsia="宋体" w:cs="宋体"/>
                <w:sz w:val="24"/>
                <w:szCs w:val="24"/>
                <w:highlight w:val="none"/>
              </w:rPr>
            </w:pPr>
            <w:r>
              <w:rPr>
                <w:rFonts w:hint="eastAsia" w:ascii="宋体" w:hAnsi="宋体" w:eastAsia="宋体" w:cs="宋体"/>
                <w:sz w:val="24"/>
                <w:szCs w:val="24"/>
                <w:highlight w:val="none"/>
              </w:rPr>
              <w:t>大写</w:t>
            </w:r>
            <w:r>
              <w:rPr>
                <w:rFonts w:hint="eastAsia" w:ascii="宋体" w:hAnsi="宋体" w:eastAsia="宋体" w:cs="宋体"/>
                <w:spacing w:val="-3"/>
                <w:sz w:val="24"/>
                <w:szCs w:val="24"/>
                <w:highlight w:val="none"/>
              </w:rPr>
              <w:t>：</w:t>
            </w:r>
            <w:r>
              <w:rPr>
                <w:rFonts w:hint="eastAsia" w:ascii="宋体" w:hAnsi="宋体" w:eastAsia="宋体" w:cs="宋体"/>
                <w:spacing w:val="-3"/>
                <w:sz w:val="24"/>
                <w:szCs w:val="24"/>
                <w:highlight w:val="none"/>
                <w:u w:val="single"/>
              </w:rPr>
              <w:t xml:space="preserve"> </w:t>
            </w:r>
            <w:r>
              <w:rPr>
                <w:rFonts w:hint="eastAsia" w:ascii="宋体" w:hAnsi="宋体" w:eastAsia="宋体" w:cs="宋体"/>
                <w:spacing w:val="-3"/>
                <w:sz w:val="24"/>
                <w:szCs w:val="24"/>
                <w:highlight w:val="none"/>
                <w:u w:val="single"/>
              </w:rPr>
              <w:tab/>
            </w:r>
            <w:r>
              <w:rPr>
                <w:rFonts w:hint="eastAsia" w:ascii="宋体" w:hAnsi="宋体" w:eastAsia="宋体" w:cs="宋体"/>
                <w:spacing w:val="-3"/>
                <w:sz w:val="24"/>
                <w:szCs w:val="24"/>
                <w:highlight w:val="none"/>
              </w:rPr>
              <w:tab/>
            </w:r>
            <w:r>
              <w:rPr>
                <w:rFonts w:hint="eastAsia" w:ascii="宋体" w:hAnsi="宋体" w:eastAsia="宋体" w:cs="宋体"/>
                <w:spacing w:val="-3"/>
                <w:sz w:val="24"/>
                <w:szCs w:val="24"/>
                <w:highlight w:val="none"/>
              </w:rPr>
              <w:t>小</w:t>
            </w:r>
            <w:r>
              <w:rPr>
                <w:rFonts w:hint="eastAsia" w:ascii="宋体" w:hAnsi="宋体" w:eastAsia="宋体" w:cs="宋体"/>
                <w:spacing w:val="-1"/>
                <w:sz w:val="24"/>
                <w:szCs w:val="24"/>
                <w:highlight w:val="none"/>
              </w:rPr>
              <w:t>写</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rPr>
              <w:tab/>
            </w:r>
          </w:p>
        </w:tc>
      </w:tr>
      <w:tr w14:paraId="42C9E5F8">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553" w:hRule="atLeast"/>
        </w:trPr>
        <w:tc>
          <w:tcPr>
            <w:tcW w:w="1183" w:type="pct"/>
            <w:tcBorders>
              <w:top w:val="single" w:color="000000" w:sz="6" w:space="0"/>
              <w:left w:val="double" w:color="000000" w:sz="2" w:space="0"/>
              <w:bottom w:val="double" w:color="000000" w:sz="2" w:space="0"/>
              <w:right w:val="single" w:color="000000" w:sz="6" w:space="0"/>
              <w:tl2br w:val="nil"/>
              <w:tr2bl w:val="nil"/>
            </w:tcBorders>
            <w:noWrap w:val="0"/>
            <w:vAlign w:val="top"/>
          </w:tcPr>
          <w:p w14:paraId="7427DCA4">
            <w:pPr>
              <w:pStyle w:val="73"/>
              <w:spacing w:before="142" w:line="360" w:lineRule="auto"/>
              <w:ind w:left="92"/>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备注：</w:t>
            </w:r>
          </w:p>
        </w:tc>
        <w:tc>
          <w:tcPr>
            <w:tcW w:w="3816" w:type="pct"/>
            <w:gridSpan w:val="4"/>
            <w:tcBorders>
              <w:top w:val="single" w:color="000000" w:sz="6" w:space="0"/>
              <w:left w:val="single" w:color="000000" w:sz="6" w:space="0"/>
              <w:bottom w:val="double" w:color="000000" w:sz="2" w:space="0"/>
              <w:right w:val="double" w:color="000000" w:sz="2" w:space="0"/>
              <w:tl2br w:val="nil"/>
              <w:tr2bl w:val="nil"/>
            </w:tcBorders>
            <w:noWrap w:val="0"/>
            <w:vAlign w:val="top"/>
          </w:tcPr>
          <w:p w14:paraId="61C52068">
            <w:pPr>
              <w:pStyle w:val="73"/>
              <w:tabs>
                <w:tab w:val="left" w:pos="1837"/>
                <w:tab w:val="left" w:pos="2313"/>
                <w:tab w:val="left" w:pos="4040"/>
              </w:tabs>
              <w:spacing w:before="142" w:line="360" w:lineRule="auto"/>
              <w:ind w:left="107"/>
              <w:rPr>
                <w:rFonts w:hint="eastAsia" w:ascii="宋体" w:hAnsi="宋体" w:eastAsia="宋体" w:cs="宋体"/>
                <w:sz w:val="24"/>
                <w:szCs w:val="24"/>
                <w:highlight w:val="none"/>
              </w:rPr>
            </w:pPr>
          </w:p>
        </w:tc>
      </w:tr>
    </w:tbl>
    <w:p w14:paraId="04623766">
      <w:pPr>
        <w:pStyle w:val="2"/>
        <w:spacing w:line="360" w:lineRule="auto"/>
        <w:rPr>
          <w:rFonts w:hint="eastAsia" w:ascii="宋体" w:hAnsi="宋体" w:eastAsia="宋体" w:cs="宋体"/>
          <w:color w:val="auto"/>
          <w:sz w:val="24"/>
          <w:szCs w:val="24"/>
          <w:highlight w:val="none"/>
        </w:rPr>
      </w:pPr>
    </w:p>
    <w:p w14:paraId="171BDAB4">
      <w:pPr>
        <w:pStyle w:val="2"/>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 1：本表中的总价应与分项报价表中的相应报价完全一致。</w:t>
      </w:r>
    </w:p>
    <w:p w14:paraId="476C6780">
      <w:pPr>
        <w:pStyle w:val="2"/>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2：此表中，总价应是所投货物和服务的费用总和，包括本项目采购需求和采购合同中要求的全部内容。</w:t>
      </w:r>
    </w:p>
    <w:p w14:paraId="5A7BE76A">
      <w:pPr>
        <w:pStyle w:val="2"/>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3：如有优惠折扣申明，请在此表中列出。</w:t>
      </w:r>
    </w:p>
    <w:p w14:paraId="0B2A7DE0">
      <w:pPr>
        <w:pStyle w:val="2"/>
        <w:spacing w:line="360" w:lineRule="auto"/>
        <w:rPr>
          <w:rFonts w:hint="eastAsia" w:ascii="宋体" w:hAnsi="宋体" w:eastAsia="宋体" w:cs="宋体"/>
          <w:color w:val="auto"/>
          <w:sz w:val="24"/>
          <w:szCs w:val="24"/>
          <w:highlight w:val="none"/>
        </w:rPr>
      </w:pPr>
    </w:p>
    <w:p w14:paraId="6DBAA2AB">
      <w:pPr>
        <w:pStyle w:val="2"/>
        <w:spacing w:before="11" w:line="360" w:lineRule="auto"/>
        <w:rPr>
          <w:rFonts w:hint="eastAsia" w:ascii="宋体" w:hAnsi="宋体" w:eastAsia="宋体" w:cs="宋体"/>
          <w:color w:val="auto"/>
          <w:sz w:val="24"/>
          <w:szCs w:val="24"/>
          <w:highlight w:val="none"/>
        </w:rPr>
      </w:pPr>
    </w:p>
    <w:p w14:paraId="45BF4D26">
      <w:pPr>
        <w:pStyle w:val="2"/>
        <w:tabs>
          <w:tab w:val="left" w:pos="1920"/>
          <w:tab w:val="left" w:pos="3840"/>
        </w:tabs>
        <w:spacing w:line="360" w:lineRule="auto"/>
        <w:ind w:left="3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eastAsia="zh-CN"/>
        </w:rPr>
        <w:t>盖章</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rPr>
        <w:tab/>
      </w:r>
    </w:p>
    <w:p w14:paraId="7B5BF9F9">
      <w:pPr>
        <w:pStyle w:val="2"/>
        <w:tabs>
          <w:tab w:val="left" w:pos="1560"/>
          <w:tab w:val="left" w:pos="2160"/>
          <w:tab w:val="left" w:pos="4320"/>
          <w:tab w:val="left" w:pos="6841"/>
        </w:tabs>
        <w:spacing w:before="161" w:line="360" w:lineRule="auto"/>
        <w:ind w:left="360" w:right="3062"/>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法定代表人或其授权代理人：</w:t>
      </w:r>
      <w:r>
        <w:rPr>
          <w:rFonts w:hint="eastAsia" w:ascii="宋体" w:hAnsi="宋体" w:eastAsia="宋体" w:cs="宋体"/>
          <w:color w:val="auto"/>
          <w:sz w:val="24"/>
          <w:szCs w:val="24"/>
          <w:highlight w:val="none"/>
          <w:u w:val="single"/>
        </w:rPr>
        <w:t xml:space="preserve"> （签字或盖章）</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w:t>
      </w:r>
    </w:p>
    <w:p w14:paraId="6EF9D6F5">
      <w:pPr>
        <w:pStyle w:val="2"/>
        <w:tabs>
          <w:tab w:val="left" w:pos="1560"/>
          <w:tab w:val="left" w:pos="2160"/>
          <w:tab w:val="left" w:pos="4320"/>
          <w:tab w:val="left" w:pos="6841"/>
        </w:tabs>
        <w:spacing w:before="161" w:line="360" w:lineRule="auto"/>
        <w:ind w:left="360" w:right="306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w:t>
      </w:r>
      <w:r>
        <w:rPr>
          <w:rFonts w:hint="eastAsia"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w:t>
      </w:r>
    </w:p>
    <w:p w14:paraId="2D6388F4">
      <w:pPr>
        <w:rPr>
          <w:rFonts w:hint="eastAsia" w:ascii="宋体" w:hAnsi="宋体" w:eastAsia="宋体" w:cs="宋体"/>
          <w:color w:val="auto"/>
          <w:spacing w:val="-5"/>
          <w:sz w:val="24"/>
          <w:szCs w:val="24"/>
          <w:highlight w:val="none"/>
        </w:rPr>
      </w:pPr>
      <w:r>
        <w:rPr>
          <w:rFonts w:hint="eastAsia" w:ascii="宋体" w:hAnsi="宋体" w:eastAsia="宋体" w:cs="宋体"/>
          <w:color w:val="auto"/>
          <w:sz w:val="24"/>
          <w:szCs w:val="24"/>
          <w:highlight w:val="none"/>
        </w:rPr>
        <w:br w:type="page"/>
      </w:r>
    </w:p>
    <w:p w14:paraId="5D953751">
      <w:pPr>
        <w:pStyle w:val="56"/>
        <w:spacing w:before="0" w:after="0" w:line="240" w:lineRule="auto"/>
        <w:ind w:left="0"/>
        <w:jc w:val="left"/>
        <w:outlineLvl w:val="1"/>
        <w:rPr>
          <w:rFonts w:hint="default" w:ascii="宋体" w:hAnsi="宋体" w:eastAsia="宋体" w:cs="宋体"/>
          <w:b/>
          <w:color w:val="auto"/>
          <w:spacing w:val="0"/>
          <w:kern w:val="2"/>
          <w:sz w:val="24"/>
          <w:szCs w:val="24"/>
          <w:highlight w:val="none"/>
          <w:lang w:val="en-US" w:eastAsia="zh-CN" w:bidi="ar-SA"/>
        </w:rPr>
      </w:pPr>
      <w:r>
        <w:rPr>
          <w:rFonts w:hint="eastAsia" w:ascii="宋体" w:hAnsi="宋体" w:eastAsia="宋体" w:cs="宋体"/>
          <w:b/>
          <w:color w:val="auto"/>
          <w:spacing w:val="0"/>
          <w:kern w:val="2"/>
          <w:sz w:val="24"/>
          <w:szCs w:val="24"/>
          <w:highlight w:val="none"/>
          <w:lang w:val="en-US" w:eastAsia="zh-CN" w:bidi="ar-SA"/>
        </w:rPr>
        <w:t>附件1-1</w:t>
      </w:r>
    </w:p>
    <w:p w14:paraId="5DC35F44">
      <w:pPr>
        <w:pStyle w:val="56"/>
        <w:spacing w:line="360" w:lineRule="auto"/>
        <w:ind w:left="567"/>
        <w:jc w:val="center"/>
        <w:outlineLvl w:val="1"/>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分项报价表</w:t>
      </w:r>
    </w:p>
    <w:p w14:paraId="789AC61C">
      <w:pPr>
        <w:spacing w:before="47" w:line="360" w:lineRule="auto"/>
        <w:rPr>
          <w:rFonts w:hint="eastAsia"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项目名称：</w:t>
      </w:r>
    </w:p>
    <w:p w14:paraId="5F9014C6">
      <w:pPr>
        <w:spacing w:before="47" w:line="360" w:lineRule="auto"/>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项目编号：</w:t>
      </w:r>
    </w:p>
    <w:p w14:paraId="2C467AF1">
      <w:pPr>
        <w:spacing w:line="360" w:lineRule="auto"/>
        <w:rPr>
          <w:rFonts w:hint="eastAsia" w:ascii="宋体" w:hAnsi="宋体" w:eastAsia="宋体" w:cs="宋体"/>
          <w:color w:val="auto"/>
          <w:sz w:val="24"/>
          <w:szCs w:val="24"/>
          <w:highlight w:val="none"/>
        </w:rPr>
        <w:sectPr>
          <w:pgSz w:w="11906" w:h="16838"/>
          <w:pgMar w:top="1431" w:right="955" w:bottom="1171" w:left="1295" w:header="0" w:footer="959" w:gutter="0"/>
          <w:pgNumType w:fmt="decimal"/>
          <w:cols w:space="425" w:num="1"/>
        </w:sectPr>
      </w:pPr>
    </w:p>
    <w:tbl>
      <w:tblPr>
        <w:tblStyle w:val="35"/>
        <w:tblW w:w="479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7"/>
        <w:gridCol w:w="1737"/>
        <w:gridCol w:w="1297"/>
        <w:gridCol w:w="839"/>
        <w:gridCol w:w="967"/>
        <w:gridCol w:w="1280"/>
        <w:gridCol w:w="1467"/>
        <w:gridCol w:w="1138"/>
      </w:tblGrid>
      <w:tr w14:paraId="4CD85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390" w:type="pct"/>
            <w:noWrap w:val="0"/>
            <w:vAlign w:val="center"/>
          </w:tcPr>
          <w:p w14:paraId="28824E22">
            <w:pPr>
              <w:pStyle w:val="20"/>
              <w:spacing w:line="36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序号</w:t>
            </w:r>
          </w:p>
        </w:tc>
        <w:tc>
          <w:tcPr>
            <w:tcW w:w="918" w:type="pct"/>
            <w:noWrap w:val="0"/>
            <w:vAlign w:val="center"/>
          </w:tcPr>
          <w:p w14:paraId="49A7DFD7">
            <w:pPr>
              <w:pStyle w:val="20"/>
              <w:spacing w:line="360" w:lineRule="auto"/>
              <w:jc w:val="center"/>
              <w:rPr>
                <w:rFonts w:hint="eastAsia"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项目</w:t>
            </w:r>
            <w:r>
              <w:rPr>
                <w:rFonts w:hint="eastAsia" w:ascii="宋体" w:hAnsi="宋体" w:eastAsia="宋体" w:cs="宋体"/>
                <w:color w:val="auto"/>
                <w:sz w:val="24"/>
                <w:szCs w:val="24"/>
                <w:highlight w:val="none"/>
                <w:lang w:val="en-US" w:eastAsia="zh-CN"/>
              </w:rPr>
              <w:t>名称</w:t>
            </w:r>
          </w:p>
        </w:tc>
        <w:tc>
          <w:tcPr>
            <w:tcW w:w="685" w:type="pct"/>
            <w:noWrap w:val="0"/>
            <w:vAlign w:val="center"/>
          </w:tcPr>
          <w:p w14:paraId="6426F4F7">
            <w:pPr>
              <w:pStyle w:val="20"/>
              <w:spacing w:line="360" w:lineRule="auto"/>
              <w:jc w:val="center"/>
              <w:rPr>
                <w:rFonts w:hint="eastAsia" w:ascii="宋体" w:hAnsi="宋体" w:eastAsia="宋体" w:cs="宋体"/>
                <w:color w:val="auto"/>
                <w:sz w:val="24"/>
                <w:szCs w:val="24"/>
                <w:highlight w:val="none"/>
                <w:lang w:val="en-US" w:eastAsia="zh-CN"/>
              </w:rPr>
            </w:pPr>
            <w:r>
              <w:rPr>
                <w:rFonts w:hint="eastAsia" w:hAnsi="宋体" w:cs="宋体"/>
                <w:color w:val="auto"/>
                <w:sz w:val="24"/>
                <w:szCs w:val="24"/>
                <w:highlight w:val="none"/>
                <w:shd w:val="clear" w:color="auto" w:fill="auto"/>
                <w:lang w:val="en-US" w:eastAsia="zh-CN"/>
              </w:rPr>
              <w:t>技术参数</w:t>
            </w:r>
          </w:p>
        </w:tc>
        <w:tc>
          <w:tcPr>
            <w:tcW w:w="443" w:type="pct"/>
            <w:noWrap w:val="0"/>
            <w:vAlign w:val="center"/>
          </w:tcPr>
          <w:p w14:paraId="5AF48F03">
            <w:pPr>
              <w:pStyle w:val="20"/>
              <w:spacing w:line="360" w:lineRule="auto"/>
              <w:jc w:val="center"/>
              <w:rPr>
                <w:rFonts w:hint="eastAsia"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单位</w:t>
            </w:r>
          </w:p>
        </w:tc>
        <w:tc>
          <w:tcPr>
            <w:tcW w:w="511" w:type="pct"/>
            <w:noWrap w:val="0"/>
            <w:vAlign w:val="center"/>
          </w:tcPr>
          <w:p w14:paraId="3BA55C3D">
            <w:pPr>
              <w:pStyle w:val="20"/>
              <w:spacing w:line="360" w:lineRule="auto"/>
              <w:jc w:val="center"/>
              <w:rPr>
                <w:rFonts w:hint="eastAsia"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数量</w:t>
            </w:r>
          </w:p>
        </w:tc>
        <w:tc>
          <w:tcPr>
            <w:tcW w:w="674" w:type="pct"/>
            <w:noWrap w:val="0"/>
            <w:vAlign w:val="center"/>
          </w:tcPr>
          <w:p w14:paraId="46C8F32A">
            <w:pPr>
              <w:pStyle w:val="20"/>
              <w:spacing w:line="360" w:lineRule="auto"/>
              <w:jc w:val="center"/>
              <w:rPr>
                <w:rFonts w:hint="eastAsia"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单价（元）</w:t>
            </w:r>
          </w:p>
        </w:tc>
        <w:tc>
          <w:tcPr>
            <w:tcW w:w="775" w:type="pct"/>
            <w:noWrap w:val="0"/>
            <w:vAlign w:val="center"/>
          </w:tcPr>
          <w:p w14:paraId="6E1F4B54">
            <w:pPr>
              <w:pStyle w:val="20"/>
              <w:spacing w:line="360" w:lineRule="auto"/>
              <w:jc w:val="center"/>
              <w:rPr>
                <w:rFonts w:hint="default"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总价（元）</w:t>
            </w:r>
          </w:p>
        </w:tc>
        <w:tc>
          <w:tcPr>
            <w:tcW w:w="601" w:type="pct"/>
            <w:noWrap w:val="0"/>
            <w:vAlign w:val="center"/>
          </w:tcPr>
          <w:p w14:paraId="0A751717">
            <w:pPr>
              <w:pStyle w:val="20"/>
              <w:spacing w:line="360" w:lineRule="auto"/>
              <w:jc w:val="center"/>
              <w:rPr>
                <w:rFonts w:hint="default"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备注</w:t>
            </w:r>
          </w:p>
        </w:tc>
      </w:tr>
      <w:tr w14:paraId="272B1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390" w:type="pct"/>
            <w:noWrap w:val="0"/>
            <w:vAlign w:val="center"/>
          </w:tcPr>
          <w:p w14:paraId="6D9B553B">
            <w:pPr>
              <w:pStyle w:val="2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918" w:type="pct"/>
            <w:noWrap w:val="0"/>
            <w:vAlign w:val="center"/>
          </w:tcPr>
          <w:p w14:paraId="6CB8990B">
            <w:pPr>
              <w:pStyle w:val="20"/>
              <w:spacing w:line="360" w:lineRule="auto"/>
              <w:jc w:val="center"/>
              <w:rPr>
                <w:rFonts w:hint="eastAsia" w:ascii="宋体" w:hAnsi="宋体" w:eastAsia="宋体" w:cs="宋体"/>
                <w:color w:val="auto"/>
                <w:sz w:val="24"/>
                <w:szCs w:val="24"/>
                <w:highlight w:val="none"/>
                <w:lang w:val="en-US" w:eastAsia="zh-CN"/>
              </w:rPr>
            </w:pPr>
          </w:p>
        </w:tc>
        <w:tc>
          <w:tcPr>
            <w:tcW w:w="685" w:type="pct"/>
            <w:noWrap w:val="0"/>
            <w:vAlign w:val="center"/>
          </w:tcPr>
          <w:p w14:paraId="0A0BA745">
            <w:pPr>
              <w:pStyle w:val="20"/>
              <w:spacing w:line="360" w:lineRule="auto"/>
              <w:ind w:left="1414" w:leftChars="257" w:hanging="540"/>
              <w:jc w:val="center"/>
              <w:rPr>
                <w:rFonts w:hint="eastAsia" w:ascii="宋体" w:hAnsi="宋体" w:eastAsia="宋体" w:cs="宋体"/>
                <w:color w:val="auto"/>
                <w:sz w:val="24"/>
                <w:szCs w:val="24"/>
                <w:highlight w:val="none"/>
                <w:lang w:val="en-US" w:eastAsia="zh-CN"/>
              </w:rPr>
            </w:pPr>
          </w:p>
        </w:tc>
        <w:tc>
          <w:tcPr>
            <w:tcW w:w="443" w:type="pct"/>
            <w:noWrap w:val="0"/>
            <w:vAlign w:val="center"/>
          </w:tcPr>
          <w:p w14:paraId="548F9623">
            <w:pPr>
              <w:pStyle w:val="20"/>
              <w:spacing w:line="360" w:lineRule="auto"/>
              <w:ind w:left="1414" w:leftChars="257" w:hanging="540"/>
              <w:jc w:val="center"/>
              <w:rPr>
                <w:rFonts w:hint="eastAsia" w:ascii="宋体" w:hAnsi="宋体" w:eastAsia="宋体" w:cs="宋体"/>
                <w:color w:val="auto"/>
                <w:sz w:val="24"/>
                <w:szCs w:val="24"/>
                <w:highlight w:val="none"/>
                <w:lang w:val="en-US" w:eastAsia="zh-CN"/>
              </w:rPr>
            </w:pPr>
          </w:p>
        </w:tc>
        <w:tc>
          <w:tcPr>
            <w:tcW w:w="511" w:type="pct"/>
            <w:noWrap w:val="0"/>
            <w:vAlign w:val="center"/>
          </w:tcPr>
          <w:p w14:paraId="1490A54F">
            <w:pPr>
              <w:pStyle w:val="20"/>
              <w:spacing w:line="360" w:lineRule="auto"/>
              <w:ind w:left="1414" w:leftChars="257" w:hanging="540"/>
              <w:jc w:val="center"/>
              <w:rPr>
                <w:rFonts w:hint="eastAsia" w:ascii="宋体" w:hAnsi="宋体" w:eastAsia="宋体" w:cs="宋体"/>
                <w:color w:val="auto"/>
                <w:sz w:val="24"/>
                <w:szCs w:val="24"/>
                <w:highlight w:val="none"/>
                <w:lang w:val="en-US" w:eastAsia="zh-CN"/>
              </w:rPr>
            </w:pPr>
          </w:p>
        </w:tc>
        <w:tc>
          <w:tcPr>
            <w:tcW w:w="674" w:type="pct"/>
            <w:noWrap w:val="0"/>
            <w:vAlign w:val="center"/>
          </w:tcPr>
          <w:p w14:paraId="259F9EC8">
            <w:pPr>
              <w:rPr>
                <w:rFonts w:hint="eastAsia"/>
                <w:highlight w:val="none"/>
                <w:lang w:val="en-US" w:eastAsia="zh-CN"/>
              </w:rPr>
            </w:pPr>
          </w:p>
        </w:tc>
        <w:tc>
          <w:tcPr>
            <w:tcW w:w="775" w:type="pct"/>
            <w:noWrap w:val="0"/>
            <w:vAlign w:val="center"/>
          </w:tcPr>
          <w:p w14:paraId="1D23E02A">
            <w:pPr>
              <w:pStyle w:val="20"/>
              <w:spacing w:line="360" w:lineRule="auto"/>
              <w:ind w:left="1414" w:leftChars="257" w:hanging="540"/>
              <w:jc w:val="center"/>
              <w:rPr>
                <w:rFonts w:hint="eastAsia" w:ascii="宋体" w:hAnsi="宋体" w:eastAsia="宋体" w:cs="宋体"/>
                <w:color w:val="auto"/>
                <w:sz w:val="24"/>
                <w:szCs w:val="24"/>
                <w:highlight w:val="none"/>
                <w:lang w:val="en-US" w:eastAsia="zh-CN"/>
              </w:rPr>
            </w:pPr>
          </w:p>
        </w:tc>
        <w:tc>
          <w:tcPr>
            <w:tcW w:w="601" w:type="pct"/>
            <w:noWrap w:val="0"/>
            <w:vAlign w:val="center"/>
          </w:tcPr>
          <w:p w14:paraId="1D496D96">
            <w:pPr>
              <w:pStyle w:val="20"/>
              <w:spacing w:line="360" w:lineRule="auto"/>
              <w:ind w:left="1414" w:leftChars="257" w:hanging="540"/>
              <w:jc w:val="center"/>
              <w:rPr>
                <w:rFonts w:hint="eastAsia" w:ascii="宋体" w:hAnsi="宋体" w:eastAsia="宋体" w:cs="宋体"/>
                <w:color w:val="auto"/>
                <w:sz w:val="24"/>
                <w:szCs w:val="24"/>
                <w:highlight w:val="none"/>
                <w:lang w:val="en-US" w:eastAsia="zh-CN"/>
              </w:rPr>
            </w:pPr>
          </w:p>
        </w:tc>
      </w:tr>
      <w:tr w14:paraId="7E887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390" w:type="pct"/>
            <w:noWrap w:val="0"/>
            <w:vAlign w:val="center"/>
          </w:tcPr>
          <w:p w14:paraId="225E2499">
            <w:pPr>
              <w:pStyle w:val="2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918" w:type="pct"/>
            <w:noWrap w:val="0"/>
            <w:vAlign w:val="center"/>
          </w:tcPr>
          <w:p w14:paraId="6EF09ECA">
            <w:pPr>
              <w:pStyle w:val="20"/>
              <w:spacing w:line="360" w:lineRule="auto"/>
              <w:jc w:val="center"/>
              <w:rPr>
                <w:rFonts w:hint="eastAsia" w:ascii="宋体" w:hAnsi="宋体" w:eastAsia="宋体" w:cs="宋体"/>
                <w:color w:val="auto"/>
                <w:sz w:val="24"/>
                <w:szCs w:val="24"/>
                <w:highlight w:val="none"/>
                <w:lang w:val="en-US" w:eastAsia="zh-CN"/>
              </w:rPr>
            </w:pPr>
          </w:p>
        </w:tc>
        <w:tc>
          <w:tcPr>
            <w:tcW w:w="685" w:type="pct"/>
            <w:noWrap w:val="0"/>
            <w:vAlign w:val="center"/>
          </w:tcPr>
          <w:p w14:paraId="3D41AC8C">
            <w:pPr>
              <w:pStyle w:val="20"/>
              <w:spacing w:line="360" w:lineRule="auto"/>
              <w:ind w:left="1414" w:leftChars="257" w:hanging="540"/>
              <w:jc w:val="center"/>
              <w:rPr>
                <w:rFonts w:hint="eastAsia" w:ascii="宋体" w:hAnsi="宋体" w:eastAsia="宋体" w:cs="宋体"/>
                <w:color w:val="auto"/>
                <w:sz w:val="24"/>
                <w:szCs w:val="24"/>
                <w:highlight w:val="none"/>
                <w:lang w:val="en-US" w:eastAsia="zh-CN"/>
              </w:rPr>
            </w:pPr>
          </w:p>
        </w:tc>
        <w:tc>
          <w:tcPr>
            <w:tcW w:w="443" w:type="pct"/>
            <w:noWrap w:val="0"/>
            <w:vAlign w:val="center"/>
          </w:tcPr>
          <w:p w14:paraId="7DC5ACC0">
            <w:pPr>
              <w:pStyle w:val="20"/>
              <w:spacing w:line="360" w:lineRule="auto"/>
              <w:ind w:left="1414" w:leftChars="257" w:hanging="540"/>
              <w:jc w:val="center"/>
              <w:rPr>
                <w:rFonts w:hint="eastAsia" w:ascii="宋体" w:hAnsi="宋体" w:eastAsia="宋体" w:cs="宋体"/>
                <w:color w:val="auto"/>
                <w:sz w:val="24"/>
                <w:szCs w:val="24"/>
                <w:highlight w:val="none"/>
                <w:lang w:val="en-US" w:eastAsia="zh-CN"/>
              </w:rPr>
            </w:pPr>
          </w:p>
        </w:tc>
        <w:tc>
          <w:tcPr>
            <w:tcW w:w="511" w:type="pct"/>
            <w:noWrap w:val="0"/>
            <w:vAlign w:val="center"/>
          </w:tcPr>
          <w:p w14:paraId="41E11EC9">
            <w:pPr>
              <w:pStyle w:val="20"/>
              <w:spacing w:line="360" w:lineRule="auto"/>
              <w:ind w:left="1414" w:leftChars="257" w:hanging="540"/>
              <w:jc w:val="center"/>
              <w:rPr>
                <w:rFonts w:hint="eastAsia" w:ascii="宋体" w:hAnsi="宋体" w:eastAsia="宋体" w:cs="宋体"/>
                <w:color w:val="auto"/>
                <w:sz w:val="24"/>
                <w:szCs w:val="24"/>
                <w:highlight w:val="none"/>
                <w:lang w:val="en-US" w:eastAsia="zh-CN"/>
              </w:rPr>
            </w:pPr>
          </w:p>
        </w:tc>
        <w:tc>
          <w:tcPr>
            <w:tcW w:w="674" w:type="pct"/>
            <w:noWrap w:val="0"/>
            <w:vAlign w:val="center"/>
          </w:tcPr>
          <w:p w14:paraId="545FD133">
            <w:pPr>
              <w:pStyle w:val="20"/>
              <w:spacing w:line="360" w:lineRule="auto"/>
              <w:ind w:left="1414" w:leftChars="257" w:hanging="540"/>
              <w:jc w:val="center"/>
              <w:rPr>
                <w:rFonts w:hint="eastAsia" w:ascii="宋体" w:hAnsi="宋体" w:eastAsia="宋体" w:cs="宋体"/>
                <w:color w:val="auto"/>
                <w:sz w:val="24"/>
                <w:szCs w:val="24"/>
                <w:highlight w:val="none"/>
                <w:lang w:val="en-US" w:eastAsia="zh-CN"/>
              </w:rPr>
            </w:pPr>
          </w:p>
        </w:tc>
        <w:tc>
          <w:tcPr>
            <w:tcW w:w="775" w:type="pct"/>
            <w:noWrap w:val="0"/>
            <w:vAlign w:val="center"/>
          </w:tcPr>
          <w:p w14:paraId="3C4F0E24">
            <w:pPr>
              <w:pStyle w:val="20"/>
              <w:spacing w:line="360" w:lineRule="auto"/>
              <w:ind w:left="1414" w:leftChars="257" w:hanging="540"/>
              <w:jc w:val="center"/>
              <w:rPr>
                <w:rFonts w:hint="eastAsia" w:ascii="宋体" w:hAnsi="宋体" w:eastAsia="宋体" w:cs="宋体"/>
                <w:color w:val="auto"/>
                <w:sz w:val="24"/>
                <w:szCs w:val="24"/>
                <w:highlight w:val="none"/>
                <w:lang w:val="en-US" w:eastAsia="zh-CN"/>
              </w:rPr>
            </w:pPr>
          </w:p>
        </w:tc>
        <w:tc>
          <w:tcPr>
            <w:tcW w:w="601" w:type="pct"/>
            <w:noWrap w:val="0"/>
            <w:vAlign w:val="center"/>
          </w:tcPr>
          <w:p w14:paraId="658E9F3C">
            <w:pPr>
              <w:pStyle w:val="20"/>
              <w:spacing w:line="360" w:lineRule="auto"/>
              <w:ind w:left="1414" w:leftChars="257" w:hanging="540"/>
              <w:jc w:val="center"/>
              <w:rPr>
                <w:rFonts w:hint="eastAsia" w:ascii="宋体" w:hAnsi="宋体" w:eastAsia="宋体" w:cs="宋体"/>
                <w:color w:val="auto"/>
                <w:sz w:val="24"/>
                <w:szCs w:val="24"/>
                <w:highlight w:val="none"/>
                <w:lang w:val="en-US" w:eastAsia="zh-CN"/>
              </w:rPr>
            </w:pPr>
          </w:p>
        </w:tc>
      </w:tr>
      <w:tr w14:paraId="434D2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390" w:type="pct"/>
            <w:noWrap w:val="0"/>
            <w:vAlign w:val="center"/>
          </w:tcPr>
          <w:p w14:paraId="354EEB46">
            <w:pPr>
              <w:pStyle w:val="20"/>
              <w:spacing w:line="360" w:lineRule="auto"/>
              <w:jc w:val="center"/>
              <w:rPr>
                <w:rFonts w:hint="eastAsia"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3</w:t>
            </w:r>
          </w:p>
        </w:tc>
        <w:tc>
          <w:tcPr>
            <w:tcW w:w="918" w:type="pct"/>
            <w:noWrap w:val="0"/>
            <w:vAlign w:val="center"/>
          </w:tcPr>
          <w:p w14:paraId="59387DEC">
            <w:pPr>
              <w:pStyle w:val="2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685" w:type="pct"/>
            <w:noWrap w:val="0"/>
            <w:vAlign w:val="center"/>
          </w:tcPr>
          <w:p w14:paraId="1AE4DE45">
            <w:pPr>
              <w:pStyle w:val="20"/>
              <w:spacing w:line="360" w:lineRule="auto"/>
              <w:ind w:left="1414" w:leftChars="257" w:hanging="540"/>
              <w:jc w:val="center"/>
              <w:rPr>
                <w:rFonts w:hint="eastAsia" w:ascii="宋体" w:hAnsi="宋体" w:eastAsia="宋体" w:cs="宋体"/>
                <w:color w:val="auto"/>
                <w:sz w:val="24"/>
                <w:szCs w:val="24"/>
                <w:highlight w:val="none"/>
                <w:lang w:val="en-US" w:eastAsia="zh-CN"/>
              </w:rPr>
            </w:pPr>
          </w:p>
        </w:tc>
        <w:tc>
          <w:tcPr>
            <w:tcW w:w="443" w:type="pct"/>
            <w:noWrap w:val="0"/>
            <w:vAlign w:val="center"/>
          </w:tcPr>
          <w:p w14:paraId="21A35D5E">
            <w:pPr>
              <w:pStyle w:val="20"/>
              <w:spacing w:line="360" w:lineRule="auto"/>
              <w:ind w:left="1414" w:leftChars="257" w:hanging="540"/>
              <w:jc w:val="center"/>
              <w:rPr>
                <w:rFonts w:hint="eastAsia" w:ascii="宋体" w:hAnsi="宋体" w:eastAsia="宋体" w:cs="宋体"/>
                <w:color w:val="auto"/>
                <w:sz w:val="24"/>
                <w:szCs w:val="24"/>
                <w:highlight w:val="none"/>
                <w:lang w:val="en-US" w:eastAsia="zh-CN"/>
              </w:rPr>
            </w:pPr>
          </w:p>
        </w:tc>
        <w:tc>
          <w:tcPr>
            <w:tcW w:w="511" w:type="pct"/>
            <w:noWrap w:val="0"/>
            <w:vAlign w:val="center"/>
          </w:tcPr>
          <w:p w14:paraId="5D5EB084">
            <w:pPr>
              <w:pStyle w:val="20"/>
              <w:spacing w:line="360" w:lineRule="auto"/>
              <w:ind w:left="1414" w:leftChars="257" w:hanging="540"/>
              <w:jc w:val="center"/>
              <w:rPr>
                <w:rFonts w:hint="eastAsia" w:ascii="宋体" w:hAnsi="宋体" w:eastAsia="宋体" w:cs="宋体"/>
                <w:color w:val="auto"/>
                <w:sz w:val="24"/>
                <w:szCs w:val="24"/>
                <w:highlight w:val="none"/>
                <w:lang w:val="en-US" w:eastAsia="zh-CN"/>
              </w:rPr>
            </w:pPr>
          </w:p>
        </w:tc>
        <w:tc>
          <w:tcPr>
            <w:tcW w:w="674" w:type="pct"/>
            <w:noWrap w:val="0"/>
            <w:vAlign w:val="center"/>
          </w:tcPr>
          <w:p w14:paraId="7068CA43">
            <w:pPr>
              <w:pStyle w:val="20"/>
              <w:spacing w:line="360" w:lineRule="auto"/>
              <w:ind w:left="1414" w:leftChars="257" w:hanging="540"/>
              <w:jc w:val="center"/>
              <w:rPr>
                <w:rFonts w:hint="eastAsia" w:ascii="宋体" w:hAnsi="宋体" w:eastAsia="宋体" w:cs="宋体"/>
                <w:color w:val="auto"/>
                <w:sz w:val="24"/>
                <w:szCs w:val="24"/>
                <w:highlight w:val="none"/>
                <w:lang w:val="en-US" w:eastAsia="zh-CN"/>
              </w:rPr>
            </w:pPr>
          </w:p>
        </w:tc>
        <w:tc>
          <w:tcPr>
            <w:tcW w:w="775" w:type="pct"/>
            <w:noWrap w:val="0"/>
            <w:vAlign w:val="center"/>
          </w:tcPr>
          <w:p w14:paraId="0893F342">
            <w:pPr>
              <w:pStyle w:val="20"/>
              <w:spacing w:line="360" w:lineRule="auto"/>
              <w:ind w:left="1414" w:leftChars="257" w:hanging="540"/>
              <w:jc w:val="center"/>
              <w:rPr>
                <w:rFonts w:hint="eastAsia" w:ascii="宋体" w:hAnsi="宋体" w:eastAsia="宋体" w:cs="宋体"/>
                <w:color w:val="auto"/>
                <w:sz w:val="24"/>
                <w:szCs w:val="24"/>
                <w:highlight w:val="none"/>
                <w:lang w:val="en-US" w:eastAsia="zh-CN"/>
              </w:rPr>
            </w:pPr>
          </w:p>
        </w:tc>
        <w:tc>
          <w:tcPr>
            <w:tcW w:w="601" w:type="pct"/>
            <w:noWrap w:val="0"/>
            <w:vAlign w:val="center"/>
          </w:tcPr>
          <w:p w14:paraId="5C168BEE">
            <w:pPr>
              <w:pStyle w:val="20"/>
              <w:spacing w:line="360" w:lineRule="auto"/>
              <w:ind w:left="1414" w:leftChars="257" w:hanging="540"/>
              <w:jc w:val="center"/>
              <w:rPr>
                <w:rFonts w:hint="eastAsia" w:ascii="宋体" w:hAnsi="宋体" w:eastAsia="宋体" w:cs="宋体"/>
                <w:color w:val="auto"/>
                <w:sz w:val="24"/>
                <w:szCs w:val="24"/>
                <w:highlight w:val="none"/>
                <w:lang w:val="en-US" w:eastAsia="zh-CN"/>
              </w:rPr>
            </w:pPr>
          </w:p>
        </w:tc>
      </w:tr>
      <w:tr w14:paraId="32C3D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3623" w:type="pct"/>
            <w:gridSpan w:val="6"/>
            <w:noWrap w:val="0"/>
            <w:vAlign w:val="center"/>
          </w:tcPr>
          <w:p w14:paraId="1EDA2319">
            <w:pPr>
              <w:pStyle w:val="20"/>
              <w:spacing w:line="360" w:lineRule="auto"/>
              <w:ind w:left="1414" w:leftChars="257" w:hanging="540"/>
              <w:jc w:val="center"/>
              <w:rPr>
                <w:rFonts w:hint="default"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合计（元）</w:t>
            </w:r>
          </w:p>
        </w:tc>
        <w:tc>
          <w:tcPr>
            <w:tcW w:w="775" w:type="pct"/>
            <w:noWrap w:val="0"/>
            <w:vAlign w:val="center"/>
          </w:tcPr>
          <w:p w14:paraId="51A2F354">
            <w:pPr>
              <w:pStyle w:val="20"/>
              <w:spacing w:line="360" w:lineRule="auto"/>
              <w:ind w:left="1414" w:leftChars="257" w:hanging="540"/>
              <w:jc w:val="center"/>
              <w:rPr>
                <w:rFonts w:hint="eastAsia" w:ascii="宋体" w:hAnsi="宋体" w:eastAsia="宋体" w:cs="宋体"/>
                <w:color w:val="auto"/>
                <w:sz w:val="24"/>
                <w:szCs w:val="24"/>
                <w:highlight w:val="none"/>
                <w:lang w:val="en-US" w:eastAsia="zh-CN"/>
              </w:rPr>
            </w:pPr>
          </w:p>
        </w:tc>
        <w:tc>
          <w:tcPr>
            <w:tcW w:w="601" w:type="pct"/>
            <w:noWrap w:val="0"/>
            <w:vAlign w:val="center"/>
          </w:tcPr>
          <w:p w14:paraId="4DC7F8B2">
            <w:pPr>
              <w:pStyle w:val="20"/>
              <w:spacing w:line="360" w:lineRule="auto"/>
              <w:ind w:left="1414" w:leftChars="257" w:hanging="540"/>
              <w:jc w:val="center"/>
              <w:rPr>
                <w:rFonts w:hint="eastAsia" w:ascii="宋体" w:hAnsi="宋体" w:eastAsia="宋体" w:cs="宋体"/>
                <w:color w:val="auto"/>
                <w:sz w:val="24"/>
                <w:szCs w:val="24"/>
                <w:highlight w:val="none"/>
                <w:lang w:val="en-US" w:eastAsia="zh-CN"/>
              </w:rPr>
            </w:pPr>
          </w:p>
        </w:tc>
      </w:tr>
    </w:tbl>
    <w:p w14:paraId="5C9EA55A">
      <w:pPr>
        <w:spacing w:line="11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 </w:t>
      </w:r>
    </w:p>
    <w:p w14:paraId="6490BF7B">
      <w:pPr>
        <w:spacing w:before="75" w:line="229" w:lineRule="auto"/>
        <w:ind w:left="313"/>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注：上述报价含完成服务成果的一切费用、售后维护费用、</w:t>
      </w:r>
      <w:r>
        <w:rPr>
          <w:rFonts w:hint="eastAsia" w:ascii="宋体" w:hAnsi="宋体" w:eastAsia="宋体" w:cs="宋体"/>
          <w:color w:val="auto"/>
          <w:spacing w:val="8"/>
          <w:sz w:val="24"/>
          <w:szCs w:val="24"/>
          <w:highlight w:val="none"/>
        </w:rPr>
        <w:t>税费等。</w:t>
      </w:r>
    </w:p>
    <w:p w14:paraId="6F493BED">
      <w:pPr>
        <w:pStyle w:val="2"/>
        <w:spacing w:line="258" w:lineRule="auto"/>
        <w:rPr>
          <w:rFonts w:hint="eastAsia" w:ascii="宋体" w:hAnsi="宋体" w:eastAsia="宋体" w:cs="宋体"/>
          <w:color w:val="auto"/>
          <w:highlight w:val="none"/>
        </w:rPr>
      </w:pPr>
    </w:p>
    <w:p w14:paraId="0CE41B9D">
      <w:pPr>
        <w:pStyle w:val="2"/>
        <w:spacing w:line="259" w:lineRule="auto"/>
        <w:rPr>
          <w:rFonts w:hint="eastAsia" w:ascii="宋体" w:hAnsi="宋体" w:eastAsia="宋体" w:cs="宋体"/>
          <w:color w:val="auto"/>
          <w:highlight w:val="none"/>
        </w:rPr>
      </w:pPr>
    </w:p>
    <w:p w14:paraId="11520638">
      <w:pPr>
        <w:spacing w:before="75" w:line="229" w:lineRule="auto"/>
        <w:ind w:left="39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投标单位名称</w:t>
      </w:r>
      <w:r>
        <w:rPr>
          <w:rFonts w:hint="eastAsia" w:ascii="宋体" w:hAnsi="宋体" w:eastAsia="宋体" w:cs="宋体"/>
          <w:color w:val="auto"/>
          <w:spacing w:val="1"/>
          <w:sz w:val="24"/>
          <w:szCs w:val="24"/>
          <w:highlight w:val="none"/>
        </w:rPr>
        <w:t>：</w:t>
      </w:r>
      <w:r>
        <w:rPr>
          <w:rFonts w:hint="eastAsia" w:ascii="宋体" w:hAnsi="宋体" w:eastAsia="宋体" w:cs="宋体"/>
          <w:color w:val="auto"/>
          <w:spacing w:val="5"/>
          <w:sz w:val="24"/>
          <w:szCs w:val="24"/>
          <w:highlight w:val="none"/>
          <w:u w:val="single" w:color="auto"/>
        </w:rPr>
        <w:t xml:space="preserve">                </w:t>
      </w:r>
      <w:r>
        <w:rPr>
          <w:rFonts w:hint="eastAsia" w:ascii="宋体" w:hAnsi="宋体" w:eastAsia="宋体" w:cs="宋体"/>
          <w:color w:val="auto"/>
          <w:spacing w:val="22"/>
          <w:sz w:val="24"/>
          <w:szCs w:val="24"/>
          <w:highlight w:val="none"/>
        </w:rPr>
        <w:t xml:space="preserve"> </w:t>
      </w:r>
      <w:r>
        <w:rPr>
          <w:rFonts w:hint="eastAsia" w:ascii="宋体" w:hAnsi="宋体" w:eastAsia="宋体" w:cs="宋体"/>
          <w:color w:val="auto"/>
          <w:spacing w:val="1"/>
          <w:sz w:val="24"/>
          <w:szCs w:val="24"/>
          <w:highlight w:val="none"/>
        </w:rPr>
        <w:t>（</w:t>
      </w:r>
      <w:r>
        <w:rPr>
          <w:rFonts w:hint="eastAsia" w:ascii="宋体" w:hAnsi="宋体" w:eastAsia="宋体" w:cs="宋体"/>
          <w:color w:val="auto"/>
          <w:spacing w:val="-2"/>
          <w:sz w:val="24"/>
          <w:szCs w:val="24"/>
          <w:highlight w:val="none"/>
        </w:rPr>
        <w:t>盖单位公章）</w:t>
      </w:r>
    </w:p>
    <w:p w14:paraId="0A038082">
      <w:pPr>
        <w:pStyle w:val="2"/>
        <w:spacing w:line="257" w:lineRule="auto"/>
        <w:rPr>
          <w:rFonts w:hint="eastAsia" w:ascii="宋体" w:hAnsi="宋体" w:eastAsia="宋体" w:cs="宋体"/>
          <w:color w:val="auto"/>
          <w:highlight w:val="none"/>
        </w:rPr>
      </w:pPr>
    </w:p>
    <w:p w14:paraId="660FD8CA">
      <w:pPr>
        <w:pStyle w:val="2"/>
        <w:spacing w:line="257" w:lineRule="auto"/>
        <w:rPr>
          <w:rFonts w:hint="eastAsia" w:ascii="宋体" w:hAnsi="宋体" w:eastAsia="宋体" w:cs="宋体"/>
          <w:color w:val="auto"/>
          <w:highlight w:val="none"/>
        </w:rPr>
      </w:pPr>
    </w:p>
    <w:p w14:paraId="700FE038">
      <w:pPr>
        <w:spacing w:before="75" w:line="231" w:lineRule="auto"/>
        <w:ind w:left="4175"/>
        <w:rPr>
          <w:rFonts w:hint="eastAsia" w:ascii="宋体" w:hAnsi="宋体" w:eastAsia="宋体" w:cs="宋体"/>
          <w:color w:val="auto"/>
          <w:sz w:val="24"/>
          <w:szCs w:val="24"/>
          <w:highlight w:val="none"/>
        </w:rPr>
      </w:pPr>
      <w:r>
        <w:rPr>
          <w:rFonts w:hint="eastAsia" w:ascii="宋体" w:hAnsi="宋体" w:eastAsia="宋体" w:cs="宋体"/>
          <w:color w:val="auto"/>
          <w:spacing w:val="-17"/>
          <w:sz w:val="24"/>
          <w:szCs w:val="24"/>
          <w:highlight w:val="none"/>
        </w:rPr>
        <w:t>法定代表人</w:t>
      </w:r>
      <w:r>
        <w:rPr>
          <w:rFonts w:hint="eastAsia" w:ascii="宋体" w:hAnsi="宋体" w:eastAsia="宋体" w:cs="宋体"/>
          <w:color w:val="auto"/>
          <w:spacing w:val="-13"/>
          <w:sz w:val="24"/>
          <w:szCs w:val="24"/>
          <w:highlight w:val="none"/>
        </w:rPr>
        <w:t>：</w:t>
      </w:r>
      <w:r>
        <w:rPr>
          <w:rFonts w:hint="eastAsia" w:ascii="宋体" w:hAnsi="宋体" w:eastAsia="宋体" w:cs="宋体"/>
          <w:color w:val="auto"/>
          <w:spacing w:val="59"/>
          <w:sz w:val="24"/>
          <w:szCs w:val="24"/>
          <w:highlight w:val="none"/>
        </w:rPr>
        <w:t xml:space="preserve"> </w:t>
      </w:r>
      <w:r>
        <w:rPr>
          <w:rFonts w:hint="eastAsia" w:ascii="宋体" w:hAnsi="宋体" w:eastAsia="宋体" w:cs="宋体"/>
          <w:color w:val="auto"/>
          <w:spacing w:val="5"/>
          <w:sz w:val="24"/>
          <w:szCs w:val="24"/>
          <w:highlight w:val="none"/>
          <w:u w:val="single" w:color="auto"/>
        </w:rPr>
        <w:t xml:space="preserve">                </w:t>
      </w:r>
      <w:r>
        <w:rPr>
          <w:rFonts w:hint="eastAsia" w:ascii="宋体" w:hAnsi="宋体" w:eastAsia="宋体" w:cs="宋体"/>
          <w:color w:val="auto"/>
          <w:spacing w:val="20"/>
          <w:sz w:val="24"/>
          <w:szCs w:val="24"/>
          <w:highlight w:val="none"/>
        </w:rPr>
        <w:t xml:space="preserve"> </w:t>
      </w:r>
      <w:r>
        <w:rPr>
          <w:rFonts w:hint="eastAsia" w:ascii="宋体" w:hAnsi="宋体" w:eastAsia="宋体" w:cs="宋体"/>
          <w:color w:val="auto"/>
          <w:spacing w:val="-13"/>
          <w:sz w:val="24"/>
          <w:szCs w:val="24"/>
          <w:highlight w:val="none"/>
        </w:rPr>
        <w:t>（</w:t>
      </w:r>
      <w:r>
        <w:rPr>
          <w:rFonts w:hint="eastAsia" w:ascii="宋体" w:hAnsi="宋体" w:eastAsia="宋体" w:cs="宋体"/>
          <w:color w:val="auto"/>
          <w:spacing w:val="-17"/>
          <w:sz w:val="24"/>
          <w:szCs w:val="24"/>
          <w:highlight w:val="none"/>
        </w:rPr>
        <w:t>签字或盖章）</w:t>
      </w:r>
    </w:p>
    <w:p w14:paraId="3FF41A3E">
      <w:pPr>
        <w:pStyle w:val="2"/>
        <w:spacing w:line="257" w:lineRule="auto"/>
        <w:rPr>
          <w:rFonts w:hint="eastAsia" w:ascii="宋体" w:hAnsi="宋体" w:eastAsia="宋体" w:cs="宋体"/>
          <w:color w:val="auto"/>
          <w:highlight w:val="none"/>
        </w:rPr>
      </w:pPr>
    </w:p>
    <w:p w14:paraId="2F963CAF">
      <w:pPr>
        <w:pStyle w:val="2"/>
        <w:spacing w:line="258" w:lineRule="auto"/>
        <w:rPr>
          <w:rFonts w:hint="eastAsia" w:ascii="宋体" w:hAnsi="宋体" w:eastAsia="宋体" w:cs="宋体"/>
          <w:color w:val="auto"/>
          <w:highlight w:val="none"/>
        </w:rPr>
      </w:pPr>
    </w:p>
    <w:p w14:paraId="2073F4EB">
      <w:pPr>
        <w:spacing w:before="75" w:line="231" w:lineRule="auto"/>
        <w:ind w:left="4175"/>
        <w:jc w:val="right"/>
        <w:rPr>
          <w:rFonts w:hint="eastAsia" w:ascii="宋体" w:hAnsi="宋体" w:eastAsia="宋体" w:cs="宋体"/>
          <w:color w:val="auto"/>
          <w:spacing w:val="-17"/>
          <w:sz w:val="24"/>
          <w:szCs w:val="24"/>
          <w:highlight w:val="none"/>
        </w:rPr>
        <w:sectPr>
          <w:type w:val="continuous"/>
          <w:pgSz w:w="11906" w:h="16838"/>
          <w:pgMar w:top="1431" w:right="955" w:bottom="1171" w:left="1295" w:header="0" w:footer="959" w:gutter="0"/>
          <w:pgNumType w:fmt="decimal"/>
          <w:cols w:equalWidth="0" w:num="1">
            <w:col w:w="9655"/>
          </w:cols>
        </w:sectPr>
      </w:pPr>
      <w:r>
        <w:rPr>
          <w:rFonts w:hint="eastAsia" w:ascii="宋体" w:hAnsi="宋体" w:eastAsia="宋体" w:cs="宋体"/>
          <w:color w:val="auto"/>
          <w:spacing w:val="-17"/>
          <w:sz w:val="24"/>
          <w:szCs w:val="24"/>
          <w:highlight w:val="none"/>
        </w:rPr>
        <w:t>日      期</w:t>
      </w:r>
      <w:r>
        <w:rPr>
          <w:rFonts w:hint="eastAsia" w:hAnsi="宋体" w:cs="宋体"/>
          <w:color w:val="auto"/>
          <w:spacing w:val="-17"/>
          <w:sz w:val="24"/>
          <w:szCs w:val="24"/>
          <w:highlight w:val="none"/>
          <w:lang w:eastAsia="zh-CN"/>
        </w:rPr>
        <w:t>：</w:t>
      </w:r>
      <w:r>
        <w:rPr>
          <w:rFonts w:hint="eastAsia" w:hAnsi="宋体" w:cs="宋体"/>
          <w:color w:val="auto"/>
          <w:spacing w:val="-17"/>
          <w:sz w:val="24"/>
          <w:szCs w:val="24"/>
          <w:highlight w:val="none"/>
          <w:lang w:val="en-US" w:eastAsia="zh-CN"/>
        </w:rPr>
        <w:t xml:space="preserve"> </w:t>
      </w:r>
      <w:r>
        <w:rPr>
          <w:rFonts w:hint="eastAsia" w:ascii="宋体" w:hAnsi="宋体" w:eastAsia="宋体" w:cs="宋体"/>
          <w:color w:val="auto"/>
          <w:spacing w:val="-17"/>
          <w:sz w:val="24"/>
          <w:szCs w:val="24"/>
          <w:highlight w:val="none"/>
        </w:rPr>
        <w:t>年</w:t>
      </w:r>
      <w:r>
        <w:rPr>
          <w:rFonts w:hint="eastAsia" w:hAnsi="宋体" w:cs="宋体"/>
          <w:color w:val="auto"/>
          <w:spacing w:val="-17"/>
          <w:sz w:val="24"/>
          <w:szCs w:val="24"/>
          <w:highlight w:val="none"/>
          <w:lang w:val="en-US" w:eastAsia="zh-CN"/>
        </w:rPr>
        <w:t xml:space="preserve">  </w:t>
      </w:r>
      <w:r>
        <w:rPr>
          <w:rFonts w:hint="eastAsia" w:ascii="宋体" w:hAnsi="宋体" w:eastAsia="宋体" w:cs="宋体"/>
          <w:color w:val="auto"/>
          <w:spacing w:val="-17"/>
          <w:sz w:val="24"/>
          <w:szCs w:val="24"/>
          <w:highlight w:val="none"/>
        </w:rPr>
        <w:t>月</w:t>
      </w:r>
      <w:r>
        <w:rPr>
          <w:rFonts w:hint="eastAsia" w:hAnsi="宋体" w:cs="宋体"/>
          <w:color w:val="auto"/>
          <w:spacing w:val="-17"/>
          <w:sz w:val="24"/>
          <w:szCs w:val="24"/>
          <w:highlight w:val="none"/>
          <w:lang w:val="en-US" w:eastAsia="zh-CN"/>
        </w:rPr>
        <w:t xml:space="preserve">  </w:t>
      </w:r>
      <w:r>
        <w:rPr>
          <w:rFonts w:hint="eastAsia" w:ascii="宋体" w:hAnsi="宋体" w:eastAsia="宋体" w:cs="宋体"/>
          <w:color w:val="auto"/>
          <w:spacing w:val="-17"/>
          <w:sz w:val="24"/>
          <w:szCs w:val="24"/>
          <w:highlight w:val="none"/>
        </w:rPr>
        <w:t>日</w:t>
      </w:r>
    </w:p>
    <w:p w14:paraId="741D838D">
      <w:pPr>
        <w:rPr>
          <w:rFonts w:hint="eastAsia" w:ascii="宋体" w:hAnsi="宋体" w:eastAsia="宋体" w:cs="宋体"/>
          <w:color w:val="auto"/>
          <w:sz w:val="24"/>
          <w:szCs w:val="24"/>
          <w:highlight w:val="none"/>
        </w:rPr>
      </w:pPr>
    </w:p>
    <w:p w14:paraId="6BCCCC10">
      <w:pPr>
        <w:pStyle w:val="56"/>
        <w:spacing w:line="360" w:lineRule="auto"/>
        <w:ind w:left="0"/>
        <w:jc w:val="center"/>
        <w:outlineLvl w:val="1"/>
        <w:rPr>
          <w:rFonts w:hint="eastAsia" w:ascii="宋体" w:hAnsi="宋体" w:eastAsia="宋体" w:cs="宋体"/>
          <w:color w:val="auto"/>
          <w:sz w:val="24"/>
          <w:szCs w:val="24"/>
          <w:highlight w:val="none"/>
        </w:rPr>
      </w:pPr>
      <w:bookmarkStart w:id="341" w:name="_Toc507399518"/>
      <w:bookmarkStart w:id="342" w:name="_Toc25232"/>
      <w:bookmarkStart w:id="343" w:name="_Toc7507"/>
      <w:bookmarkStart w:id="344" w:name="_Toc1286"/>
      <w:bookmarkStart w:id="345" w:name="_Toc14919"/>
      <w:r>
        <w:rPr>
          <w:rFonts w:hint="eastAsia" w:ascii="宋体" w:hAnsi="宋体" w:eastAsia="宋体" w:cs="宋体"/>
          <w:b/>
          <w:color w:val="auto"/>
          <w:sz w:val="24"/>
          <w:szCs w:val="24"/>
          <w:highlight w:val="none"/>
        </w:rPr>
        <w:t xml:space="preserve">2  </w:t>
      </w:r>
      <w:bookmarkEnd w:id="341"/>
      <w:r>
        <w:rPr>
          <w:rFonts w:hint="eastAsia" w:ascii="宋体" w:hAnsi="宋体" w:eastAsia="宋体" w:cs="宋体"/>
          <w:b/>
          <w:color w:val="auto"/>
          <w:sz w:val="24"/>
          <w:szCs w:val="24"/>
          <w:highlight w:val="none"/>
        </w:rPr>
        <w:t>资格证明文件</w:t>
      </w:r>
      <w:bookmarkEnd w:id="342"/>
      <w:bookmarkEnd w:id="343"/>
      <w:bookmarkEnd w:id="344"/>
      <w:bookmarkEnd w:id="345"/>
    </w:p>
    <w:p w14:paraId="5353C885">
      <w:pPr>
        <w:rPr>
          <w:rFonts w:hint="eastAsia"/>
          <w:b/>
          <w:bCs/>
          <w:sz w:val="24"/>
          <w:highlight w:val="none"/>
        </w:rPr>
      </w:pPr>
      <w:bookmarkStart w:id="346" w:name="_Toc16503"/>
      <w:bookmarkStart w:id="347" w:name="_Toc507399520"/>
      <w:r>
        <w:rPr>
          <w:rFonts w:hint="eastAsia"/>
          <w:b/>
          <w:bCs/>
          <w:sz w:val="24"/>
          <w:highlight w:val="none"/>
        </w:rPr>
        <w:t>附件 2-1 法人或者非法人组织的营业执照等证明文件或自然人的身份证明复印件;</w:t>
      </w:r>
      <w:bookmarkEnd w:id="346"/>
    </w:p>
    <w:p w14:paraId="2C5468C7">
      <w:pPr>
        <w:pStyle w:val="2"/>
        <w:spacing w:before="12" w:line="360" w:lineRule="auto"/>
        <w:rPr>
          <w:rFonts w:hint="eastAsia" w:ascii="宋体" w:hAnsi="宋体" w:eastAsia="宋体" w:cs="宋体"/>
          <w:b/>
          <w:color w:val="auto"/>
          <w:sz w:val="24"/>
          <w:szCs w:val="24"/>
          <w:highlight w:val="none"/>
        </w:rPr>
      </w:pPr>
    </w:p>
    <w:p w14:paraId="2579A53B">
      <w:pPr>
        <w:pStyle w:val="2"/>
        <w:spacing w:line="360" w:lineRule="auto"/>
        <w:ind w:right="21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说明：1.提供有效的营业执照等证明文件复印件，复印件上应加盖本单位</w:t>
      </w:r>
      <w:r>
        <w:rPr>
          <w:rFonts w:hint="eastAsia" w:ascii="宋体" w:hAnsi="宋体" w:eastAsia="宋体" w:cs="宋体"/>
          <w:color w:val="auto"/>
          <w:sz w:val="24"/>
          <w:szCs w:val="24"/>
          <w:highlight w:val="none"/>
          <w:lang w:eastAsia="zh-CN"/>
        </w:rPr>
        <w:t>盖章</w:t>
      </w:r>
      <w:r>
        <w:rPr>
          <w:rFonts w:hint="eastAsia" w:ascii="宋体" w:hAnsi="宋体" w:eastAsia="宋体" w:cs="宋体"/>
          <w:color w:val="auto"/>
          <w:sz w:val="24"/>
          <w:szCs w:val="24"/>
          <w:highlight w:val="none"/>
        </w:rPr>
        <w:t>。</w:t>
      </w:r>
    </w:p>
    <w:p w14:paraId="40B52B1D">
      <w:pPr>
        <w:pStyle w:val="2"/>
        <w:numPr>
          <w:ilvl w:val="0"/>
          <w:numId w:val="0"/>
        </w:numPr>
        <w:spacing w:line="360" w:lineRule="auto"/>
        <w:ind w:right="1145" w:firstLine="720" w:firstLineChars="300"/>
        <w:outlineLvl w:val="1"/>
        <w:rPr>
          <w:rFonts w:hint="eastAsia" w:ascii="宋体" w:hAnsi="宋体" w:eastAsia="宋体" w:cs="宋体"/>
          <w:color w:val="auto"/>
          <w:sz w:val="24"/>
          <w:szCs w:val="24"/>
          <w:highlight w:val="none"/>
        </w:rPr>
      </w:pPr>
      <w:bookmarkStart w:id="348" w:name="_Toc27013"/>
      <w:bookmarkStart w:id="349" w:name="_Toc26179"/>
      <w:bookmarkStart w:id="350" w:name="_Toc10712"/>
      <w:bookmarkStart w:id="351" w:name="_Toc1278"/>
      <w:r>
        <w:rPr>
          <w:rFonts w:hint="eastAsia" w:ascii="宋体" w:hAnsi="宋体" w:eastAsia="宋体" w:cs="宋体"/>
          <w:color w:val="auto"/>
          <w:sz w:val="24"/>
          <w:szCs w:val="24"/>
          <w:highlight w:val="none"/>
        </w:rPr>
        <w:t>2.投标人为自然人的，应提供身份证明的复印件。</w:t>
      </w:r>
      <w:bookmarkEnd w:id="348"/>
      <w:bookmarkEnd w:id="349"/>
      <w:bookmarkEnd w:id="350"/>
      <w:bookmarkEnd w:id="351"/>
    </w:p>
    <w:p w14:paraId="69B489F9">
      <w:pPr>
        <w:pStyle w:val="18"/>
        <w:numPr>
          <w:ilvl w:val="0"/>
          <w:numId w:val="0"/>
        </w:numPr>
        <w:spacing w:line="360" w:lineRule="auto"/>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须提供具备履行合同所必需的设备和专业技术能力的证明材料或书面声明。</w:t>
      </w:r>
    </w:p>
    <w:p w14:paraId="1BEE5B96">
      <w:pPr>
        <w:pStyle w:val="11"/>
        <w:numPr>
          <w:ilvl w:val="6"/>
          <w:numId w:val="0"/>
        </w:numPr>
        <w:spacing w:line="360" w:lineRule="auto"/>
        <w:ind w:left="0" w:leftChars="0" w:right="-150" w:rightChars="-44" w:firstLine="0" w:firstLineChars="0"/>
        <w:outlineLvl w:val="2"/>
        <w:rPr>
          <w:rFonts w:hint="eastAsia" w:ascii="宋体" w:hAnsi="宋体" w:eastAsia="宋体" w:cs="宋体"/>
          <w:color w:val="auto"/>
          <w:highlight w:val="none"/>
        </w:rPr>
      </w:pPr>
      <w:bookmarkStart w:id="352" w:name="_Toc10669"/>
      <w:r>
        <w:rPr>
          <w:rFonts w:hint="eastAsia" w:ascii="宋体" w:hAnsi="宋体" w:eastAsia="宋体" w:cs="宋体"/>
          <w:color w:val="auto"/>
          <w:highlight w:val="none"/>
        </w:rPr>
        <w:t>致：</w:t>
      </w:r>
      <w:r>
        <w:rPr>
          <w:rFonts w:hint="eastAsia" w:ascii="宋体" w:hAnsi="宋体" w:eastAsia="宋体" w:cs="宋体"/>
          <w:color w:val="auto"/>
          <w:highlight w:val="none"/>
          <w:u w:val="single"/>
        </w:rPr>
        <w:t>采购人/采购代理机构</w:t>
      </w:r>
      <w:bookmarkEnd w:id="352"/>
    </w:p>
    <w:p w14:paraId="6350A2CF">
      <w:pPr>
        <w:pStyle w:val="20"/>
        <w:spacing w:line="360" w:lineRule="auto"/>
        <w:rPr>
          <w:rFonts w:hint="eastAsia" w:ascii="宋体" w:hAnsi="宋体" w:eastAsia="宋体" w:cs="宋体"/>
          <w:color w:val="auto"/>
          <w:sz w:val="24"/>
          <w:szCs w:val="24"/>
          <w:highlight w:val="none"/>
        </w:rPr>
      </w:pPr>
    </w:p>
    <w:p w14:paraId="2097E9B2">
      <w:pPr>
        <w:pStyle w:val="2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本单位郑重声明：</w:t>
      </w:r>
    </w:p>
    <w:p w14:paraId="0B2DFA50">
      <w:pPr>
        <w:pStyle w:val="2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我单位在参加本次采购活动具备履行合同所必需的设备和专业技术能力。</w:t>
      </w:r>
    </w:p>
    <w:p w14:paraId="037DFD1E">
      <w:pPr>
        <w:pStyle w:val="20"/>
        <w:spacing w:line="360" w:lineRule="auto"/>
        <w:ind w:firstLine="480" w:firstLineChars="200"/>
        <w:rPr>
          <w:rFonts w:hint="eastAsia" w:ascii="宋体" w:hAnsi="宋体" w:eastAsia="宋体" w:cs="宋体"/>
          <w:color w:val="auto"/>
          <w:sz w:val="24"/>
          <w:szCs w:val="24"/>
          <w:highlight w:val="none"/>
        </w:rPr>
      </w:pPr>
    </w:p>
    <w:p w14:paraId="61FD446F">
      <w:pPr>
        <w:pStyle w:val="2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特此声明！</w:t>
      </w:r>
    </w:p>
    <w:p w14:paraId="61D95675">
      <w:pPr>
        <w:pStyle w:val="20"/>
        <w:spacing w:line="360" w:lineRule="auto"/>
        <w:ind w:firstLine="480" w:firstLineChars="200"/>
        <w:rPr>
          <w:rFonts w:hint="eastAsia" w:ascii="宋体" w:hAnsi="宋体" w:eastAsia="宋体" w:cs="宋体"/>
          <w:color w:val="auto"/>
          <w:sz w:val="24"/>
          <w:szCs w:val="24"/>
          <w:highlight w:val="none"/>
        </w:rPr>
      </w:pPr>
    </w:p>
    <w:p w14:paraId="146E0152">
      <w:pPr>
        <w:pStyle w:val="2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lang w:eastAsia="zh-CN"/>
        </w:rPr>
        <w:t>盖章</w:t>
      </w:r>
      <w:r>
        <w:rPr>
          <w:rFonts w:hint="eastAsia" w:ascii="宋体" w:hAnsi="宋体" w:eastAsia="宋体" w:cs="宋体"/>
          <w:color w:val="auto"/>
          <w:sz w:val="24"/>
          <w:szCs w:val="24"/>
          <w:highlight w:val="none"/>
        </w:rPr>
        <w:t>)：</w:t>
      </w:r>
    </w:p>
    <w:p w14:paraId="73529823">
      <w:pPr>
        <w:pStyle w:val="2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法定代表人或其授权代表(签字或盖章)：</w:t>
      </w:r>
    </w:p>
    <w:p w14:paraId="01C7DBEF">
      <w:pPr>
        <w:pStyle w:val="2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w:t>
      </w:r>
      <w:r>
        <w:rPr>
          <w:rFonts w:hint="eastAsia"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w:t>
      </w:r>
    </w:p>
    <w:p w14:paraId="446E054B">
      <w:pPr>
        <w:pStyle w:val="56"/>
        <w:spacing w:line="360" w:lineRule="auto"/>
        <w:jc w:val="both"/>
        <w:rPr>
          <w:rFonts w:hint="eastAsia" w:ascii="宋体" w:hAnsi="宋体" w:eastAsia="宋体" w:cs="宋体"/>
          <w:b/>
          <w:color w:val="auto"/>
          <w:spacing w:val="0"/>
          <w:kern w:val="2"/>
          <w:sz w:val="24"/>
          <w:highlight w:val="none"/>
        </w:rPr>
      </w:pPr>
    </w:p>
    <w:p w14:paraId="3A7E28FF">
      <w:pPr>
        <w:pStyle w:val="56"/>
        <w:spacing w:line="360" w:lineRule="auto"/>
        <w:ind w:left="5250"/>
        <w:rPr>
          <w:rFonts w:hint="eastAsia" w:ascii="宋体" w:hAnsi="宋体" w:eastAsia="宋体" w:cs="宋体"/>
          <w:b/>
          <w:color w:val="auto"/>
          <w:sz w:val="24"/>
          <w:szCs w:val="24"/>
          <w:highlight w:val="none"/>
        </w:rPr>
      </w:pPr>
    </w:p>
    <w:p w14:paraId="00CDAFFF">
      <w:pPr>
        <w:pStyle w:val="56"/>
        <w:spacing w:line="360" w:lineRule="auto"/>
        <w:ind w:left="5250"/>
        <w:rPr>
          <w:rFonts w:hint="eastAsia" w:ascii="宋体" w:hAnsi="宋体" w:eastAsia="宋体" w:cs="宋体"/>
          <w:b/>
          <w:color w:val="auto"/>
          <w:sz w:val="24"/>
          <w:szCs w:val="24"/>
          <w:highlight w:val="none"/>
        </w:rPr>
        <w:sectPr>
          <w:pgSz w:w="11905" w:h="16838"/>
          <w:pgMar w:top="1247" w:right="1423" w:bottom="1247" w:left="1423" w:header="0" w:footer="907" w:gutter="0"/>
          <w:lnNumType w:countBy="0" w:distance="360"/>
          <w:pgNumType w:fmt="decimal"/>
          <w:cols w:space="0" w:num="1"/>
          <w:rtlGutter w:val="0"/>
          <w:docGrid w:linePitch="312" w:charSpace="0"/>
        </w:sectPr>
      </w:pPr>
    </w:p>
    <w:bookmarkEnd w:id="347"/>
    <w:p w14:paraId="00CC9F70">
      <w:pPr>
        <w:rPr>
          <w:rFonts w:hint="eastAsia"/>
          <w:b/>
          <w:bCs/>
          <w:sz w:val="24"/>
          <w:highlight w:val="none"/>
        </w:rPr>
      </w:pPr>
      <w:bookmarkStart w:id="353" w:name="_Toc211"/>
      <w:bookmarkStart w:id="354" w:name="_Toc7147"/>
      <w:r>
        <w:rPr>
          <w:rFonts w:hint="eastAsia"/>
          <w:b/>
          <w:bCs/>
          <w:sz w:val="24"/>
          <w:highlight w:val="none"/>
        </w:rPr>
        <w:t>附件 2-2 法定代表人授权书(统一格式，自然人投标的无需提供)</w:t>
      </w:r>
      <w:bookmarkEnd w:id="353"/>
      <w:bookmarkEnd w:id="354"/>
    </w:p>
    <w:p w14:paraId="3D89D57B">
      <w:pPr>
        <w:widowControl/>
        <w:adjustRightInd/>
        <w:spacing w:line="360" w:lineRule="auto"/>
        <w:ind w:left="360" w:right="513" w:firstLine="480"/>
        <w:jc w:val="left"/>
        <w:rPr>
          <w:rFonts w:hint="eastAsia" w:ascii="宋体" w:hAnsi="宋体" w:eastAsia="宋体" w:cs="宋体"/>
          <w:color w:val="auto"/>
          <w:spacing w:val="-5"/>
          <w:w w:val="95"/>
          <w:kern w:val="2"/>
          <w:sz w:val="24"/>
          <w:szCs w:val="24"/>
          <w:highlight w:val="none"/>
        </w:rPr>
      </w:pPr>
    </w:p>
    <w:p w14:paraId="4165BFE0">
      <w:pPr>
        <w:pStyle w:val="25"/>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法定代表人身份证明</w:t>
      </w:r>
    </w:p>
    <w:p w14:paraId="7EE05452">
      <w:pPr>
        <w:pStyle w:val="25"/>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投标人名称：</w:t>
      </w:r>
      <w:r>
        <w:rPr>
          <w:rFonts w:hint="eastAsia" w:ascii="宋体" w:hAnsi="宋体" w:eastAsia="宋体" w:cs="宋体"/>
          <w:color w:val="auto"/>
          <w:sz w:val="24"/>
          <w:szCs w:val="24"/>
          <w:highlight w:val="none"/>
          <w:u w:val="single"/>
        </w:rPr>
        <w:t xml:space="preserve">                           </w:t>
      </w:r>
    </w:p>
    <w:p w14:paraId="25891593">
      <w:pPr>
        <w:pStyle w:val="25"/>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姓名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性别：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p>
    <w:p w14:paraId="2D9DC3AE">
      <w:pPr>
        <w:pStyle w:val="25"/>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（投标人名称）的法定代表人。 </w:t>
      </w:r>
    </w:p>
    <w:p w14:paraId="484200A1">
      <w:pPr>
        <w:pStyle w:val="2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14:paraId="516FB710">
      <w:pPr>
        <w:pStyle w:val="25"/>
        <w:spacing w:line="360" w:lineRule="auto"/>
        <w:rPr>
          <w:rFonts w:hint="eastAsia" w:ascii="宋体" w:hAnsi="宋体" w:eastAsia="宋体" w:cs="宋体"/>
          <w:color w:val="auto"/>
          <w:sz w:val="24"/>
          <w:szCs w:val="24"/>
          <w:highlight w:val="none"/>
        </w:rPr>
      </w:pPr>
    </w:p>
    <w:p w14:paraId="5CF540A3">
      <w:pPr>
        <w:pStyle w:val="25"/>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附：法定代表人身份证复印件。</w:t>
      </w:r>
    </w:p>
    <w:tbl>
      <w:tblPr>
        <w:tblStyle w:val="35"/>
        <w:tblW w:w="8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0"/>
      </w:tblGrid>
      <w:tr w14:paraId="2DA25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4" w:hRule="atLeast"/>
          <w:jc w:val="center"/>
        </w:trPr>
        <w:tc>
          <w:tcPr>
            <w:tcW w:w="84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F8CCC95">
            <w:pPr>
              <w:widowControl/>
              <w:adjustRightInd/>
              <w:spacing w:line="360" w:lineRule="auto"/>
              <w:jc w:val="center"/>
              <w:rPr>
                <w:rFonts w:hint="eastAsia" w:ascii="宋体" w:hAnsi="宋体" w:eastAsia="宋体" w:cs="宋体"/>
                <w:color w:val="auto"/>
                <w:kern w:val="2"/>
                <w:sz w:val="24"/>
                <w:szCs w:val="24"/>
                <w:highlight w:val="none"/>
              </w:rPr>
            </w:pPr>
            <w:r>
              <w:rPr>
                <w:rFonts w:hint="eastAsia" w:ascii="宋体" w:hAnsi="宋体" w:eastAsia="宋体" w:cs="宋体"/>
                <w:color w:val="auto"/>
                <w:spacing w:val="-3"/>
                <w:kern w:val="2"/>
                <w:sz w:val="24"/>
                <w:szCs w:val="24"/>
                <w:highlight w:val="none"/>
              </w:rPr>
              <w:t>法</w:t>
            </w:r>
            <w:r>
              <w:rPr>
                <w:rFonts w:hint="eastAsia" w:ascii="宋体" w:hAnsi="宋体" w:eastAsia="宋体" w:cs="宋体"/>
                <w:color w:val="auto"/>
                <w:kern w:val="2"/>
                <w:sz w:val="24"/>
                <w:szCs w:val="24"/>
                <w:highlight w:val="none"/>
              </w:rPr>
              <w:t>定</w:t>
            </w:r>
            <w:r>
              <w:rPr>
                <w:rFonts w:hint="eastAsia" w:ascii="宋体" w:hAnsi="宋体" w:eastAsia="宋体" w:cs="宋体"/>
                <w:color w:val="auto"/>
                <w:spacing w:val="-3"/>
                <w:kern w:val="2"/>
                <w:sz w:val="24"/>
                <w:szCs w:val="24"/>
                <w:highlight w:val="none"/>
              </w:rPr>
              <w:t>代</w:t>
            </w:r>
            <w:r>
              <w:rPr>
                <w:rFonts w:hint="eastAsia" w:ascii="宋体" w:hAnsi="宋体" w:eastAsia="宋体" w:cs="宋体"/>
                <w:color w:val="auto"/>
                <w:kern w:val="2"/>
                <w:sz w:val="24"/>
                <w:szCs w:val="24"/>
                <w:highlight w:val="none"/>
              </w:rPr>
              <w:t>表</w:t>
            </w:r>
            <w:r>
              <w:rPr>
                <w:rFonts w:hint="eastAsia" w:ascii="宋体" w:hAnsi="宋体" w:eastAsia="宋体" w:cs="宋体"/>
                <w:color w:val="auto"/>
                <w:spacing w:val="-3"/>
                <w:kern w:val="2"/>
                <w:sz w:val="24"/>
                <w:szCs w:val="24"/>
                <w:highlight w:val="none"/>
              </w:rPr>
              <w:t>人</w:t>
            </w:r>
            <w:r>
              <w:rPr>
                <w:rFonts w:hint="eastAsia" w:ascii="宋体" w:hAnsi="宋体" w:eastAsia="宋体" w:cs="宋体"/>
                <w:color w:val="auto"/>
                <w:kern w:val="2"/>
                <w:sz w:val="24"/>
                <w:szCs w:val="24"/>
                <w:highlight w:val="none"/>
              </w:rPr>
              <w:t>身</w:t>
            </w:r>
            <w:r>
              <w:rPr>
                <w:rFonts w:hint="eastAsia" w:ascii="宋体" w:hAnsi="宋体" w:eastAsia="宋体" w:cs="宋体"/>
                <w:color w:val="auto"/>
                <w:spacing w:val="-3"/>
                <w:kern w:val="2"/>
                <w:sz w:val="24"/>
                <w:szCs w:val="24"/>
                <w:highlight w:val="none"/>
              </w:rPr>
              <w:t>份</w:t>
            </w:r>
            <w:r>
              <w:rPr>
                <w:rFonts w:hint="eastAsia" w:ascii="宋体" w:hAnsi="宋体" w:eastAsia="宋体" w:cs="宋体"/>
                <w:color w:val="auto"/>
                <w:kern w:val="2"/>
                <w:sz w:val="24"/>
                <w:szCs w:val="24"/>
                <w:highlight w:val="none"/>
              </w:rPr>
              <w:t>证</w:t>
            </w:r>
            <w:r>
              <w:rPr>
                <w:rFonts w:hint="eastAsia" w:ascii="宋体" w:hAnsi="宋体" w:eastAsia="宋体" w:cs="宋体"/>
                <w:color w:val="auto"/>
                <w:spacing w:val="-3"/>
                <w:kern w:val="2"/>
                <w:sz w:val="24"/>
                <w:szCs w:val="24"/>
                <w:highlight w:val="none"/>
              </w:rPr>
              <w:t>正反面</w:t>
            </w:r>
          </w:p>
        </w:tc>
      </w:tr>
    </w:tbl>
    <w:p w14:paraId="6A0053C5">
      <w:pPr>
        <w:pStyle w:val="25"/>
        <w:spacing w:line="360" w:lineRule="auto"/>
        <w:rPr>
          <w:rFonts w:hint="eastAsia" w:ascii="宋体" w:hAnsi="宋体" w:eastAsia="宋体" w:cs="宋体"/>
          <w:color w:val="auto"/>
          <w:sz w:val="24"/>
          <w:szCs w:val="24"/>
          <w:highlight w:val="none"/>
          <w:u w:val="single"/>
        </w:rPr>
      </w:pPr>
    </w:p>
    <w:p w14:paraId="78CD9432">
      <w:pPr>
        <w:pStyle w:val="25"/>
        <w:spacing w:line="360" w:lineRule="auto"/>
        <w:rPr>
          <w:rFonts w:hint="eastAsia" w:ascii="宋体" w:hAnsi="宋体" w:eastAsia="宋体" w:cs="宋体"/>
          <w:color w:val="auto"/>
          <w:sz w:val="24"/>
          <w:szCs w:val="24"/>
          <w:highlight w:val="none"/>
          <w:u w:val="single"/>
        </w:rPr>
      </w:pPr>
    </w:p>
    <w:p w14:paraId="1BACC795">
      <w:pPr>
        <w:pStyle w:val="25"/>
        <w:spacing w:line="360" w:lineRule="auto"/>
        <w:rPr>
          <w:rFonts w:hint="eastAsia" w:ascii="宋体" w:hAnsi="宋体" w:eastAsia="宋体" w:cs="宋体"/>
          <w:color w:val="auto"/>
          <w:sz w:val="24"/>
          <w:szCs w:val="24"/>
          <w:highlight w:val="none"/>
          <w:u w:val="single"/>
        </w:rPr>
      </w:pPr>
    </w:p>
    <w:p w14:paraId="5C1FE5A4">
      <w:pPr>
        <w:pStyle w:val="25"/>
        <w:spacing w:line="360" w:lineRule="auto"/>
        <w:rPr>
          <w:rFonts w:hint="eastAsia" w:ascii="宋体" w:hAnsi="宋体" w:eastAsia="宋体" w:cs="宋体"/>
          <w:color w:val="auto"/>
          <w:sz w:val="24"/>
          <w:szCs w:val="24"/>
          <w:highlight w:val="none"/>
          <w:u w:val="single"/>
        </w:rPr>
      </w:pPr>
    </w:p>
    <w:p w14:paraId="336B3DD4">
      <w:pPr>
        <w:widowControl/>
        <w:adjustRightInd/>
        <w:spacing w:line="360" w:lineRule="auto"/>
        <w:jc w:val="right"/>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lang w:bidi="ar"/>
        </w:rPr>
        <w:t>投标人：</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 xml:space="preserve"> （盖单位章）</w:t>
      </w:r>
    </w:p>
    <w:p w14:paraId="1604B6E2">
      <w:pPr>
        <w:pStyle w:val="20"/>
        <w:spacing w:line="360" w:lineRule="auto"/>
        <w:ind w:firstLine="480" w:firstLineChars="20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w:t>
      </w:r>
      <w:r>
        <w:rPr>
          <w:rFonts w:hint="eastAsia"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w:t>
      </w:r>
    </w:p>
    <w:p w14:paraId="5F16DA4B">
      <w:pPr>
        <w:widowControl/>
        <w:adjustRightInd/>
        <w:spacing w:line="360" w:lineRule="auto"/>
        <w:jc w:val="left"/>
        <w:rPr>
          <w:rFonts w:hint="eastAsia" w:ascii="宋体" w:hAnsi="宋体" w:eastAsia="宋体" w:cs="宋体"/>
          <w:color w:val="auto"/>
          <w:spacing w:val="-5"/>
          <w:w w:val="95"/>
          <w:kern w:val="2"/>
          <w:sz w:val="24"/>
          <w:szCs w:val="24"/>
          <w:highlight w:val="none"/>
        </w:rPr>
      </w:pPr>
      <w:r>
        <w:rPr>
          <w:rFonts w:hint="eastAsia" w:ascii="宋体" w:hAnsi="宋体" w:eastAsia="宋体" w:cs="宋体"/>
          <w:color w:val="auto"/>
          <w:spacing w:val="-5"/>
          <w:w w:val="95"/>
          <w:kern w:val="2"/>
          <w:sz w:val="24"/>
          <w:szCs w:val="24"/>
          <w:highlight w:val="none"/>
        </w:rPr>
        <w:br w:type="page"/>
      </w:r>
    </w:p>
    <w:p w14:paraId="14662D9D">
      <w:pPr>
        <w:widowControl/>
        <w:adjustRightInd/>
        <w:spacing w:line="360" w:lineRule="auto"/>
        <w:ind w:right="106" w:firstLine="480"/>
        <w:jc w:val="center"/>
        <w:rPr>
          <w:rFonts w:hint="eastAsia" w:ascii="宋体" w:hAnsi="宋体" w:eastAsia="宋体" w:cs="宋体"/>
          <w:b/>
          <w:color w:val="auto"/>
          <w:spacing w:val="-5"/>
          <w:w w:val="95"/>
          <w:kern w:val="2"/>
          <w:sz w:val="24"/>
          <w:szCs w:val="24"/>
          <w:highlight w:val="none"/>
        </w:rPr>
      </w:pPr>
      <w:r>
        <w:rPr>
          <w:rFonts w:hint="eastAsia" w:ascii="宋体" w:hAnsi="宋体" w:eastAsia="宋体" w:cs="宋体"/>
          <w:b/>
          <w:color w:val="auto"/>
          <w:kern w:val="2"/>
          <w:sz w:val="24"/>
          <w:szCs w:val="24"/>
          <w:highlight w:val="none"/>
        </w:rPr>
        <w:t>法定代表人授权书</w:t>
      </w:r>
    </w:p>
    <w:p w14:paraId="05348416">
      <w:pPr>
        <w:widowControl/>
        <w:adjustRightInd/>
        <w:spacing w:line="360" w:lineRule="auto"/>
        <w:ind w:right="106" w:firstLine="480"/>
        <w:jc w:val="left"/>
        <w:rPr>
          <w:rFonts w:hint="eastAsia" w:ascii="宋体" w:hAnsi="宋体" w:eastAsia="宋体" w:cs="宋体"/>
          <w:color w:val="auto"/>
          <w:spacing w:val="-5"/>
          <w:w w:val="95"/>
          <w:kern w:val="2"/>
          <w:sz w:val="24"/>
          <w:szCs w:val="24"/>
          <w:highlight w:val="none"/>
        </w:rPr>
      </w:pPr>
    </w:p>
    <w:p w14:paraId="71DEE5E5">
      <w:pPr>
        <w:widowControl/>
        <w:adjustRightInd/>
        <w:spacing w:line="360" w:lineRule="auto"/>
        <w:ind w:right="106" w:firstLine="480"/>
        <w:jc w:val="left"/>
        <w:rPr>
          <w:rFonts w:hint="eastAsia" w:ascii="宋体" w:hAnsi="宋体" w:eastAsia="宋体" w:cs="宋体"/>
          <w:color w:val="auto"/>
          <w:kern w:val="2"/>
          <w:sz w:val="24"/>
          <w:szCs w:val="24"/>
          <w:highlight w:val="none"/>
        </w:rPr>
      </w:pPr>
      <w:r>
        <w:rPr>
          <w:rFonts w:hint="eastAsia" w:ascii="宋体" w:hAnsi="宋体" w:eastAsia="宋体" w:cs="宋体"/>
          <w:color w:val="auto"/>
          <w:spacing w:val="-5"/>
          <w:w w:val="95"/>
          <w:kern w:val="2"/>
          <w:sz w:val="24"/>
          <w:szCs w:val="24"/>
          <w:highlight w:val="none"/>
        </w:rPr>
        <w:t>本授权书声明：注册于</w:t>
      </w:r>
      <w:r>
        <w:rPr>
          <w:rFonts w:hint="eastAsia" w:ascii="宋体" w:hAnsi="宋体" w:eastAsia="宋体" w:cs="宋体"/>
          <w:color w:val="auto"/>
          <w:w w:val="95"/>
          <w:kern w:val="2"/>
          <w:sz w:val="24"/>
          <w:szCs w:val="24"/>
          <w:highlight w:val="none"/>
          <w:u w:val="single"/>
        </w:rPr>
        <w:t>（国家或地区的名称</w:t>
      </w:r>
      <w:r>
        <w:rPr>
          <w:rFonts w:hint="eastAsia" w:ascii="宋体" w:hAnsi="宋体" w:eastAsia="宋体" w:cs="宋体"/>
          <w:color w:val="auto"/>
          <w:spacing w:val="-17"/>
          <w:w w:val="95"/>
          <w:kern w:val="2"/>
          <w:sz w:val="24"/>
          <w:szCs w:val="24"/>
          <w:highlight w:val="none"/>
          <w:u w:val="single"/>
        </w:rPr>
        <w:t>）</w:t>
      </w:r>
      <w:r>
        <w:rPr>
          <w:rFonts w:hint="eastAsia" w:ascii="宋体" w:hAnsi="宋体" w:eastAsia="宋体" w:cs="宋体"/>
          <w:color w:val="auto"/>
          <w:spacing w:val="-15"/>
          <w:w w:val="95"/>
          <w:kern w:val="2"/>
          <w:sz w:val="24"/>
          <w:szCs w:val="24"/>
          <w:highlight w:val="none"/>
        </w:rPr>
        <w:t>的</w:t>
      </w:r>
      <w:r>
        <w:rPr>
          <w:rFonts w:hint="eastAsia" w:ascii="宋体" w:hAnsi="宋体" w:eastAsia="宋体" w:cs="宋体"/>
          <w:color w:val="auto"/>
          <w:w w:val="95"/>
          <w:kern w:val="2"/>
          <w:sz w:val="24"/>
          <w:szCs w:val="24"/>
          <w:highlight w:val="none"/>
          <w:u w:val="single"/>
        </w:rPr>
        <w:t>（</w:t>
      </w:r>
      <w:r>
        <w:rPr>
          <w:rFonts w:hint="eastAsia" w:ascii="宋体" w:hAnsi="宋体" w:eastAsia="宋体" w:cs="宋体"/>
          <w:i/>
          <w:color w:val="auto"/>
          <w:w w:val="95"/>
          <w:kern w:val="2"/>
          <w:sz w:val="24"/>
          <w:szCs w:val="24"/>
          <w:highlight w:val="none"/>
          <w:u w:val="single"/>
        </w:rPr>
        <w:t>投标人名称</w:t>
      </w:r>
      <w:r>
        <w:rPr>
          <w:rFonts w:hint="eastAsia" w:ascii="宋体" w:hAnsi="宋体" w:eastAsia="宋体" w:cs="宋体"/>
          <w:color w:val="auto"/>
          <w:spacing w:val="-15"/>
          <w:w w:val="95"/>
          <w:kern w:val="2"/>
          <w:sz w:val="24"/>
          <w:szCs w:val="24"/>
          <w:highlight w:val="none"/>
          <w:u w:val="single"/>
        </w:rPr>
        <w:t>）</w:t>
      </w:r>
      <w:r>
        <w:rPr>
          <w:rFonts w:hint="eastAsia" w:ascii="宋体" w:hAnsi="宋体" w:eastAsia="宋体" w:cs="宋体"/>
          <w:color w:val="auto"/>
          <w:spacing w:val="-3"/>
          <w:w w:val="95"/>
          <w:kern w:val="2"/>
          <w:sz w:val="24"/>
          <w:szCs w:val="24"/>
          <w:highlight w:val="none"/>
        </w:rPr>
        <w:t>的在下面签字的</w:t>
      </w:r>
      <w:r>
        <w:rPr>
          <w:rFonts w:hint="eastAsia" w:ascii="宋体" w:hAnsi="宋体" w:eastAsia="宋体" w:cs="宋体"/>
          <w:color w:val="auto"/>
          <w:w w:val="95"/>
          <w:kern w:val="2"/>
          <w:sz w:val="24"/>
          <w:szCs w:val="24"/>
          <w:highlight w:val="none"/>
        </w:rPr>
        <w:t>（</w:t>
      </w:r>
      <w:r>
        <w:rPr>
          <w:rFonts w:hint="eastAsia" w:ascii="宋体" w:hAnsi="宋体" w:eastAsia="宋体" w:cs="宋体"/>
          <w:i/>
          <w:color w:val="auto"/>
          <w:spacing w:val="-7"/>
          <w:w w:val="95"/>
          <w:kern w:val="2"/>
          <w:sz w:val="24"/>
          <w:szCs w:val="24"/>
          <w:highlight w:val="none"/>
          <w:u w:val="single"/>
        </w:rPr>
        <w:t>法人代表姓名</w:t>
      </w:r>
      <w:r>
        <w:rPr>
          <w:rFonts w:hint="eastAsia" w:ascii="宋体" w:hAnsi="宋体" w:eastAsia="宋体" w:cs="宋体"/>
          <w:i/>
          <w:color w:val="auto"/>
          <w:spacing w:val="-29"/>
          <w:w w:val="95"/>
          <w:kern w:val="2"/>
          <w:sz w:val="24"/>
          <w:szCs w:val="24"/>
          <w:highlight w:val="none"/>
          <w:u w:val="single"/>
        </w:rPr>
        <w:t>、职务</w:t>
      </w:r>
      <w:r>
        <w:rPr>
          <w:rFonts w:hint="eastAsia" w:ascii="宋体" w:hAnsi="宋体" w:eastAsia="宋体" w:cs="宋体"/>
          <w:color w:val="auto"/>
          <w:spacing w:val="-15"/>
          <w:w w:val="95"/>
          <w:kern w:val="2"/>
          <w:sz w:val="24"/>
          <w:szCs w:val="24"/>
          <w:highlight w:val="none"/>
        </w:rPr>
        <w:t>）</w:t>
      </w:r>
      <w:r>
        <w:rPr>
          <w:rFonts w:hint="eastAsia" w:ascii="宋体" w:hAnsi="宋体" w:eastAsia="宋体" w:cs="宋体"/>
          <w:color w:val="auto"/>
          <w:spacing w:val="-4"/>
          <w:w w:val="95"/>
          <w:kern w:val="2"/>
          <w:sz w:val="24"/>
          <w:szCs w:val="24"/>
          <w:highlight w:val="none"/>
        </w:rPr>
        <w:t>代表本公司授权</w:t>
      </w:r>
      <w:r>
        <w:rPr>
          <w:rFonts w:hint="eastAsia" w:ascii="宋体" w:hAnsi="宋体" w:eastAsia="宋体" w:cs="宋体"/>
          <w:color w:val="auto"/>
          <w:w w:val="95"/>
          <w:kern w:val="2"/>
          <w:sz w:val="24"/>
          <w:szCs w:val="24"/>
          <w:highlight w:val="none"/>
          <w:u w:val="single"/>
        </w:rPr>
        <w:t>（</w:t>
      </w:r>
      <w:r>
        <w:rPr>
          <w:rFonts w:hint="eastAsia" w:ascii="宋体" w:hAnsi="宋体" w:eastAsia="宋体" w:cs="宋体"/>
          <w:i/>
          <w:color w:val="auto"/>
          <w:w w:val="95"/>
          <w:kern w:val="2"/>
          <w:sz w:val="24"/>
          <w:szCs w:val="24"/>
          <w:highlight w:val="none"/>
          <w:u w:val="single"/>
        </w:rPr>
        <w:t>投标人名称</w:t>
      </w:r>
      <w:r>
        <w:rPr>
          <w:rFonts w:hint="eastAsia" w:ascii="宋体" w:hAnsi="宋体" w:eastAsia="宋体" w:cs="宋体"/>
          <w:color w:val="auto"/>
          <w:spacing w:val="-15"/>
          <w:w w:val="95"/>
          <w:kern w:val="2"/>
          <w:sz w:val="24"/>
          <w:szCs w:val="24"/>
          <w:highlight w:val="none"/>
          <w:u w:val="single"/>
        </w:rPr>
        <w:t>）</w:t>
      </w:r>
      <w:r>
        <w:rPr>
          <w:rFonts w:hint="eastAsia" w:ascii="宋体" w:hAnsi="宋体" w:eastAsia="宋体" w:cs="宋体"/>
          <w:color w:val="auto"/>
          <w:spacing w:val="-3"/>
          <w:w w:val="95"/>
          <w:kern w:val="2"/>
          <w:sz w:val="24"/>
          <w:szCs w:val="24"/>
          <w:highlight w:val="none"/>
        </w:rPr>
        <w:t>的在下面签字的</w:t>
      </w:r>
      <w:r>
        <w:rPr>
          <w:rFonts w:hint="eastAsia" w:ascii="宋体" w:hAnsi="宋体" w:eastAsia="宋体" w:cs="宋体"/>
          <w:color w:val="auto"/>
          <w:w w:val="95"/>
          <w:kern w:val="2"/>
          <w:sz w:val="24"/>
          <w:szCs w:val="24"/>
          <w:highlight w:val="none"/>
        </w:rPr>
        <w:t>（</w:t>
      </w:r>
      <w:r>
        <w:rPr>
          <w:rFonts w:hint="eastAsia" w:ascii="宋体" w:hAnsi="宋体" w:eastAsia="宋体" w:cs="宋体"/>
          <w:i/>
          <w:color w:val="auto"/>
          <w:spacing w:val="-4"/>
          <w:w w:val="95"/>
          <w:kern w:val="2"/>
          <w:sz w:val="24"/>
          <w:szCs w:val="24"/>
          <w:highlight w:val="none"/>
          <w:u w:val="single"/>
        </w:rPr>
        <w:t xml:space="preserve">被授权人的姓名、职务 </w:t>
      </w:r>
      <w:r>
        <w:rPr>
          <w:rFonts w:hint="eastAsia" w:ascii="宋体" w:hAnsi="宋体" w:eastAsia="宋体" w:cs="宋体"/>
          <w:color w:val="auto"/>
          <w:spacing w:val="-20"/>
          <w:w w:val="95"/>
          <w:kern w:val="2"/>
          <w:sz w:val="24"/>
          <w:szCs w:val="24"/>
          <w:highlight w:val="none"/>
        </w:rPr>
        <w:t>）</w:t>
      </w:r>
      <w:r>
        <w:rPr>
          <w:rFonts w:hint="eastAsia" w:ascii="宋体" w:hAnsi="宋体" w:eastAsia="宋体" w:cs="宋体"/>
          <w:color w:val="auto"/>
          <w:spacing w:val="-4"/>
          <w:w w:val="95"/>
          <w:kern w:val="2"/>
          <w:sz w:val="24"/>
          <w:szCs w:val="24"/>
          <w:highlight w:val="none"/>
        </w:rPr>
        <w:t>为本公司的合法代理人，就</w:t>
      </w:r>
      <w:r>
        <w:rPr>
          <w:rFonts w:hint="eastAsia" w:ascii="宋体" w:hAnsi="宋体" w:eastAsia="宋体" w:cs="宋体"/>
          <w:color w:val="auto"/>
          <w:w w:val="95"/>
          <w:kern w:val="2"/>
          <w:sz w:val="24"/>
          <w:szCs w:val="24"/>
          <w:highlight w:val="none"/>
        </w:rPr>
        <w:t>（</w:t>
      </w:r>
      <w:r>
        <w:rPr>
          <w:rFonts w:hint="eastAsia" w:ascii="宋体" w:hAnsi="宋体" w:eastAsia="宋体" w:cs="宋体"/>
          <w:i/>
          <w:color w:val="auto"/>
          <w:w w:val="95"/>
          <w:kern w:val="2"/>
          <w:sz w:val="24"/>
          <w:szCs w:val="24"/>
          <w:highlight w:val="none"/>
          <w:u w:val="single"/>
          <w:lang w:val="en-US" w:eastAsia="zh-CN"/>
        </w:rPr>
        <w:t>项目</w:t>
      </w:r>
      <w:r>
        <w:rPr>
          <w:rFonts w:hint="eastAsia" w:ascii="宋体" w:hAnsi="宋体" w:eastAsia="宋体" w:cs="宋体"/>
          <w:i/>
          <w:color w:val="auto"/>
          <w:w w:val="95"/>
          <w:kern w:val="2"/>
          <w:sz w:val="24"/>
          <w:szCs w:val="24"/>
          <w:highlight w:val="none"/>
          <w:u w:val="single"/>
        </w:rPr>
        <w:t>名称</w:t>
      </w:r>
      <w:r>
        <w:rPr>
          <w:rFonts w:hint="eastAsia" w:ascii="宋体" w:hAnsi="宋体" w:eastAsia="宋体" w:cs="宋体"/>
          <w:color w:val="auto"/>
          <w:spacing w:val="-17"/>
          <w:w w:val="95"/>
          <w:kern w:val="2"/>
          <w:sz w:val="24"/>
          <w:szCs w:val="24"/>
          <w:highlight w:val="none"/>
        </w:rPr>
        <w:t>）</w:t>
      </w:r>
      <w:r>
        <w:rPr>
          <w:rFonts w:hint="eastAsia" w:ascii="宋体" w:hAnsi="宋体" w:eastAsia="宋体" w:cs="宋体"/>
          <w:color w:val="auto"/>
          <w:spacing w:val="-4"/>
          <w:w w:val="95"/>
          <w:kern w:val="2"/>
          <w:sz w:val="24"/>
          <w:szCs w:val="24"/>
          <w:highlight w:val="none"/>
        </w:rPr>
        <w:t>的投标，以本公司名义处理一切与之有关的</w:t>
      </w:r>
      <w:r>
        <w:rPr>
          <w:rFonts w:hint="eastAsia" w:ascii="宋体" w:hAnsi="宋体" w:eastAsia="宋体" w:cs="宋体"/>
          <w:color w:val="auto"/>
          <w:kern w:val="2"/>
          <w:sz w:val="24"/>
          <w:szCs w:val="24"/>
          <w:highlight w:val="none"/>
        </w:rPr>
        <w:t>事务。</w:t>
      </w:r>
    </w:p>
    <w:p w14:paraId="60C3D34E">
      <w:pPr>
        <w:pStyle w:val="2"/>
        <w:tabs>
          <w:tab w:val="left" w:pos="3360"/>
          <w:tab w:val="left" w:pos="4200"/>
          <w:tab w:val="left" w:pos="5041"/>
        </w:tabs>
        <w:spacing w:before="6"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本授权书于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日签字生效,特此声明。</w:t>
      </w:r>
    </w:p>
    <w:p w14:paraId="6FA48E9A">
      <w:pPr>
        <w:pStyle w:val="2"/>
        <w:spacing w:before="11" w:line="360" w:lineRule="auto"/>
        <w:rPr>
          <w:rFonts w:hint="eastAsia" w:ascii="宋体" w:hAnsi="宋体" w:eastAsia="宋体" w:cs="宋体"/>
          <w:color w:val="auto"/>
          <w:sz w:val="24"/>
          <w:szCs w:val="24"/>
          <w:highlight w:val="none"/>
        </w:rPr>
      </w:pPr>
    </w:p>
    <w:p w14:paraId="42F8CD29">
      <w:pPr>
        <w:pStyle w:val="2"/>
        <w:tabs>
          <w:tab w:val="left" w:pos="6296"/>
          <w:tab w:val="left" w:pos="6416"/>
        </w:tabs>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法定代表人签字或盖章：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w:t>
      </w:r>
    </w:p>
    <w:p w14:paraId="3CABA112">
      <w:pPr>
        <w:pStyle w:val="2"/>
        <w:tabs>
          <w:tab w:val="left" w:pos="6296"/>
          <w:tab w:val="left" w:pos="6416"/>
        </w:tabs>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被授权人签字：</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w:t>
      </w:r>
    </w:p>
    <w:p w14:paraId="54535D25">
      <w:pPr>
        <w:pStyle w:val="2"/>
        <w:tabs>
          <w:tab w:val="left" w:pos="6296"/>
          <w:tab w:val="left" w:pos="6416"/>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投标人盖章：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p>
    <w:p w14:paraId="6A3A0D5F">
      <w:pPr>
        <w:pStyle w:val="2"/>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w:t>
      </w:r>
    </w:p>
    <w:p w14:paraId="2F600169">
      <w:pPr>
        <w:pStyle w:val="2"/>
        <w:tabs>
          <w:tab w:val="left" w:pos="6476"/>
        </w:tabs>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被授权人姓名：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w:t>
      </w:r>
    </w:p>
    <w:p w14:paraId="16F2C201">
      <w:pPr>
        <w:pStyle w:val="2"/>
        <w:tabs>
          <w:tab w:val="left" w:pos="6476"/>
        </w:tabs>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职        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w:t>
      </w:r>
    </w:p>
    <w:p w14:paraId="7B67A5F0">
      <w:pPr>
        <w:pStyle w:val="2"/>
        <w:tabs>
          <w:tab w:val="left" w:pos="6476"/>
        </w:tabs>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详细通讯地址：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w:t>
      </w:r>
    </w:p>
    <w:p w14:paraId="012E75F4">
      <w:pPr>
        <w:pStyle w:val="2"/>
        <w:tabs>
          <w:tab w:val="left" w:pos="6476"/>
        </w:tabs>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邮 政 编</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z w:val="24"/>
          <w:szCs w:val="24"/>
          <w:highlight w:val="none"/>
        </w:rPr>
        <w:t>码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w:t>
      </w:r>
    </w:p>
    <w:p w14:paraId="2FC06E2E">
      <w:pPr>
        <w:pStyle w:val="2"/>
        <w:tabs>
          <w:tab w:val="left" w:pos="6476"/>
        </w:tabs>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电  子 邮 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w:t>
      </w:r>
    </w:p>
    <w:p w14:paraId="423097BD">
      <w:pPr>
        <w:pStyle w:val="2"/>
        <w:tabs>
          <w:tab w:val="left" w:pos="6476"/>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p>
    <w:p w14:paraId="5C579518">
      <w:pPr>
        <w:pStyle w:val="2"/>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mc:AlternateContent>
          <mc:Choice Requires="wps">
            <w:drawing>
              <wp:anchor distT="0" distB="0" distL="114300" distR="114300" simplePos="0" relativeHeight="251661312" behindDoc="1" locked="0" layoutInCell="1" allowOverlap="1">
                <wp:simplePos x="0" y="0"/>
                <wp:positionH relativeFrom="page">
                  <wp:posOffset>1302385</wp:posOffset>
                </wp:positionH>
                <wp:positionV relativeFrom="paragraph">
                  <wp:posOffset>119380</wp:posOffset>
                </wp:positionV>
                <wp:extent cx="2240915" cy="1125855"/>
                <wp:effectExtent l="4445" t="4445" r="21590" b="12700"/>
                <wp:wrapTopAndBottom/>
                <wp:docPr id="3" name="文本框 13"/>
                <wp:cNvGraphicFramePr/>
                <a:graphic xmlns:a="http://schemas.openxmlformats.org/drawingml/2006/main">
                  <a:graphicData uri="http://schemas.microsoft.com/office/word/2010/wordprocessingShape">
                    <wps:wsp>
                      <wps:cNvSpPr txBox="1"/>
                      <wps:spPr>
                        <a:xfrm>
                          <a:off x="0" y="0"/>
                          <a:ext cx="2240915" cy="1125855"/>
                        </a:xfrm>
                        <a:prstGeom prst="rect">
                          <a:avLst/>
                        </a:prstGeom>
                        <a:noFill/>
                        <a:ln w="9525" cap="flat" cmpd="sng">
                          <a:solidFill>
                            <a:srgbClr val="000000"/>
                          </a:solidFill>
                          <a:prstDash val="solid"/>
                          <a:miter/>
                          <a:headEnd type="none" w="med" len="med"/>
                          <a:tailEnd type="none" w="med" len="med"/>
                        </a:ln>
                      </wps:spPr>
                      <wps:txbx>
                        <w:txbxContent>
                          <w:p w14:paraId="7CDF928C">
                            <w:pPr>
                              <w:pStyle w:val="2"/>
                              <w:autoSpaceDE w:val="0"/>
                              <w:autoSpaceDN w:val="0"/>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法定代表人身份证复印件</w:t>
                            </w:r>
                          </w:p>
                          <w:p w14:paraId="2923972B">
                            <w:pPr>
                              <w:pStyle w:val="2"/>
                              <w:autoSpaceDE w:val="0"/>
                              <w:autoSpaceDN w:val="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（正面）</w:t>
                            </w:r>
                          </w:p>
                        </w:txbxContent>
                      </wps:txbx>
                      <wps:bodyPr wrap="square" lIns="0" tIns="0" rIns="0" bIns="0" upright="1"/>
                    </wps:wsp>
                  </a:graphicData>
                </a:graphic>
              </wp:anchor>
            </w:drawing>
          </mc:Choice>
          <mc:Fallback>
            <w:pict>
              <v:shape id="文本框 13" o:spid="_x0000_s1026" o:spt="202" type="#_x0000_t202" style="position:absolute;left:0pt;margin-left:102.55pt;margin-top:9.4pt;height:88.65pt;width:176.45pt;mso-position-horizontal-relative:page;mso-wrap-distance-bottom:0pt;mso-wrap-distance-top:0pt;z-index:-251655168;mso-width-relative:page;mso-height-relative:page;" filled="f" stroked="t" coordsize="21600,21600" o:gfxdata="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MzVWr2AAA&#10;AAoBAAAPAAAAAAAAAAEAIAAAACIAAABkcnMvZG93bnJldi54bWxQSwECFAAUAAAACACHTuJAIWza&#10;qB4CAABBBAAADgAAAAAAAAABACAAAAAnAQAAZHJzL2Uyb0RvYy54bWxQSwUGAAAAAAYABgBZAQAA&#10;twUAAAAA&#10;">
                <v:fill on="f" focussize="0,0"/>
                <v:stroke color="#000000" joinstyle="miter"/>
                <v:imagedata o:title=""/>
                <o:lock v:ext="edit" aspectratio="f"/>
                <v:textbox inset="0mm,0mm,0mm,0mm">
                  <w:txbxContent>
                    <w:p w14:paraId="7CDF928C">
                      <w:pPr>
                        <w:pStyle w:val="2"/>
                        <w:autoSpaceDE w:val="0"/>
                        <w:autoSpaceDN w:val="0"/>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法定代表人身份证复印件</w:t>
                      </w:r>
                    </w:p>
                    <w:p w14:paraId="2923972B">
                      <w:pPr>
                        <w:pStyle w:val="2"/>
                        <w:autoSpaceDE w:val="0"/>
                        <w:autoSpaceDN w:val="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（正面）</w:t>
                      </w:r>
                    </w:p>
                  </w:txbxContent>
                </v:textbox>
                <w10:wrap type="topAndBottom"/>
              </v:shape>
            </w:pict>
          </mc:Fallback>
        </mc:AlternateContent>
      </w:r>
      <w:r>
        <w:rPr>
          <w:rFonts w:hint="eastAsia" w:ascii="宋体" w:hAnsi="宋体" w:eastAsia="宋体" w:cs="宋体"/>
          <w:color w:val="auto"/>
          <w:sz w:val="24"/>
          <w:szCs w:val="24"/>
          <w:highlight w:val="none"/>
        </w:rPr>
        <mc:AlternateContent>
          <mc:Choice Requires="wps">
            <w:drawing>
              <wp:anchor distT="0" distB="0" distL="114300" distR="114300" simplePos="0" relativeHeight="251662336" behindDoc="1" locked="0" layoutInCell="1" allowOverlap="1">
                <wp:simplePos x="0" y="0"/>
                <wp:positionH relativeFrom="page">
                  <wp:posOffset>3790315</wp:posOffset>
                </wp:positionH>
                <wp:positionV relativeFrom="paragraph">
                  <wp:posOffset>121285</wp:posOffset>
                </wp:positionV>
                <wp:extent cx="2240915" cy="1125855"/>
                <wp:effectExtent l="4445" t="4445" r="21590" b="12700"/>
                <wp:wrapTopAndBottom/>
                <wp:docPr id="4" name="文本框 14"/>
                <wp:cNvGraphicFramePr/>
                <a:graphic xmlns:a="http://schemas.openxmlformats.org/drawingml/2006/main">
                  <a:graphicData uri="http://schemas.microsoft.com/office/word/2010/wordprocessingShape">
                    <wps:wsp>
                      <wps:cNvSpPr txBox="1"/>
                      <wps:spPr>
                        <a:xfrm>
                          <a:off x="0" y="0"/>
                          <a:ext cx="2240915" cy="1125855"/>
                        </a:xfrm>
                        <a:prstGeom prst="rect">
                          <a:avLst/>
                        </a:prstGeom>
                        <a:noFill/>
                        <a:ln w="9525" cap="flat" cmpd="sng">
                          <a:solidFill>
                            <a:srgbClr val="000000"/>
                          </a:solidFill>
                          <a:prstDash val="solid"/>
                          <a:miter/>
                          <a:headEnd type="none" w="med" len="med"/>
                          <a:tailEnd type="none" w="med" len="med"/>
                        </a:ln>
                      </wps:spPr>
                      <wps:txbx>
                        <w:txbxContent>
                          <w:p w14:paraId="57232F3A">
                            <w:pPr>
                              <w:pStyle w:val="2"/>
                              <w:ind w:left="417" w:right="416"/>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授权代表身份证复印件</w:t>
                            </w:r>
                          </w:p>
                          <w:p w14:paraId="624AC70F">
                            <w:pPr>
                              <w:pStyle w:val="2"/>
                              <w:spacing w:before="2"/>
                              <w:ind w:left="417" w:right="416"/>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（正面）</w:t>
                            </w:r>
                          </w:p>
                        </w:txbxContent>
                      </wps:txbx>
                      <wps:bodyPr wrap="square" lIns="0" tIns="0" rIns="0" bIns="0" upright="1"/>
                    </wps:wsp>
                  </a:graphicData>
                </a:graphic>
              </wp:anchor>
            </w:drawing>
          </mc:Choice>
          <mc:Fallback>
            <w:pict>
              <v:shape id="文本框 14" o:spid="_x0000_s1026" o:spt="202" type="#_x0000_t202" style="position:absolute;left:0pt;margin-left:298.45pt;margin-top:9.55pt;height:88.65pt;width:176.45pt;mso-position-horizontal-relative:page;mso-wrap-distance-bottom:0pt;mso-wrap-distance-top:0pt;z-index:-251654144;mso-width-relative:page;mso-height-relative:page;" filled="f" stroked="t" coordsize="21600,21600" o:gfxdata="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NBeT4tkA&#10;AAAKAQAADwAAAAAAAAABACAAAAAiAAAAZHJzL2Rvd25yZXYueG1sUEsBAhQAFAAAAAgAh07iQBoY&#10;ec8eAgAAQQQAAA4AAAAAAAAAAQAgAAAAKAEAAGRycy9lMm9Eb2MueG1sUEsFBgAAAAAGAAYAWQEA&#10;ALgFAAAAAA==&#10;">
                <v:fill on="f" focussize="0,0"/>
                <v:stroke color="#000000" joinstyle="miter"/>
                <v:imagedata o:title=""/>
                <o:lock v:ext="edit" aspectratio="f"/>
                <v:textbox inset="0mm,0mm,0mm,0mm">
                  <w:txbxContent>
                    <w:p w14:paraId="57232F3A">
                      <w:pPr>
                        <w:pStyle w:val="2"/>
                        <w:ind w:left="417" w:right="416"/>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授权代表身份证复印件</w:t>
                      </w:r>
                    </w:p>
                    <w:p w14:paraId="624AC70F">
                      <w:pPr>
                        <w:pStyle w:val="2"/>
                        <w:spacing w:before="2"/>
                        <w:ind w:left="417" w:right="416"/>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（正面）</w:t>
                      </w:r>
                    </w:p>
                  </w:txbxContent>
                </v:textbox>
                <w10:wrap type="topAndBottom"/>
              </v:shape>
            </w:pict>
          </mc:Fallback>
        </mc:AlternateContent>
      </w:r>
      <w:r>
        <w:rPr>
          <w:rFonts w:hint="eastAsia" w:ascii="宋体" w:hAnsi="宋体" w:eastAsia="宋体" w:cs="宋体"/>
          <w:color w:val="auto"/>
          <w:sz w:val="24"/>
          <w:szCs w:val="24"/>
          <w:highlight w:val="none"/>
        </w:rPr>
        <mc:AlternateContent>
          <mc:Choice Requires="wps">
            <w:drawing>
              <wp:anchor distT="0" distB="0" distL="114300" distR="114300" simplePos="0" relativeHeight="251663360" behindDoc="1" locked="0" layoutInCell="1" allowOverlap="1">
                <wp:simplePos x="0" y="0"/>
                <wp:positionH relativeFrom="page">
                  <wp:posOffset>1302385</wp:posOffset>
                </wp:positionH>
                <wp:positionV relativeFrom="paragraph">
                  <wp:posOffset>1513840</wp:posOffset>
                </wp:positionV>
                <wp:extent cx="2240915" cy="1125855"/>
                <wp:effectExtent l="4445" t="4445" r="21590" b="12700"/>
                <wp:wrapTopAndBottom/>
                <wp:docPr id="5" name="文本框 11"/>
                <wp:cNvGraphicFramePr/>
                <a:graphic xmlns:a="http://schemas.openxmlformats.org/drawingml/2006/main">
                  <a:graphicData uri="http://schemas.microsoft.com/office/word/2010/wordprocessingShape">
                    <wps:wsp>
                      <wps:cNvSpPr txBox="1"/>
                      <wps:spPr>
                        <a:xfrm>
                          <a:off x="0" y="0"/>
                          <a:ext cx="2240915" cy="1125855"/>
                        </a:xfrm>
                        <a:prstGeom prst="rect">
                          <a:avLst/>
                        </a:prstGeom>
                        <a:noFill/>
                        <a:ln w="9525" cap="flat" cmpd="sng">
                          <a:solidFill>
                            <a:srgbClr val="000000"/>
                          </a:solidFill>
                          <a:prstDash val="solid"/>
                          <a:miter/>
                          <a:headEnd type="none" w="med" len="med"/>
                          <a:tailEnd type="none" w="med" len="med"/>
                        </a:ln>
                      </wps:spPr>
                      <wps:txbx>
                        <w:txbxContent>
                          <w:p w14:paraId="15F23324">
                            <w:pPr>
                              <w:pStyle w:val="2"/>
                              <w:rPr>
                                <w:rFonts w:hint="default"/>
                                <w:sz w:val="24"/>
                                <w:szCs w:val="24"/>
                              </w:rPr>
                            </w:pPr>
                          </w:p>
                          <w:p w14:paraId="138917D6">
                            <w:pPr>
                              <w:pStyle w:val="2"/>
                              <w:ind w:left="417" w:right="417"/>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法定代表人身份证复印件</w:t>
                            </w:r>
                          </w:p>
                          <w:p w14:paraId="7172BD8F">
                            <w:pPr>
                              <w:pStyle w:val="2"/>
                              <w:spacing w:before="8"/>
                              <w:ind w:left="417" w:right="416"/>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（反面）</w:t>
                            </w:r>
                          </w:p>
                        </w:txbxContent>
                      </wps:txbx>
                      <wps:bodyPr wrap="square" lIns="0" tIns="0" rIns="0" bIns="0" upright="1"/>
                    </wps:wsp>
                  </a:graphicData>
                </a:graphic>
              </wp:anchor>
            </w:drawing>
          </mc:Choice>
          <mc:Fallback>
            <w:pict>
              <v:shape id="文本框 11" o:spid="_x0000_s1026" o:spt="202" type="#_x0000_t202" style="position:absolute;left:0pt;margin-left:102.55pt;margin-top:119.2pt;height:88.65pt;width:176.45pt;mso-position-horizontal-relative:page;mso-wrap-distance-bottom:0pt;mso-wrap-distance-top:0pt;z-index:-251653120;mso-width-relative:page;mso-height-relative:page;" filled="f" stroked="t" coordsize="21600,21600" o:gfxdata="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NTdE57b&#10;AAAACwEAAA8AAAAAAAAAAQAgAAAAIgAAAGRycy9kb3ducmV2LnhtbFBLAQIUABQAAAAIAIdO4kA7&#10;bgARHQIAAEEEAAAOAAAAAAAAAAEAIAAAACoBAABkcnMvZTJvRG9jLnhtbFBLBQYAAAAABgAGAFkB&#10;AAC5BQAAAAA=&#10;">
                <v:fill on="f" focussize="0,0"/>
                <v:stroke color="#000000" joinstyle="miter"/>
                <v:imagedata o:title=""/>
                <o:lock v:ext="edit" aspectratio="f"/>
                <v:textbox inset="0mm,0mm,0mm,0mm">
                  <w:txbxContent>
                    <w:p w14:paraId="15F23324">
                      <w:pPr>
                        <w:pStyle w:val="2"/>
                        <w:rPr>
                          <w:rFonts w:hint="default"/>
                          <w:sz w:val="24"/>
                          <w:szCs w:val="24"/>
                        </w:rPr>
                      </w:pPr>
                    </w:p>
                    <w:p w14:paraId="138917D6">
                      <w:pPr>
                        <w:pStyle w:val="2"/>
                        <w:ind w:left="417" w:right="417"/>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法定代表人身份证复印件</w:t>
                      </w:r>
                    </w:p>
                    <w:p w14:paraId="7172BD8F">
                      <w:pPr>
                        <w:pStyle w:val="2"/>
                        <w:spacing w:before="8"/>
                        <w:ind w:left="417" w:right="416"/>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（反面）</w:t>
                      </w:r>
                    </w:p>
                  </w:txbxContent>
                </v:textbox>
                <w10:wrap type="topAndBottom"/>
              </v:shape>
            </w:pict>
          </mc:Fallback>
        </mc:AlternateContent>
      </w:r>
      <w:r>
        <w:rPr>
          <w:rFonts w:hint="eastAsia" w:ascii="宋体" w:hAnsi="宋体" w:eastAsia="宋体" w:cs="宋体"/>
          <w:color w:val="auto"/>
          <w:sz w:val="24"/>
          <w:szCs w:val="24"/>
          <w:highlight w:val="none"/>
        </w:rPr>
        <mc:AlternateContent>
          <mc:Choice Requires="wps">
            <w:drawing>
              <wp:anchor distT="0" distB="0" distL="114300" distR="114300" simplePos="0" relativeHeight="251664384" behindDoc="1" locked="0" layoutInCell="1" allowOverlap="1">
                <wp:simplePos x="0" y="0"/>
                <wp:positionH relativeFrom="page">
                  <wp:posOffset>3790315</wp:posOffset>
                </wp:positionH>
                <wp:positionV relativeFrom="paragraph">
                  <wp:posOffset>1515745</wp:posOffset>
                </wp:positionV>
                <wp:extent cx="2240915" cy="1125855"/>
                <wp:effectExtent l="4445" t="4445" r="21590" b="12700"/>
                <wp:wrapTopAndBottom/>
                <wp:docPr id="6" name="文本框 12"/>
                <wp:cNvGraphicFramePr/>
                <a:graphic xmlns:a="http://schemas.openxmlformats.org/drawingml/2006/main">
                  <a:graphicData uri="http://schemas.microsoft.com/office/word/2010/wordprocessingShape">
                    <wps:wsp>
                      <wps:cNvSpPr txBox="1"/>
                      <wps:spPr>
                        <a:xfrm>
                          <a:off x="0" y="0"/>
                          <a:ext cx="2240915" cy="1125855"/>
                        </a:xfrm>
                        <a:prstGeom prst="rect">
                          <a:avLst/>
                        </a:prstGeom>
                        <a:noFill/>
                        <a:ln w="9525" cap="flat" cmpd="sng">
                          <a:solidFill>
                            <a:srgbClr val="000000"/>
                          </a:solidFill>
                          <a:prstDash val="solid"/>
                          <a:miter/>
                          <a:headEnd type="none" w="med" len="med"/>
                          <a:tailEnd type="none" w="med" len="med"/>
                        </a:ln>
                      </wps:spPr>
                      <wps:txbx>
                        <w:txbxContent>
                          <w:p w14:paraId="2E891C48">
                            <w:pPr>
                              <w:pStyle w:val="2"/>
                              <w:rPr>
                                <w:rFonts w:hint="default"/>
                                <w:sz w:val="24"/>
                                <w:szCs w:val="24"/>
                              </w:rPr>
                            </w:pPr>
                          </w:p>
                          <w:p w14:paraId="3D56E9CF">
                            <w:pPr>
                              <w:pStyle w:val="2"/>
                              <w:ind w:left="417" w:right="416"/>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授权代表身份证复印件</w:t>
                            </w:r>
                          </w:p>
                          <w:p w14:paraId="3532B4E8">
                            <w:pPr>
                              <w:pStyle w:val="2"/>
                              <w:spacing w:before="3"/>
                              <w:ind w:left="417" w:right="416"/>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（反面）</w:t>
                            </w:r>
                          </w:p>
                        </w:txbxContent>
                      </wps:txbx>
                      <wps:bodyPr wrap="square" lIns="0" tIns="0" rIns="0" bIns="0" upright="1"/>
                    </wps:wsp>
                  </a:graphicData>
                </a:graphic>
              </wp:anchor>
            </w:drawing>
          </mc:Choice>
          <mc:Fallback>
            <w:pict>
              <v:shape id="文本框 12" o:spid="_x0000_s1026" o:spt="202" type="#_x0000_t202" style="position:absolute;left:0pt;margin-left:298.45pt;margin-top:119.35pt;height:88.65pt;width:176.45pt;mso-position-horizontal-relative:page;mso-wrap-distance-bottom:0pt;mso-wrap-distance-top:0pt;z-index:-251652096;mso-width-relative:page;mso-height-relative:page;" filled="f" stroked="t" coordsize="21600,21600" o:gfxdata="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AOk43d&#10;2wAAAAsBAAAPAAAAAAAAAAEAIAAAACIAAABkcnMvZG93bnJldi54bWxQSwECFAAUAAAACACHTuJA&#10;lIchKR4CAABBBAAADgAAAAAAAAABACAAAAAqAQAAZHJzL2Uyb0RvYy54bWxQSwUGAAAAAAYABgBZ&#10;AQAAugUAAAAA&#10;">
                <v:fill on="f" focussize="0,0"/>
                <v:stroke color="#000000" joinstyle="miter"/>
                <v:imagedata o:title=""/>
                <o:lock v:ext="edit" aspectratio="f"/>
                <v:textbox inset="0mm,0mm,0mm,0mm">
                  <w:txbxContent>
                    <w:p w14:paraId="2E891C48">
                      <w:pPr>
                        <w:pStyle w:val="2"/>
                        <w:rPr>
                          <w:rFonts w:hint="default"/>
                          <w:sz w:val="24"/>
                          <w:szCs w:val="24"/>
                        </w:rPr>
                      </w:pPr>
                    </w:p>
                    <w:p w14:paraId="3D56E9CF">
                      <w:pPr>
                        <w:pStyle w:val="2"/>
                        <w:ind w:left="417" w:right="416"/>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授权代表身份证复印件</w:t>
                      </w:r>
                    </w:p>
                    <w:p w14:paraId="3532B4E8">
                      <w:pPr>
                        <w:pStyle w:val="2"/>
                        <w:spacing w:before="3"/>
                        <w:ind w:left="417" w:right="416"/>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（反面）</w:t>
                      </w:r>
                    </w:p>
                  </w:txbxContent>
                </v:textbox>
                <w10:wrap type="topAndBottom"/>
              </v:shape>
            </w:pict>
          </mc:Fallback>
        </mc:AlternateContent>
      </w:r>
    </w:p>
    <w:p w14:paraId="0668C995">
      <w:pPr>
        <w:pStyle w:val="2"/>
        <w:tabs>
          <w:tab w:val="left" w:pos="1560"/>
          <w:tab w:val="left" w:pos="2040"/>
        </w:tabs>
        <w:spacing w:before="66" w:line="360" w:lineRule="auto"/>
        <w:ind w:left="3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注：投标人可自拟格式提供，但应与招标文件提供的格式具备同等效力。</w:t>
      </w:r>
    </w:p>
    <w:p w14:paraId="77364E29">
      <w:pPr>
        <w:widowControl/>
        <w:adjustRightInd/>
        <w:spacing w:line="360" w:lineRule="auto"/>
        <w:jc w:val="left"/>
        <w:rPr>
          <w:rFonts w:hint="eastAsia" w:ascii="宋体" w:hAnsi="宋体" w:eastAsia="宋体" w:cs="宋体"/>
          <w:b/>
          <w:color w:val="auto"/>
          <w:kern w:val="2"/>
          <w:sz w:val="24"/>
          <w:szCs w:val="24"/>
          <w:highlight w:val="none"/>
        </w:rPr>
      </w:pPr>
      <w:bookmarkStart w:id="355" w:name="_Toc507399521"/>
      <w:r>
        <w:rPr>
          <w:rFonts w:hint="eastAsia" w:ascii="宋体" w:hAnsi="宋体" w:eastAsia="宋体" w:cs="宋体"/>
          <w:b/>
          <w:color w:val="auto"/>
          <w:kern w:val="2"/>
          <w:sz w:val="24"/>
          <w:szCs w:val="24"/>
          <w:highlight w:val="none"/>
        </w:rPr>
        <w:br w:type="page"/>
      </w:r>
    </w:p>
    <w:bookmarkEnd w:id="355"/>
    <w:p w14:paraId="14C83E5B">
      <w:pPr>
        <w:rPr>
          <w:rFonts w:hint="eastAsia"/>
          <w:b/>
          <w:bCs/>
          <w:sz w:val="24"/>
          <w:highlight w:val="none"/>
        </w:rPr>
      </w:pPr>
      <w:bookmarkStart w:id="356" w:name="_Toc32366"/>
      <w:bookmarkStart w:id="357" w:name="_Toc11207"/>
      <w:bookmarkStart w:id="358" w:name="_Toc507399522"/>
      <w:r>
        <w:rPr>
          <w:rFonts w:hint="eastAsia"/>
          <w:b/>
          <w:bCs/>
          <w:sz w:val="24"/>
          <w:highlight w:val="none"/>
        </w:rPr>
        <w:t>附件 2-3 投标人具有良好的商业信誉和健全的财务会计证明文件</w:t>
      </w:r>
      <w:bookmarkEnd w:id="356"/>
      <w:bookmarkEnd w:id="357"/>
    </w:p>
    <w:p w14:paraId="216F9E41">
      <w:pPr>
        <w:pStyle w:val="2"/>
        <w:spacing w:line="360" w:lineRule="auto"/>
        <w:rPr>
          <w:rFonts w:hint="eastAsia" w:ascii="宋体" w:hAnsi="宋体" w:eastAsia="宋体" w:cs="宋体"/>
          <w:b/>
          <w:color w:val="auto"/>
          <w:sz w:val="24"/>
          <w:szCs w:val="24"/>
          <w:highlight w:val="none"/>
        </w:rPr>
      </w:pPr>
    </w:p>
    <w:p w14:paraId="7AF04FED">
      <w:pPr>
        <w:pStyle w:val="2"/>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须提供本单位</w:t>
      </w:r>
      <w:r>
        <w:rPr>
          <w:rFonts w:hint="eastAsia" w:hAnsi="宋体" w:cs="宋体"/>
          <w:color w:val="auto"/>
          <w:sz w:val="24"/>
          <w:szCs w:val="24"/>
          <w:highlight w:val="none"/>
          <w:lang w:eastAsia="zh-CN"/>
        </w:rPr>
        <w:t>2525年度</w:t>
      </w:r>
      <w:r>
        <w:rPr>
          <w:rFonts w:hint="eastAsia" w:ascii="宋体" w:hAnsi="宋体" w:eastAsia="宋体" w:cs="宋体"/>
          <w:color w:val="auto"/>
          <w:sz w:val="24"/>
          <w:szCs w:val="24"/>
          <w:highlight w:val="none"/>
        </w:rPr>
        <w:t>由会计师事务所出具的财务审计报告，审计报告须包括资产负债表、利润表、现金流量表、所有者权益变动（如有）及其附注（扫描件并加盖本单位电子</w:t>
      </w:r>
      <w:r>
        <w:rPr>
          <w:rFonts w:hint="eastAsia" w:ascii="宋体" w:hAnsi="宋体" w:eastAsia="宋体" w:cs="宋体"/>
          <w:color w:val="auto"/>
          <w:sz w:val="24"/>
          <w:szCs w:val="24"/>
          <w:highlight w:val="none"/>
          <w:lang w:eastAsia="zh-CN"/>
        </w:rPr>
        <w:t>盖章</w:t>
      </w:r>
      <w:r>
        <w:rPr>
          <w:rFonts w:hint="eastAsia" w:ascii="宋体" w:hAnsi="宋体" w:eastAsia="宋体" w:cs="宋体"/>
          <w:color w:val="auto"/>
          <w:sz w:val="24"/>
          <w:szCs w:val="24"/>
          <w:highlight w:val="none"/>
        </w:rPr>
        <w:t>）。如投标人无法提供上年度审计报告，则需提供开标日前三个月内银行出具的资信证明。银行资信证明可提供原件扫描件加盖电子</w:t>
      </w:r>
      <w:r>
        <w:rPr>
          <w:rFonts w:hint="eastAsia" w:ascii="宋体" w:hAnsi="宋体" w:eastAsia="宋体" w:cs="宋体"/>
          <w:color w:val="auto"/>
          <w:sz w:val="24"/>
          <w:szCs w:val="24"/>
          <w:highlight w:val="none"/>
          <w:lang w:eastAsia="zh-CN"/>
        </w:rPr>
        <w:t>盖章</w:t>
      </w:r>
      <w:r>
        <w:rPr>
          <w:rFonts w:hint="eastAsia" w:ascii="宋体" w:hAnsi="宋体" w:eastAsia="宋体" w:cs="宋体"/>
          <w:color w:val="auto"/>
          <w:sz w:val="24"/>
          <w:szCs w:val="24"/>
          <w:highlight w:val="none"/>
        </w:rPr>
        <w:t>。</w:t>
      </w:r>
    </w:p>
    <w:p w14:paraId="351A4F67">
      <w:pPr>
        <w:pStyle w:val="2"/>
        <w:spacing w:line="360" w:lineRule="auto"/>
        <w:ind w:right="56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说明：复印件并加盖本单位</w:t>
      </w:r>
      <w:r>
        <w:rPr>
          <w:rFonts w:hint="eastAsia" w:ascii="宋体" w:hAnsi="宋体" w:eastAsia="宋体" w:cs="宋体"/>
          <w:color w:val="auto"/>
          <w:sz w:val="24"/>
          <w:szCs w:val="24"/>
          <w:highlight w:val="none"/>
          <w:lang w:eastAsia="zh-CN"/>
        </w:rPr>
        <w:t>盖章</w:t>
      </w:r>
    </w:p>
    <w:p w14:paraId="2C3FE006">
      <w:pPr>
        <w:pStyle w:val="56"/>
        <w:spacing w:line="360" w:lineRule="auto"/>
        <w:ind w:left="5250"/>
        <w:rPr>
          <w:rFonts w:hint="eastAsia" w:ascii="宋体" w:hAnsi="宋体" w:eastAsia="宋体" w:cs="宋体"/>
          <w:b/>
          <w:color w:val="auto"/>
          <w:sz w:val="24"/>
          <w:szCs w:val="24"/>
          <w:highlight w:val="none"/>
        </w:rPr>
      </w:pPr>
    </w:p>
    <w:p w14:paraId="2D333FA2">
      <w:pPr>
        <w:pStyle w:val="56"/>
        <w:spacing w:line="360" w:lineRule="auto"/>
        <w:ind w:left="5250"/>
        <w:rPr>
          <w:rFonts w:hint="eastAsia" w:ascii="宋体" w:hAnsi="宋体" w:eastAsia="宋体" w:cs="宋体"/>
          <w:b/>
          <w:color w:val="auto"/>
          <w:sz w:val="24"/>
          <w:szCs w:val="24"/>
          <w:highlight w:val="none"/>
        </w:rPr>
      </w:pPr>
    </w:p>
    <w:p w14:paraId="6AE305BC">
      <w:pPr>
        <w:widowControl/>
        <w:adjustRightInd/>
        <w:spacing w:line="360" w:lineRule="auto"/>
        <w:jc w:val="left"/>
        <w:rPr>
          <w:rFonts w:hint="eastAsia" w:ascii="宋体" w:hAnsi="宋体" w:eastAsia="宋体" w:cs="宋体"/>
          <w:b/>
          <w:color w:val="auto"/>
          <w:kern w:val="2"/>
          <w:sz w:val="24"/>
          <w:szCs w:val="24"/>
          <w:highlight w:val="none"/>
        </w:rPr>
      </w:pPr>
      <w:bookmarkStart w:id="359" w:name="_Toc30497"/>
      <w:r>
        <w:rPr>
          <w:rFonts w:hint="eastAsia" w:ascii="宋体" w:hAnsi="宋体" w:eastAsia="宋体" w:cs="宋体"/>
          <w:b/>
          <w:color w:val="auto"/>
          <w:kern w:val="2"/>
          <w:sz w:val="24"/>
          <w:szCs w:val="24"/>
          <w:highlight w:val="none"/>
        </w:rPr>
        <w:br w:type="page"/>
      </w:r>
    </w:p>
    <w:p w14:paraId="2176BA78">
      <w:pPr>
        <w:pStyle w:val="56"/>
        <w:spacing w:line="360" w:lineRule="auto"/>
        <w:outlineLvl w:val="0"/>
        <w:rPr>
          <w:rFonts w:hint="eastAsia" w:ascii="宋体" w:hAnsi="宋体" w:eastAsia="宋体" w:cs="宋体"/>
          <w:color w:val="auto"/>
          <w:sz w:val="24"/>
          <w:szCs w:val="24"/>
          <w:highlight w:val="none"/>
        </w:rPr>
      </w:pPr>
      <w:bookmarkStart w:id="360" w:name="_Toc16157"/>
      <w:bookmarkStart w:id="361" w:name="_Toc29440"/>
      <w:bookmarkStart w:id="362" w:name="_Toc22496"/>
      <w:bookmarkStart w:id="363" w:name="_Toc27266"/>
      <w:bookmarkStart w:id="364" w:name="_Toc22964"/>
      <w:bookmarkStart w:id="365" w:name="_Toc22978"/>
      <w:r>
        <w:rPr>
          <w:rFonts w:hint="eastAsia" w:ascii="宋体" w:hAnsi="宋体" w:eastAsia="宋体" w:cs="宋体"/>
          <w:b/>
          <w:color w:val="auto"/>
          <w:sz w:val="24"/>
          <w:szCs w:val="24"/>
          <w:highlight w:val="none"/>
        </w:rPr>
        <w:t>附件 2-4 投标保证金缴纳凭证</w:t>
      </w:r>
      <w:r>
        <w:rPr>
          <w:rFonts w:hint="eastAsia" w:ascii="宋体" w:hAnsi="宋体" w:eastAsia="宋体" w:cs="宋体"/>
          <w:b/>
          <w:color w:val="auto"/>
          <w:sz w:val="24"/>
          <w:szCs w:val="24"/>
          <w:highlight w:val="none"/>
          <w:lang w:val="en-US" w:eastAsia="zh-CN"/>
        </w:rPr>
        <w:t>或保函</w:t>
      </w:r>
      <w:r>
        <w:rPr>
          <w:rFonts w:hint="eastAsia" w:ascii="宋体" w:hAnsi="宋体" w:eastAsia="宋体" w:cs="宋体"/>
          <w:b/>
          <w:color w:val="auto"/>
          <w:sz w:val="24"/>
          <w:szCs w:val="24"/>
          <w:highlight w:val="none"/>
        </w:rPr>
        <w:t>复印件</w:t>
      </w:r>
      <w:bookmarkEnd w:id="359"/>
      <w:bookmarkEnd w:id="360"/>
      <w:bookmarkEnd w:id="361"/>
      <w:bookmarkEnd w:id="362"/>
      <w:bookmarkEnd w:id="363"/>
      <w:bookmarkEnd w:id="364"/>
      <w:bookmarkEnd w:id="365"/>
    </w:p>
    <w:p w14:paraId="5370FBB8">
      <w:pPr>
        <w:pStyle w:val="56"/>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说明：投标人可将本项目投标保证金支付的汇款凭证的复印件</w:t>
      </w:r>
      <w:r>
        <w:rPr>
          <w:rFonts w:hint="eastAsia" w:ascii="宋体" w:hAnsi="宋体" w:eastAsia="宋体" w:cs="宋体"/>
          <w:color w:val="auto"/>
          <w:sz w:val="24"/>
          <w:szCs w:val="24"/>
          <w:highlight w:val="none"/>
          <w:lang w:val="en-US" w:eastAsia="zh-CN"/>
        </w:rPr>
        <w:t>或保函</w:t>
      </w:r>
      <w:r>
        <w:rPr>
          <w:rFonts w:hint="eastAsia" w:ascii="宋体" w:hAnsi="宋体" w:eastAsia="宋体" w:cs="宋体"/>
          <w:color w:val="auto"/>
          <w:sz w:val="24"/>
          <w:szCs w:val="24"/>
          <w:highlight w:val="none"/>
        </w:rPr>
        <w:t>作为缴纳凭证放在投标文件中，复印件上应加盖本单位</w:t>
      </w:r>
      <w:r>
        <w:rPr>
          <w:rFonts w:hint="eastAsia" w:ascii="宋体" w:hAnsi="宋体" w:eastAsia="宋体" w:cs="宋体"/>
          <w:color w:val="auto"/>
          <w:sz w:val="24"/>
          <w:szCs w:val="24"/>
          <w:highlight w:val="none"/>
          <w:lang w:eastAsia="zh-CN"/>
        </w:rPr>
        <w:t>盖章</w:t>
      </w:r>
      <w:r>
        <w:rPr>
          <w:rFonts w:hint="eastAsia" w:ascii="宋体" w:hAnsi="宋体" w:eastAsia="宋体" w:cs="宋体"/>
          <w:color w:val="auto"/>
          <w:sz w:val="24"/>
          <w:szCs w:val="24"/>
          <w:highlight w:val="none"/>
        </w:rPr>
        <w:t>；</w:t>
      </w:r>
    </w:p>
    <w:p w14:paraId="5E38E488">
      <w:pPr>
        <w:pStyle w:val="2"/>
        <w:spacing w:line="360" w:lineRule="auto"/>
        <w:ind w:right="516"/>
        <w:rPr>
          <w:rFonts w:hint="eastAsia" w:ascii="宋体" w:hAnsi="宋体" w:eastAsia="宋体" w:cs="宋体"/>
          <w:b/>
          <w:color w:val="auto"/>
          <w:sz w:val="24"/>
          <w:szCs w:val="24"/>
          <w:highlight w:val="none"/>
        </w:rPr>
      </w:pPr>
    </w:p>
    <w:p w14:paraId="0BE899EA">
      <w:pPr>
        <w:widowControl/>
        <w:adjustRightInd/>
        <w:spacing w:line="360" w:lineRule="auto"/>
        <w:jc w:val="left"/>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br w:type="page"/>
      </w:r>
    </w:p>
    <w:p w14:paraId="1EFEBED7">
      <w:pPr>
        <w:pStyle w:val="2"/>
        <w:spacing w:line="360" w:lineRule="auto"/>
        <w:ind w:right="516"/>
        <w:outlineLvl w:val="0"/>
        <w:rPr>
          <w:rFonts w:hint="eastAsia" w:ascii="宋体" w:hAnsi="宋体" w:eastAsia="宋体" w:cs="宋体"/>
          <w:color w:val="auto"/>
          <w:spacing w:val="-17"/>
          <w:sz w:val="24"/>
          <w:szCs w:val="24"/>
          <w:highlight w:val="none"/>
        </w:rPr>
      </w:pPr>
      <w:bookmarkStart w:id="366" w:name="_Toc24062"/>
      <w:bookmarkStart w:id="367" w:name="_Toc20673"/>
      <w:bookmarkStart w:id="368" w:name="_Toc2423"/>
      <w:bookmarkStart w:id="369" w:name="_Toc19010"/>
      <w:bookmarkStart w:id="370" w:name="_Toc31337"/>
      <w:bookmarkStart w:id="371" w:name="_Toc9773"/>
      <w:r>
        <w:rPr>
          <w:rFonts w:hint="eastAsia" w:ascii="宋体" w:hAnsi="宋体" w:eastAsia="宋体" w:cs="宋体"/>
          <w:b/>
          <w:color w:val="auto"/>
          <w:sz w:val="24"/>
          <w:szCs w:val="24"/>
          <w:highlight w:val="none"/>
        </w:rPr>
        <w:t xml:space="preserve">附件2-5 </w:t>
      </w:r>
      <w:r>
        <w:rPr>
          <w:rFonts w:hint="eastAsia" w:ascii="宋体" w:hAnsi="宋体" w:eastAsia="宋体" w:cs="宋体"/>
          <w:b/>
          <w:color w:val="auto"/>
          <w:spacing w:val="-1"/>
          <w:sz w:val="24"/>
          <w:szCs w:val="24"/>
          <w:highlight w:val="none"/>
        </w:rPr>
        <w:t>投标人缴纳</w:t>
      </w:r>
      <w:r>
        <w:rPr>
          <w:rFonts w:hint="eastAsia" w:ascii="宋体" w:hAnsi="宋体" w:eastAsia="宋体" w:cs="宋体"/>
          <w:b/>
          <w:color w:val="auto"/>
          <w:sz w:val="24"/>
          <w:szCs w:val="24"/>
          <w:highlight w:val="none"/>
        </w:rPr>
        <w:t>税收</w:t>
      </w:r>
      <w:r>
        <w:rPr>
          <w:rFonts w:hint="eastAsia" w:ascii="宋体" w:hAnsi="宋体" w:eastAsia="宋体" w:cs="宋体"/>
          <w:b/>
          <w:color w:val="auto"/>
          <w:spacing w:val="-17"/>
          <w:sz w:val="24"/>
          <w:szCs w:val="24"/>
          <w:highlight w:val="none"/>
        </w:rPr>
        <w:t>的证明</w:t>
      </w:r>
      <w:bookmarkEnd w:id="366"/>
      <w:bookmarkEnd w:id="367"/>
      <w:bookmarkEnd w:id="368"/>
      <w:bookmarkEnd w:id="369"/>
      <w:bookmarkEnd w:id="370"/>
      <w:bookmarkEnd w:id="371"/>
    </w:p>
    <w:p w14:paraId="702AD1CA">
      <w:pPr>
        <w:pStyle w:val="2"/>
        <w:spacing w:line="360" w:lineRule="auto"/>
        <w:ind w:right="51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投标人缴纳税收的证明（加盖</w:t>
      </w:r>
      <w:r>
        <w:rPr>
          <w:rFonts w:hint="eastAsia" w:ascii="宋体" w:hAnsi="宋体" w:eastAsia="宋体" w:cs="宋体"/>
          <w:color w:val="auto"/>
          <w:sz w:val="24"/>
          <w:szCs w:val="24"/>
          <w:highlight w:val="none"/>
          <w:lang w:eastAsia="zh-CN"/>
        </w:rPr>
        <w:t>盖章</w:t>
      </w:r>
      <w:r>
        <w:rPr>
          <w:rFonts w:hint="eastAsia" w:ascii="宋体" w:hAnsi="宋体" w:eastAsia="宋体" w:cs="宋体"/>
          <w:color w:val="auto"/>
          <w:spacing w:val="-51"/>
          <w:sz w:val="24"/>
          <w:szCs w:val="24"/>
          <w:highlight w:val="none"/>
        </w:rPr>
        <w:t>）</w:t>
      </w:r>
      <w:r>
        <w:rPr>
          <w:rFonts w:hint="eastAsia" w:ascii="宋体" w:hAnsi="宋体" w:eastAsia="宋体" w:cs="宋体"/>
          <w:color w:val="auto"/>
          <w:spacing w:val="-2"/>
          <w:sz w:val="24"/>
          <w:szCs w:val="24"/>
          <w:highlight w:val="none"/>
        </w:rPr>
        <w:t>或事业单位近期纳</w:t>
      </w:r>
      <w:r>
        <w:rPr>
          <w:rFonts w:hint="eastAsia" w:ascii="宋体" w:hAnsi="宋体" w:eastAsia="宋体" w:cs="宋体"/>
          <w:color w:val="auto"/>
          <w:sz w:val="24"/>
          <w:szCs w:val="24"/>
          <w:highlight w:val="none"/>
        </w:rPr>
        <w:t>税证明（加盖</w:t>
      </w:r>
      <w:r>
        <w:rPr>
          <w:rFonts w:hint="eastAsia" w:ascii="宋体" w:hAnsi="宋体" w:eastAsia="宋体" w:cs="宋体"/>
          <w:color w:val="auto"/>
          <w:sz w:val="24"/>
          <w:szCs w:val="24"/>
          <w:highlight w:val="none"/>
          <w:lang w:eastAsia="zh-CN"/>
        </w:rPr>
        <w:t>盖章</w:t>
      </w:r>
      <w:r>
        <w:rPr>
          <w:rFonts w:hint="eastAsia" w:ascii="宋体" w:hAnsi="宋体" w:eastAsia="宋体" w:cs="宋体"/>
          <w:color w:val="auto"/>
          <w:sz w:val="24"/>
          <w:szCs w:val="24"/>
          <w:highlight w:val="none"/>
        </w:rPr>
        <w:t>）或自然人缴纳个人所得税证明，须提供响应文件递交截止日期之前六个月内任何一期的纳税记录复印件加盖</w:t>
      </w:r>
      <w:r>
        <w:rPr>
          <w:rFonts w:hint="eastAsia" w:ascii="宋体" w:hAnsi="宋体" w:eastAsia="宋体" w:cs="宋体"/>
          <w:color w:val="auto"/>
          <w:sz w:val="24"/>
          <w:szCs w:val="24"/>
          <w:highlight w:val="none"/>
          <w:lang w:eastAsia="zh-CN"/>
        </w:rPr>
        <w:t>盖章</w:t>
      </w:r>
      <w:r>
        <w:rPr>
          <w:rFonts w:hint="eastAsia" w:ascii="宋体" w:hAnsi="宋体" w:eastAsia="宋体" w:cs="宋体"/>
          <w:color w:val="auto"/>
          <w:sz w:val="24"/>
          <w:szCs w:val="24"/>
          <w:highlight w:val="none"/>
        </w:rPr>
        <w:t>（依法免税的应提供相应文件说明）</w:t>
      </w:r>
    </w:p>
    <w:p w14:paraId="3D807D85">
      <w:pPr>
        <w:pStyle w:val="2"/>
        <w:spacing w:before="229" w:line="360" w:lineRule="auto"/>
        <w:ind w:right="396"/>
        <w:rPr>
          <w:rFonts w:hint="eastAsia" w:ascii="宋体" w:hAnsi="宋体" w:eastAsia="宋体" w:cs="宋体"/>
          <w:b/>
          <w:color w:val="auto"/>
          <w:sz w:val="24"/>
          <w:szCs w:val="24"/>
          <w:highlight w:val="none"/>
        </w:rPr>
      </w:pPr>
    </w:p>
    <w:p w14:paraId="5407C3AD">
      <w:pPr>
        <w:widowControl/>
        <w:adjustRightInd/>
        <w:spacing w:line="360" w:lineRule="auto"/>
        <w:jc w:val="left"/>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br w:type="page"/>
      </w:r>
    </w:p>
    <w:p w14:paraId="3573F7B3">
      <w:pPr>
        <w:pStyle w:val="2"/>
        <w:spacing w:line="360" w:lineRule="auto"/>
        <w:outlineLvl w:val="0"/>
        <w:rPr>
          <w:rFonts w:hint="eastAsia" w:ascii="宋体" w:hAnsi="宋体" w:eastAsia="宋体" w:cs="宋体"/>
          <w:b/>
          <w:color w:val="auto"/>
          <w:sz w:val="24"/>
          <w:szCs w:val="24"/>
          <w:highlight w:val="none"/>
        </w:rPr>
      </w:pPr>
      <w:bookmarkStart w:id="372" w:name="_Toc29388"/>
      <w:bookmarkStart w:id="373" w:name="_Toc3157"/>
      <w:bookmarkStart w:id="374" w:name="_Toc15165"/>
      <w:bookmarkStart w:id="375" w:name="_Toc13412"/>
      <w:bookmarkStart w:id="376" w:name="_Toc10735"/>
      <w:bookmarkStart w:id="377" w:name="_Toc13470"/>
      <w:r>
        <w:rPr>
          <w:rFonts w:hint="eastAsia" w:ascii="宋体" w:hAnsi="宋体" w:eastAsia="宋体" w:cs="宋体"/>
          <w:b/>
          <w:color w:val="auto"/>
          <w:sz w:val="24"/>
          <w:szCs w:val="24"/>
          <w:highlight w:val="none"/>
        </w:rPr>
        <w:t>附件2-6 投标人为职工缴纳社会保险的证明</w:t>
      </w:r>
      <w:bookmarkEnd w:id="372"/>
      <w:bookmarkEnd w:id="373"/>
      <w:bookmarkEnd w:id="374"/>
      <w:bookmarkEnd w:id="375"/>
      <w:bookmarkEnd w:id="376"/>
      <w:bookmarkEnd w:id="377"/>
    </w:p>
    <w:p w14:paraId="38660121">
      <w:pPr>
        <w:pStyle w:val="56"/>
        <w:spacing w:line="360" w:lineRule="auto"/>
        <w:ind w:left="-284"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pacing w:val="0"/>
          <w:kern w:val="2"/>
          <w:sz w:val="24"/>
          <w:szCs w:val="24"/>
          <w:highlight w:val="none"/>
        </w:rPr>
        <w:t>须提供响应文件递交截止日期之前六个月内为员工缴纳社会保障资金的证明材料复印件加盖</w:t>
      </w:r>
      <w:r>
        <w:rPr>
          <w:rFonts w:hint="eastAsia" w:ascii="宋体" w:hAnsi="宋体" w:eastAsia="宋体" w:cs="宋体"/>
          <w:color w:val="auto"/>
          <w:spacing w:val="0"/>
          <w:kern w:val="2"/>
          <w:sz w:val="24"/>
          <w:szCs w:val="24"/>
          <w:highlight w:val="none"/>
          <w:lang w:eastAsia="zh-CN"/>
        </w:rPr>
        <w:t>盖章</w:t>
      </w:r>
      <w:r>
        <w:rPr>
          <w:rFonts w:hint="eastAsia" w:ascii="宋体" w:hAnsi="宋体" w:eastAsia="宋体" w:cs="宋体"/>
          <w:color w:val="auto"/>
          <w:spacing w:val="0"/>
          <w:kern w:val="2"/>
          <w:sz w:val="24"/>
          <w:szCs w:val="24"/>
          <w:highlight w:val="none"/>
        </w:rPr>
        <w:t>（任意一个月即可），证明材料是社会保险登记证和缴纳社会保险的凭据（专用收据或社会保险缴纳清单）（依法不需要缴纳社会保障资金的应提供相应文件说明）</w:t>
      </w:r>
    </w:p>
    <w:bookmarkEnd w:id="358"/>
    <w:p w14:paraId="265C6F84">
      <w:pPr>
        <w:pStyle w:val="56"/>
        <w:spacing w:line="360" w:lineRule="auto"/>
        <w:ind w:left="5250"/>
        <w:rPr>
          <w:rFonts w:hint="eastAsia" w:ascii="宋体" w:hAnsi="宋体" w:eastAsia="宋体" w:cs="宋体"/>
          <w:color w:val="auto"/>
          <w:sz w:val="24"/>
          <w:szCs w:val="24"/>
          <w:highlight w:val="none"/>
        </w:rPr>
        <w:sectPr>
          <w:pgSz w:w="11905" w:h="16838"/>
          <w:pgMar w:top="1247" w:right="1423" w:bottom="1247" w:left="1423" w:header="0" w:footer="907" w:gutter="0"/>
          <w:lnNumType w:countBy="0" w:distance="360"/>
          <w:pgNumType w:fmt="decimal"/>
          <w:cols w:space="0" w:num="1"/>
          <w:rtlGutter w:val="0"/>
          <w:docGrid w:linePitch="312" w:charSpace="0"/>
        </w:sectPr>
      </w:pPr>
    </w:p>
    <w:p w14:paraId="3DD39F0B">
      <w:pPr>
        <w:rPr>
          <w:rFonts w:hint="eastAsia" w:ascii="宋体" w:hAnsi="宋体" w:eastAsia="宋体" w:cs="宋体"/>
          <w:b/>
          <w:color w:val="auto"/>
          <w:sz w:val="24"/>
          <w:szCs w:val="24"/>
          <w:highlight w:val="none"/>
        </w:rPr>
      </w:pPr>
      <w:bookmarkStart w:id="378" w:name="_Toc99"/>
      <w:bookmarkStart w:id="379" w:name="_Toc8673"/>
      <w:bookmarkStart w:id="380" w:name="_Toc21642"/>
      <w:bookmarkStart w:id="381" w:name="_Toc15980"/>
      <w:bookmarkStart w:id="382" w:name="_Toc11968"/>
      <w:r>
        <w:rPr>
          <w:rFonts w:hint="eastAsia" w:ascii="宋体" w:hAnsi="宋体" w:eastAsia="宋体" w:cs="宋体"/>
          <w:b/>
          <w:color w:val="auto"/>
          <w:sz w:val="24"/>
          <w:szCs w:val="24"/>
          <w:highlight w:val="none"/>
        </w:rPr>
        <w:br w:type="page"/>
      </w:r>
    </w:p>
    <w:p w14:paraId="1C68281D">
      <w:pPr>
        <w:pStyle w:val="56"/>
        <w:spacing w:line="360" w:lineRule="auto"/>
        <w:outlineLvl w:val="0"/>
        <w:rPr>
          <w:rFonts w:hint="eastAsia" w:ascii="宋体" w:hAnsi="宋体" w:eastAsia="宋体" w:cs="宋体"/>
          <w:b/>
          <w:color w:val="auto"/>
          <w:sz w:val="24"/>
          <w:szCs w:val="24"/>
          <w:highlight w:val="none"/>
        </w:rPr>
      </w:pPr>
      <w:bookmarkStart w:id="383" w:name="_Toc1800"/>
      <w:bookmarkStart w:id="384" w:name="_Toc18565"/>
      <w:r>
        <w:rPr>
          <w:rFonts w:hint="eastAsia" w:ascii="宋体" w:hAnsi="宋体" w:eastAsia="宋体" w:cs="宋体"/>
          <w:b/>
          <w:color w:val="auto"/>
          <w:sz w:val="24"/>
          <w:szCs w:val="24"/>
          <w:highlight w:val="none"/>
        </w:rPr>
        <w:t>附件 2-7 投标人声明函（统一格式）</w:t>
      </w:r>
      <w:bookmarkEnd w:id="378"/>
      <w:bookmarkEnd w:id="379"/>
      <w:bookmarkEnd w:id="380"/>
      <w:bookmarkEnd w:id="381"/>
      <w:bookmarkEnd w:id="382"/>
      <w:bookmarkEnd w:id="383"/>
      <w:bookmarkEnd w:id="384"/>
    </w:p>
    <w:p w14:paraId="34D2DB7D">
      <w:pPr>
        <w:pStyle w:val="2"/>
        <w:spacing w:line="360" w:lineRule="auto"/>
        <w:ind w:left="1034" w:leftChars="304" w:right="1408" w:rightChars="414"/>
        <w:rPr>
          <w:rFonts w:hint="eastAsia" w:ascii="宋体" w:hAnsi="宋体" w:eastAsia="宋体" w:cs="宋体"/>
          <w:color w:val="auto"/>
          <w:sz w:val="24"/>
          <w:szCs w:val="24"/>
          <w:highlight w:val="none"/>
        </w:rPr>
      </w:pPr>
      <w:bookmarkStart w:id="385" w:name="_Toc507399526"/>
      <w:r>
        <w:rPr>
          <w:rFonts w:hint="eastAsia" w:ascii="宋体" w:hAnsi="宋体" w:eastAsia="宋体" w:cs="宋体"/>
          <w:color w:val="auto"/>
          <w:sz w:val="24"/>
          <w:szCs w:val="24"/>
          <w:highlight w:val="none"/>
        </w:rPr>
        <w:t xml:space="preserve">    </w:t>
      </w:r>
    </w:p>
    <w:p w14:paraId="6FD0CD8D">
      <w:pPr>
        <w:pStyle w:val="2"/>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采购人/采购代理机构</w:t>
      </w:r>
    </w:p>
    <w:p w14:paraId="171BA7D2">
      <w:pPr>
        <w:pStyle w:val="2"/>
        <w:spacing w:line="360" w:lineRule="auto"/>
        <w:rPr>
          <w:rFonts w:hint="eastAsia" w:ascii="宋体" w:hAnsi="宋体" w:eastAsia="宋体" w:cs="宋体"/>
          <w:b/>
          <w:color w:val="auto"/>
          <w:sz w:val="24"/>
          <w:szCs w:val="24"/>
          <w:highlight w:val="none"/>
        </w:rPr>
      </w:pPr>
    </w:p>
    <w:p w14:paraId="2AEE8B70">
      <w:pPr>
        <w:widowControl/>
        <w:adjustRightInd/>
        <w:spacing w:line="360" w:lineRule="auto"/>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在参与本次项目投标中，我单位</w:t>
      </w:r>
      <w:r>
        <w:rPr>
          <w:rFonts w:hint="eastAsia" w:ascii="宋体" w:hAnsi="宋体" w:eastAsia="宋体" w:cs="宋体"/>
          <w:b/>
          <w:color w:val="auto"/>
          <w:kern w:val="2"/>
          <w:sz w:val="24"/>
          <w:szCs w:val="24"/>
          <w:highlight w:val="none"/>
        </w:rPr>
        <w:t>郑重承诺</w:t>
      </w:r>
      <w:r>
        <w:rPr>
          <w:rFonts w:hint="eastAsia" w:ascii="宋体" w:hAnsi="宋体" w:eastAsia="宋体" w:cs="宋体"/>
          <w:color w:val="auto"/>
          <w:kern w:val="2"/>
          <w:sz w:val="24"/>
          <w:szCs w:val="24"/>
          <w:highlight w:val="none"/>
        </w:rPr>
        <w:t>：</w:t>
      </w:r>
    </w:p>
    <w:p w14:paraId="523BDDCE">
      <w:pPr>
        <w:pStyle w:val="2"/>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pacing w:val="-1"/>
          <w:sz w:val="24"/>
          <w:szCs w:val="24"/>
          <w:highlight w:val="none"/>
        </w:rPr>
        <w:t>、我单位参与采购活动前三年内在经营活动中没有因违法经营受到刑事处罚或者</w:t>
      </w:r>
      <w:r>
        <w:rPr>
          <w:rFonts w:hint="eastAsia" w:ascii="宋体" w:hAnsi="宋体" w:eastAsia="宋体" w:cs="宋体"/>
          <w:color w:val="auto"/>
          <w:spacing w:val="-8"/>
          <w:sz w:val="24"/>
          <w:szCs w:val="24"/>
          <w:highlight w:val="none"/>
        </w:rPr>
        <w:t>责令停产停业、吊销许可证或者执照、较大数额罚款等行政处罚</w:t>
      </w:r>
      <w:r>
        <w:rPr>
          <w:rFonts w:hint="eastAsia" w:ascii="宋体" w:hAnsi="宋体" w:eastAsia="宋体" w:cs="宋体"/>
          <w:color w:val="auto"/>
          <w:sz w:val="24"/>
          <w:szCs w:val="24"/>
          <w:highlight w:val="none"/>
        </w:rPr>
        <w:t>（</w:t>
      </w:r>
      <w:r>
        <w:rPr>
          <w:rFonts w:hint="eastAsia" w:ascii="宋体" w:hAnsi="宋体" w:eastAsia="宋体" w:cs="宋体"/>
          <w:color w:val="auto"/>
          <w:spacing w:val="-2"/>
          <w:sz w:val="24"/>
          <w:szCs w:val="24"/>
          <w:highlight w:val="none"/>
        </w:rPr>
        <w:t>如果因违法经营被禁</w:t>
      </w:r>
      <w:r>
        <w:rPr>
          <w:rFonts w:hint="eastAsia" w:ascii="宋体" w:hAnsi="宋体" w:eastAsia="宋体" w:cs="宋体"/>
          <w:color w:val="auto"/>
          <w:sz w:val="24"/>
          <w:szCs w:val="24"/>
          <w:highlight w:val="none"/>
        </w:rPr>
        <w:t>止在一定期限内参加政府采购活动，期限已经届满</w:t>
      </w:r>
      <w:r>
        <w:rPr>
          <w:rFonts w:hint="eastAsia" w:ascii="宋体" w:hAnsi="宋体" w:eastAsia="宋体" w:cs="宋体"/>
          <w:color w:val="auto"/>
          <w:spacing w:val="-120"/>
          <w:sz w:val="24"/>
          <w:szCs w:val="24"/>
          <w:highlight w:val="none"/>
        </w:rPr>
        <w:t>）。</w:t>
      </w:r>
    </w:p>
    <w:p w14:paraId="08F11638">
      <w:pPr>
        <w:pStyle w:val="2"/>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2、我单位具有履行合同所必需的专业技术能力，并在规定工作时间内有能力调配较强工作力量，按时保质完成相关工作任务。</w:t>
      </w:r>
    </w:p>
    <w:p w14:paraId="088276D5">
      <w:pPr>
        <w:pStyle w:val="2"/>
        <w:spacing w:line="360" w:lineRule="auto"/>
        <w:outlineLvl w:val="1"/>
        <w:rPr>
          <w:rFonts w:hint="eastAsia" w:ascii="宋体" w:hAnsi="宋体" w:eastAsia="宋体" w:cs="宋体"/>
          <w:color w:val="auto"/>
          <w:sz w:val="24"/>
          <w:szCs w:val="24"/>
          <w:highlight w:val="none"/>
        </w:rPr>
      </w:pPr>
      <w:bookmarkStart w:id="386" w:name="_Toc25239"/>
      <w:r>
        <w:rPr>
          <w:rFonts w:hint="eastAsia" w:ascii="宋体" w:hAnsi="宋体" w:eastAsia="宋体" w:cs="宋体"/>
          <w:color w:val="auto"/>
          <w:sz w:val="24"/>
          <w:szCs w:val="24"/>
          <w:highlight w:val="none"/>
        </w:rPr>
        <w:t>3、我单位不存在单位负责人为同一人同时参加本项目投标的情况。</w:t>
      </w:r>
      <w:bookmarkEnd w:id="386"/>
    </w:p>
    <w:p w14:paraId="39637161">
      <w:pPr>
        <w:pStyle w:val="2"/>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4、我单位不存在直接控股、管理关系的不同投标人同时参与本项目投标的情况。</w:t>
      </w:r>
    </w:p>
    <w:p w14:paraId="748C4343">
      <w:pPr>
        <w:pStyle w:val="2"/>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5、我单位不存在为采购项目提供整体设计、规范编制或者项目管理、监理、检测等服务后，再参加该采购项目的其他采购活动的情形。</w:t>
      </w:r>
    </w:p>
    <w:p w14:paraId="1B51707B">
      <w:pPr>
        <w:pStyle w:val="2"/>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6、我单位在投标过程中，不存在向采购人提供、给予任何有价值的物品，试图影响其正常决策的行为。</w:t>
      </w:r>
    </w:p>
    <w:p w14:paraId="2812AE5E">
      <w:pPr>
        <w:pStyle w:val="2"/>
        <w:spacing w:line="360" w:lineRule="auto"/>
        <w:outlineLvl w:val="1"/>
        <w:rPr>
          <w:rFonts w:hint="eastAsia" w:ascii="宋体" w:hAnsi="宋体" w:eastAsia="宋体" w:cs="宋体"/>
          <w:color w:val="auto"/>
          <w:sz w:val="24"/>
          <w:szCs w:val="24"/>
          <w:highlight w:val="none"/>
        </w:rPr>
      </w:pPr>
      <w:bookmarkStart w:id="387" w:name="_Toc15842"/>
      <w:r>
        <w:rPr>
          <w:rFonts w:hint="eastAsia" w:ascii="宋体" w:hAnsi="宋体" w:eastAsia="宋体" w:cs="宋体"/>
          <w:color w:val="auto"/>
          <w:sz w:val="24"/>
          <w:szCs w:val="24"/>
          <w:highlight w:val="none"/>
        </w:rPr>
        <w:t>7、我单位严格遵守国家及行业相关用工标准，做到合理合法用工。</w:t>
      </w:r>
      <w:bookmarkEnd w:id="387"/>
    </w:p>
    <w:p w14:paraId="6B66EB3C">
      <w:pPr>
        <w:pStyle w:val="2"/>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8、本项目所有岗位涉及工作人员在提供服务过程中，经采购人评价不具备工作能力的，我单位将无条件调换。</w:t>
      </w:r>
    </w:p>
    <w:p w14:paraId="0CCEA60B">
      <w:pPr>
        <w:pStyle w:val="2"/>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若采购人、采购代理机构在本项目采购过程中发现我单位存在违反上述承诺的事项， 我单位将自动失去在本项目的成交资格，并承担因此引起的一切后果及虚假投标责任。</w:t>
      </w:r>
    </w:p>
    <w:p w14:paraId="0AA22A73">
      <w:pPr>
        <w:pStyle w:val="2"/>
        <w:spacing w:line="360" w:lineRule="auto"/>
        <w:rPr>
          <w:rFonts w:hint="eastAsia" w:ascii="宋体" w:hAnsi="宋体" w:eastAsia="宋体" w:cs="宋体"/>
          <w:color w:val="auto"/>
          <w:sz w:val="24"/>
          <w:szCs w:val="24"/>
          <w:highlight w:val="none"/>
        </w:rPr>
      </w:pPr>
    </w:p>
    <w:p w14:paraId="2AAB03DB">
      <w:pPr>
        <w:pStyle w:val="2"/>
        <w:spacing w:line="360" w:lineRule="auto"/>
        <w:rPr>
          <w:rFonts w:hint="eastAsia" w:ascii="宋体" w:hAnsi="宋体" w:eastAsia="宋体" w:cs="宋体"/>
          <w:color w:val="auto"/>
          <w:sz w:val="24"/>
          <w:szCs w:val="24"/>
          <w:highlight w:val="none"/>
        </w:rPr>
      </w:pPr>
    </w:p>
    <w:p w14:paraId="61381AC1">
      <w:pPr>
        <w:pStyle w:val="2"/>
        <w:tabs>
          <w:tab w:val="left" w:pos="4736"/>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p>
    <w:p w14:paraId="0230EE4B">
      <w:pPr>
        <w:pStyle w:val="2"/>
        <w:tabs>
          <w:tab w:val="left" w:pos="5521"/>
          <w:tab w:val="left" w:pos="6366"/>
          <w:tab w:val="left" w:pos="9062"/>
        </w:tabs>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投标人授权代表(签字或盖章)：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p>
    <w:p w14:paraId="51C80B3E">
      <w:pPr>
        <w:pStyle w:val="2"/>
        <w:tabs>
          <w:tab w:val="left" w:pos="5521"/>
          <w:tab w:val="left" w:pos="6366"/>
          <w:tab w:val="left" w:pos="9062"/>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p>
    <w:p w14:paraId="464ACBEB">
      <w:pPr>
        <w:pStyle w:val="2"/>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（注：投标人实际情况如与上述承诺内容不符的，请如实说明，不得虚假承诺）</w:t>
      </w:r>
    </w:p>
    <w:p w14:paraId="7F0CD835">
      <w:pPr>
        <w:widowControl/>
        <w:adjustRightInd/>
        <w:spacing w:line="360" w:lineRule="auto"/>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说明：</w:t>
      </w:r>
      <w:r>
        <w:rPr>
          <w:rFonts w:hint="eastAsia" w:ascii="宋体" w:hAnsi="宋体" w:eastAsia="宋体" w:cs="宋体"/>
          <w:color w:val="auto"/>
          <w:spacing w:val="-3"/>
          <w:kern w:val="2"/>
          <w:sz w:val="24"/>
          <w:szCs w:val="24"/>
          <w:highlight w:val="none"/>
        </w:rPr>
        <w:t>自然人投标的无需盖章，需要签字。</w:t>
      </w:r>
    </w:p>
    <w:p w14:paraId="3A02B336">
      <w:pPr>
        <w:widowControl/>
        <w:adjustRightInd/>
        <w:spacing w:line="360" w:lineRule="auto"/>
        <w:jc w:val="left"/>
        <w:rPr>
          <w:rFonts w:hint="eastAsia" w:ascii="宋体" w:hAnsi="宋体" w:eastAsia="宋体" w:cs="宋体"/>
          <w:color w:val="auto"/>
          <w:kern w:val="2"/>
          <w:sz w:val="24"/>
          <w:szCs w:val="24"/>
          <w:highlight w:val="none"/>
        </w:rPr>
        <w:sectPr>
          <w:type w:val="continuous"/>
          <w:pgSz w:w="11905" w:h="16838"/>
          <w:pgMar w:top="1247" w:right="1423" w:bottom="1247" w:left="1423" w:header="0" w:footer="907" w:gutter="0"/>
          <w:lnNumType w:countBy="0" w:distance="360"/>
          <w:pgNumType w:fmt="decimal"/>
          <w:cols w:space="0" w:num="1"/>
          <w:rtlGutter w:val="0"/>
          <w:docGrid w:linePitch="0" w:charSpace="0"/>
        </w:sectPr>
      </w:pPr>
    </w:p>
    <w:p w14:paraId="781A6656">
      <w:pPr>
        <w:rPr>
          <w:rFonts w:hint="eastAsia"/>
          <w:b/>
          <w:bCs/>
          <w:sz w:val="24"/>
          <w:highlight w:val="none"/>
        </w:rPr>
      </w:pPr>
      <w:bookmarkStart w:id="388" w:name="_Toc23406"/>
      <w:bookmarkStart w:id="389" w:name="_Toc312"/>
      <w:bookmarkStart w:id="390" w:name="_Toc26843"/>
      <w:r>
        <w:rPr>
          <w:rFonts w:hint="eastAsia"/>
          <w:b/>
          <w:bCs/>
          <w:sz w:val="24"/>
          <w:highlight w:val="none"/>
        </w:rPr>
        <w:t>附件 2-8 虚假应标承担责任声明（统一格式）</w:t>
      </w:r>
      <w:bookmarkEnd w:id="388"/>
      <w:bookmarkEnd w:id="389"/>
      <w:bookmarkEnd w:id="390"/>
    </w:p>
    <w:p w14:paraId="080ADB75">
      <w:pPr>
        <w:pStyle w:val="2"/>
        <w:spacing w:line="360" w:lineRule="auto"/>
        <w:ind w:right="-150" w:rightChars="-44"/>
        <w:rPr>
          <w:rFonts w:hint="eastAsia" w:ascii="宋体" w:hAnsi="宋体" w:eastAsia="宋体" w:cs="宋体"/>
          <w:b/>
          <w:color w:val="auto"/>
          <w:sz w:val="24"/>
          <w:szCs w:val="24"/>
          <w:highlight w:val="none"/>
        </w:rPr>
      </w:pPr>
    </w:p>
    <w:p w14:paraId="7CEA7C98">
      <w:pPr>
        <w:pStyle w:val="2"/>
        <w:spacing w:line="360" w:lineRule="auto"/>
        <w:ind w:right="-150" w:rightChars="-44"/>
        <w:rPr>
          <w:rFonts w:hint="eastAsia" w:ascii="宋体" w:hAnsi="宋体" w:eastAsia="宋体" w:cs="宋体"/>
          <w:b/>
          <w:color w:val="auto"/>
          <w:sz w:val="24"/>
          <w:szCs w:val="24"/>
          <w:highlight w:val="none"/>
        </w:rPr>
      </w:pPr>
    </w:p>
    <w:p w14:paraId="7F06A4B4">
      <w:pPr>
        <w:pStyle w:val="2"/>
        <w:spacing w:before="2" w:line="360" w:lineRule="auto"/>
        <w:ind w:right="-150" w:rightChars="-44"/>
        <w:rPr>
          <w:rFonts w:hint="eastAsia" w:ascii="宋体" w:hAnsi="宋体" w:eastAsia="宋体" w:cs="宋体"/>
          <w:b/>
          <w:color w:val="auto"/>
          <w:sz w:val="24"/>
          <w:szCs w:val="24"/>
          <w:highlight w:val="none"/>
        </w:rPr>
      </w:pPr>
    </w:p>
    <w:p w14:paraId="589C7ACC">
      <w:pPr>
        <w:pStyle w:val="11"/>
        <w:numPr>
          <w:ilvl w:val="6"/>
          <w:numId w:val="0"/>
        </w:numPr>
        <w:spacing w:line="360" w:lineRule="auto"/>
        <w:ind w:left="0" w:leftChars="0" w:right="-150" w:rightChars="-44"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采购人/采购代理机构</w:t>
      </w:r>
    </w:p>
    <w:p w14:paraId="0937B8D9">
      <w:pPr>
        <w:pStyle w:val="2"/>
        <w:spacing w:before="9" w:line="360" w:lineRule="auto"/>
        <w:ind w:right="-150" w:rightChars="-44"/>
        <w:rPr>
          <w:rFonts w:hint="eastAsia" w:ascii="宋体" w:hAnsi="宋体" w:eastAsia="宋体" w:cs="宋体"/>
          <w:b/>
          <w:color w:val="auto"/>
          <w:sz w:val="24"/>
          <w:szCs w:val="24"/>
          <w:highlight w:val="none"/>
        </w:rPr>
      </w:pPr>
    </w:p>
    <w:p w14:paraId="3F7C093B">
      <w:pPr>
        <w:pStyle w:val="2"/>
        <w:spacing w:before="67" w:line="360" w:lineRule="auto"/>
        <w:ind w:right="-150" w:rightChars="-44"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我公司</w:t>
      </w:r>
      <w:r>
        <w:rPr>
          <w:rFonts w:hint="eastAsia" w:ascii="宋体" w:hAnsi="宋体" w:eastAsia="宋体" w:cs="宋体"/>
          <w:color w:val="auto"/>
          <w:spacing w:val="-7"/>
          <w:sz w:val="24"/>
          <w:szCs w:val="24"/>
          <w:highlight w:val="none"/>
        </w:rPr>
        <w:t>承诺：</w:t>
      </w:r>
      <w:r>
        <w:rPr>
          <w:rFonts w:hint="eastAsia" w:ascii="宋体" w:hAnsi="宋体" w:eastAsia="宋体" w:cs="宋体"/>
          <w:color w:val="auto"/>
          <w:spacing w:val="-3"/>
          <w:sz w:val="24"/>
          <w:szCs w:val="24"/>
          <w:highlight w:val="none"/>
        </w:rPr>
        <w:t>所提供的投标文件</w:t>
      </w:r>
      <w:r>
        <w:rPr>
          <w:rFonts w:hint="eastAsia" w:ascii="宋体" w:hAnsi="宋体" w:eastAsia="宋体" w:cs="宋体"/>
          <w:color w:val="auto"/>
          <w:sz w:val="24"/>
          <w:szCs w:val="24"/>
          <w:highlight w:val="none"/>
        </w:rPr>
        <w:t>（</w:t>
      </w:r>
      <w:r>
        <w:rPr>
          <w:rFonts w:hint="eastAsia" w:ascii="宋体" w:hAnsi="宋体" w:eastAsia="宋体" w:cs="宋体"/>
          <w:color w:val="auto"/>
          <w:spacing w:val="-5"/>
          <w:sz w:val="24"/>
          <w:szCs w:val="24"/>
          <w:highlight w:val="none"/>
        </w:rPr>
        <w:t>包括一切技术资料、技术承诺、商务承诺等</w:t>
      </w:r>
      <w:r>
        <w:rPr>
          <w:rFonts w:hint="eastAsia" w:ascii="宋体" w:hAnsi="宋体" w:eastAsia="宋体" w:cs="宋体"/>
          <w:color w:val="auto"/>
          <w:spacing w:val="-20"/>
          <w:sz w:val="24"/>
          <w:szCs w:val="24"/>
          <w:highlight w:val="none"/>
        </w:rPr>
        <w:t>）</w:t>
      </w:r>
      <w:r>
        <w:rPr>
          <w:rFonts w:hint="eastAsia" w:ascii="宋体" w:hAnsi="宋体" w:eastAsia="宋体" w:cs="宋体"/>
          <w:color w:val="auto"/>
          <w:spacing w:val="-12"/>
          <w:sz w:val="24"/>
          <w:szCs w:val="24"/>
          <w:highlight w:val="none"/>
        </w:rPr>
        <w:t>均</w:t>
      </w:r>
      <w:r>
        <w:rPr>
          <w:rFonts w:hint="eastAsia" w:ascii="宋体" w:hAnsi="宋体" w:eastAsia="宋体" w:cs="宋体"/>
          <w:color w:val="auto"/>
          <w:spacing w:val="-6"/>
          <w:sz w:val="24"/>
          <w:szCs w:val="24"/>
          <w:highlight w:val="none"/>
        </w:rPr>
        <w:t>真实有效，若在项目招标过程中</w:t>
      </w:r>
      <w:r>
        <w:rPr>
          <w:rFonts w:hint="eastAsia" w:ascii="宋体" w:hAnsi="宋体" w:eastAsia="宋体" w:cs="宋体"/>
          <w:color w:val="auto"/>
          <w:sz w:val="24"/>
          <w:szCs w:val="24"/>
          <w:highlight w:val="none"/>
        </w:rPr>
        <w:t>（</w:t>
      </w:r>
      <w:r>
        <w:rPr>
          <w:rFonts w:hint="eastAsia" w:ascii="宋体" w:hAnsi="宋体" w:eastAsia="宋体" w:cs="宋体"/>
          <w:color w:val="auto"/>
          <w:spacing w:val="-6"/>
          <w:sz w:val="24"/>
          <w:szCs w:val="24"/>
          <w:highlight w:val="none"/>
        </w:rPr>
        <w:t>包括开评审、中标公示过程</w:t>
      </w:r>
      <w:r>
        <w:rPr>
          <w:rFonts w:hint="eastAsia" w:ascii="宋体" w:hAnsi="宋体" w:eastAsia="宋体" w:cs="宋体"/>
          <w:color w:val="auto"/>
          <w:spacing w:val="-20"/>
          <w:sz w:val="24"/>
          <w:szCs w:val="24"/>
          <w:highlight w:val="none"/>
        </w:rPr>
        <w:t>）</w:t>
      </w:r>
      <w:r>
        <w:rPr>
          <w:rFonts w:hint="eastAsia" w:ascii="宋体" w:hAnsi="宋体" w:eastAsia="宋体" w:cs="宋体"/>
          <w:color w:val="auto"/>
          <w:spacing w:val="-2"/>
          <w:sz w:val="24"/>
          <w:szCs w:val="24"/>
          <w:highlight w:val="none"/>
        </w:rPr>
        <w:t>及履行合同期间</w:t>
      </w:r>
      <w:r>
        <w:rPr>
          <w:rFonts w:hint="eastAsia" w:ascii="宋体" w:hAnsi="宋体" w:eastAsia="宋体" w:cs="宋体"/>
          <w:color w:val="auto"/>
          <w:sz w:val="24"/>
          <w:szCs w:val="24"/>
          <w:highlight w:val="none"/>
        </w:rPr>
        <w:t>（包括验收过程</w:t>
      </w:r>
      <w:r>
        <w:rPr>
          <w:rFonts w:hint="eastAsia" w:ascii="宋体" w:hAnsi="宋体" w:eastAsia="宋体" w:cs="宋体"/>
          <w:color w:val="auto"/>
          <w:spacing w:val="-15"/>
          <w:sz w:val="24"/>
          <w:szCs w:val="24"/>
          <w:highlight w:val="none"/>
        </w:rPr>
        <w:t>）</w:t>
      </w:r>
      <w:r>
        <w:rPr>
          <w:rFonts w:hint="eastAsia" w:ascii="宋体" w:hAnsi="宋体" w:eastAsia="宋体" w:cs="宋体"/>
          <w:color w:val="auto"/>
          <w:spacing w:val="-2"/>
          <w:sz w:val="24"/>
          <w:szCs w:val="24"/>
          <w:highlight w:val="none"/>
        </w:rPr>
        <w:t>发现我公司提供的货物</w:t>
      </w:r>
      <w:r>
        <w:rPr>
          <w:rFonts w:hint="eastAsia" w:ascii="宋体" w:hAnsi="宋体" w:eastAsia="宋体" w:cs="宋体"/>
          <w:color w:val="auto"/>
          <w:sz w:val="24"/>
          <w:szCs w:val="24"/>
          <w:highlight w:val="none"/>
        </w:rPr>
        <w:t>（或产品</w:t>
      </w:r>
      <w:r>
        <w:rPr>
          <w:rFonts w:hint="eastAsia" w:ascii="宋体" w:hAnsi="宋体" w:eastAsia="宋体" w:cs="宋体"/>
          <w:color w:val="auto"/>
          <w:spacing w:val="-15"/>
          <w:sz w:val="24"/>
          <w:szCs w:val="24"/>
          <w:highlight w:val="none"/>
        </w:rPr>
        <w:t>）</w:t>
      </w:r>
      <w:r>
        <w:rPr>
          <w:rFonts w:hint="eastAsia" w:ascii="宋体" w:hAnsi="宋体" w:eastAsia="宋体" w:cs="宋体"/>
          <w:color w:val="auto"/>
          <w:spacing w:val="-5"/>
          <w:sz w:val="24"/>
          <w:szCs w:val="24"/>
          <w:highlight w:val="none"/>
        </w:rPr>
        <w:t>与投标</w:t>
      </w:r>
      <w:r>
        <w:rPr>
          <w:rFonts w:hint="eastAsia" w:ascii="宋体" w:hAnsi="宋体" w:eastAsia="宋体" w:cs="宋体"/>
          <w:color w:val="auto"/>
          <w:sz w:val="24"/>
          <w:szCs w:val="24"/>
          <w:highlight w:val="none"/>
        </w:rPr>
        <w:t>文件</w:t>
      </w:r>
      <w:r>
        <w:rPr>
          <w:rFonts w:hint="eastAsia" w:ascii="宋体" w:hAnsi="宋体" w:eastAsia="宋体" w:cs="宋体"/>
          <w:color w:val="auto"/>
          <w:spacing w:val="-6"/>
          <w:sz w:val="24"/>
          <w:szCs w:val="24"/>
          <w:highlight w:val="none"/>
        </w:rPr>
        <w:t>不一致，或发现我</w:t>
      </w:r>
      <w:r>
        <w:rPr>
          <w:rFonts w:hint="eastAsia" w:ascii="宋体" w:hAnsi="宋体" w:eastAsia="宋体" w:cs="宋体"/>
          <w:color w:val="auto"/>
          <w:sz w:val="24"/>
          <w:szCs w:val="24"/>
          <w:highlight w:val="none"/>
        </w:rPr>
        <w:t>公司提供了不真实的投标文件（虚假材料</w:t>
      </w:r>
      <w:r>
        <w:rPr>
          <w:rFonts w:hint="eastAsia" w:ascii="宋体" w:hAnsi="宋体" w:eastAsia="宋体" w:cs="宋体"/>
          <w:color w:val="auto"/>
          <w:spacing w:val="-120"/>
          <w:sz w:val="24"/>
          <w:szCs w:val="24"/>
          <w:highlight w:val="none"/>
        </w:rPr>
        <w:t>）   ）</w:t>
      </w:r>
      <w:r>
        <w:rPr>
          <w:rFonts w:hint="eastAsia" w:ascii="宋体" w:hAnsi="宋体" w:eastAsia="宋体" w:cs="宋体"/>
          <w:color w:val="auto"/>
          <w:sz w:val="24"/>
          <w:szCs w:val="24"/>
          <w:highlight w:val="none"/>
        </w:rPr>
        <w:t>），我公司愿意承担一切法律责任并认可采购人或采购代理机构作出的取消中标资格、罚没保证金等决定。</w:t>
      </w:r>
    </w:p>
    <w:p w14:paraId="6A95F7DC">
      <w:pPr>
        <w:pStyle w:val="2"/>
        <w:spacing w:line="360" w:lineRule="auto"/>
        <w:ind w:right="-150" w:rightChars="-4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特此声明。</w:t>
      </w:r>
    </w:p>
    <w:p w14:paraId="4EE15246">
      <w:pPr>
        <w:pStyle w:val="2"/>
        <w:spacing w:line="360" w:lineRule="auto"/>
        <w:ind w:right="-150" w:rightChars="-44"/>
        <w:rPr>
          <w:rFonts w:hint="eastAsia" w:ascii="宋体" w:hAnsi="宋体" w:eastAsia="宋体" w:cs="宋体"/>
          <w:color w:val="auto"/>
          <w:sz w:val="24"/>
          <w:szCs w:val="24"/>
          <w:highlight w:val="none"/>
        </w:rPr>
      </w:pPr>
    </w:p>
    <w:p w14:paraId="52D78503">
      <w:pPr>
        <w:pStyle w:val="2"/>
        <w:spacing w:line="360" w:lineRule="auto"/>
        <w:ind w:right="-150" w:rightChars="-44"/>
        <w:rPr>
          <w:rFonts w:hint="eastAsia" w:ascii="宋体" w:hAnsi="宋体" w:eastAsia="宋体" w:cs="宋体"/>
          <w:color w:val="auto"/>
          <w:sz w:val="24"/>
          <w:szCs w:val="24"/>
          <w:highlight w:val="none"/>
        </w:rPr>
      </w:pPr>
    </w:p>
    <w:p w14:paraId="1881934A">
      <w:pPr>
        <w:pStyle w:val="2"/>
        <w:spacing w:line="360" w:lineRule="auto"/>
        <w:ind w:right="-150" w:rightChars="-44"/>
        <w:rPr>
          <w:rFonts w:hint="eastAsia" w:ascii="宋体" w:hAnsi="宋体" w:eastAsia="宋体" w:cs="宋体"/>
          <w:color w:val="auto"/>
          <w:sz w:val="24"/>
          <w:szCs w:val="24"/>
          <w:highlight w:val="none"/>
        </w:rPr>
      </w:pPr>
    </w:p>
    <w:p w14:paraId="5C5B6171">
      <w:pPr>
        <w:pStyle w:val="2"/>
        <w:tabs>
          <w:tab w:val="left" w:pos="4736"/>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p>
    <w:p w14:paraId="31A42A45">
      <w:pPr>
        <w:pStyle w:val="2"/>
        <w:tabs>
          <w:tab w:val="left" w:pos="5521"/>
          <w:tab w:val="left" w:pos="6366"/>
          <w:tab w:val="left" w:pos="9062"/>
        </w:tabs>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投标人授权代表(签字或盖章)：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p>
    <w:p w14:paraId="026A56CF">
      <w:pPr>
        <w:pStyle w:val="2"/>
        <w:tabs>
          <w:tab w:val="left" w:pos="5521"/>
          <w:tab w:val="left" w:pos="6366"/>
          <w:tab w:val="left" w:pos="9062"/>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p>
    <w:p w14:paraId="6DD1331D">
      <w:pPr>
        <w:pStyle w:val="2"/>
        <w:spacing w:line="360" w:lineRule="auto"/>
        <w:rPr>
          <w:rFonts w:hint="eastAsia" w:ascii="宋体" w:hAnsi="宋体" w:eastAsia="宋体" w:cs="宋体"/>
          <w:color w:val="auto"/>
          <w:sz w:val="24"/>
          <w:szCs w:val="24"/>
          <w:highlight w:val="none"/>
        </w:rPr>
      </w:pPr>
    </w:p>
    <w:p w14:paraId="753D569D">
      <w:pPr>
        <w:pStyle w:val="2"/>
        <w:spacing w:line="360" w:lineRule="auto"/>
        <w:rPr>
          <w:rFonts w:hint="eastAsia" w:ascii="宋体" w:hAnsi="宋体" w:eastAsia="宋体" w:cs="宋体"/>
          <w:color w:val="auto"/>
          <w:sz w:val="24"/>
          <w:szCs w:val="24"/>
          <w:highlight w:val="none"/>
        </w:rPr>
      </w:pPr>
    </w:p>
    <w:p w14:paraId="65989B86">
      <w:pPr>
        <w:pStyle w:val="2"/>
        <w:tabs>
          <w:tab w:val="left" w:pos="1560"/>
          <w:tab w:val="left" w:pos="2040"/>
        </w:tabs>
        <w:spacing w:before="66" w:line="360" w:lineRule="auto"/>
        <w:ind w:right="-150" w:rightChars="-44"/>
        <w:rPr>
          <w:rFonts w:hint="eastAsia" w:ascii="宋体" w:hAnsi="宋体" w:eastAsia="宋体" w:cs="宋体"/>
          <w:color w:val="auto"/>
          <w:sz w:val="24"/>
          <w:szCs w:val="24"/>
          <w:highlight w:val="none"/>
        </w:rPr>
      </w:pPr>
    </w:p>
    <w:p w14:paraId="4D297B83">
      <w:pPr>
        <w:pStyle w:val="56"/>
        <w:spacing w:line="360" w:lineRule="auto"/>
        <w:ind w:left="5250" w:right="-150" w:rightChars="-44"/>
        <w:jc w:val="both"/>
        <w:rPr>
          <w:rFonts w:hint="eastAsia" w:ascii="宋体" w:hAnsi="宋体" w:eastAsia="宋体" w:cs="宋体"/>
          <w:b/>
          <w:color w:val="auto"/>
          <w:sz w:val="24"/>
          <w:szCs w:val="24"/>
          <w:highlight w:val="none"/>
        </w:rPr>
        <w:sectPr>
          <w:pgSz w:w="11905" w:h="16838"/>
          <w:pgMar w:top="1247" w:right="1423" w:bottom="1247" w:left="1423" w:header="0" w:footer="907" w:gutter="0"/>
          <w:lnNumType w:countBy="0" w:distance="360"/>
          <w:pgNumType w:fmt="decimal"/>
          <w:cols w:space="0" w:num="1"/>
          <w:rtlGutter w:val="0"/>
          <w:docGrid w:linePitch="312" w:charSpace="0"/>
        </w:sectPr>
      </w:pPr>
    </w:p>
    <w:p w14:paraId="08AE650A">
      <w:pPr>
        <w:rPr>
          <w:rFonts w:hint="eastAsia"/>
          <w:b/>
          <w:bCs/>
          <w:sz w:val="24"/>
          <w:highlight w:val="none"/>
        </w:rPr>
      </w:pPr>
      <w:bookmarkStart w:id="391" w:name="_Toc28847"/>
      <w:bookmarkStart w:id="392" w:name="_Toc1085"/>
      <w:r>
        <w:rPr>
          <w:rFonts w:hint="eastAsia"/>
          <w:b/>
          <w:bCs/>
          <w:sz w:val="24"/>
          <w:highlight w:val="none"/>
        </w:rPr>
        <w:t>附件 2-9（格式自拟）</w:t>
      </w:r>
      <w:bookmarkEnd w:id="391"/>
      <w:bookmarkEnd w:id="392"/>
    </w:p>
    <w:p w14:paraId="1A2887EB">
      <w:pPr>
        <w:pStyle w:val="2"/>
        <w:spacing w:before="9" w:line="360" w:lineRule="auto"/>
        <w:rPr>
          <w:rFonts w:hint="eastAsia" w:ascii="宋体" w:hAnsi="宋体" w:eastAsia="宋体" w:cs="宋体"/>
          <w:b/>
          <w:color w:val="auto"/>
          <w:sz w:val="24"/>
          <w:szCs w:val="24"/>
          <w:highlight w:val="none"/>
        </w:rPr>
      </w:pPr>
    </w:p>
    <w:p w14:paraId="14BEB49C">
      <w:pPr>
        <w:pStyle w:val="8"/>
        <w:numPr>
          <w:ilvl w:val="4"/>
          <w:numId w:val="0"/>
        </w:numPr>
        <w:spacing w:line="360" w:lineRule="auto"/>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投标人关联单位的说明（格式自拟）</w:t>
      </w:r>
    </w:p>
    <w:p w14:paraId="3F27EF24">
      <w:pPr>
        <w:widowControl/>
        <w:adjustRightInd/>
        <w:spacing w:line="360" w:lineRule="auto"/>
        <w:jc w:val="left"/>
        <w:rPr>
          <w:rFonts w:hint="eastAsia" w:ascii="宋体" w:hAnsi="宋体" w:eastAsia="宋体" w:cs="宋体"/>
          <w:color w:val="auto"/>
          <w:kern w:val="2"/>
          <w:sz w:val="24"/>
          <w:szCs w:val="24"/>
          <w:highlight w:val="none"/>
        </w:rPr>
      </w:pPr>
    </w:p>
    <w:p w14:paraId="1CB2E006">
      <w:pPr>
        <w:pStyle w:val="56"/>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p w14:paraId="1655AFED">
      <w:pPr>
        <w:pStyle w:val="56"/>
        <w:spacing w:line="360" w:lineRule="auto"/>
        <w:outlineLvl w:val="1"/>
        <w:rPr>
          <w:rFonts w:hint="eastAsia" w:ascii="宋体" w:hAnsi="宋体" w:eastAsia="宋体" w:cs="宋体"/>
          <w:color w:val="auto"/>
          <w:sz w:val="24"/>
          <w:szCs w:val="24"/>
          <w:highlight w:val="none"/>
        </w:rPr>
      </w:pPr>
      <w:bookmarkStart w:id="393" w:name="_Toc2510"/>
      <w:r>
        <w:rPr>
          <w:rFonts w:hint="eastAsia" w:ascii="宋体" w:hAnsi="宋体" w:eastAsia="宋体" w:cs="宋体"/>
          <w:color w:val="auto"/>
          <w:sz w:val="24"/>
          <w:szCs w:val="24"/>
          <w:highlight w:val="none"/>
        </w:rPr>
        <w:t>1.投标人应当如实披露与本单位存在下列关联关系的单位名称：</w:t>
      </w:r>
      <w:bookmarkEnd w:id="393"/>
    </w:p>
    <w:p w14:paraId="18269A2B">
      <w:pPr>
        <w:pStyle w:val="56"/>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与投标人单位负责人为同一人的其他单位；</w:t>
      </w:r>
    </w:p>
    <w:p w14:paraId="43FEB652">
      <w:pPr>
        <w:pStyle w:val="56"/>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2.与投标人存在直接控股、管理关系的其他单位；</w:t>
      </w:r>
    </w:p>
    <w:p w14:paraId="4D2735AC">
      <w:pPr>
        <w:pStyle w:val="56"/>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3.如无关联单位可不提供此说明。</w:t>
      </w:r>
    </w:p>
    <w:p w14:paraId="0A0248C0">
      <w:pPr>
        <w:pStyle w:val="56"/>
        <w:spacing w:line="360" w:lineRule="auto"/>
        <w:ind w:left="5250"/>
        <w:rPr>
          <w:rFonts w:hint="eastAsia" w:ascii="宋体" w:hAnsi="宋体" w:eastAsia="宋体" w:cs="宋体"/>
          <w:color w:val="auto"/>
          <w:sz w:val="24"/>
          <w:szCs w:val="24"/>
          <w:highlight w:val="none"/>
        </w:rPr>
      </w:pPr>
    </w:p>
    <w:p w14:paraId="71731F6D">
      <w:pPr>
        <w:pStyle w:val="56"/>
        <w:spacing w:line="360" w:lineRule="auto"/>
        <w:ind w:left="5250"/>
        <w:rPr>
          <w:rFonts w:hint="eastAsia" w:ascii="宋体" w:hAnsi="宋体" w:eastAsia="宋体" w:cs="宋体"/>
          <w:color w:val="auto"/>
          <w:sz w:val="24"/>
          <w:szCs w:val="24"/>
          <w:highlight w:val="none"/>
        </w:rPr>
      </w:pPr>
    </w:p>
    <w:p w14:paraId="010A6380">
      <w:pPr>
        <w:pStyle w:val="56"/>
        <w:spacing w:line="360" w:lineRule="auto"/>
        <w:ind w:left="5250"/>
        <w:rPr>
          <w:rFonts w:hint="eastAsia" w:ascii="宋体" w:hAnsi="宋体" w:eastAsia="宋体" w:cs="宋体"/>
          <w:color w:val="auto"/>
          <w:sz w:val="24"/>
          <w:szCs w:val="24"/>
          <w:highlight w:val="none"/>
        </w:rPr>
      </w:pPr>
    </w:p>
    <w:p w14:paraId="3F30A5F2">
      <w:pPr>
        <w:pStyle w:val="56"/>
        <w:spacing w:line="360" w:lineRule="auto"/>
        <w:ind w:left="5250"/>
        <w:rPr>
          <w:rFonts w:hint="eastAsia" w:ascii="宋体" w:hAnsi="宋体" w:eastAsia="宋体" w:cs="宋体"/>
          <w:color w:val="auto"/>
          <w:sz w:val="24"/>
          <w:szCs w:val="24"/>
          <w:highlight w:val="none"/>
        </w:rPr>
      </w:pPr>
    </w:p>
    <w:p w14:paraId="51C78CC8">
      <w:pPr>
        <w:pStyle w:val="56"/>
        <w:spacing w:line="360" w:lineRule="auto"/>
        <w:ind w:left="5250"/>
        <w:rPr>
          <w:rFonts w:hint="eastAsia" w:ascii="宋体" w:hAnsi="宋体" w:eastAsia="宋体" w:cs="宋体"/>
          <w:color w:val="auto"/>
          <w:sz w:val="24"/>
          <w:szCs w:val="24"/>
          <w:highlight w:val="none"/>
        </w:rPr>
      </w:pPr>
    </w:p>
    <w:p w14:paraId="12DCAD89">
      <w:pPr>
        <w:pStyle w:val="56"/>
        <w:spacing w:line="360" w:lineRule="auto"/>
        <w:ind w:left="5250"/>
        <w:rPr>
          <w:rFonts w:hint="eastAsia" w:ascii="宋体" w:hAnsi="宋体" w:eastAsia="宋体" w:cs="宋体"/>
          <w:color w:val="auto"/>
          <w:sz w:val="24"/>
          <w:szCs w:val="24"/>
          <w:highlight w:val="none"/>
        </w:rPr>
      </w:pPr>
    </w:p>
    <w:p w14:paraId="29750234">
      <w:pPr>
        <w:pStyle w:val="56"/>
        <w:spacing w:line="360" w:lineRule="auto"/>
        <w:ind w:left="5250"/>
        <w:rPr>
          <w:rFonts w:hint="eastAsia" w:ascii="宋体" w:hAnsi="宋体" w:eastAsia="宋体" w:cs="宋体"/>
          <w:color w:val="auto"/>
          <w:sz w:val="24"/>
          <w:szCs w:val="24"/>
          <w:highlight w:val="none"/>
        </w:rPr>
      </w:pPr>
    </w:p>
    <w:p w14:paraId="6EC50F46">
      <w:pPr>
        <w:pStyle w:val="56"/>
        <w:spacing w:line="360" w:lineRule="auto"/>
        <w:ind w:left="5250"/>
        <w:rPr>
          <w:rFonts w:hint="eastAsia" w:ascii="宋体" w:hAnsi="宋体" w:eastAsia="宋体" w:cs="宋体"/>
          <w:color w:val="auto"/>
          <w:sz w:val="24"/>
          <w:szCs w:val="24"/>
          <w:highlight w:val="none"/>
        </w:rPr>
      </w:pPr>
    </w:p>
    <w:p w14:paraId="6FA1DCDE">
      <w:pPr>
        <w:pStyle w:val="56"/>
        <w:spacing w:line="360" w:lineRule="auto"/>
        <w:ind w:left="5250"/>
        <w:rPr>
          <w:rFonts w:hint="eastAsia" w:ascii="宋体" w:hAnsi="宋体" w:eastAsia="宋体" w:cs="宋体"/>
          <w:color w:val="auto"/>
          <w:sz w:val="24"/>
          <w:szCs w:val="24"/>
          <w:highlight w:val="none"/>
        </w:rPr>
      </w:pPr>
    </w:p>
    <w:p w14:paraId="1B2345E7">
      <w:pPr>
        <w:pStyle w:val="56"/>
        <w:spacing w:line="360" w:lineRule="auto"/>
        <w:ind w:left="5250"/>
        <w:rPr>
          <w:rFonts w:hint="eastAsia" w:ascii="宋体" w:hAnsi="宋体" w:eastAsia="宋体" w:cs="宋体"/>
          <w:color w:val="auto"/>
          <w:sz w:val="24"/>
          <w:szCs w:val="24"/>
          <w:highlight w:val="none"/>
        </w:rPr>
      </w:pPr>
    </w:p>
    <w:p w14:paraId="653F9D6C">
      <w:pPr>
        <w:pStyle w:val="56"/>
        <w:spacing w:line="360" w:lineRule="auto"/>
        <w:ind w:left="5250"/>
        <w:rPr>
          <w:rFonts w:hint="eastAsia" w:ascii="宋体" w:hAnsi="宋体" w:eastAsia="宋体" w:cs="宋体"/>
          <w:color w:val="auto"/>
          <w:sz w:val="24"/>
          <w:szCs w:val="24"/>
          <w:highlight w:val="none"/>
        </w:rPr>
      </w:pPr>
    </w:p>
    <w:p w14:paraId="6A492BA8">
      <w:pPr>
        <w:pStyle w:val="56"/>
        <w:spacing w:line="360" w:lineRule="auto"/>
        <w:ind w:left="5250"/>
        <w:rPr>
          <w:rFonts w:hint="eastAsia" w:ascii="宋体" w:hAnsi="宋体" w:eastAsia="宋体" w:cs="宋体"/>
          <w:color w:val="auto"/>
          <w:sz w:val="24"/>
          <w:szCs w:val="24"/>
          <w:highlight w:val="none"/>
        </w:rPr>
      </w:pPr>
    </w:p>
    <w:p w14:paraId="237D294F">
      <w:pPr>
        <w:pStyle w:val="56"/>
        <w:spacing w:line="360" w:lineRule="auto"/>
        <w:ind w:left="5250"/>
        <w:rPr>
          <w:rFonts w:hint="eastAsia" w:ascii="宋体" w:hAnsi="宋体" w:eastAsia="宋体" w:cs="宋体"/>
          <w:color w:val="auto"/>
          <w:sz w:val="24"/>
          <w:szCs w:val="24"/>
          <w:highlight w:val="none"/>
        </w:rPr>
      </w:pPr>
    </w:p>
    <w:p w14:paraId="53683F48">
      <w:pPr>
        <w:pStyle w:val="56"/>
        <w:spacing w:line="360" w:lineRule="auto"/>
        <w:ind w:left="5250"/>
        <w:rPr>
          <w:rFonts w:hint="eastAsia" w:ascii="宋体" w:hAnsi="宋体" w:eastAsia="宋体" w:cs="宋体"/>
          <w:color w:val="auto"/>
          <w:sz w:val="24"/>
          <w:szCs w:val="24"/>
          <w:highlight w:val="none"/>
        </w:rPr>
      </w:pPr>
    </w:p>
    <w:p w14:paraId="59E59185">
      <w:pPr>
        <w:pStyle w:val="56"/>
        <w:spacing w:line="360" w:lineRule="auto"/>
        <w:ind w:left="5250"/>
        <w:rPr>
          <w:rFonts w:hint="eastAsia" w:ascii="宋体" w:hAnsi="宋体" w:eastAsia="宋体" w:cs="宋体"/>
          <w:color w:val="auto"/>
          <w:sz w:val="24"/>
          <w:szCs w:val="24"/>
          <w:highlight w:val="none"/>
        </w:rPr>
      </w:pPr>
    </w:p>
    <w:p w14:paraId="0CBC64E5">
      <w:pPr>
        <w:pStyle w:val="56"/>
        <w:spacing w:line="360" w:lineRule="auto"/>
        <w:ind w:left="5250"/>
        <w:rPr>
          <w:rFonts w:hint="eastAsia" w:ascii="宋体" w:hAnsi="宋体" w:eastAsia="宋体" w:cs="宋体"/>
          <w:color w:val="auto"/>
          <w:sz w:val="24"/>
          <w:szCs w:val="24"/>
          <w:highlight w:val="none"/>
        </w:rPr>
        <w:sectPr>
          <w:pgSz w:w="11905" w:h="16838"/>
          <w:pgMar w:top="1247" w:right="1423" w:bottom="1247" w:left="1423" w:header="0" w:footer="907" w:gutter="0"/>
          <w:lnNumType w:countBy="0" w:distance="360"/>
          <w:pgNumType w:fmt="decimal"/>
          <w:cols w:space="0" w:num="1"/>
          <w:rtlGutter w:val="0"/>
          <w:docGrid w:linePitch="312" w:charSpace="0"/>
        </w:sectPr>
      </w:pPr>
    </w:p>
    <w:p w14:paraId="39F69934">
      <w:pPr>
        <w:rPr>
          <w:rFonts w:hint="eastAsia" w:ascii="宋体" w:hAnsi="宋体" w:eastAsia="宋体" w:cs="宋体"/>
          <w:b/>
          <w:bCs/>
          <w:color w:val="auto"/>
          <w:sz w:val="24"/>
          <w:szCs w:val="24"/>
          <w:highlight w:val="none"/>
        </w:rPr>
      </w:pPr>
      <w:bookmarkStart w:id="394" w:name="_Toc5327"/>
      <w:bookmarkStart w:id="395" w:name="_Toc23872"/>
      <w:bookmarkStart w:id="396" w:name="_Toc30733"/>
      <w:r>
        <w:rPr>
          <w:rFonts w:hint="eastAsia" w:ascii="宋体" w:hAnsi="宋体" w:eastAsia="宋体" w:cs="宋体"/>
          <w:b/>
          <w:bCs/>
          <w:color w:val="auto"/>
          <w:spacing w:val="0"/>
          <w:w w:val="100"/>
          <w:sz w:val="24"/>
          <w:szCs w:val="24"/>
          <w:highlight w:val="none"/>
        </w:rPr>
        <w:t>附</w:t>
      </w:r>
      <w:r>
        <w:rPr>
          <w:rFonts w:hint="eastAsia" w:ascii="宋体" w:hAnsi="宋体" w:eastAsia="宋体" w:cs="宋体"/>
          <w:b/>
          <w:bCs/>
          <w:color w:val="auto"/>
          <w:w w:val="100"/>
          <w:sz w:val="24"/>
          <w:szCs w:val="24"/>
          <w:highlight w:val="none"/>
        </w:rPr>
        <w:t>件</w:t>
      </w:r>
      <w:r>
        <w:rPr>
          <w:rFonts w:hint="eastAsia" w:ascii="宋体" w:hAnsi="宋体" w:eastAsia="宋体" w:cs="宋体"/>
          <w:b/>
          <w:bCs/>
          <w:color w:val="auto"/>
          <w:spacing w:val="0"/>
          <w:sz w:val="24"/>
          <w:szCs w:val="24"/>
          <w:highlight w:val="none"/>
        </w:rPr>
        <w:t xml:space="preserve"> </w:t>
      </w:r>
      <w:r>
        <w:rPr>
          <w:rFonts w:hint="eastAsia" w:ascii="宋体" w:hAnsi="宋体" w:eastAsia="宋体" w:cs="宋体"/>
          <w:b/>
          <w:bCs/>
          <w:color w:val="auto"/>
          <w:spacing w:val="0"/>
          <w:w w:val="100"/>
          <w:sz w:val="24"/>
          <w:szCs w:val="24"/>
          <w:highlight w:val="none"/>
        </w:rPr>
        <w:t>2</w:t>
      </w:r>
      <w:r>
        <w:rPr>
          <w:rFonts w:hint="eastAsia" w:ascii="宋体" w:hAnsi="宋体" w:eastAsia="宋体" w:cs="宋体"/>
          <w:b/>
          <w:bCs/>
          <w:color w:val="auto"/>
          <w:w w:val="100"/>
          <w:sz w:val="24"/>
          <w:szCs w:val="24"/>
          <w:highlight w:val="none"/>
        </w:rPr>
        <w:t>-10</w:t>
      </w:r>
      <w:r>
        <w:rPr>
          <w:rFonts w:hint="eastAsia" w:ascii="宋体" w:hAnsi="宋体" w:eastAsia="宋体" w:cs="宋体"/>
          <w:b/>
          <w:bCs/>
          <w:color w:val="auto"/>
          <w:sz w:val="24"/>
          <w:szCs w:val="24"/>
          <w:highlight w:val="none"/>
        </w:rPr>
        <w:tab/>
      </w:r>
      <w:r>
        <w:rPr>
          <w:rFonts w:hint="eastAsia" w:ascii="宋体" w:hAnsi="宋体" w:eastAsia="宋体" w:cs="宋体"/>
          <w:b/>
          <w:bCs/>
          <w:color w:val="auto"/>
          <w:spacing w:val="0"/>
          <w:w w:val="100"/>
          <w:sz w:val="24"/>
          <w:szCs w:val="24"/>
          <w:highlight w:val="none"/>
        </w:rPr>
        <w:t>投标人</w:t>
      </w:r>
      <w:r>
        <w:rPr>
          <w:rFonts w:hint="eastAsia" w:ascii="宋体" w:hAnsi="宋体" w:eastAsia="宋体" w:cs="宋体"/>
          <w:b/>
          <w:bCs/>
          <w:color w:val="auto"/>
          <w:w w:val="100"/>
          <w:sz w:val="24"/>
          <w:szCs w:val="24"/>
          <w:highlight w:val="none"/>
        </w:rPr>
        <w:t>须</w:t>
      </w:r>
      <w:r>
        <w:rPr>
          <w:rFonts w:hint="eastAsia" w:ascii="宋体" w:hAnsi="宋体" w:eastAsia="宋体" w:cs="宋体"/>
          <w:b/>
          <w:bCs/>
          <w:color w:val="auto"/>
          <w:spacing w:val="0"/>
          <w:w w:val="100"/>
          <w:sz w:val="24"/>
          <w:szCs w:val="24"/>
          <w:highlight w:val="none"/>
        </w:rPr>
        <w:t>知前附表</w:t>
      </w:r>
      <w:r>
        <w:rPr>
          <w:rFonts w:hint="eastAsia" w:ascii="宋体" w:hAnsi="宋体" w:eastAsia="宋体" w:cs="宋体"/>
          <w:b/>
          <w:bCs/>
          <w:color w:val="auto"/>
          <w:w w:val="100"/>
          <w:sz w:val="24"/>
          <w:szCs w:val="24"/>
          <w:highlight w:val="none"/>
        </w:rPr>
        <w:t>要</w:t>
      </w:r>
      <w:r>
        <w:rPr>
          <w:rFonts w:hint="eastAsia" w:ascii="宋体" w:hAnsi="宋体" w:eastAsia="宋体" w:cs="宋体"/>
          <w:b/>
          <w:bCs/>
          <w:color w:val="auto"/>
          <w:spacing w:val="0"/>
          <w:w w:val="100"/>
          <w:sz w:val="24"/>
          <w:szCs w:val="24"/>
          <w:highlight w:val="none"/>
        </w:rPr>
        <w:t>求</w:t>
      </w:r>
      <w:r>
        <w:rPr>
          <w:rFonts w:hint="eastAsia" w:ascii="宋体" w:hAnsi="宋体" w:eastAsia="宋体" w:cs="宋体"/>
          <w:b/>
          <w:bCs/>
          <w:color w:val="auto"/>
          <w:w w:val="100"/>
          <w:sz w:val="24"/>
          <w:szCs w:val="24"/>
          <w:highlight w:val="none"/>
        </w:rPr>
        <w:t>的</w:t>
      </w:r>
      <w:r>
        <w:rPr>
          <w:rFonts w:hint="eastAsia" w:ascii="宋体" w:hAnsi="宋体" w:eastAsia="宋体" w:cs="宋体"/>
          <w:b/>
          <w:bCs/>
          <w:color w:val="auto"/>
          <w:spacing w:val="0"/>
          <w:w w:val="100"/>
          <w:sz w:val="24"/>
          <w:szCs w:val="24"/>
          <w:highlight w:val="none"/>
        </w:rPr>
        <w:t>其</w:t>
      </w:r>
      <w:r>
        <w:rPr>
          <w:rFonts w:hint="eastAsia" w:ascii="宋体" w:hAnsi="宋体" w:eastAsia="宋体" w:cs="宋体"/>
          <w:b/>
          <w:bCs/>
          <w:color w:val="auto"/>
          <w:w w:val="100"/>
          <w:sz w:val="24"/>
          <w:szCs w:val="24"/>
          <w:highlight w:val="none"/>
        </w:rPr>
        <w:t>他资</w:t>
      </w:r>
      <w:r>
        <w:rPr>
          <w:rFonts w:hint="eastAsia" w:ascii="宋体" w:hAnsi="宋体" w:eastAsia="宋体" w:cs="宋体"/>
          <w:b/>
          <w:bCs/>
          <w:color w:val="auto"/>
          <w:spacing w:val="0"/>
          <w:w w:val="100"/>
          <w:sz w:val="24"/>
          <w:szCs w:val="24"/>
          <w:highlight w:val="none"/>
        </w:rPr>
        <w:t>格</w:t>
      </w:r>
      <w:r>
        <w:rPr>
          <w:rFonts w:hint="eastAsia" w:ascii="宋体" w:hAnsi="宋体" w:eastAsia="宋体" w:cs="宋体"/>
          <w:b/>
          <w:bCs/>
          <w:color w:val="auto"/>
          <w:w w:val="100"/>
          <w:sz w:val="24"/>
          <w:szCs w:val="24"/>
          <w:highlight w:val="none"/>
        </w:rPr>
        <w:t>证</w:t>
      </w:r>
      <w:r>
        <w:rPr>
          <w:rFonts w:hint="eastAsia" w:ascii="宋体" w:hAnsi="宋体" w:eastAsia="宋体" w:cs="宋体"/>
          <w:b/>
          <w:bCs/>
          <w:color w:val="auto"/>
          <w:spacing w:val="0"/>
          <w:w w:val="100"/>
          <w:sz w:val="24"/>
          <w:szCs w:val="24"/>
          <w:highlight w:val="none"/>
        </w:rPr>
        <w:t>明</w:t>
      </w:r>
      <w:r>
        <w:rPr>
          <w:rFonts w:hint="eastAsia" w:ascii="宋体" w:hAnsi="宋体" w:eastAsia="宋体" w:cs="宋体"/>
          <w:b/>
          <w:bCs/>
          <w:color w:val="auto"/>
          <w:w w:val="100"/>
          <w:sz w:val="24"/>
          <w:szCs w:val="24"/>
          <w:highlight w:val="none"/>
        </w:rPr>
        <w:t>文件</w:t>
      </w:r>
      <w:bookmarkEnd w:id="394"/>
      <w:bookmarkEnd w:id="395"/>
      <w:bookmarkEnd w:id="396"/>
    </w:p>
    <w:p w14:paraId="5A9CCA09">
      <w:pPr>
        <w:pStyle w:val="5"/>
        <w:tabs>
          <w:tab w:val="left" w:pos="1322"/>
        </w:tabs>
        <w:autoSpaceDE w:val="0"/>
        <w:autoSpaceDN w:val="0"/>
        <w:adjustRightInd w:val="0"/>
        <w:snapToGrid w:val="0"/>
        <w:spacing w:line="360" w:lineRule="auto"/>
        <w:ind w:firstLine="696" w:firstLineChars="290"/>
        <w:rPr>
          <w:rFonts w:hint="eastAsia" w:ascii="宋体" w:hAnsi="宋体" w:eastAsia="宋体" w:cs="宋体"/>
          <w:color w:val="auto"/>
          <w:sz w:val="24"/>
          <w:szCs w:val="24"/>
          <w:highlight w:val="none"/>
        </w:rPr>
      </w:pPr>
    </w:p>
    <w:p w14:paraId="0884BDDA">
      <w:pPr>
        <w:spacing w:line="360" w:lineRule="auto"/>
        <w:ind w:firstLineChars="200"/>
        <w:jc w:val="center"/>
        <w:outlineLvl w:val="2"/>
        <w:rPr>
          <w:rFonts w:hint="eastAsia" w:ascii="宋体" w:hAnsi="宋体" w:eastAsia="宋体" w:cs="宋体"/>
          <w:b/>
          <w:color w:val="auto"/>
          <w:sz w:val="24"/>
          <w:szCs w:val="24"/>
          <w:highlight w:val="none"/>
        </w:rPr>
      </w:pPr>
      <w:bookmarkStart w:id="397" w:name="_Toc11859"/>
    </w:p>
    <w:p w14:paraId="7722C6B6">
      <w:pPr>
        <w:spacing w:line="360" w:lineRule="auto"/>
        <w:ind w:firstLineChars="200"/>
        <w:jc w:val="center"/>
        <w:outlineLvl w:val="2"/>
        <w:rPr>
          <w:rFonts w:hint="eastAsia" w:ascii="宋体" w:hAnsi="宋体" w:eastAsia="宋体" w:cs="宋体"/>
          <w:b/>
          <w:color w:val="auto"/>
          <w:sz w:val="24"/>
          <w:szCs w:val="24"/>
          <w:highlight w:val="none"/>
        </w:rPr>
      </w:pPr>
    </w:p>
    <w:p w14:paraId="60AAF04C">
      <w:pPr>
        <w:pStyle w:val="2"/>
        <w:rPr>
          <w:rFonts w:hint="eastAsia" w:ascii="宋体" w:hAnsi="宋体" w:eastAsia="宋体" w:cs="宋体"/>
          <w:b/>
          <w:color w:val="auto"/>
          <w:sz w:val="24"/>
          <w:szCs w:val="24"/>
          <w:highlight w:val="none"/>
        </w:rPr>
      </w:pPr>
    </w:p>
    <w:p w14:paraId="481FDEA9">
      <w:pPr>
        <w:rPr>
          <w:rFonts w:hint="eastAsia" w:ascii="宋体" w:hAnsi="宋体" w:eastAsia="宋体" w:cs="宋体"/>
          <w:b/>
          <w:color w:val="auto"/>
          <w:sz w:val="24"/>
          <w:szCs w:val="24"/>
          <w:highlight w:val="none"/>
        </w:rPr>
      </w:pPr>
    </w:p>
    <w:p w14:paraId="4AF7F61F">
      <w:pPr>
        <w:pStyle w:val="2"/>
        <w:rPr>
          <w:rFonts w:hint="eastAsia"/>
        </w:rPr>
      </w:pPr>
    </w:p>
    <w:p w14:paraId="79C054E0">
      <w:pPr>
        <w:spacing w:line="360" w:lineRule="auto"/>
        <w:ind w:firstLineChars="200"/>
        <w:jc w:val="center"/>
        <w:outlineLvl w:val="2"/>
        <w:rPr>
          <w:rFonts w:hint="eastAsia" w:ascii="宋体" w:hAnsi="宋体" w:eastAsia="宋体" w:cs="宋体"/>
          <w:b/>
          <w:color w:val="auto"/>
          <w:sz w:val="24"/>
          <w:szCs w:val="24"/>
          <w:highlight w:val="none"/>
        </w:rPr>
      </w:pPr>
    </w:p>
    <w:p w14:paraId="4069DBBD">
      <w:pPr>
        <w:spacing w:line="360" w:lineRule="auto"/>
        <w:ind w:firstLineChars="200"/>
        <w:jc w:val="center"/>
        <w:outlineLvl w:val="2"/>
        <w:rPr>
          <w:rFonts w:hint="eastAsia" w:ascii="宋体" w:hAnsi="宋体" w:eastAsia="宋体" w:cs="宋体"/>
          <w:b/>
          <w:color w:val="auto"/>
          <w:sz w:val="24"/>
          <w:szCs w:val="24"/>
          <w:highlight w:val="none"/>
        </w:rPr>
      </w:pPr>
    </w:p>
    <w:p w14:paraId="2133A232">
      <w:pPr>
        <w:spacing w:line="360" w:lineRule="auto"/>
        <w:ind w:firstLineChars="200"/>
        <w:jc w:val="center"/>
        <w:outlineLvl w:val="2"/>
        <w:rPr>
          <w:rFonts w:hint="eastAsia" w:ascii="宋体" w:hAnsi="宋体" w:eastAsia="宋体" w:cs="宋体"/>
          <w:b/>
          <w:color w:val="auto"/>
          <w:sz w:val="24"/>
          <w:szCs w:val="24"/>
          <w:highlight w:val="none"/>
        </w:rPr>
      </w:pPr>
    </w:p>
    <w:p w14:paraId="39964D98">
      <w:pPr>
        <w:spacing w:line="360" w:lineRule="auto"/>
        <w:jc w:val="center"/>
        <w:rPr>
          <w:rFonts w:ascii="宋体" w:hAnsi="宋体" w:eastAsia="宋体"/>
          <w:b/>
          <w:sz w:val="24"/>
          <w:szCs w:val="24"/>
          <w:highlight w:val="none"/>
        </w:rPr>
      </w:pPr>
      <w:r>
        <w:rPr>
          <w:rFonts w:hint="eastAsia" w:ascii="宋体" w:hAnsi="宋体" w:eastAsia="宋体"/>
          <w:b/>
          <w:sz w:val="24"/>
          <w:szCs w:val="24"/>
          <w:highlight w:val="none"/>
        </w:rPr>
        <w:t>具有履行合同所必需的设备和专业技术能力的承诺函</w:t>
      </w:r>
    </w:p>
    <w:p w14:paraId="02C2BBF6">
      <w:pPr>
        <w:adjustRightInd w:val="0"/>
        <w:snapToGrid w:val="0"/>
        <w:spacing w:line="360" w:lineRule="auto"/>
        <w:ind w:firstLine="480" w:firstLineChars="200"/>
        <w:jc w:val="center"/>
        <w:rPr>
          <w:rFonts w:ascii="宋体" w:hAnsi="宋体" w:eastAsia="宋体"/>
          <w:sz w:val="24"/>
          <w:szCs w:val="24"/>
          <w:highlight w:val="none"/>
        </w:rPr>
      </w:pPr>
    </w:p>
    <w:p w14:paraId="5B3D6006">
      <w:pPr>
        <w:autoSpaceDE w:val="0"/>
        <w:autoSpaceDN w:val="0"/>
        <w:adjustRightInd w:val="0"/>
        <w:spacing w:line="360" w:lineRule="auto"/>
        <w:ind w:firstLine="480" w:firstLineChars="200"/>
        <w:jc w:val="left"/>
        <w:rPr>
          <w:rFonts w:ascii="宋体" w:hAnsi="宋体" w:eastAsia="宋体" w:cs="Arial"/>
          <w:kern w:val="0"/>
          <w:sz w:val="24"/>
          <w:szCs w:val="24"/>
          <w:highlight w:val="none"/>
        </w:rPr>
      </w:pPr>
      <w:r>
        <w:rPr>
          <w:rFonts w:hint="eastAsia" w:ascii="宋体" w:hAnsi="宋体" w:eastAsia="宋体" w:cs="Arial"/>
          <w:kern w:val="0"/>
          <w:sz w:val="24"/>
          <w:szCs w:val="24"/>
          <w:highlight w:val="none"/>
        </w:rPr>
        <w:t>致：</w:t>
      </w:r>
      <w:r>
        <w:rPr>
          <w:rFonts w:hint="eastAsia" w:ascii="宋体" w:hAnsi="宋体" w:eastAsia="宋体" w:cs="Arial"/>
          <w:kern w:val="0"/>
          <w:sz w:val="24"/>
          <w:szCs w:val="24"/>
          <w:highlight w:val="none"/>
          <w:u w:val="single"/>
        </w:rPr>
        <w:t xml:space="preserve">              </w:t>
      </w:r>
      <w:r>
        <w:rPr>
          <w:rFonts w:hint="eastAsia" w:ascii="宋体" w:hAnsi="宋体" w:eastAsia="宋体" w:cs="Arial"/>
          <w:kern w:val="0"/>
          <w:sz w:val="24"/>
          <w:szCs w:val="24"/>
          <w:highlight w:val="none"/>
        </w:rPr>
        <w:t>（采购人名称）</w:t>
      </w:r>
    </w:p>
    <w:p w14:paraId="46A6B850">
      <w:pPr>
        <w:autoSpaceDE w:val="0"/>
        <w:autoSpaceDN w:val="0"/>
        <w:adjustRightInd w:val="0"/>
        <w:spacing w:line="360" w:lineRule="auto"/>
        <w:ind w:firstLine="480" w:firstLineChars="200"/>
        <w:jc w:val="left"/>
        <w:rPr>
          <w:rFonts w:ascii="宋体" w:hAnsi="宋体" w:eastAsia="宋体" w:cs="宋体"/>
          <w:kern w:val="0"/>
          <w:sz w:val="24"/>
          <w:szCs w:val="24"/>
          <w:highlight w:val="none"/>
        </w:rPr>
      </w:pPr>
    </w:p>
    <w:p w14:paraId="1B812BA2">
      <w:pPr>
        <w:autoSpaceDE w:val="0"/>
        <w:autoSpaceDN w:val="0"/>
        <w:adjustRightInd w:val="0"/>
        <w:spacing w:line="360" w:lineRule="auto"/>
        <w:ind w:firstLine="480" w:firstLineChars="20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我单位郑重承诺： </w:t>
      </w:r>
    </w:p>
    <w:p w14:paraId="3736372F">
      <w:pPr>
        <w:autoSpaceDE w:val="0"/>
        <w:autoSpaceDN w:val="0"/>
        <w:adjustRightInd w:val="0"/>
        <w:spacing w:line="360" w:lineRule="auto"/>
        <w:ind w:firstLine="480" w:firstLineChars="20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我单位具备履行</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（项目名称）合同所必需的设备和专业技术能力；</w:t>
      </w:r>
    </w:p>
    <w:p w14:paraId="6FE8B950">
      <w:pPr>
        <w:autoSpaceDE w:val="0"/>
        <w:autoSpaceDN w:val="0"/>
        <w:adjustRightInd w:val="0"/>
        <w:spacing w:line="360" w:lineRule="auto"/>
        <w:ind w:firstLine="480" w:firstLineChars="20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特此承诺。 </w:t>
      </w:r>
    </w:p>
    <w:p w14:paraId="49DBD84C">
      <w:pPr>
        <w:autoSpaceDE w:val="0"/>
        <w:autoSpaceDN w:val="0"/>
        <w:adjustRightInd w:val="0"/>
        <w:spacing w:line="360" w:lineRule="auto"/>
        <w:jc w:val="left"/>
        <w:rPr>
          <w:rFonts w:ascii="宋体" w:hAnsi="宋体" w:eastAsia="宋体" w:cs="宋体"/>
          <w:kern w:val="0"/>
          <w:sz w:val="24"/>
          <w:szCs w:val="24"/>
          <w:highlight w:val="none"/>
        </w:rPr>
      </w:pPr>
    </w:p>
    <w:p w14:paraId="3784EFE0">
      <w:pPr>
        <w:autoSpaceDE w:val="0"/>
        <w:autoSpaceDN w:val="0"/>
        <w:adjustRightInd w:val="0"/>
        <w:spacing w:line="360" w:lineRule="auto"/>
        <w:jc w:val="left"/>
        <w:rPr>
          <w:rFonts w:ascii="宋体" w:hAnsi="宋体" w:eastAsia="宋体" w:cs="宋体"/>
          <w:kern w:val="0"/>
          <w:sz w:val="24"/>
          <w:szCs w:val="24"/>
          <w:highlight w:val="none"/>
        </w:rPr>
      </w:pPr>
    </w:p>
    <w:p w14:paraId="64C53D35">
      <w:pPr>
        <w:autoSpaceDE w:val="0"/>
        <w:autoSpaceDN w:val="0"/>
        <w:adjustRightInd w:val="0"/>
        <w:spacing w:line="360" w:lineRule="auto"/>
        <w:jc w:val="left"/>
        <w:rPr>
          <w:rFonts w:ascii="宋体" w:hAnsi="宋体" w:eastAsia="宋体" w:cs="宋体"/>
          <w:kern w:val="0"/>
          <w:sz w:val="24"/>
          <w:szCs w:val="24"/>
          <w:highlight w:val="none"/>
        </w:rPr>
      </w:pPr>
    </w:p>
    <w:p w14:paraId="32C8EB9C">
      <w:pPr>
        <w:autoSpaceDE w:val="0"/>
        <w:autoSpaceDN w:val="0"/>
        <w:adjustRightInd w:val="0"/>
        <w:spacing w:line="360" w:lineRule="auto"/>
        <w:jc w:val="left"/>
        <w:rPr>
          <w:rFonts w:ascii="宋体" w:hAnsi="宋体" w:eastAsia="宋体" w:cs="宋体"/>
          <w:kern w:val="0"/>
          <w:sz w:val="24"/>
          <w:szCs w:val="24"/>
          <w:highlight w:val="none"/>
        </w:rPr>
      </w:pPr>
    </w:p>
    <w:p w14:paraId="0031D302">
      <w:pPr>
        <w:widowControl/>
        <w:shd w:val="clear" w:color="auto" w:fill="FFFFFF"/>
        <w:snapToGrid w:val="0"/>
        <w:spacing w:line="360" w:lineRule="auto"/>
        <w:jc w:val="left"/>
        <w:rPr>
          <w:rFonts w:ascii="宋体" w:hAnsi="宋体" w:eastAsia="宋体" w:cs="Arial"/>
          <w:kern w:val="0"/>
          <w:sz w:val="24"/>
          <w:szCs w:val="24"/>
          <w:highlight w:val="none"/>
        </w:rPr>
      </w:pPr>
      <w:r>
        <w:rPr>
          <w:rFonts w:hint="eastAsia" w:ascii="宋体" w:hAnsi="宋体" w:eastAsia="宋体" w:cs="Arial"/>
          <w:kern w:val="0"/>
          <w:sz w:val="24"/>
          <w:szCs w:val="24"/>
          <w:highlight w:val="none"/>
        </w:rPr>
        <w:t>供应商：</w:t>
      </w:r>
      <w:r>
        <w:rPr>
          <w:rFonts w:hint="eastAsia" w:ascii="宋体" w:hAnsi="宋体" w:eastAsia="宋体" w:cs="Arial"/>
          <w:kern w:val="0"/>
          <w:sz w:val="24"/>
          <w:szCs w:val="24"/>
          <w:highlight w:val="none"/>
          <w:u w:val="single"/>
        </w:rPr>
        <w:t xml:space="preserve">               </w:t>
      </w:r>
      <w:r>
        <w:rPr>
          <w:rFonts w:hint="eastAsia" w:ascii="宋体" w:hAnsi="宋体" w:eastAsia="宋体" w:cs="Arial"/>
          <w:kern w:val="0"/>
          <w:sz w:val="24"/>
          <w:szCs w:val="24"/>
          <w:highlight w:val="none"/>
        </w:rPr>
        <w:t>（盖章）</w:t>
      </w:r>
    </w:p>
    <w:p w14:paraId="6500E027">
      <w:pPr>
        <w:widowControl/>
        <w:shd w:val="clear" w:color="auto" w:fill="FFFFFF"/>
        <w:snapToGrid w:val="0"/>
        <w:spacing w:line="360" w:lineRule="auto"/>
        <w:jc w:val="left"/>
        <w:rPr>
          <w:rFonts w:ascii="宋体" w:hAnsi="宋体" w:eastAsia="宋体" w:cs="Arial"/>
          <w:kern w:val="0"/>
          <w:sz w:val="24"/>
          <w:szCs w:val="24"/>
          <w:highlight w:val="none"/>
        </w:rPr>
      </w:pPr>
    </w:p>
    <w:p w14:paraId="0D350EF4">
      <w:pPr>
        <w:widowControl/>
        <w:shd w:val="clear" w:color="auto" w:fill="FFFFFF"/>
        <w:snapToGrid w:val="0"/>
        <w:spacing w:line="360" w:lineRule="auto"/>
        <w:jc w:val="left"/>
        <w:rPr>
          <w:rFonts w:ascii="宋体" w:hAnsi="宋体" w:eastAsia="宋体" w:cs="Arial"/>
          <w:kern w:val="0"/>
          <w:sz w:val="24"/>
          <w:szCs w:val="24"/>
          <w:highlight w:val="none"/>
        </w:rPr>
      </w:pPr>
    </w:p>
    <w:p w14:paraId="25673384">
      <w:pPr>
        <w:widowControl/>
        <w:shd w:val="clear" w:color="auto" w:fill="FFFFFF"/>
        <w:snapToGrid w:val="0"/>
        <w:spacing w:line="360" w:lineRule="auto"/>
        <w:ind w:firstLine="420"/>
        <w:jc w:val="center"/>
        <w:rPr>
          <w:rFonts w:ascii="宋体" w:hAnsi="宋体" w:eastAsia="宋体" w:cs="Arial"/>
          <w:kern w:val="0"/>
          <w:sz w:val="24"/>
          <w:szCs w:val="24"/>
          <w:highlight w:val="none"/>
        </w:rPr>
      </w:pPr>
      <w:r>
        <w:rPr>
          <w:rFonts w:hint="eastAsia" w:ascii="宋体" w:hAnsi="宋体" w:eastAsia="宋体" w:cs="Arial"/>
          <w:kern w:val="0"/>
          <w:sz w:val="24"/>
          <w:szCs w:val="24"/>
          <w:highlight w:val="none"/>
        </w:rPr>
        <w:t xml:space="preserve">                                               日期： 年  月  日</w:t>
      </w:r>
    </w:p>
    <w:p w14:paraId="2363B6FF">
      <w:pPr>
        <w:spacing w:line="360" w:lineRule="auto"/>
        <w:ind w:firstLineChars="200"/>
        <w:jc w:val="center"/>
        <w:outlineLvl w:val="2"/>
        <w:rPr>
          <w:rFonts w:hint="eastAsia" w:ascii="宋体" w:hAnsi="宋体" w:eastAsia="宋体" w:cs="宋体"/>
          <w:b/>
          <w:color w:val="auto"/>
          <w:sz w:val="24"/>
          <w:szCs w:val="24"/>
          <w:highlight w:val="none"/>
        </w:rPr>
      </w:pPr>
    </w:p>
    <w:p w14:paraId="3AC2E0BB">
      <w:pPr>
        <w:pStyle w:val="2"/>
        <w:rPr>
          <w:rFonts w:hint="eastAsia" w:ascii="宋体" w:hAnsi="宋体" w:eastAsia="宋体" w:cs="宋体"/>
          <w:b/>
          <w:color w:val="auto"/>
          <w:sz w:val="24"/>
          <w:szCs w:val="24"/>
          <w:highlight w:val="none"/>
        </w:rPr>
      </w:pPr>
    </w:p>
    <w:p w14:paraId="386C95FC">
      <w:pPr>
        <w:rPr>
          <w:rFonts w:hint="eastAsia" w:ascii="宋体" w:hAnsi="宋体" w:eastAsia="宋体" w:cs="宋体"/>
          <w:b/>
          <w:color w:val="auto"/>
          <w:sz w:val="24"/>
          <w:szCs w:val="24"/>
          <w:highlight w:val="none"/>
        </w:rPr>
      </w:pPr>
    </w:p>
    <w:p w14:paraId="60289B35">
      <w:pPr>
        <w:pStyle w:val="2"/>
        <w:rPr>
          <w:rFonts w:hint="eastAsia" w:ascii="宋体" w:hAnsi="宋体" w:eastAsia="宋体" w:cs="宋体"/>
          <w:b/>
          <w:color w:val="auto"/>
          <w:sz w:val="24"/>
          <w:szCs w:val="24"/>
          <w:highlight w:val="none"/>
        </w:rPr>
      </w:pPr>
    </w:p>
    <w:p w14:paraId="6ED06F38">
      <w:pPr>
        <w:rPr>
          <w:rFonts w:hint="eastAsia" w:ascii="宋体" w:hAnsi="宋体" w:eastAsia="宋体" w:cs="宋体"/>
          <w:b/>
          <w:color w:val="auto"/>
          <w:sz w:val="24"/>
          <w:szCs w:val="24"/>
          <w:highlight w:val="none"/>
        </w:rPr>
      </w:pPr>
    </w:p>
    <w:p w14:paraId="4D394849">
      <w:pPr>
        <w:pStyle w:val="2"/>
        <w:rPr>
          <w:rFonts w:hint="eastAsia" w:ascii="宋体" w:hAnsi="宋体" w:eastAsia="宋体" w:cs="宋体"/>
          <w:b/>
          <w:color w:val="auto"/>
          <w:sz w:val="24"/>
          <w:szCs w:val="24"/>
          <w:highlight w:val="none"/>
        </w:rPr>
      </w:pPr>
    </w:p>
    <w:p w14:paraId="2BC1BFC4">
      <w:pPr>
        <w:rPr>
          <w:rFonts w:hint="eastAsia"/>
        </w:rPr>
      </w:pPr>
    </w:p>
    <w:p w14:paraId="1AD18E7A">
      <w:pPr>
        <w:spacing w:line="360" w:lineRule="auto"/>
        <w:ind w:firstLineChars="200"/>
        <w:jc w:val="center"/>
        <w:outlineLvl w:val="2"/>
        <w:rPr>
          <w:rFonts w:hint="eastAsia" w:ascii="宋体" w:hAnsi="宋体" w:eastAsia="宋体" w:cs="宋体"/>
          <w:b/>
          <w:color w:val="auto"/>
          <w:sz w:val="24"/>
          <w:szCs w:val="24"/>
          <w:highlight w:val="none"/>
        </w:rPr>
      </w:pPr>
    </w:p>
    <w:p w14:paraId="219093ED">
      <w:pPr>
        <w:spacing w:line="360" w:lineRule="auto"/>
        <w:ind w:firstLineChars="200"/>
        <w:jc w:val="center"/>
        <w:outlineLvl w:val="2"/>
        <w:rPr>
          <w:rFonts w:hint="eastAsia" w:ascii="宋体" w:hAnsi="宋体" w:eastAsia="宋体" w:cs="宋体"/>
          <w:b/>
          <w:color w:val="auto"/>
          <w:sz w:val="24"/>
          <w:szCs w:val="24"/>
          <w:highlight w:val="none"/>
        </w:rPr>
      </w:pPr>
    </w:p>
    <w:p w14:paraId="01265116">
      <w:pPr>
        <w:spacing w:line="360" w:lineRule="auto"/>
        <w:ind w:firstLineChars="200"/>
        <w:jc w:val="center"/>
        <w:outlineLvl w:val="2"/>
        <w:rPr>
          <w:rFonts w:hint="eastAsia" w:ascii="宋体" w:hAnsi="宋体" w:eastAsia="宋体" w:cs="宋体"/>
          <w:b/>
          <w:color w:val="auto"/>
          <w:sz w:val="24"/>
          <w:szCs w:val="24"/>
          <w:highlight w:val="none"/>
        </w:rPr>
      </w:pPr>
    </w:p>
    <w:p w14:paraId="72570FCB">
      <w:pPr>
        <w:spacing w:line="360" w:lineRule="auto"/>
        <w:ind w:firstLineChars="200"/>
        <w:jc w:val="center"/>
        <w:outlineLvl w:val="2"/>
        <w:rPr>
          <w:rFonts w:hint="eastAsia" w:ascii="宋体" w:hAnsi="宋体" w:eastAsia="宋体" w:cs="宋体"/>
          <w:b/>
          <w:color w:val="auto"/>
          <w:sz w:val="24"/>
          <w:szCs w:val="24"/>
          <w:highlight w:val="none"/>
        </w:rPr>
      </w:pPr>
    </w:p>
    <w:p w14:paraId="3D4BB93C">
      <w:pPr>
        <w:pStyle w:val="20"/>
        <w:spacing w:line="360" w:lineRule="auto"/>
        <w:ind w:firstLine="482" w:firstLineChars="200"/>
        <w:jc w:val="center"/>
        <w:outlineLvl w:val="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参加政府采购活动前三年内在经营活动中</w:t>
      </w:r>
      <w:bookmarkEnd w:id="397"/>
    </w:p>
    <w:p w14:paraId="15F40FB4">
      <w:pPr>
        <w:pStyle w:val="20"/>
        <w:spacing w:line="360" w:lineRule="auto"/>
        <w:ind w:firstLine="482" w:firstLineChars="20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没有重大违法记录的书面声明</w:t>
      </w:r>
    </w:p>
    <w:p w14:paraId="3F4AEB0E">
      <w:pPr>
        <w:pStyle w:val="2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本单位郑重声明：</w:t>
      </w:r>
    </w:p>
    <w:p w14:paraId="3B8525BE">
      <w:pPr>
        <w:pStyle w:val="2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我单位在参加</w:t>
      </w:r>
      <w:r>
        <w:rPr>
          <w:rFonts w:hint="eastAsia" w:ascii="宋体" w:hAnsi="宋体" w:eastAsia="宋体" w:cs="宋体"/>
          <w:color w:val="auto"/>
          <w:sz w:val="24"/>
          <w:szCs w:val="24"/>
          <w:highlight w:val="none"/>
          <w:lang w:val="en-US" w:eastAsia="zh-CN"/>
        </w:rPr>
        <w:t>本次</w:t>
      </w:r>
      <w:r>
        <w:rPr>
          <w:rFonts w:hint="eastAsia" w:ascii="宋体" w:hAnsi="宋体" w:eastAsia="宋体" w:cs="宋体"/>
          <w:color w:val="auto"/>
          <w:sz w:val="24"/>
          <w:szCs w:val="24"/>
          <w:highlight w:val="none"/>
        </w:rPr>
        <w:t>采购活动前三年内在经营活动中没有《政府采购法》第二十二条第一款第(五)项所称重大违法记录，包括：</w:t>
      </w:r>
    </w:p>
    <w:p w14:paraId="6CF50604">
      <w:pPr>
        <w:pStyle w:val="2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我单位或者其法定代表人、董事、监事、高级管理人员未因经营活动中的违法行为受到刑事处罚或者责令停产停业、吊销许可证或者执照、较大数额罚款等行政处罚。</w:t>
      </w:r>
    </w:p>
    <w:p w14:paraId="58C9F360">
      <w:pPr>
        <w:pStyle w:val="2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特此声明！</w:t>
      </w:r>
    </w:p>
    <w:p w14:paraId="286B692F">
      <w:pPr>
        <w:pStyle w:val="20"/>
        <w:spacing w:line="360" w:lineRule="auto"/>
        <w:ind w:firstLine="480" w:firstLineChars="200"/>
        <w:rPr>
          <w:rFonts w:hint="eastAsia" w:ascii="宋体" w:hAnsi="宋体" w:eastAsia="宋体" w:cs="宋体"/>
          <w:color w:val="auto"/>
          <w:sz w:val="24"/>
          <w:szCs w:val="24"/>
          <w:highlight w:val="none"/>
        </w:rPr>
      </w:pPr>
    </w:p>
    <w:p w14:paraId="2D9F8AA9">
      <w:pPr>
        <w:pStyle w:val="2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lang w:eastAsia="zh-CN"/>
        </w:rPr>
        <w:t>盖章</w:t>
      </w:r>
      <w:r>
        <w:rPr>
          <w:rFonts w:hint="eastAsia" w:ascii="宋体" w:hAnsi="宋体" w:eastAsia="宋体" w:cs="宋体"/>
          <w:color w:val="auto"/>
          <w:sz w:val="24"/>
          <w:szCs w:val="24"/>
          <w:highlight w:val="none"/>
        </w:rPr>
        <w:t>)：____________</w:t>
      </w:r>
    </w:p>
    <w:p w14:paraId="593257F5">
      <w:pPr>
        <w:pStyle w:val="2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法定代表人或其授权代表(签字或盖章)：____________</w:t>
      </w:r>
    </w:p>
    <w:p w14:paraId="26A28EA2">
      <w:pPr>
        <w:pStyle w:val="2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日期：______年____月____日</w:t>
      </w:r>
    </w:p>
    <w:p w14:paraId="255AA0A7">
      <w:pPr>
        <w:pStyle w:val="21"/>
        <w:rPr>
          <w:rFonts w:hint="eastAsia" w:ascii="宋体" w:hAnsi="宋体" w:eastAsia="宋体" w:cs="宋体"/>
          <w:color w:val="auto"/>
          <w:sz w:val="24"/>
          <w:szCs w:val="24"/>
          <w:highlight w:val="none"/>
        </w:rPr>
      </w:pPr>
    </w:p>
    <w:p w14:paraId="5D21A97B">
      <w:pPr>
        <w:rPr>
          <w:rFonts w:hint="eastAsia" w:ascii="宋体" w:hAnsi="宋体" w:eastAsia="宋体" w:cs="宋体"/>
          <w:color w:val="auto"/>
          <w:sz w:val="24"/>
          <w:szCs w:val="24"/>
          <w:highlight w:val="none"/>
        </w:rPr>
      </w:pPr>
    </w:p>
    <w:p w14:paraId="2BE8CC96">
      <w:pPr>
        <w:pStyle w:val="2"/>
        <w:rPr>
          <w:rFonts w:hint="eastAsia" w:ascii="宋体" w:hAnsi="宋体" w:eastAsia="宋体" w:cs="宋体"/>
          <w:color w:val="auto"/>
          <w:sz w:val="24"/>
          <w:szCs w:val="24"/>
          <w:highlight w:val="none"/>
        </w:rPr>
      </w:pPr>
    </w:p>
    <w:p w14:paraId="1B0881B3">
      <w:pPr>
        <w:rPr>
          <w:rFonts w:hint="eastAsia" w:ascii="宋体" w:hAnsi="宋体" w:eastAsia="宋体" w:cs="宋体"/>
          <w:color w:val="auto"/>
          <w:sz w:val="24"/>
          <w:szCs w:val="24"/>
          <w:highlight w:val="none"/>
        </w:rPr>
      </w:pPr>
    </w:p>
    <w:p w14:paraId="488C4215">
      <w:pPr>
        <w:pStyle w:val="2"/>
        <w:rPr>
          <w:rFonts w:hint="eastAsia" w:ascii="宋体" w:hAnsi="宋体" w:eastAsia="宋体" w:cs="宋体"/>
          <w:color w:val="auto"/>
          <w:sz w:val="24"/>
          <w:szCs w:val="24"/>
          <w:highlight w:val="none"/>
        </w:rPr>
      </w:pPr>
    </w:p>
    <w:p w14:paraId="281DB0D3">
      <w:pPr>
        <w:rPr>
          <w:rFonts w:hint="eastAsia" w:ascii="宋体" w:hAnsi="宋体" w:eastAsia="宋体" w:cs="宋体"/>
          <w:color w:val="auto"/>
          <w:sz w:val="24"/>
          <w:szCs w:val="24"/>
          <w:highlight w:val="none"/>
        </w:rPr>
      </w:pPr>
    </w:p>
    <w:p w14:paraId="2F96AC79">
      <w:pPr>
        <w:pStyle w:val="2"/>
        <w:rPr>
          <w:rFonts w:hint="eastAsia" w:ascii="宋体" w:hAnsi="宋体" w:eastAsia="宋体" w:cs="宋体"/>
          <w:color w:val="auto"/>
          <w:sz w:val="24"/>
          <w:szCs w:val="24"/>
          <w:highlight w:val="none"/>
        </w:rPr>
      </w:pPr>
    </w:p>
    <w:p w14:paraId="387F4E00">
      <w:pPr>
        <w:rPr>
          <w:rFonts w:hint="eastAsia" w:ascii="宋体" w:hAnsi="宋体" w:eastAsia="宋体" w:cs="宋体"/>
          <w:color w:val="auto"/>
          <w:sz w:val="24"/>
          <w:szCs w:val="24"/>
          <w:highlight w:val="none"/>
        </w:rPr>
      </w:pPr>
    </w:p>
    <w:p w14:paraId="44B2B5A8">
      <w:pPr>
        <w:pStyle w:val="2"/>
        <w:rPr>
          <w:rFonts w:hint="eastAsia" w:ascii="宋体" w:hAnsi="宋体" w:eastAsia="宋体" w:cs="宋体"/>
          <w:color w:val="auto"/>
          <w:sz w:val="24"/>
          <w:szCs w:val="24"/>
          <w:highlight w:val="none"/>
        </w:rPr>
      </w:pPr>
    </w:p>
    <w:p w14:paraId="01DEA240">
      <w:pPr>
        <w:rPr>
          <w:rFonts w:hint="eastAsia" w:ascii="宋体" w:hAnsi="宋体" w:eastAsia="宋体" w:cs="宋体"/>
          <w:color w:val="auto"/>
          <w:sz w:val="24"/>
          <w:szCs w:val="24"/>
          <w:highlight w:val="none"/>
        </w:rPr>
      </w:pPr>
    </w:p>
    <w:p w14:paraId="417557AA">
      <w:pPr>
        <w:pStyle w:val="2"/>
        <w:rPr>
          <w:rFonts w:hint="eastAsia" w:ascii="宋体" w:hAnsi="宋体" w:eastAsia="宋体" w:cs="宋体"/>
          <w:color w:val="auto"/>
          <w:sz w:val="24"/>
          <w:szCs w:val="24"/>
          <w:highlight w:val="none"/>
        </w:rPr>
      </w:pPr>
    </w:p>
    <w:p w14:paraId="4195785A">
      <w:pPr>
        <w:rPr>
          <w:rFonts w:hint="eastAsia" w:ascii="宋体" w:hAnsi="宋体" w:eastAsia="宋体" w:cs="宋体"/>
          <w:color w:val="auto"/>
          <w:sz w:val="24"/>
          <w:szCs w:val="24"/>
          <w:highlight w:val="none"/>
        </w:rPr>
      </w:pPr>
    </w:p>
    <w:p w14:paraId="43F683F3">
      <w:pPr>
        <w:pStyle w:val="2"/>
        <w:rPr>
          <w:rFonts w:hint="eastAsia" w:ascii="宋体" w:hAnsi="宋体" w:eastAsia="宋体" w:cs="宋体"/>
          <w:color w:val="auto"/>
          <w:sz w:val="24"/>
          <w:szCs w:val="24"/>
          <w:highlight w:val="none"/>
        </w:rPr>
      </w:pPr>
    </w:p>
    <w:p w14:paraId="7671FDED">
      <w:pPr>
        <w:rPr>
          <w:rFonts w:hint="eastAsia" w:ascii="宋体" w:hAnsi="宋体" w:eastAsia="宋体" w:cs="宋体"/>
          <w:color w:val="auto"/>
          <w:sz w:val="24"/>
          <w:szCs w:val="24"/>
          <w:highlight w:val="none"/>
        </w:rPr>
      </w:pPr>
    </w:p>
    <w:p w14:paraId="74E68CD5">
      <w:pPr>
        <w:pStyle w:val="2"/>
        <w:rPr>
          <w:rFonts w:hint="eastAsia" w:ascii="宋体" w:hAnsi="宋体" w:eastAsia="宋体" w:cs="宋体"/>
          <w:color w:val="auto"/>
          <w:sz w:val="24"/>
          <w:szCs w:val="24"/>
          <w:highlight w:val="none"/>
        </w:rPr>
      </w:pPr>
    </w:p>
    <w:p w14:paraId="2E508A43">
      <w:pPr>
        <w:rPr>
          <w:rFonts w:hint="eastAsia" w:ascii="宋体" w:hAnsi="宋体" w:eastAsia="宋体" w:cs="宋体"/>
          <w:color w:val="auto"/>
          <w:sz w:val="24"/>
          <w:szCs w:val="24"/>
          <w:highlight w:val="none"/>
        </w:rPr>
      </w:pPr>
    </w:p>
    <w:p w14:paraId="58CFC222">
      <w:pPr>
        <w:pStyle w:val="2"/>
        <w:rPr>
          <w:rFonts w:hint="eastAsia" w:ascii="宋体" w:hAnsi="宋体" w:eastAsia="宋体" w:cs="宋体"/>
          <w:color w:val="auto"/>
          <w:sz w:val="24"/>
          <w:szCs w:val="24"/>
          <w:highlight w:val="none"/>
        </w:rPr>
      </w:pPr>
    </w:p>
    <w:p w14:paraId="5E55B982">
      <w:pPr>
        <w:rPr>
          <w:rFonts w:hint="eastAsia" w:ascii="宋体" w:hAnsi="宋体" w:eastAsia="宋体" w:cs="宋体"/>
          <w:color w:val="auto"/>
          <w:sz w:val="24"/>
          <w:szCs w:val="24"/>
          <w:highlight w:val="none"/>
        </w:rPr>
      </w:pPr>
    </w:p>
    <w:p w14:paraId="2CB966F3">
      <w:pPr>
        <w:pStyle w:val="2"/>
        <w:rPr>
          <w:rFonts w:hint="eastAsia" w:ascii="宋体" w:hAnsi="宋体" w:eastAsia="宋体" w:cs="宋体"/>
          <w:color w:val="auto"/>
          <w:sz w:val="24"/>
          <w:szCs w:val="24"/>
          <w:highlight w:val="none"/>
        </w:rPr>
      </w:pPr>
    </w:p>
    <w:p w14:paraId="7E08DD6D">
      <w:pPr>
        <w:rPr>
          <w:rFonts w:hint="eastAsia" w:ascii="宋体" w:hAnsi="宋体" w:eastAsia="宋体" w:cs="宋体"/>
          <w:color w:val="auto"/>
          <w:sz w:val="24"/>
          <w:szCs w:val="24"/>
          <w:highlight w:val="none"/>
        </w:rPr>
      </w:pPr>
    </w:p>
    <w:p w14:paraId="5C969F67">
      <w:pPr>
        <w:pStyle w:val="2"/>
        <w:rPr>
          <w:rFonts w:hint="eastAsia" w:ascii="宋体" w:hAnsi="宋体" w:eastAsia="宋体" w:cs="宋体"/>
          <w:color w:val="auto"/>
          <w:sz w:val="24"/>
          <w:szCs w:val="24"/>
          <w:highlight w:val="none"/>
        </w:rPr>
      </w:pPr>
    </w:p>
    <w:p w14:paraId="6E810BF4">
      <w:pPr>
        <w:rPr>
          <w:rFonts w:hint="eastAsia"/>
        </w:rPr>
      </w:pPr>
    </w:p>
    <w:p w14:paraId="6AFEE745">
      <w:pPr>
        <w:pStyle w:val="5"/>
        <w:tabs>
          <w:tab w:val="left" w:pos="1322"/>
        </w:tabs>
        <w:autoSpaceDE w:val="0"/>
        <w:autoSpaceDN w:val="0"/>
        <w:adjustRightInd w:val="0"/>
        <w:snapToGrid w:val="0"/>
        <w:spacing w:line="360" w:lineRule="auto"/>
        <w:ind w:firstLine="696" w:firstLineChars="290"/>
        <w:rPr>
          <w:rFonts w:hint="eastAsia" w:ascii="宋体" w:hAnsi="宋体" w:eastAsia="宋体" w:cs="宋体"/>
          <w:color w:val="auto"/>
          <w:sz w:val="24"/>
          <w:highlight w:val="none"/>
          <w:lang w:eastAsia="zh-CN"/>
        </w:rPr>
        <w:sectPr>
          <w:headerReference r:id="rId9" w:type="default"/>
          <w:footerReference r:id="rId10" w:type="default"/>
          <w:pgSz w:w="11905" w:h="16838"/>
          <w:pgMar w:top="1247" w:right="1423" w:bottom="1247" w:left="1423" w:header="0" w:footer="907" w:gutter="0"/>
          <w:pgNumType w:fmt="decimal"/>
          <w:cols w:space="0" w:num="1"/>
          <w:rtlGutter w:val="0"/>
          <w:docGrid w:linePitch="312" w:charSpace="0"/>
        </w:sectPr>
      </w:pPr>
      <w:r>
        <w:rPr>
          <w:rFonts w:hint="eastAsia" w:ascii="宋体" w:hAnsi="宋体" w:eastAsia="宋体" w:cs="宋体"/>
          <w:color w:val="auto"/>
          <w:sz w:val="24"/>
          <w:highlight w:val="none"/>
          <w:lang w:eastAsia="zh-CN"/>
        </w:rPr>
        <w:t>未被“信用中国”（www.creditchina.gov.cn）、中国政府采购网（www.ccgp.gov.cn）列入失信被执行人、重大税收违法案件当事人名单、政府采购严重违法失信行为记录名单；</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提供截图文件，时间在招标公告发布之后</w:t>
      </w:r>
      <w:r>
        <w:rPr>
          <w:rFonts w:hint="eastAsia" w:ascii="宋体" w:hAnsi="宋体" w:cs="宋体"/>
          <w:color w:val="auto"/>
          <w:sz w:val="24"/>
          <w:highlight w:val="none"/>
          <w:lang w:eastAsia="zh-CN"/>
        </w:rPr>
        <w:t>）</w:t>
      </w:r>
    </w:p>
    <w:p w14:paraId="54AC8CE2">
      <w:pPr>
        <w:spacing w:line="360" w:lineRule="auto"/>
        <w:rPr>
          <w:rFonts w:hint="default" w:hAnsi="宋体" w:cs="宋体"/>
          <w:b/>
          <w:bCs/>
          <w:color w:val="auto"/>
          <w:sz w:val="24"/>
          <w:highlight w:val="none"/>
          <w:lang w:val="en-US" w:eastAsia="zh-CN"/>
        </w:rPr>
      </w:pPr>
      <w:bookmarkStart w:id="398" w:name="_Toc22532"/>
      <w:bookmarkStart w:id="399" w:name="_Toc22438"/>
      <w:r>
        <w:rPr>
          <w:rFonts w:hint="default" w:hAnsi="宋体" w:cs="宋体"/>
          <w:b/>
          <w:bCs/>
          <w:color w:val="auto"/>
          <w:sz w:val="24"/>
          <w:highlight w:val="none"/>
        </w:rPr>
        <w:t>附件 3</w:t>
      </w:r>
      <w:r>
        <w:rPr>
          <w:rFonts w:hint="default" w:hAnsi="宋体" w:cs="宋体"/>
          <w:b/>
          <w:bCs/>
          <w:color w:val="auto"/>
          <w:sz w:val="24"/>
          <w:highlight w:val="none"/>
          <w:lang w:val="en-US" w:eastAsia="zh-CN"/>
        </w:rPr>
        <w:t xml:space="preserve"> </w:t>
      </w:r>
      <w:r>
        <w:rPr>
          <w:rFonts w:hint="default" w:hAnsi="宋体" w:cs="宋体"/>
          <w:b/>
          <w:bCs/>
          <w:color w:val="auto"/>
          <w:sz w:val="24"/>
          <w:highlight w:val="none"/>
        </w:rPr>
        <w:t>投标人综合情况</w:t>
      </w:r>
      <w:r>
        <w:rPr>
          <w:rFonts w:hint="default" w:hAnsi="宋体" w:cs="宋体"/>
          <w:b/>
          <w:bCs/>
          <w:color w:val="auto"/>
          <w:sz w:val="24"/>
          <w:highlight w:val="none"/>
          <w:lang w:val="en-US" w:eastAsia="zh-CN"/>
        </w:rPr>
        <w:t>及其他证明材料</w:t>
      </w:r>
      <w:bookmarkEnd w:id="398"/>
      <w:bookmarkEnd w:id="399"/>
    </w:p>
    <w:p w14:paraId="04CA5E2E">
      <w:pPr>
        <w:spacing w:line="360" w:lineRule="auto"/>
        <w:rPr>
          <w:rFonts w:hint="default" w:ascii="宋体" w:hAnsi="宋体" w:eastAsia="宋体" w:cs="宋体"/>
          <w:b/>
          <w:bCs/>
          <w:color w:val="auto"/>
          <w:sz w:val="24"/>
          <w:szCs w:val="24"/>
          <w:highlight w:val="none"/>
        </w:rPr>
      </w:pPr>
      <w:r>
        <w:rPr>
          <w:rFonts w:hint="default" w:ascii="宋体" w:hAnsi="宋体" w:eastAsia="宋体" w:cs="宋体"/>
          <w:b/>
          <w:bCs/>
          <w:color w:val="auto"/>
          <w:spacing w:val="0"/>
          <w:w w:val="100"/>
          <w:sz w:val="24"/>
          <w:szCs w:val="24"/>
          <w:highlight w:val="none"/>
        </w:rPr>
        <w:t>附</w:t>
      </w:r>
      <w:r>
        <w:rPr>
          <w:rFonts w:hint="default" w:ascii="宋体" w:hAnsi="宋体" w:eastAsia="宋体" w:cs="宋体"/>
          <w:b/>
          <w:bCs/>
          <w:color w:val="auto"/>
          <w:w w:val="100"/>
          <w:sz w:val="24"/>
          <w:szCs w:val="24"/>
          <w:highlight w:val="none"/>
        </w:rPr>
        <w:t>件</w:t>
      </w:r>
      <w:r>
        <w:rPr>
          <w:rFonts w:hint="default" w:ascii="宋体" w:hAnsi="宋体" w:eastAsia="宋体" w:cs="宋体"/>
          <w:b/>
          <w:bCs/>
          <w:color w:val="auto"/>
          <w:spacing w:val="0"/>
          <w:sz w:val="24"/>
          <w:szCs w:val="24"/>
          <w:highlight w:val="none"/>
        </w:rPr>
        <w:t xml:space="preserve"> </w:t>
      </w:r>
      <w:r>
        <w:rPr>
          <w:rFonts w:hint="default" w:hAnsi="宋体" w:cs="宋体"/>
          <w:b/>
          <w:bCs/>
          <w:color w:val="auto"/>
          <w:spacing w:val="0"/>
          <w:w w:val="100"/>
          <w:kern w:val="0"/>
          <w:sz w:val="24"/>
          <w:szCs w:val="24"/>
          <w:highlight w:val="none"/>
          <w:lang w:eastAsia="zh-CN"/>
        </w:rPr>
        <w:t>3</w:t>
      </w:r>
      <w:r>
        <w:rPr>
          <w:rFonts w:hint="default" w:hAnsi="宋体" w:cs="宋体"/>
          <w:b/>
          <w:bCs/>
          <w:color w:val="auto"/>
          <w:spacing w:val="0"/>
          <w:w w:val="100"/>
          <w:kern w:val="0"/>
          <w:sz w:val="24"/>
          <w:szCs w:val="24"/>
          <w:highlight w:val="none"/>
          <w:lang w:val="en-US" w:eastAsia="zh-CN"/>
        </w:rPr>
        <w:t xml:space="preserve">-1 </w:t>
      </w:r>
      <w:bookmarkStart w:id="400" w:name="_Toc11568"/>
      <w:bookmarkStart w:id="401" w:name="_Toc5632"/>
      <w:r>
        <w:rPr>
          <w:rFonts w:hint="default" w:ascii="宋体" w:hAnsi="宋体" w:eastAsia="宋体" w:cs="宋体"/>
          <w:b/>
          <w:bCs/>
          <w:color w:val="auto"/>
          <w:sz w:val="24"/>
          <w:szCs w:val="24"/>
          <w:highlight w:val="none"/>
        </w:rPr>
        <w:t>投标人综合情况一览表</w:t>
      </w:r>
      <w:bookmarkEnd w:id="400"/>
      <w:bookmarkEnd w:id="401"/>
    </w:p>
    <w:tbl>
      <w:tblPr>
        <w:tblStyle w:val="35"/>
        <w:tblpPr w:leftFromText="180" w:rightFromText="180" w:vertAnchor="text" w:horzAnchor="page" w:tblpX="1452" w:tblpY="384"/>
        <w:tblOverlap w:val="never"/>
        <w:tblW w:w="5015" w:type="pct"/>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autofit"/>
        <w:tblCellMar>
          <w:top w:w="0" w:type="dxa"/>
          <w:left w:w="0" w:type="dxa"/>
          <w:bottom w:w="0" w:type="dxa"/>
          <w:right w:w="0" w:type="dxa"/>
        </w:tblCellMar>
      </w:tblPr>
      <w:tblGrid>
        <w:gridCol w:w="2051"/>
        <w:gridCol w:w="1105"/>
        <w:gridCol w:w="1866"/>
        <w:gridCol w:w="735"/>
        <w:gridCol w:w="102"/>
        <w:gridCol w:w="454"/>
        <w:gridCol w:w="954"/>
        <w:gridCol w:w="354"/>
        <w:gridCol w:w="744"/>
        <w:gridCol w:w="751"/>
      </w:tblGrid>
      <w:tr w14:paraId="2C7E32F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8" w:hRule="atLeast"/>
          <w:jc w:val="center"/>
        </w:trPr>
        <w:tc>
          <w:tcPr>
            <w:tcW w:w="1125" w:type="pct"/>
            <w:tcBorders>
              <w:top w:val="single" w:color="000000" w:sz="12" w:space="0"/>
              <w:left w:val="single" w:color="000000" w:sz="12" w:space="0"/>
              <w:bottom w:val="single" w:color="000000" w:sz="6" w:space="0"/>
              <w:right w:val="single" w:color="000000" w:sz="6" w:space="0"/>
              <w:tl2br w:val="nil"/>
              <w:tr2bl w:val="nil"/>
            </w:tcBorders>
            <w:noWrap w:val="0"/>
            <w:vAlign w:val="top"/>
          </w:tcPr>
          <w:p w14:paraId="07C9648E">
            <w:pPr>
              <w:pStyle w:val="73"/>
              <w:spacing w:before="153" w:line="360" w:lineRule="auto"/>
              <w:ind w:left="10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投标人</w:t>
            </w:r>
            <w:r>
              <w:rPr>
                <w:rFonts w:hint="eastAsia" w:ascii="宋体" w:hAnsi="宋体" w:eastAsia="宋体" w:cs="宋体"/>
                <w:color w:val="auto"/>
                <w:sz w:val="24"/>
                <w:szCs w:val="24"/>
                <w:highlight w:val="none"/>
              </w:rPr>
              <w:t>名称</w:t>
            </w:r>
          </w:p>
        </w:tc>
        <w:tc>
          <w:tcPr>
            <w:tcW w:w="3874" w:type="pct"/>
            <w:gridSpan w:val="9"/>
            <w:tcBorders>
              <w:top w:val="single" w:color="000000" w:sz="12" w:space="0"/>
              <w:left w:val="single" w:color="000000" w:sz="6" w:space="0"/>
              <w:bottom w:val="single" w:color="000000" w:sz="6" w:space="0"/>
              <w:right w:val="single" w:color="000000" w:sz="12" w:space="0"/>
              <w:tl2br w:val="nil"/>
              <w:tr2bl w:val="nil"/>
            </w:tcBorders>
            <w:noWrap w:val="0"/>
            <w:vAlign w:val="top"/>
          </w:tcPr>
          <w:p w14:paraId="1A33EDBA">
            <w:pPr>
              <w:pStyle w:val="73"/>
              <w:spacing w:before="153" w:line="360" w:lineRule="auto"/>
              <w:ind w:left="11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盖章</w:t>
            </w:r>
            <w:r>
              <w:rPr>
                <w:rFonts w:hint="eastAsia" w:ascii="宋体" w:hAnsi="宋体" w:eastAsia="宋体" w:cs="宋体"/>
                <w:color w:val="auto"/>
                <w:sz w:val="24"/>
                <w:szCs w:val="24"/>
                <w:highlight w:val="none"/>
              </w:rPr>
              <w:t>）</w:t>
            </w:r>
          </w:p>
        </w:tc>
      </w:tr>
      <w:tr w14:paraId="0393670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1" w:hRule="atLeast"/>
          <w:jc w:val="center"/>
        </w:trPr>
        <w:tc>
          <w:tcPr>
            <w:tcW w:w="1125" w:type="pct"/>
            <w:tcBorders>
              <w:top w:val="single" w:color="000000" w:sz="6" w:space="0"/>
              <w:left w:val="single" w:color="000000" w:sz="12" w:space="0"/>
              <w:bottom w:val="single" w:color="000000" w:sz="6" w:space="0"/>
              <w:right w:val="single" w:color="000000" w:sz="6" w:space="0"/>
              <w:tl2br w:val="nil"/>
              <w:tr2bl w:val="nil"/>
            </w:tcBorders>
            <w:noWrap w:val="0"/>
            <w:vAlign w:val="top"/>
          </w:tcPr>
          <w:p w14:paraId="174B7EDE">
            <w:pPr>
              <w:pStyle w:val="73"/>
              <w:spacing w:before="148" w:line="360" w:lineRule="auto"/>
              <w:ind w:left="10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注册地址</w:t>
            </w:r>
          </w:p>
        </w:tc>
        <w:tc>
          <w:tcPr>
            <w:tcW w:w="2088" w:type="pct"/>
            <w:gridSpan w:val="4"/>
            <w:tcBorders>
              <w:top w:val="single" w:color="000000" w:sz="6" w:space="0"/>
              <w:left w:val="single" w:color="000000" w:sz="6" w:space="0"/>
              <w:bottom w:val="single" w:color="000000" w:sz="6" w:space="0"/>
              <w:right w:val="single" w:color="000000" w:sz="6" w:space="0"/>
              <w:tl2br w:val="nil"/>
              <w:tr2bl w:val="nil"/>
            </w:tcBorders>
            <w:noWrap w:val="0"/>
            <w:vAlign w:val="top"/>
          </w:tcPr>
          <w:p w14:paraId="3472C0A0">
            <w:pPr>
              <w:pStyle w:val="73"/>
              <w:spacing w:line="360" w:lineRule="auto"/>
              <w:jc w:val="center"/>
              <w:rPr>
                <w:rFonts w:hint="eastAsia" w:ascii="宋体" w:hAnsi="宋体" w:eastAsia="宋体" w:cs="宋体"/>
                <w:color w:val="auto"/>
                <w:sz w:val="24"/>
                <w:szCs w:val="24"/>
                <w:highlight w:val="none"/>
              </w:rPr>
            </w:pPr>
          </w:p>
        </w:tc>
        <w:tc>
          <w:tcPr>
            <w:tcW w:w="772" w:type="pct"/>
            <w:gridSpan w:val="2"/>
            <w:tcBorders>
              <w:top w:val="single" w:color="000000" w:sz="6" w:space="0"/>
              <w:left w:val="single" w:color="000000" w:sz="6" w:space="0"/>
              <w:bottom w:val="single" w:color="000000" w:sz="6" w:space="0"/>
              <w:right w:val="single" w:color="000000" w:sz="6" w:space="0"/>
              <w:tl2br w:val="nil"/>
              <w:tr2bl w:val="nil"/>
            </w:tcBorders>
            <w:noWrap w:val="0"/>
            <w:vAlign w:val="top"/>
          </w:tcPr>
          <w:p w14:paraId="039AEC40">
            <w:pPr>
              <w:pStyle w:val="73"/>
              <w:spacing w:before="148" w:line="360" w:lineRule="auto"/>
              <w:ind w:left="11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tc>
        <w:tc>
          <w:tcPr>
            <w:tcW w:w="1014" w:type="pct"/>
            <w:gridSpan w:val="3"/>
            <w:tcBorders>
              <w:top w:val="single" w:color="000000" w:sz="6" w:space="0"/>
              <w:left w:val="single" w:color="000000" w:sz="6" w:space="0"/>
              <w:bottom w:val="single" w:color="000000" w:sz="6" w:space="0"/>
              <w:right w:val="single" w:color="000000" w:sz="12" w:space="0"/>
              <w:tl2br w:val="nil"/>
              <w:tr2bl w:val="nil"/>
            </w:tcBorders>
            <w:noWrap w:val="0"/>
            <w:vAlign w:val="top"/>
          </w:tcPr>
          <w:p w14:paraId="3D10320B">
            <w:pPr>
              <w:pStyle w:val="73"/>
              <w:spacing w:line="360" w:lineRule="auto"/>
              <w:rPr>
                <w:rFonts w:hint="eastAsia" w:ascii="宋体" w:hAnsi="宋体" w:eastAsia="宋体" w:cs="宋体"/>
                <w:color w:val="auto"/>
                <w:sz w:val="24"/>
                <w:szCs w:val="24"/>
                <w:highlight w:val="none"/>
              </w:rPr>
            </w:pPr>
          </w:p>
        </w:tc>
      </w:tr>
      <w:tr w14:paraId="5C0E00E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99" w:hRule="atLeast"/>
          <w:jc w:val="center"/>
        </w:trPr>
        <w:tc>
          <w:tcPr>
            <w:tcW w:w="1125" w:type="pct"/>
            <w:vMerge w:val="restart"/>
            <w:tcBorders>
              <w:top w:val="single" w:color="000000" w:sz="6" w:space="0"/>
              <w:left w:val="single" w:color="000000" w:sz="12" w:space="0"/>
              <w:bottom w:val="single" w:color="000000" w:sz="6" w:space="0"/>
              <w:right w:val="single" w:color="000000" w:sz="6" w:space="0"/>
              <w:tl2br w:val="nil"/>
              <w:tr2bl w:val="nil"/>
            </w:tcBorders>
            <w:noWrap w:val="0"/>
            <w:vAlign w:val="top"/>
          </w:tcPr>
          <w:p w14:paraId="4D7D5B55">
            <w:pPr>
              <w:pStyle w:val="73"/>
              <w:spacing w:before="10" w:line="360" w:lineRule="auto"/>
              <w:rPr>
                <w:rFonts w:hint="eastAsia" w:ascii="宋体" w:hAnsi="宋体" w:eastAsia="宋体" w:cs="宋体"/>
                <w:b/>
                <w:color w:val="auto"/>
                <w:sz w:val="24"/>
                <w:szCs w:val="24"/>
                <w:highlight w:val="none"/>
              </w:rPr>
            </w:pPr>
          </w:p>
          <w:p w14:paraId="7EAF0C59">
            <w:pPr>
              <w:pStyle w:val="73"/>
              <w:spacing w:line="360" w:lineRule="auto"/>
              <w:ind w:left="10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w:t>
            </w:r>
          </w:p>
        </w:tc>
        <w:tc>
          <w:tcPr>
            <w:tcW w:w="606"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2624B3CB">
            <w:pPr>
              <w:pStyle w:val="73"/>
              <w:spacing w:before="143" w:line="360" w:lineRule="auto"/>
              <w:ind w:left="11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p>
        </w:tc>
        <w:tc>
          <w:tcPr>
            <w:tcW w:w="1481" w:type="pct"/>
            <w:gridSpan w:val="3"/>
            <w:tcBorders>
              <w:top w:val="single" w:color="000000" w:sz="6" w:space="0"/>
              <w:left w:val="single" w:color="000000" w:sz="6" w:space="0"/>
              <w:bottom w:val="single" w:color="000000" w:sz="6" w:space="0"/>
              <w:right w:val="single" w:color="000000" w:sz="6" w:space="0"/>
              <w:tl2br w:val="nil"/>
              <w:tr2bl w:val="nil"/>
            </w:tcBorders>
            <w:noWrap w:val="0"/>
            <w:vAlign w:val="top"/>
          </w:tcPr>
          <w:p w14:paraId="28907A6B">
            <w:pPr>
              <w:pStyle w:val="73"/>
              <w:spacing w:line="360" w:lineRule="auto"/>
              <w:rPr>
                <w:rFonts w:hint="eastAsia" w:ascii="宋体" w:hAnsi="宋体" w:eastAsia="宋体" w:cs="宋体"/>
                <w:color w:val="auto"/>
                <w:sz w:val="24"/>
                <w:szCs w:val="24"/>
                <w:highlight w:val="none"/>
              </w:rPr>
            </w:pPr>
          </w:p>
        </w:tc>
        <w:tc>
          <w:tcPr>
            <w:tcW w:w="772" w:type="pct"/>
            <w:gridSpan w:val="2"/>
            <w:tcBorders>
              <w:top w:val="single" w:color="000000" w:sz="6" w:space="0"/>
              <w:left w:val="single" w:color="000000" w:sz="6" w:space="0"/>
              <w:bottom w:val="single" w:color="000000" w:sz="6" w:space="0"/>
              <w:right w:val="single" w:color="000000" w:sz="6" w:space="0"/>
              <w:tl2br w:val="nil"/>
              <w:tr2bl w:val="nil"/>
            </w:tcBorders>
            <w:noWrap w:val="0"/>
            <w:vAlign w:val="top"/>
          </w:tcPr>
          <w:p w14:paraId="78959DBE">
            <w:pPr>
              <w:pStyle w:val="73"/>
              <w:spacing w:before="143" w:line="360" w:lineRule="auto"/>
              <w:ind w:left="11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tc>
        <w:tc>
          <w:tcPr>
            <w:tcW w:w="1014" w:type="pct"/>
            <w:gridSpan w:val="3"/>
            <w:tcBorders>
              <w:top w:val="single" w:color="000000" w:sz="6" w:space="0"/>
              <w:left w:val="single" w:color="000000" w:sz="6" w:space="0"/>
              <w:bottom w:val="single" w:color="000000" w:sz="6" w:space="0"/>
              <w:right w:val="single" w:color="000000" w:sz="12" w:space="0"/>
              <w:tl2br w:val="nil"/>
              <w:tr2bl w:val="nil"/>
            </w:tcBorders>
            <w:noWrap w:val="0"/>
            <w:vAlign w:val="top"/>
          </w:tcPr>
          <w:p w14:paraId="6CD7ABDD">
            <w:pPr>
              <w:pStyle w:val="73"/>
              <w:spacing w:line="360" w:lineRule="auto"/>
              <w:rPr>
                <w:rFonts w:hint="eastAsia" w:ascii="宋体" w:hAnsi="宋体" w:eastAsia="宋体" w:cs="宋体"/>
                <w:color w:val="auto"/>
                <w:sz w:val="24"/>
                <w:szCs w:val="24"/>
                <w:highlight w:val="none"/>
              </w:rPr>
            </w:pPr>
          </w:p>
        </w:tc>
      </w:tr>
      <w:tr w14:paraId="0322029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4" w:hRule="atLeast"/>
          <w:jc w:val="center"/>
        </w:trPr>
        <w:tc>
          <w:tcPr>
            <w:tcW w:w="1125" w:type="pct"/>
            <w:vMerge w:val="continue"/>
            <w:tcBorders>
              <w:top w:val="nil"/>
              <w:left w:val="single" w:color="000000" w:sz="12" w:space="0"/>
              <w:bottom w:val="single" w:color="000000" w:sz="6" w:space="0"/>
              <w:right w:val="single" w:color="000000" w:sz="6" w:space="0"/>
              <w:tl2br w:val="nil"/>
              <w:tr2bl w:val="nil"/>
            </w:tcBorders>
            <w:noWrap w:val="0"/>
            <w:vAlign w:val="top"/>
          </w:tcPr>
          <w:p w14:paraId="58909E4F">
            <w:pPr>
              <w:widowControl/>
              <w:adjustRightInd/>
              <w:spacing w:line="360" w:lineRule="auto"/>
              <w:jc w:val="left"/>
              <w:rPr>
                <w:rFonts w:hint="eastAsia" w:ascii="宋体" w:hAnsi="宋体" w:eastAsia="宋体" w:cs="宋体"/>
                <w:color w:val="auto"/>
                <w:kern w:val="2"/>
                <w:sz w:val="24"/>
                <w:szCs w:val="24"/>
                <w:highlight w:val="none"/>
              </w:rPr>
            </w:pPr>
          </w:p>
        </w:tc>
        <w:tc>
          <w:tcPr>
            <w:tcW w:w="606"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68A3F987">
            <w:pPr>
              <w:pStyle w:val="73"/>
              <w:spacing w:before="151" w:line="360" w:lineRule="auto"/>
              <w:ind w:left="11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w:t>
            </w:r>
          </w:p>
        </w:tc>
        <w:tc>
          <w:tcPr>
            <w:tcW w:w="1481" w:type="pct"/>
            <w:gridSpan w:val="3"/>
            <w:tcBorders>
              <w:top w:val="single" w:color="000000" w:sz="6" w:space="0"/>
              <w:left w:val="single" w:color="000000" w:sz="6" w:space="0"/>
              <w:bottom w:val="single" w:color="000000" w:sz="6" w:space="0"/>
              <w:right w:val="single" w:color="000000" w:sz="6" w:space="0"/>
              <w:tl2br w:val="nil"/>
              <w:tr2bl w:val="nil"/>
            </w:tcBorders>
            <w:noWrap w:val="0"/>
            <w:vAlign w:val="top"/>
          </w:tcPr>
          <w:p w14:paraId="3B008987">
            <w:pPr>
              <w:pStyle w:val="73"/>
              <w:spacing w:line="360" w:lineRule="auto"/>
              <w:rPr>
                <w:rFonts w:hint="eastAsia" w:ascii="宋体" w:hAnsi="宋体" w:eastAsia="宋体" w:cs="宋体"/>
                <w:color w:val="auto"/>
                <w:sz w:val="24"/>
                <w:szCs w:val="24"/>
                <w:highlight w:val="none"/>
              </w:rPr>
            </w:pPr>
          </w:p>
        </w:tc>
        <w:tc>
          <w:tcPr>
            <w:tcW w:w="772" w:type="pct"/>
            <w:gridSpan w:val="2"/>
            <w:tcBorders>
              <w:top w:val="single" w:color="000000" w:sz="6" w:space="0"/>
              <w:left w:val="single" w:color="000000" w:sz="6" w:space="0"/>
              <w:bottom w:val="single" w:color="000000" w:sz="6" w:space="0"/>
              <w:right w:val="single" w:color="000000" w:sz="6" w:space="0"/>
              <w:tl2br w:val="nil"/>
              <w:tr2bl w:val="nil"/>
            </w:tcBorders>
            <w:noWrap w:val="0"/>
            <w:vAlign w:val="top"/>
          </w:tcPr>
          <w:p w14:paraId="12182D48">
            <w:pPr>
              <w:pStyle w:val="73"/>
              <w:spacing w:before="151" w:line="360" w:lineRule="auto"/>
              <w:ind w:left="11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邮箱</w:t>
            </w:r>
          </w:p>
        </w:tc>
        <w:tc>
          <w:tcPr>
            <w:tcW w:w="1014" w:type="pct"/>
            <w:gridSpan w:val="3"/>
            <w:tcBorders>
              <w:top w:val="single" w:color="000000" w:sz="6" w:space="0"/>
              <w:left w:val="single" w:color="000000" w:sz="6" w:space="0"/>
              <w:bottom w:val="single" w:color="000000" w:sz="6" w:space="0"/>
              <w:right w:val="single" w:color="000000" w:sz="12" w:space="0"/>
              <w:tl2br w:val="nil"/>
              <w:tr2bl w:val="nil"/>
            </w:tcBorders>
            <w:noWrap w:val="0"/>
            <w:vAlign w:val="top"/>
          </w:tcPr>
          <w:p w14:paraId="793EA903">
            <w:pPr>
              <w:pStyle w:val="73"/>
              <w:spacing w:line="360" w:lineRule="auto"/>
              <w:rPr>
                <w:rFonts w:hint="eastAsia" w:ascii="宋体" w:hAnsi="宋体" w:eastAsia="宋体" w:cs="宋体"/>
                <w:color w:val="auto"/>
                <w:sz w:val="24"/>
                <w:szCs w:val="24"/>
                <w:highlight w:val="none"/>
              </w:rPr>
            </w:pPr>
          </w:p>
        </w:tc>
      </w:tr>
      <w:tr w14:paraId="5551FD7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3" w:hRule="atLeast"/>
          <w:jc w:val="center"/>
        </w:trPr>
        <w:tc>
          <w:tcPr>
            <w:tcW w:w="1125" w:type="pct"/>
            <w:tcBorders>
              <w:top w:val="single" w:color="000000" w:sz="6" w:space="0"/>
              <w:left w:val="single" w:color="000000" w:sz="12" w:space="0"/>
              <w:bottom w:val="single" w:color="000000" w:sz="6" w:space="0"/>
              <w:right w:val="single" w:color="000000" w:sz="6" w:space="0"/>
              <w:tl2br w:val="nil"/>
              <w:tr2bl w:val="nil"/>
            </w:tcBorders>
            <w:noWrap w:val="0"/>
            <w:vAlign w:val="top"/>
          </w:tcPr>
          <w:p w14:paraId="26996581">
            <w:pPr>
              <w:pStyle w:val="73"/>
              <w:spacing w:before="151" w:line="360" w:lineRule="auto"/>
              <w:ind w:left="107" w:right="-44"/>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隶属情况</w:t>
            </w:r>
            <w:r>
              <w:rPr>
                <w:rFonts w:hint="eastAsia" w:ascii="宋体" w:hAnsi="宋体" w:eastAsia="宋体" w:cs="宋体"/>
                <w:color w:val="auto"/>
                <w:sz w:val="24"/>
                <w:szCs w:val="24"/>
                <w:highlight w:val="none"/>
              </w:rPr>
              <w:t>（如有）</w:t>
            </w:r>
          </w:p>
        </w:tc>
        <w:tc>
          <w:tcPr>
            <w:tcW w:w="3874" w:type="pct"/>
            <w:gridSpan w:val="9"/>
            <w:tcBorders>
              <w:top w:val="single" w:color="000000" w:sz="6" w:space="0"/>
              <w:left w:val="single" w:color="000000" w:sz="6" w:space="0"/>
              <w:bottom w:val="single" w:color="000000" w:sz="6" w:space="0"/>
              <w:right w:val="single" w:color="000000" w:sz="12" w:space="0"/>
              <w:tl2br w:val="nil"/>
              <w:tr2bl w:val="nil"/>
            </w:tcBorders>
            <w:noWrap w:val="0"/>
            <w:vAlign w:val="top"/>
          </w:tcPr>
          <w:p w14:paraId="4528CBA9">
            <w:pPr>
              <w:pStyle w:val="73"/>
              <w:spacing w:before="151" w:line="360" w:lineRule="auto"/>
              <w:ind w:left="11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阐明隶属及组织机构情况</w:t>
            </w:r>
          </w:p>
        </w:tc>
      </w:tr>
      <w:tr w14:paraId="14D3703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1" w:hRule="atLeast"/>
          <w:jc w:val="center"/>
        </w:trPr>
        <w:tc>
          <w:tcPr>
            <w:tcW w:w="1125" w:type="pct"/>
            <w:tcBorders>
              <w:top w:val="single" w:color="000000" w:sz="6" w:space="0"/>
              <w:left w:val="single" w:color="000000" w:sz="12" w:space="0"/>
              <w:bottom w:val="single" w:color="000000" w:sz="6" w:space="0"/>
              <w:right w:val="single" w:color="000000" w:sz="6" w:space="0"/>
              <w:tl2br w:val="nil"/>
              <w:tr2bl w:val="nil"/>
            </w:tcBorders>
            <w:noWrap w:val="0"/>
            <w:vAlign w:val="top"/>
          </w:tcPr>
          <w:p w14:paraId="75DD2EF0">
            <w:pPr>
              <w:pStyle w:val="73"/>
              <w:spacing w:before="151" w:line="360" w:lineRule="auto"/>
              <w:ind w:left="107" w:right="-44"/>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控股情况</w:t>
            </w:r>
            <w:r>
              <w:rPr>
                <w:rFonts w:hint="eastAsia" w:ascii="宋体" w:hAnsi="宋体" w:eastAsia="宋体" w:cs="宋体"/>
                <w:color w:val="auto"/>
                <w:sz w:val="24"/>
                <w:szCs w:val="24"/>
                <w:highlight w:val="none"/>
              </w:rPr>
              <w:t>（如有）</w:t>
            </w:r>
          </w:p>
        </w:tc>
        <w:tc>
          <w:tcPr>
            <w:tcW w:w="3874" w:type="pct"/>
            <w:gridSpan w:val="9"/>
            <w:tcBorders>
              <w:top w:val="single" w:color="000000" w:sz="6" w:space="0"/>
              <w:left w:val="single" w:color="000000" w:sz="6" w:space="0"/>
              <w:bottom w:val="single" w:color="000000" w:sz="6" w:space="0"/>
              <w:right w:val="single" w:color="000000" w:sz="12" w:space="0"/>
              <w:tl2br w:val="nil"/>
              <w:tr2bl w:val="nil"/>
            </w:tcBorders>
            <w:noWrap w:val="0"/>
            <w:vAlign w:val="top"/>
          </w:tcPr>
          <w:p w14:paraId="54204470">
            <w:pPr>
              <w:pStyle w:val="73"/>
              <w:spacing w:before="151" w:line="360" w:lineRule="auto"/>
              <w:ind w:left="11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阐明控股和被控股情况</w:t>
            </w:r>
          </w:p>
        </w:tc>
      </w:tr>
      <w:tr w14:paraId="3C30E8D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94" w:hRule="atLeast"/>
          <w:jc w:val="center"/>
        </w:trPr>
        <w:tc>
          <w:tcPr>
            <w:tcW w:w="1125" w:type="pct"/>
            <w:tcBorders>
              <w:top w:val="single" w:color="000000" w:sz="6" w:space="0"/>
              <w:left w:val="single" w:color="000000" w:sz="12" w:space="0"/>
              <w:bottom w:val="single" w:color="000000" w:sz="6" w:space="0"/>
              <w:right w:val="single" w:color="000000" w:sz="6" w:space="0"/>
              <w:tl2br w:val="nil"/>
              <w:tr2bl w:val="nil"/>
            </w:tcBorders>
            <w:noWrap w:val="0"/>
            <w:vAlign w:val="top"/>
          </w:tcPr>
          <w:p w14:paraId="09E04DA2">
            <w:pPr>
              <w:pStyle w:val="73"/>
              <w:spacing w:before="141" w:line="360" w:lineRule="auto"/>
              <w:ind w:left="10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组织结构</w:t>
            </w:r>
          </w:p>
        </w:tc>
        <w:tc>
          <w:tcPr>
            <w:tcW w:w="3874" w:type="pct"/>
            <w:gridSpan w:val="9"/>
            <w:tcBorders>
              <w:top w:val="single" w:color="000000" w:sz="6" w:space="0"/>
              <w:left w:val="single" w:color="000000" w:sz="6" w:space="0"/>
              <w:bottom w:val="single" w:color="000000" w:sz="6" w:space="0"/>
              <w:right w:val="single" w:color="000000" w:sz="12" w:space="0"/>
              <w:tl2br w:val="nil"/>
              <w:tr2bl w:val="nil"/>
            </w:tcBorders>
            <w:noWrap w:val="0"/>
            <w:vAlign w:val="top"/>
          </w:tcPr>
          <w:p w14:paraId="758A481C">
            <w:pPr>
              <w:pStyle w:val="73"/>
              <w:spacing w:line="360" w:lineRule="auto"/>
              <w:rPr>
                <w:rFonts w:hint="eastAsia" w:ascii="宋体" w:hAnsi="宋体" w:eastAsia="宋体" w:cs="宋体"/>
                <w:color w:val="auto"/>
                <w:sz w:val="24"/>
                <w:szCs w:val="24"/>
                <w:highlight w:val="none"/>
              </w:rPr>
            </w:pPr>
          </w:p>
        </w:tc>
      </w:tr>
      <w:tr w14:paraId="066C014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3" w:hRule="atLeast"/>
          <w:jc w:val="center"/>
        </w:trPr>
        <w:tc>
          <w:tcPr>
            <w:tcW w:w="1125" w:type="pct"/>
            <w:tcBorders>
              <w:top w:val="single" w:color="000000" w:sz="6" w:space="0"/>
              <w:left w:val="single" w:color="000000" w:sz="12" w:space="0"/>
              <w:bottom w:val="single" w:color="000000" w:sz="6" w:space="0"/>
              <w:right w:val="single" w:color="000000" w:sz="6" w:space="0"/>
              <w:tl2br w:val="nil"/>
              <w:tr2bl w:val="nil"/>
            </w:tcBorders>
            <w:noWrap w:val="0"/>
            <w:vAlign w:val="top"/>
          </w:tcPr>
          <w:p w14:paraId="179B0633">
            <w:pPr>
              <w:pStyle w:val="73"/>
              <w:spacing w:before="155" w:line="360" w:lineRule="auto"/>
              <w:ind w:left="10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简介</w:t>
            </w:r>
          </w:p>
        </w:tc>
        <w:tc>
          <w:tcPr>
            <w:tcW w:w="3874" w:type="pct"/>
            <w:gridSpan w:val="9"/>
            <w:tcBorders>
              <w:top w:val="single" w:color="000000" w:sz="6" w:space="0"/>
              <w:left w:val="single" w:color="000000" w:sz="6" w:space="0"/>
              <w:bottom w:val="single" w:color="000000" w:sz="6" w:space="0"/>
              <w:right w:val="single" w:color="000000" w:sz="12" w:space="0"/>
              <w:tl2br w:val="nil"/>
              <w:tr2bl w:val="nil"/>
            </w:tcBorders>
            <w:noWrap w:val="0"/>
            <w:vAlign w:val="top"/>
          </w:tcPr>
          <w:p w14:paraId="5E7D98BE">
            <w:pPr>
              <w:pStyle w:val="73"/>
              <w:spacing w:line="360" w:lineRule="auto"/>
              <w:ind w:left="115" w:right="-58"/>
              <w:rPr>
                <w:rFonts w:hint="eastAsia" w:ascii="宋体" w:hAnsi="宋体" w:eastAsia="宋体" w:cs="宋体"/>
                <w:color w:val="auto"/>
                <w:sz w:val="24"/>
                <w:szCs w:val="24"/>
                <w:highlight w:val="none"/>
              </w:rPr>
            </w:pPr>
            <w:r>
              <w:rPr>
                <w:rFonts w:hint="eastAsia" w:ascii="宋体" w:hAnsi="宋体" w:eastAsia="宋体" w:cs="宋体"/>
                <w:color w:val="auto"/>
                <w:spacing w:val="-16"/>
                <w:sz w:val="24"/>
                <w:szCs w:val="24"/>
                <w:highlight w:val="none"/>
              </w:rPr>
              <w:t>包括但不限于：企业经营范围、发展历程、经营业绩、获奖情况、</w:t>
            </w:r>
            <w:r>
              <w:rPr>
                <w:rFonts w:hint="eastAsia" w:ascii="宋体" w:hAnsi="宋体" w:eastAsia="宋体" w:cs="宋体"/>
                <w:color w:val="auto"/>
                <w:sz w:val="24"/>
                <w:szCs w:val="24"/>
                <w:highlight w:val="none"/>
              </w:rPr>
              <w:t>财务状况、人力资源等。（可另附页）</w:t>
            </w:r>
          </w:p>
        </w:tc>
      </w:tr>
      <w:tr w14:paraId="7EB6362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99" w:hRule="atLeast"/>
          <w:jc w:val="center"/>
        </w:trPr>
        <w:tc>
          <w:tcPr>
            <w:tcW w:w="1125" w:type="pct"/>
            <w:tcBorders>
              <w:top w:val="single" w:color="000000" w:sz="6" w:space="0"/>
              <w:left w:val="single" w:color="000000" w:sz="12" w:space="0"/>
              <w:bottom w:val="single" w:color="000000" w:sz="6" w:space="0"/>
              <w:right w:val="single" w:color="000000" w:sz="6" w:space="0"/>
              <w:tl2br w:val="nil"/>
              <w:tr2bl w:val="nil"/>
            </w:tcBorders>
            <w:noWrap w:val="0"/>
            <w:vAlign w:val="top"/>
          </w:tcPr>
          <w:p w14:paraId="7B8BE61B">
            <w:pPr>
              <w:pStyle w:val="73"/>
              <w:spacing w:before="144" w:line="360" w:lineRule="auto"/>
              <w:ind w:left="10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tc>
        <w:tc>
          <w:tcPr>
            <w:tcW w:w="606"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41636D49">
            <w:pPr>
              <w:pStyle w:val="73"/>
              <w:spacing w:before="144" w:line="360" w:lineRule="auto"/>
              <w:ind w:left="11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102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337EF575">
            <w:pPr>
              <w:pStyle w:val="73"/>
              <w:spacing w:line="360" w:lineRule="auto"/>
              <w:rPr>
                <w:rFonts w:hint="eastAsia" w:ascii="宋体" w:hAnsi="宋体" w:eastAsia="宋体" w:cs="宋体"/>
                <w:color w:val="auto"/>
                <w:sz w:val="24"/>
                <w:szCs w:val="24"/>
                <w:highlight w:val="none"/>
              </w:rPr>
            </w:pPr>
          </w:p>
        </w:tc>
        <w:tc>
          <w:tcPr>
            <w:tcW w:w="708" w:type="pct"/>
            <w:gridSpan w:val="3"/>
            <w:tcBorders>
              <w:top w:val="single" w:color="000000" w:sz="6" w:space="0"/>
              <w:left w:val="single" w:color="000000" w:sz="6" w:space="0"/>
              <w:bottom w:val="single" w:color="000000" w:sz="6" w:space="0"/>
              <w:right w:val="single" w:color="000000" w:sz="6" w:space="0"/>
              <w:tl2br w:val="nil"/>
              <w:tr2bl w:val="nil"/>
            </w:tcBorders>
            <w:noWrap w:val="0"/>
            <w:vAlign w:val="top"/>
          </w:tcPr>
          <w:p w14:paraId="548EE1B3">
            <w:pPr>
              <w:pStyle w:val="73"/>
              <w:spacing w:before="144" w:line="360" w:lineRule="auto"/>
              <w:ind w:left="11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技术职称</w:t>
            </w:r>
          </w:p>
        </w:tc>
        <w:tc>
          <w:tcPr>
            <w:tcW w:w="717" w:type="pct"/>
            <w:gridSpan w:val="2"/>
            <w:tcBorders>
              <w:top w:val="single" w:color="000000" w:sz="6" w:space="0"/>
              <w:left w:val="single" w:color="000000" w:sz="6" w:space="0"/>
              <w:bottom w:val="single" w:color="000000" w:sz="6" w:space="0"/>
              <w:right w:val="single" w:color="000000" w:sz="6" w:space="0"/>
              <w:tl2br w:val="nil"/>
              <w:tr2bl w:val="nil"/>
            </w:tcBorders>
            <w:noWrap w:val="0"/>
            <w:vAlign w:val="top"/>
          </w:tcPr>
          <w:p w14:paraId="6020BBD3">
            <w:pPr>
              <w:pStyle w:val="73"/>
              <w:spacing w:line="360" w:lineRule="auto"/>
              <w:rPr>
                <w:rFonts w:hint="eastAsia" w:ascii="宋体" w:hAnsi="宋体" w:eastAsia="宋体" w:cs="宋体"/>
                <w:color w:val="auto"/>
                <w:sz w:val="24"/>
                <w:szCs w:val="24"/>
                <w:highlight w:val="none"/>
              </w:rPr>
            </w:pPr>
          </w:p>
        </w:tc>
        <w:tc>
          <w:tcPr>
            <w:tcW w:w="40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696A9F05">
            <w:pPr>
              <w:pStyle w:val="73"/>
              <w:spacing w:before="144" w:line="360" w:lineRule="auto"/>
              <w:ind w:right="104"/>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tc>
        <w:tc>
          <w:tcPr>
            <w:tcW w:w="411" w:type="pct"/>
            <w:tcBorders>
              <w:top w:val="single" w:color="000000" w:sz="6" w:space="0"/>
              <w:left w:val="single" w:color="000000" w:sz="6" w:space="0"/>
              <w:bottom w:val="single" w:color="000000" w:sz="6" w:space="0"/>
              <w:right w:val="single" w:color="000000" w:sz="12" w:space="0"/>
              <w:tl2br w:val="nil"/>
              <w:tr2bl w:val="nil"/>
            </w:tcBorders>
            <w:noWrap w:val="0"/>
            <w:vAlign w:val="top"/>
          </w:tcPr>
          <w:p w14:paraId="5956E75F">
            <w:pPr>
              <w:pStyle w:val="73"/>
              <w:spacing w:line="360" w:lineRule="auto"/>
              <w:rPr>
                <w:rFonts w:hint="eastAsia" w:ascii="宋体" w:hAnsi="宋体" w:eastAsia="宋体" w:cs="宋体"/>
                <w:color w:val="auto"/>
                <w:sz w:val="24"/>
                <w:szCs w:val="24"/>
                <w:highlight w:val="none"/>
              </w:rPr>
            </w:pPr>
          </w:p>
        </w:tc>
      </w:tr>
      <w:tr w14:paraId="6A0A656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5" w:hRule="atLeast"/>
          <w:jc w:val="center"/>
        </w:trPr>
        <w:tc>
          <w:tcPr>
            <w:tcW w:w="1125" w:type="pct"/>
            <w:tcBorders>
              <w:top w:val="single" w:color="000000" w:sz="6" w:space="0"/>
              <w:left w:val="single" w:color="000000" w:sz="12" w:space="0"/>
              <w:bottom w:val="single" w:color="000000" w:sz="6" w:space="0"/>
              <w:right w:val="single" w:color="000000" w:sz="6" w:space="0"/>
              <w:tl2br w:val="nil"/>
              <w:tr2bl w:val="nil"/>
            </w:tcBorders>
            <w:noWrap w:val="0"/>
            <w:vAlign w:val="top"/>
          </w:tcPr>
          <w:p w14:paraId="007CD839">
            <w:pPr>
              <w:pStyle w:val="73"/>
              <w:spacing w:before="158" w:line="360" w:lineRule="auto"/>
              <w:ind w:left="10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技术负责人</w:t>
            </w:r>
          </w:p>
        </w:tc>
        <w:tc>
          <w:tcPr>
            <w:tcW w:w="606"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38096476">
            <w:pPr>
              <w:pStyle w:val="73"/>
              <w:spacing w:before="158" w:line="360" w:lineRule="auto"/>
              <w:ind w:left="11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102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240F9E78">
            <w:pPr>
              <w:pStyle w:val="73"/>
              <w:spacing w:line="360" w:lineRule="auto"/>
              <w:rPr>
                <w:rFonts w:hint="eastAsia" w:ascii="宋体" w:hAnsi="宋体" w:eastAsia="宋体" w:cs="宋体"/>
                <w:color w:val="auto"/>
                <w:sz w:val="24"/>
                <w:szCs w:val="24"/>
                <w:highlight w:val="none"/>
              </w:rPr>
            </w:pPr>
          </w:p>
        </w:tc>
        <w:tc>
          <w:tcPr>
            <w:tcW w:w="708" w:type="pct"/>
            <w:gridSpan w:val="3"/>
            <w:tcBorders>
              <w:top w:val="single" w:color="000000" w:sz="6" w:space="0"/>
              <w:left w:val="single" w:color="000000" w:sz="6" w:space="0"/>
              <w:bottom w:val="single" w:color="000000" w:sz="6" w:space="0"/>
              <w:right w:val="single" w:color="000000" w:sz="6" w:space="0"/>
              <w:tl2br w:val="nil"/>
              <w:tr2bl w:val="nil"/>
            </w:tcBorders>
            <w:noWrap w:val="0"/>
            <w:vAlign w:val="top"/>
          </w:tcPr>
          <w:p w14:paraId="285EEA64">
            <w:pPr>
              <w:pStyle w:val="73"/>
              <w:spacing w:before="158" w:line="360" w:lineRule="auto"/>
              <w:ind w:left="11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技术职称</w:t>
            </w:r>
          </w:p>
        </w:tc>
        <w:tc>
          <w:tcPr>
            <w:tcW w:w="717" w:type="pct"/>
            <w:gridSpan w:val="2"/>
            <w:tcBorders>
              <w:top w:val="single" w:color="000000" w:sz="6" w:space="0"/>
              <w:left w:val="single" w:color="000000" w:sz="6" w:space="0"/>
              <w:bottom w:val="single" w:color="000000" w:sz="6" w:space="0"/>
              <w:right w:val="single" w:color="000000" w:sz="6" w:space="0"/>
              <w:tl2br w:val="nil"/>
              <w:tr2bl w:val="nil"/>
            </w:tcBorders>
            <w:noWrap w:val="0"/>
            <w:vAlign w:val="top"/>
          </w:tcPr>
          <w:p w14:paraId="1C71DC41">
            <w:pPr>
              <w:pStyle w:val="73"/>
              <w:spacing w:line="360" w:lineRule="auto"/>
              <w:rPr>
                <w:rFonts w:hint="eastAsia" w:ascii="宋体" w:hAnsi="宋体" w:eastAsia="宋体" w:cs="宋体"/>
                <w:color w:val="auto"/>
                <w:sz w:val="24"/>
                <w:szCs w:val="24"/>
                <w:highlight w:val="none"/>
              </w:rPr>
            </w:pPr>
          </w:p>
        </w:tc>
        <w:tc>
          <w:tcPr>
            <w:tcW w:w="40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1594EB23">
            <w:pPr>
              <w:pStyle w:val="73"/>
              <w:spacing w:before="158" w:line="360" w:lineRule="auto"/>
              <w:ind w:right="104"/>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tc>
        <w:tc>
          <w:tcPr>
            <w:tcW w:w="411" w:type="pct"/>
            <w:tcBorders>
              <w:top w:val="single" w:color="000000" w:sz="6" w:space="0"/>
              <w:left w:val="single" w:color="000000" w:sz="6" w:space="0"/>
              <w:bottom w:val="single" w:color="000000" w:sz="6" w:space="0"/>
              <w:right w:val="single" w:color="000000" w:sz="12" w:space="0"/>
              <w:tl2br w:val="nil"/>
              <w:tr2bl w:val="nil"/>
            </w:tcBorders>
            <w:noWrap w:val="0"/>
            <w:vAlign w:val="top"/>
          </w:tcPr>
          <w:p w14:paraId="24CE9594">
            <w:pPr>
              <w:pStyle w:val="73"/>
              <w:spacing w:line="360" w:lineRule="auto"/>
              <w:rPr>
                <w:rFonts w:hint="eastAsia" w:ascii="宋体" w:hAnsi="宋体" w:eastAsia="宋体" w:cs="宋体"/>
                <w:color w:val="auto"/>
                <w:sz w:val="24"/>
                <w:szCs w:val="24"/>
                <w:highlight w:val="none"/>
              </w:rPr>
            </w:pPr>
          </w:p>
        </w:tc>
      </w:tr>
      <w:tr w14:paraId="2BE3DBD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3" w:hRule="atLeast"/>
          <w:jc w:val="center"/>
        </w:trPr>
        <w:tc>
          <w:tcPr>
            <w:tcW w:w="1125" w:type="pct"/>
            <w:tcBorders>
              <w:top w:val="single" w:color="000000" w:sz="6" w:space="0"/>
              <w:left w:val="single" w:color="000000" w:sz="12" w:space="0"/>
              <w:bottom w:val="single" w:color="000000" w:sz="6" w:space="0"/>
              <w:right w:val="single" w:color="000000" w:sz="6" w:space="0"/>
              <w:tl2br w:val="nil"/>
              <w:tr2bl w:val="nil"/>
            </w:tcBorders>
            <w:noWrap w:val="0"/>
            <w:vAlign w:val="top"/>
          </w:tcPr>
          <w:p w14:paraId="74524748">
            <w:pPr>
              <w:pStyle w:val="73"/>
              <w:spacing w:before="151" w:line="360" w:lineRule="auto"/>
              <w:ind w:left="10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成立时间</w:t>
            </w:r>
          </w:p>
        </w:tc>
        <w:tc>
          <w:tcPr>
            <w:tcW w:w="1629" w:type="pct"/>
            <w:gridSpan w:val="2"/>
            <w:tcBorders>
              <w:top w:val="single" w:color="000000" w:sz="6" w:space="0"/>
              <w:left w:val="single" w:color="000000" w:sz="6" w:space="0"/>
              <w:bottom w:val="single" w:color="000000" w:sz="6" w:space="0"/>
              <w:right w:val="single" w:color="000000" w:sz="6" w:space="0"/>
              <w:tl2br w:val="nil"/>
              <w:tr2bl w:val="nil"/>
            </w:tcBorders>
            <w:noWrap w:val="0"/>
            <w:vAlign w:val="top"/>
          </w:tcPr>
          <w:p w14:paraId="048FEC3D">
            <w:pPr>
              <w:pStyle w:val="73"/>
              <w:spacing w:line="360" w:lineRule="auto"/>
              <w:rPr>
                <w:rFonts w:hint="eastAsia" w:ascii="宋体" w:hAnsi="宋体" w:eastAsia="宋体" w:cs="宋体"/>
                <w:color w:val="auto"/>
                <w:sz w:val="24"/>
                <w:szCs w:val="24"/>
                <w:highlight w:val="none"/>
              </w:rPr>
            </w:pPr>
          </w:p>
        </w:tc>
        <w:tc>
          <w:tcPr>
            <w:tcW w:w="2245" w:type="pct"/>
            <w:gridSpan w:val="7"/>
            <w:tcBorders>
              <w:top w:val="single" w:color="000000" w:sz="6" w:space="0"/>
              <w:left w:val="single" w:color="000000" w:sz="6" w:space="0"/>
              <w:bottom w:val="single" w:color="000000" w:sz="6" w:space="0"/>
              <w:right w:val="single" w:color="000000" w:sz="12" w:space="0"/>
              <w:tl2br w:val="nil"/>
              <w:tr2bl w:val="nil"/>
            </w:tcBorders>
            <w:noWrap w:val="0"/>
            <w:vAlign w:val="top"/>
          </w:tcPr>
          <w:p w14:paraId="2B601B72">
            <w:pPr>
              <w:pStyle w:val="73"/>
              <w:spacing w:before="151" w:line="360" w:lineRule="auto"/>
              <w:ind w:left="11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员工总人数：</w:t>
            </w:r>
          </w:p>
        </w:tc>
      </w:tr>
      <w:tr w14:paraId="0211643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3" w:hRule="atLeast"/>
          <w:jc w:val="center"/>
        </w:trPr>
        <w:tc>
          <w:tcPr>
            <w:tcW w:w="1125" w:type="pct"/>
            <w:tcBorders>
              <w:top w:val="single" w:color="000000" w:sz="6" w:space="0"/>
              <w:left w:val="single" w:color="000000" w:sz="12" w:space="0"/>
              <w:bottom w:val="single" w:color="000000" w:sz="6" w:space="0"/>
              <w:right w:val="single" w:color="000000" w:sz="6" w:space="0"/>
              <w:tl2br w:val="nil"/>
              <w:tr2bl w:val="nil"/>
            </w:tcBorders>
            <w:noWrap w:val="0"/>
            <w:vAlign w:val="top"/>
          </w:tcPr>
          <w:p w14:paraId="3DBF46C4">
            <w:pPr>
              <w:pStyle w:val="73"/>
              <w:spacing w:before="151" w:line="360" w:lineRule="auto"/>
              <w:ind w:left="10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企业资质等级</w:t>
            </w:r>
          </w:p>
        </w:tc>
        <w:tc>
          <w:tcPr>
            <w:tcW w:w="1629" w:type="pct"/>
            <w:gridSpan w:val="2"/>
            <w:tcBorders>
              <w:top w:val="single" w:color="000000" w:sz="6" w:space="0"/>
              <w:left w:val="single" w:color="000000" w:sz="6" w:space="0"/>
              <w:bottom w:val="single" w:color="000000" w:sz="6" w:space="0"/>
              <w:right w:val="single" w:color="000000" w:sz="6" w:space="0"/>
              <w:tl2br w:val="nil"/>
              <w:tr2bl w:val="nil"/>
            </w:tcBorders>
            <w:noWrap w:val="0"/>
            <w:vAlign w:val="top"/>
          </w:tcPr>
          <w:p w14:paraId="594B2A32">
            <w:pPr>
              <w:pStyle w:val="73"/>
              <w:spacing w:line="360" w:lineRule="auto"/>
              <w:rPr>
                <w:rFonts w:hint="eastAsia" w:ascii="宋体" w:hAnsi="宋体" w:eastAsia="宋体" w:cs="宋体"/>
                <w:color w:val="auto"/>
                <w:sz w:val="24"/>
                <w:szCs w:val="24"/>
                <w:highlight w:val="none"/>
              </w:rPr>
            </w:pPr>
          </w:p>
        </w:tc>
        <w:tc>
          <w:tcPr>
            <w:tcW w:w="403" w:type="pct"/>
            <w:vMerge w:val="restart"/>
            <w:tcBorders>
              <w:top w:val="single" w:color="000000" w:sz="6" w:space="0"/>
              <w:left w:val="single" w:color="000000" w:sz="6" w:space="0"/>
              <w:bottom w:val="single" w:color="000000" w:sz="6" w:space="0"/>
              <w:right w:val="single" w:color="000000" w:sz="6" w:space="0"/>
              <w:tl2br w:val="nil"/>
              <w:tr2bl w:val="nil"/>
            </w:tcBorders>
            <w:noWrap w:val="0"/>
            <w:vAlign w:val="top"/>
          </w:tcPr>
          <w:p w14:paraId="6C47A500">
            <w:pPr>
              <w:pStyle w:val="73"/>
              <w:spacing w:line="360" w:lineRule="auto"/>
              <w:rPr>
                <w:rFonts w:hint="eastAsia" w:ascii="宋体" w:hAnsi="宋体" w:eastAsia="宋体" w:cs="宋体"/>
                <w:b/>
                <w:color w:val="auto"/>
                <w:sz w:val="24"/>
                <w:szCs w:val="24"/>
                <w:highlight w:val="none"/>
              </w:rPr>
            </w:pPr>
          </w:p>
          <w:p w14:paraId="77700FE7">
            <w:pPr>
              <w:pStyle w:val="73"/>
              <w:spacing w:line="360" w:lineRule="auto"/>
              <w:rPr>
                <w:rFonts w:hint="eastAsia" w:ascii="宋体" w:hAnsi="宋体" w:eastAsia="宋体" w:cs="宋体"/>
                <w:b/>
                <w:color w:val="auto"/>
                <w:sz w:val="24"/>
                <w:szCs w:val="24"/>
                <w:highlight w:val="none"/>
              </w:rPr>
            </w:pPr>
          </w:p>
          <w:p w14:paraId="704D111B">
            <w:pPr>
              <w:pStyle w:val="73"/>
              <w:spacing w:line="360" w:lineRule="auto"/>
              <w:rPr>
                <w:rFonts w:hint="eastAsia" w:ascii="宋体" w:hAnsi="宋体" w:eastAsia="宋体" w:cs="宋体"/>
                <w:b/>
                <w:color w:val="auto"/>
                <w:sz w:val="24"/>
                <w:szCs w:val="24"/>
                <w:highlight w:val="none"/>
              </w:rPr>
            </w:pPr>
          </w:p>
          <w:p w14:paraId="44153888">
            <w:pPr>
              <w:pStyle w:val="73"/>
              <w:spacing w:line="360" w:lineRule="auto"/>
              <w:rPr>
                <w:rFonts w:hint="eastAsia" w:ascii="宋体" w:hAnsi="宋体" w:eastAsia="宋体" w:cs="宋体"/>
                <w:b/>
                <w:color w:val="auto"/>
                <w:sz w:val="24"/>
                <w:szCs w:val="24"/>
                <w:highlight w:val="none"/>
              </w:rPr>
            </w:pPr>
          </w:p>
          <w:p w14:paraId="37880F5B">
            <w:pPr>
              <w:pStyle w:val="73"/>
              <w:spacing w:before="1" w:line="360" w:lineRule="auto"/>
              <w:ind w:left="11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其中</w:t>
            </w:r>
          </w:p>
        </w:tc>
        <w:tc>
          <w:tcPr>
            <w:tcW w:w="1021" w:type="pct"/>
            <w:gridSpan w:val="4"/>
            <w:tcBorders>
              <w:top w:val="single" w:color="000000" w:sz="6" w:space="0"/>
              <w:left w:val="single" w:color="000000" w:sz="6" w:space="0"/>
              <w:bottom w:val="single" w:color="000000" w:sz="6" w:space="0"/>
              <w:right w:val="single" w:color="000000" w:sz="6" w:space="0"/>
              <w:tl2br w:val="nil"/>
              <w:tr2bl w:val="nil"/>
            </w:tcBorders>
            <w:noWrap w:val="0"/>
            <w:vAlign w:val="top"/>
          </w:tcPr>
          <w:p w14:paraId="3545912F">
            <w:pPr>
              <w:pStyle w:val="73"/>
              <w:spacing w:before="151" w:line="360" w:lineRule="auto"/>
              <w:ind w:left="11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高级职称人员</w:t>
            </w:r>
          </w:p>
        </w:tc>
        <w:tc>
          <w:tcPr>
            <w:tcW w:w="819" w:type="pct"/>
            <w:gridSpan w:val="2"/>
            <w:tcBorders>
              <w:top w:val="single" w:color="000000" w:sz="6" w:space="0"/>
              <w:left w:val="single" w:color="000000" w:sz="6" w:space="0"/>
              <w:bottom w:val="single" w:color="000000" w:sz="6" w:space="0"/>
              <w:right w:val="single" w:color="000000" w:sz="12" w:space="0"/>
              <w:tl2br w:val="nil"/>
              <w:tr2bl w:val="nil"/>
            </w:tcBorders>
            <w:noWrap w:val="0"/>
            <w:vAlign w:val="top"/>
          </w:tcPr>
          <w:p w14:paraId="1F26E601">
            <w:pPr>
              <w:pStyle w:val="73"/>
              <w:spacing w:line="360" w:lineRule="auto"/>
              <w:rPr>
                <w:rFonts w:hint="eastAsia" w:ascii="宋体" w:hAnsi="宋体" w:eastAsia="宋体" w:cs="宋体"/>
                <w:color w:val="auto"/>
                <w:sz w:val="24"/>
                <w:szCs w:val="24"/>
                <w:highlight w:val="none"/>
              </w:rPr>
            </w:pPr>
          </w:p>
        </w:tc>
      </w:tr>
      <w:tr w14:paraId="2B2CAD7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32" w:hRule="atLeast"/>
          <w:jc w:val="center"/>
        </w:trPr>
        <w:tc>
          <w:tcPr>
            <w:tcW w:w="1125" w:type="pct"/>
            <w:tcBorders>
              <w:top w:val="single" w:color="000000" w:sz="6" w:space="0"/>
              <w:left w:val="single" w:color="000000" w:sz="12" w:space="0"/>
              <w:bottom w:val="single" w:color="000000" w:sz="6" w:space="0"/>
              <w:right w:val="single" w:color="000000" w:sz="6" w:space="0"/>
              <w:tl2br w:val="nil"/>
              <w:tr2bl w:val="nil"/>
            </w:tcBorders>
            <w:noWrap w:val="0"/>
            <w:vAlign w:val="top"/>
          </w:tcPr>
          <w:p w14:paraId="7FE7DAF6">
            <w:pPr>
              <w:pStyle w:val="73"/>
              <w:spacing w:before="110" w:line="360" w:lineRule="auto"/>
              <w:ind w:left="10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营业执照号</w:t>
            </w:r>
          </w:p>
        </w:tc>
        <w:tc>
          <w:tcPr>
            <w:tcW w:w="1629" w:type="pct"/>
            <w:gridSpan w:val="2"/>
            <w:tcBorders>
              <w:top w:val="single" w:color="000000" w:sz="6" w:space="0"/>
              <w:left w:val="single" w:color="000000" w:sz="6" w:space="0"/>
              <w:bottom w:val="single" w:color="000000" w:sz="6" w:space="0"/>
              <w:right w:val="single" w:color="000000" w:sz="6" w:space="0"/>
              <w:tl2br w:val="nil"/>
              <w:tr2bl w:val="nil"/>
            </w:tcBorders>
            <w:noWrap w:val="0"/>
            <w:vAlign w:val="top"/>
          </w:tcPr>
          <w:p w14:paraId="28F52B3F">
            <w:pPr>
              <w:pStyle w:val="73"/>
              <w:spacing w:line="360" w:lineRule="auto"/>
              <w:rPr>
                <w:rFonts w:hint="eastAsia" w:ascii="宋体" w:hAnsi="宋体" w:eastAsia="宋体" w:cs="宋体"/>
                <w:color w:val="auto"/>
                <w:sz w:val="24"/>
                <w:szCs w:val="24"/>
                <w:highlight w:val="none"/>
              </w:rPr>
            </w:pPr>
          </w:p>
        </w:tc>
        <w:tc>
          <w:tcPr>
            <w:tcW w:w="403" w:type="pct"/>
            <w:vMerge w:val="continue"/>
            <w:tcBorders>
              <w:top w:val="nil"/>
              <w:left w:val="single" w:color="000000" w:sz="6" w:space="0"/>
              <w:bottom w:val="single" w:color="000000" w:sz="6" w:space="0"/>
              <w:right w:val="single" w:color="000000" w:sz="6" w:space="0"/>
              <w:tl2br w:val="nil"/>
              <w:tr2bl w:val="nil"/>
            </w:tcBorders>
            <w:noWrap w:val="0"/>
            <w:vAlign w:val="top"/>
          </w:tcPr>
          <w:p w14:paraId="3965FA4B">
            <w:pPr>
              <w:widowControl/>
              <w:adjustRightInd/>
              <w:spacing w:line="360" w:lineRule="auto"/>
              <w:jc w:val="left"/>
              <w:rPr>
                <w:rFonts w:hint="eastAsia" w:ascii="宋体" w:hAnsi="宋体" w:eastAsia="宋体" w:cs="宋体"/>
                <w:color w:val="auto"/>
                <w:kern w:val="2"/>
                <w:sz w:val="24"/>
                <w:szCs w:val="24"/>
                <w:highlight w:val="none"/>
              </w:rPr>
            </w:pPr>
          </w:p>
        </w:tc>
        <w:tc>
          <w:tcPr>
            <w:tcW w:w="1021" w:type="pct"/>
            <w:gridSpan w:val="4"/>
            <w:tcBorders>
              <w:top w:val="single" w:color="000000" w:sz="6" w:space="0"/>
              <w:left w:val="single" w:color="000000" w:sz="6" w:space="0"/>
              <w:bottom w:val="single" w:color="000000" w:sz="6" w:space="0"/>
              <w:right w:val="single" w:color="000000" w:sz="6" w:space="0"/>
              <w:tl2br w:val="nil"/>
              <w:tr2bl w:val="nil"/>
            </w:tcBorders>
            <w:noWrap w:val="0"/>
            <w:vAlign w:val="top"/>
          </w:tcPr>
          <w:p w14:paraId="200C4E38">
            <w:pPr>
              <w:pStyle w:val="73"/>
              <w:spacing w:before="110" w:line="360" w:lineRule="auto"/>
              <w:ind w:left="11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中级职称人员</w:t>
            </w:r>
          </w:p>
        </w:tc>
        <w:tc>
          <w:tcPr>
            <w:tcW w:w="819" w:type="pct"/>
            <w:gridSpan w:val="2"/>
            <w:tcBorders>
              <w:top w:val="single" w:color="000000" w:sz="6" w:space="0"/>
              <w:left w:val="single" w:color="000000" w:sz="6" w:space="0"/>
              <w:bottom w:val="single" w:color="000000" w:sz="6" w:space="0"/>
              <w:right w:val="single" w:color="000000" w:sz="12" w:space="0"/>
              <w:tl2br w:val="nil"/>
              <w:tr2bl w:val="nil"/>
            </w:tcBorders>
            <w:noWrap w:val="0"/>
            <w:vAlign w:val="top"/>
          </w:tcPr>
          <w:p w14:paraId="60432F81">
            <w:pPr>
              <w:pStyle w:val="73"/>
              <w:spacing w:line="360" w:lineRule="auto"/>
              <w:rPr>
                <w:rFonts w:hint="eastAsia" w:ascii="宋体" w:hAnsi="宋体" w:eastAsia="宋体" w:cs="宋体"/>
                <w:color w:val="auto"/>
                <w:sz w:val="24"/>
                <w:szCs w:val="24"/>
                <w:highlight w:val="none"/>
              </w:rPr>
            </w:pPr>
          </w:p>
        </w:tc>
      </w:tr>
      <w:tr w14:paraId="53D1BCB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9" w:hRule="atLeast"/>
          <w:jc w:val="center"/>
        </w:trPr>
        <w:tc>
          <w:tcPr>
            <w:tcW w:w="1125" w:type="pct"/>
            <w:tcBorders>
              <w:top w:val="single" w:color="000000" w:sz="6" w:space="0"/>
              <w:left w:val="single" w:color="000000" w:sz="12" w:space="0"/>
              <w:bottom w:val="single" w:color="000000" w:sz="6" w:space="0"/>
              <w:right w:val="single" w:color="000000" w:sz="6" w:space="0"/>
              <w:tl2br w:val="nil"/>
              <w:tr2bl w:val="nil"/>
            </w:tcBorders>
            <w:noWrap w:val="0"/>
            <w:vAlign w:val="top"/>
          </w:tcPr>
          <w:p w14:paraId="7157407F">
            <w:pPr>
              <w:pStyle w:val="73"/>
              <w:spacing w:before="79" w:line="360" w:lineRule="auto"/>
              <w:ind w:left="10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注册资金</w:t>
            </w:r>
          </w:p>
        </w:tc>
        <w:tc>
          <w:tcPr>
            <w:tcW w:w="1629" w:type="pct"/>
            <w:gridSpan w:val="2"/>
            <w:tcBorders>
              <w:top w:val="single" w:color="000000" w:sz="6" w:space="0"/>
              <w:left w:val="single" w:color="000000" w:sz="6" w:space="0"/>
              <w:bottom w:val="single" w:color="000000" w:sz="6" w:space="0"/>
              <w:right w:val="single" w:color="000000" w:sz="6" w:space="0"/>
              <w:tl2br w:val="nil"/>
              <w:tr2bl w:val="nil"/>
            </w:tcBorders>
            <w:noWrap w:val="0"/>
            <w:vAlign w:val="top"/>
          </w:tcPr>
          <w:p w14:paraId="0CFED447">
            <w:pPr>
              <w:pStyle w:val="73"/>
              <w:spacing w:line="360" w:lineRule="auto"/>
              <w:rPr>
                <w:rFonts w:hint="eastAsia" w:ascii="宋体" w:hAnsi="宋体" w:eastAsia="宋体" w:cs="宋体"/>
                <w:color w:val="auto"/>
                <w:sz w:val="24"/>
                <w:szCs w:val="24"/>
                <w:highlight w:val="none"/>
              </w:rPr>
            </w:pPr>
          </w:p>
        </w:tc>
        <w:tc>
          <w:tcPr>
            <w:tcW w:w="403" w:type="pct"/>
            <w:vMerge w:val="continue"/>
            <w:tcBorders>
              <w:top w:val="nil"/>
              <w:left w:val="single" w:color="000000" w:sz="6" w:space="0"/>
              <w:bottom w:val="single" w:color="000000" w:sz="6" w:space="0"/>
              <w:right w:val="single" w:color="000000" w:sz="6" w:space="0"/>
              <w:tl2br w:val="nil"/>
              <w:tr2bl w:val="nil"/>
            </w:tcBorders>
            <w:noWrap w:val="0"/>
            <w:vAlign w:val="top"/>
          </w:tcPr>
          <w:p w14:paraId="2ABBDF10">
            <w:pPr>
              <w:widowControl/>
              <w:adjustRightInd/>
              <w:spacing w:line="360" w:lineRule="auto"/>
              <w:jc w:val="left"/>
              <w:rPr>
                <w:rFonts w:hint="eastAsia" w:ascii="宋体" w:hAnsi="宋体" w:eastAsia="宋体" w:cs="宋体"/>
                <w:color w:val="auto"/>
                <w:kern w:val="2"/>
                <w:sz w:val="24"/>
                <w:szCs w:val="24"/>
                <w:highlight w:val="none"/>
              </w:rPr>
            </w:pPr>
          </w:p>
        </w:tc>
        <w:tc>
          <w:tcPr>
            <w:tcW w:w="1021" w:type="pct"/>
            <w:gridSpan w:val="4"/>
            <w:tcBorders>
              <w:top w:val="single" w:color="000000" w:sz="6" w:space="0"/>
              <w:left w:val="single" w:color="000000" w:sz="6" w:space="0"/>
              <w:bottom w:val="single" w:color="000000" w:sz="6" w:space="0"/>
              <w:right w:val="single" w:color="000000" w:sz="6" w:space="0"/>
              <w:tl2br w:val="nil"/>
              <w:tr2bl w:val="nil"/>
            </w:tcBorders>
            <w:noWrap w:val="0"/>
            <w:vAlign w:val="top"/>
          </w:tcPr>
          <w:p w14:paraId="25DACCA9">
            <w:pPr>
              <w:pStyle w:val="73"/>
              <w:spacing w:before="79" w:line="360" w:lineRule="auto"/>
              <w:ind w:left="11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初级职称人员</w:t>
            </w:r>
          </w:p>
        </w:tc>
        <w:tc>
          <w:tcPr>
            <w:tcW w:w="819" w:type="pct"/>
            <w:gridSpan w:val="2"/>
            <w:tcBorders>
              <w:top w:val="single" w:color="000000" w:sz="6" w:space="0"/>
              <w:left w:val="single" w:color="000000" w:sz="6" w:space="0"/>
              <w:bottom w:val="single" w:color="000000" w:sz="6" w:space="0"/>
              <w:right w:val="single" w:color="000000" w:sz="12" w:space="0"/>
              <w:tl2br w:val="nil"/>
              <w:tr2bl w:val="nil"/>
            </w:tcBorders>
            <w:noWrap w:val="0"/>
            <w:vAlign w:val="top"/>
          </w:tcPr>
          <w:p w14:paraId="440FA6D6">
            <w:pPr>
              <w:pStyle w:val="73"/>
              <w:spacing w:line="360" w:lineRule="auto"/>
              <w:rPr>
                <w:rFonts w:hint="eastAsia" w:ascii="宋体" w:hAnsi="宋体" w:eastAsia="宋体" w:cs="宋体"/>
                <w:color w:val="auto"/>
                <w:sz w:val="24"/>
                <w:szCs w:val="24"/>
                <w:highlight w:val="none"/>
              </w:rPr>
            </w:pPr>
          </w:p>
        </w:tc>
      </w:tr>
      <w:tr w14:paraId="1EBBD9C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25" w:hRule="atLeast"/>
          <w:jc w:val="center"/>
        </w:trPr>
        <w:tc>
          <w:tcPr>
            <w:tcW w:w="1125" w:type="pct"/>
            <w:tcBorders>
              <w:top w:val="single" w:color="000000" w:sz="6" w:space="0"/>
              <w:left w:val="single" w:color="000000" w:sz="12" w:space="0"/>
              <w:bottom w:val="single" w:color="000000" w:sz="6" w:space="0"/>
              <w:right w:val="single" w:color="000000" w:sz="6" w:space="0"/>
              <w:tl2br w:val="nil"/>
              <w:tr2bl w:val="nil"/>
            </w:tcBorders>
            <w:noWrap w:val="0"/>
            <w:vAlign w:val="top"/>
          </w:tcPr>
          <w:p w14:paraId="52A3F421">
            <w:pPr>
              <w:pStyle w:val="73"/>
              <w:spacing w:before="108" w:line="360" w:lineRule="auto"/>
              <w:ind w:left="10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p>
        </w:tc>
        <w:tc>
          <w:tcPr>
            <w:tcW w:w="1629" w:type="pct"/>
            <w:gridSpan w:val="2"/>
            <w:tcBorders>
              <w:top w:val="single" w:color="000000" w:sz="6" w:space="0"/>
              <w:left w:val="single" w:color="000000" w:sz="6" w:space="0"/>
              <w:bottom w:val="single" w:color="000000" w:sz="6" w:space="0"/>
              <w:right w:val="single" w:color="000000" w:sz="6" w:space="0"/>
              <w:tl2br w:val="nil"/>
              <w:tr2bl w:val="nil"/>
            </w:tcBorders>
            <w:noWrap w:val="0"/>
            <w:vAlign w:val="top"/>
          </w:tcPr>
          <w:p w14:paraId="60A0617D">
            <w:pPr>
              <w:pStyle w:val="73"/>
              <w:spacing w:line="360" w:lineRule="auto"/>
              <w:rPr>
                <w:rFonts w:hint="eastAsia" w:ascii="宋体" w:hAnsi="宋体" w:eastAsia="宋体" w:cs="宋体"/>
                <w:color w:val="auto"/>
                <w:sz w:val="24"/>
                <w:szCs w:val="24"/>
                <w:highlight w:val="none"/>
              </w:rPr>
            </w:pPr>
          </w:p>
        </w:tc>
        <w:tc>
          <w:tcPr>
            <w:tcW w:w="403" w:type="pct"/>
            <w:vMerge w:val="continue"/>
            <w:tcBorders>
              <w:top w:val="nil"/>
              <w:left w:val="single" w:color="000000" w:sz="6" w:space="0"/>
              <w:bottom w:val="single" w:color="000000" w:sz="6" w:space="0"/>
              <w:right w:val="single" w:color="000000" w:sz="6" w:space="0"/>
              <w:tl2br w:val="nil"/>
              <w:tr2bl w:val="nil"/>
            </w:tcBorders>
            <w:noWrap w:val="0"/>
            <w:vAlign w:val="top"/>
          </w:tcPr>
          <w:p w14:paraId="0F256EAD">
            <w:pPr>
              <w:widowControl/>
              <w:adjustRightInd/>
              <w:spacing w:line="360" w:lineRule="auto"/>
              <w:jc w:val="left"/>
              <w:rPr>
                <w:rFonts w:hint="eastAsia" w:ascii="宋体" w:hAnsi="宋体" w:eastAsia="宋体" w:cs="宋体"/>
                <w:color w:val="auto"/>
                <w:kern w:val="2"/>
                <w:sz w:val="24"/>
                <w:szCs w:val="24"/>
                <w:highlight w:val="none"/>
              </w:rPr>
            </w:pPr>
          </w:p>
        </w:tc>
        <w:tc>
          <w:tcPr>
            <w:tcW w:w="1021" w:type="pct"/>
            <w:gridSpan w:val="4"/>
            <w:tcBorders>
              <w:top w:val="single" w:color="000000" w:sz="6" w:space="0"/>
              <w:left w:val="single" w:color="000000" w:sz="6" w:space="0"/>
              <w:bottom w:val="single" w:color="000000" w:sz="6" w:space="0"/>
              <w:right w:val="single" w:color="000000" w:sz="6" w:space="0"/>
              <w:tl2br w:val="nil"/>
              <w:tr2bl w:val="nil"/>
            </w:tcBorders>
            <w:noWrap w:val="0"/>
            <w:vAlign w:val="top"/>
          </w:tcPr>
          <w:p w14:paraId="5F214FE2">
            <w:pPr>
              <w:pStyle w:val="73"/>
              <w:spacing w:before="108" w:line="360" w:lineRule="auto"/>
              <w:ind w:left="11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w:t>
            </w:r>
          </w:p>
        </w:tc>
        <w:tc>
          <w:tcPr>
            <w:tcW w:w="819" w:type="pct"/>
            <w:gridSpan w:val="2"/>
            <w:tcBorders>
              <w:top w:val="single" w:color="000000" w:sz="6" w:space="0"/>
              <w:left w:val="single" w:color="000000" w:sz="6" w:space="0"/>
              <w:bottom w:val="single" w:color="000000" w:sz="6" w:space="0"/>
              <w:right w:val="single" w:color="000000" w:sz="12" w:space="0"/>
              <w:tl2br w:val="nil"/>
              <w:tr2bl w:val="nil"/>
            </w:tcBorders>
            <w:noWrap w:val="0"/>
            <w:vAlign w:val="top"/>
          </w:tcPr>
          <w:p w14:paraId="04307B4A">
            <w:pPr>
              <w:pStyle w:val="73"/>
              <w:spacing w:line="360" w:lineRule="auto"/>
              <w:rPr>
                <w:rFonts w:hint="eastAsia" w:ascii="宋体" w:hAnsi="宋体" w:eastAsia="宋体" w:cs="宋体"/>
                <w:color w:val="auto"/>
                <w:sz w:val="24"/>
                <w:szCs w:val="24"/>
                <w:highlight w:val="none"/>
              </w:rPr>
            </w:pPr>
          </w:p>
        </w:tc>
      </w:tr>
      <w:tr w14:paraId="13D9176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7" w:hRule="atLeast"/>
          <w:jc w:val="center"/>
        </w:trPr>
        <w:tc>
          <w:tcPr>
            <w:tcW w:w="1125" w:type="pct"/>
            <w:tcBorders>
              <w:top w:val="single" w:color="000000" w:sz="6" w:space="0"/>
              <w:left w:val="single" w:color="000000" w:sz="12" w:space="0"/>
              <w:bottom w:val="single" w:color="000000" w:sz="6" w:space="0"/>
              <w:right w:val="single" w:color="000000" w:sz="6" w:space="0"/>
              <w:tl2br w:val="nil"/>
              <w:tr2bl w:val="nil"/>
            </w:tcBorders>
            <w:noWrap w:val="0"/>
            <w:vAlign w:val="top"/>
          </w:tcPr>
          <w:p w14:paraId="05D3800D">
            <w:pPr>
              <w:pStyle w:val="73"/>
              <w:spacing w:before="52" w:line="360" w:lineRule="auto"/>
              <w:ind w:left="10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账号</w:t>
            </w:r>
          </w:p>
        </w:tc>
        <w:tc>
          <w:tcPr>
            <w:tcW w:w="1629" w:type="pct"/>
            <w:gridSpan w:val="2"/>
            <w:tcBorders>
              <w:top w:val="single" w:color="000000" w:sz="6" w:space="0"/>
              <w:left w:val="single" w:color="000000" w:sz="6" w:space="0"/>
              <w:bottom w:val="single" w:color="000000" w:sz="6" w:space="0"/>
              <w:right w:val="single" w:color="000000" w:sz="6" w:space="0"/>
              <w:tl2br w:val="nil"/>
              <w:tr2bl w:val="nil"/>
            </w:tcBorders>
            <w:noWrap w:val="0"/>
            <w:vAlign w:val="top"/>
          </w:tcPr>
          <w:p w14:paraId="7486E010">
            <w:pPr>
              <w:pStyle w:val="73"/>
              <w:spacing w:line="360" w:lineRule="auto"/>
              <w:rPr>
                <w:rFonts w:hint="eastAsia" w:ascii="宋体" w:hAnsi="宋体" w:eastAsia="宋体" w:cs="宋体"/>
                <w:color w:val="auto"/>
                <w:sz w:val="24"/>
                <w:szCs w:val="24"/>
                <w:highlight w:val="none"/>
              </w:rPr>
            </w:pPr>
          </w:p>
        </w:tc>
        <w:tc>
          <w:tcPr>
            <w:tcW w:w="403" w:type="pct"/>
            <w:vMerge w:val="continue"/>
            <w:tcBorders>
              <w:top w:val="nil"/>
              <w:left w:val="single" w:color="000000" w:sz="6" w:space="0"/>
              <w:bottom w:val="single" w:color="000000" w:sz="6" w:space="0"/>
              <w:right w:val="single" w:color="000000" w:sz="6" w:space="0"/>
              <w:tl2br w:val="nil"/>
              <w:tr2bl w:val="nil"/>
            </w:tcBorders>
            <w:noWrap w:val="0"/>
            <w:vAlign w:val="top"/>
          </w:tcPr>
          <w:p w14:paraId="25F8ED50">
            <w:pPr>
              <w:widowControl/>
              <w:adjustRightInd/>
              <w:spacing w:line="360" w:lineRule="auto"/>
              <w:jc w:val="left"/>
              <w:rPr>
                <w:rFonts w:hint="eastAsia" w:ascii="宋体" w:hAnsi="宋体" w:eastAsia="宋体" w:cs="宋体"/>
                <w:color w:val="auto"/>
                <w:kern w:val="2"/>
                <w:sz w:val="24"/>
                <w:szCs w:val="24"/>
                <w:highlight w:val="none"/>
              </w:rPr>
            </w:pPr>
          </w:p>
        </w:tc>
        <w:tc>
          <w:tcPr>
            <w:tcW w:w="1021" w:type="pct"/>
            <w:gridSpan w:val="4"/>
            <w:tcBorders>
              <w:top w:val="single" w:color="000000" w:sz="6" w:space="0"/>
              <w:left w:val="single" w:color="000000" w:sz="6" w:space="0"/>
              <w:bottom w:val="single" w:color="000000" w:sz="6" w:space="0"/>
              <w:right w:val="single" w:color="000000" w:sz="6" w:space="0"/>
              <w:tl2br w:val="nil"/>
              <w:tr2bl w:val="nil"/>
            </w:tcBorders>
            <w:noWrap w:val="0"/>
            <w:vAlign w:val="top"/>
          </w:tcPr>
          <w:p w14:paraId="3455B7CF">
            <w:pPr>
              <w:pStyle w:val="73"/>
              <w:spacing w:line="360" w:lineRule="auto"/>
              <w:rPr>
                <w:rFonts w:hint="eastAsia" w:ascii="宋体" w:hAnsi="宋体" w:eastAsia="宋体" w:cs="宋体"/>
                <w:color w:val="auto"/>
                <w:sz w:val="24"/>
                <w:szCs w:val="24"/>
                <w:highlight w:val="none"/>
              </w:rPr>
            </w:pPr>
          </w:p>
        </w:tc>
        <w:tc>
          <w:tcPr>
            <w:tcW w:w="819" w:type="pct"/>
            <w:gridSpan w:val="2"/>
            <w:tcBorders>
              <w:top w:val="single" w:color="000000" w:sz="6" w:space="0"/>
              <w:left w:val="single" w:color="000000" w:sz="6" w:space="0"/>
              <w:bottom w:val="single" w:color="000000" w:sz="6" w:space="0"/>
              <w:right w:val="single" w:color="000000" w:sz="12" w:space="0"/>
              <w:tl2br w:val="nil"/>
              <w:tr2bl w:val="nil"/>
            </w:tcBorders>
            <w:noWrap w:val="0"/>
            <w:vAlign w:val="top"/>
          </w:tcPr>
          <w:p w14:paraId="116C7C0A">
            <w:pPr>
              <w:pStyle w:val="73"/>
              <w:spacing w:line="360" w:lineRule="auto"/>
              <w:rPr>
                <w:rFonts w:hint="eastAsia" w:ascii="宋体" w:hAnsi="宋体" w:eastAsia="宋体" w:cs="宋体"/>
                <w:color w:val="auto"/>
                <w:sz w:val="24"/>
                <w:szCs w:val="24"/>
                <w:highlight w:val="none"/>
              </w:rPr>
            </w:pPr>
          </w:p>
        </w:tc>
      </w:tr>
      <w:tr w14:paraId="419CCCA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00" w:hRule="atLeast"/>
          <w:jc w:val="center"/>
        </w:trPr>
        <w:tc>
          <w:tcPr>
            <w:tcW w:w="1125" w:type="pct"/>
            <w:tcBorders>
              <w:top w:val="single" w:color="000000" w:sz="6" w:space="0"/>
              <w:left w:val="single" w:color="000000" w:sz="12" w:space="0"/>
              <w:bottom w:val="single" w:color="000000" w:sz="12" w:space="0"/>
              <w:right w:val="single" w:color="000000" w:sz="6" w:space="0"/>
              <w:tl2br w:val="nil"/>
              <w:tr2bl w:val="nil"/>
            </w:tcBorders>
            <w:noWrap w:val="0"/>
            <w:vAlign w:val="top"/>
          </w:tcPr>
          <w:p w14:paraId="5346B26A">
            <w:pPr>
              <w:pStyle w:val="73"/>
              <w:spacing w:before="93" w:line="360" w:lineRule="auto"/>
              <w:ind w:left="10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经营范围备注</w:t>
            </w:r>
          </w:p>
        </w:tc>
        <w:tc>
          <w:tcPr>
            <w:tcW w:w="3874" w:type="pct"/>
            <w:gridSpan w:val="9"/>
            <w:tcBorders>
              <w:top w:val="single" w:color="000000" w:sz="6" w:space="0"/>
              <w:left w:val="single" w:color="000000" w:sz="6" w:space="0"/>
              <w:bottom w:val="single" w:color="000000" w:sz="12" w:space="0"/>
              <w:right w:val="single" w:color="000000" w:sz="12" w:space="0"/>
              <w:tl2br w:val="nil"/>
              <w:tr2bl w:val="nil"/>
            </w:tcBorders>
            <w:noWrap w:val="0"/>
            <w:vAlign w:val="top"/>
          </w:tcPr>
          <w:p w14:paraId="3FF93E42">
            <w:pPr>
              <w:pStyle w:val="73"/>
              <w:spacing w:line="360" w:lineRule="auto"/>
              <w:rPr>
                <w:rFonts w:hint="eastAsia" w:ascii="宋体" w:hAnsi="宋体" w:eastAsia="宋体" w:cs="宋体"/>
                <w:color w:val="auto"/>
                <w:sz w:val="24"/>
                <w:szCs w:val="24"/>
                <w:highlight w:val="none"/>
              </w:rPr>
            </w:pPr>
          </w:p>
        </w:tc>
      </w:tr>
    </w:tbl>
    <w:p w14:paraId="2773DD7B">
      <w:pPr>
        <w:pStyle w:val="2"/>
        <w:spacing w:before="4" w:line="360" w:lineRule="auto"/>
        <w:rPr>
          <w:rFonts w:hint="eastAsia" w:ascii="宋体" w:hAnsi="宋体" w:eastAsia="宋体" w:cs="宋体"/>
          <w:b/>
          <w:color w:val="auto"/>
          <w:sz w:val="24"/>
          <w:szCs w:val="24"/>
          <w:highlight w:val="none"/>
        </w:rPr>
      </w:pPr>
    </w:p>
    <w:p w14:paraId="109CBC97">
      <w:pPr>
        <w:rPr>
          <w:rFonts w:hint="eastAsia" w:ascii="宋体" w:hAnsi="宋体" w:eastAsia="宋体" w:cs="宋体"/>
          <w:b/>
          <w:bCs/>
          <w:color w:val="auto"/>
          <w:sz w:val="24"/>
          <w:szCs w:val="24"/>
          <w:highlight w:val="none"/>
        </w:rPr>
      </w:pPr>
      <w:r>
        <w:rPr>
          <w:rFonts w:hint="eastAsia" w:ascii="宋体" w:hAnsi="宋体" w:eastAsia="宋体" w:cs="宋体"/>
          <w:color w:val="auto"/>
          <w:kern w:val="2"/>
          <w:sz w:val="24"/>
          <w:szCs w:val="24"/>
          <w:highlight w:val="none"/>
        </w:rPr>
        <w:br w:type="page"/>
      </w:r>
      <w:r>
        <w:rPr>
          <w:rFonts w:hint="eastAsia" w:hAnsi="宋体" w:cs="宋体"/>
          <w:b/>
          <w:bCs/>
          <w:color w:val="auto"/>
          <w:kern w:val="2"/>
          <w:sz w:val="24"/>
          <w:szCs w:val="24"/>
          <w:highlight w:val="none"/>
          <w:lang w:val="en-US" w:eastAsia="zh-CN"/>
        </w:rPr>
        <w:t>附</w:t>
      </w:r>
      <w:bookmarkEnd w:id="385"/>
      <w:bookmarkStart w:id="402" w:name="_Toc18885"/>
      <w:bookmarkStart w:id="403" w:name="_Toc30877"/>
      <w:r>
        <w:rPr>
          <w:rFonts w:hint="eastAsia" w:ascii="宋体" w:hAnsi="宋体" w:eastAsia="宋体" w:cs="宋体"/>
          <w:b/>
          <w:bCs/>
          <w:color w:val="auto"/>
          <w:sz w:val="24"/>
          <w:szCs w:val="24"/>
          <w:highlight w:val="none"/>
        </w:rPr>
        <w:t>件 3-</w:t>
      </w:r>
      <w:r>
        <w:rPr>
          <w:rFonts w:hint="eastAsia" w:hAnsi="宋体" w:cs="宋体"/>
          <w:b/>
          <w:bCs/>
          <w:color w:val="auto"/>
          <w:sz w:val="24"/>
          <w:szCs w:val="24"/>
          <w:highlight w:val="none"/>
          <w:lang w:eastAsia="zh-CN"/>
        </w:rPr>
        <w:t>2</w:t>
      </w:r>
      <w:r>
        <w:rPr>
          <w:rFonts w:hint="eastAsia" w:ascii="宋体" w:hAnsi="宋体" w:eastAsia="宋体" w:cs="宋体"/>
          <w:b/>
          <w:bCs/>
          <w:color w:val="auto"/>
          <w:sz w:val="24"/>
          <w:szCs w:val="24"/>
          <w:highlight w:val="none"/>
        </w:rPr>
        <w:t xml:space="preserve"> 投标人同类型项目案例（业绩）情况介绍</w:t>
      </w:r>
      <w:bookmarkEnd w:id="402"/>
      <w:bookmarkEnd w:id="403"/>
    </w:p>
    <w:p w14:paraId="5D9DEA5B">
      <w:pPr>
        <w:pStyle w:val="2"/>
        <w:spacing w:line="360" w:lineRule="auto"/>
        <w:rPr>
          <w:rFonts w:hint="eastAsia" w:ascii="宋体" w:hAnsi="宋体" w:eastAsia="宋体" w:cs="宋体"/>
          <w:b/>
          <w:color w:val="auto"/>
          <w:sz w:val="24"/>
          <w:szCs w:val="24"/>
          <w:highlight w:val="none"/>
        </w:rPr>
      </w:pPr>
    </w:p>
    <w:p w14:paraId="3AC10B49">
      <w:pPr>
        <w:pStyle w:val="2"/>
        <w:spacing w:line="360" w:lineRule="auto"/>
        <w:ind w:left="532" w:right="453"/>
        <w:jc w:val="center"/>
        <w:rPr>
          <w:rFonts w:hint="eastAsia" w:ascii="宋体" w:hAnsi="宋体" w:eastAsia="宋体" w:cs="宋体"/>
          <w:color w:val="auto"/>
          <w:sz w:val="24"/>
          <w:szCs w:val="24"/>
          <w:highlight w:val="none"/>
        </w:rPr>
      </w:pPr>
      <w:r>
        <w:rPr>
          <w:rFonts w:hint="eastAsia"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业绩统计一览表</w:t>
      </w:r>
    </w:p>
    <w:p w14:paraId="2DDAE23A">
      <w:pPr>
        <w:pStyle w:val="2"/>
        <w:spacing w:before="7" w:line="360" w:lineRule="auto"/>
        <w:rPr>
          <w:rFonts w:hint="eastAsia" w:ascii="宋体" w:hAnsi="宋体" w:eastAsia="宋体" w:cs="宋体"/>
          <w:color w:val="auto"/>
          <w:sz w:val="24"/>
          <w:szCs w:val="24"/>
          <w:highlight w:val="none"/>
        </w:rPr>
      </w:pPr>
    </w:p>
    <w:tbl>
      <w:tblPr>
        <w:tblStyle w:val="35"/>
        <w:tblW w:w="5094" w:type="pct"/>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autofit"/>
        <w:tblCellMar>
          <w:top w:w="0" w:type="dxa"/>
          <w:left w:w="0" w:type="dxa"/>
          <w:bottom w:w="0" w:type="dxa"/>
          <w:right w:w="0" w:type="dxa"/>
        </w:tblCellMar>
      </w:tblPr>
      <w:tblGrid>
        <w:gridCol w:w="1286"/>
        <w:gridCol w:w="1966"/>
        <w:gridCol w:w="1855"/>
        <w:gridCol w:w="1819"/>
        <w:gridCol w:w="1508"/>
        <w:gridCol w:w="826"/>
      </w:tblGrid>
      <w:tr w14:paraId="0376A98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78" w:hRule="atLeast"/>
          <w:jc w:val="center"/>
        </w:trPr>
        <w:tc>
          <w:tcPr>
            <w:tcW w:w="694" w:type="pct"/>
            <w:tcBorders>
              <w:top w:val="single" w:color="000000" w:sz="12" w:space="0"/>
              <w:left w:val="single" w:color="000000" w:sz="12" w:space="0"/>
              <w:bottom w:val="single" w:color="000000" w:sz="6" w:space="0"/>
              <w:right w:val="single" w:color="000000" w:sz="6" w:space="0"/>
              <w:tl2br w:val="nil"/>
              <w:tr2bl w:val="nil"/>
            </w:tcBorders>
            <w:noWrap w:val="0"/>
            <w:vAlign w:val="center"/>
          </w:tcPr>
          <w:p w14:paraId="440932C2">
            <w:pPr>
              <w:pStyle w:val="73"/>
              <w:autoSpaceDE w:val="0"/>
              <w:autoSpaceDN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061" w:type="pct"/>
            <w:tcBorders>
              <w:top w:val="single" w:color="000000" w:sz="12" w:space="0"/>
              <w:left w:val="single" w:color="000000" w:sz="6" w:space="0"/>
              <w:bottom w:val="single" w:color="000000" w:sz="6" w:space="0"/>
              <w:right w:val="single" w:color="000000" w:sz="6" w:space="0"/>
              <w:tl2br w:val="nil"/>
              <w:tr2bl w:val="nil"/>
            </w:tcBorders>
            <w:noWrap w:val="0"/>
            <w:vAlign w:val="center"/>
          </w:tcPr>
          <w:p w14:paraId="28D06E19">
            <w:pPr>
              <w:pStyle w:val="73"/>
              <w:autoSpaceDE w:val="0"/>
              <w:autoSpaceDN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项目委托单位</w:t>
            </w:r>
          </w:p>
        </w:tc>
        <w:tc>
          <w:tcPr>
            <w:tcW w:w="1001" w:type="pct"/>
            <w:tcBorders>
              <w:top w:val="single" w:color="000000" w:sz="12" w:space="0"/>
              <w:left w:val="single" w:color="000000" w:sz="6" w:space="0"/>
              <w:bottom w:val="single" w:color="000000" w:sz="6" w:space="0"/>
              <w:right w:val="single" w:color="000000" w:sz="6" w:space="0"/>
              <w:tl2br w:val="nil"/>
              <w:tr2bl w:val="nil"/>
            </w:tcBorders>
            <w:noWrap w:val="0"/>
            <w:vAlign w:val="center"/>
          </w:tcPr>
          <w:p w14:paraId="5053E77D">
            <w:pPr>
              <w:pStyle w:val="73"/>
              <w:autoSpaceDE w:val="0"/>
              <w:autoSpaceDN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982" w:type="pct"/>
            <w:tcBorders>
              <w:top w:val="single" w:color="000000" w:sz="12" w:space="0"/>
              <w:left w:val="single" w:color="000000" w:sz="6" w:space="0"/>
              <w:bottom w:val="single" w:color="000000" w:sz="6" w:space="0"/>
              <w:right w:val="single" w:color="000000" w:sz="6" w:space="0"/>
              <w:tl2br w:val="nil"/>
              <w:tr2bl w:val="nil"/>
            </w:tcBorders>
            <w:noWrap w:val="0"/>
            <w:vAlign w:val="center"/>
          </w:tcPr>
          <w:p w14:paraId="2C3B5C05">
            <w:pPr>
              <w:pStyle w:val="73"/>
              <w:autoSpaceDE w:val="0"/>
              <w:autoSpaceDN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项目内容</w:t>
            </w:r>
          </w:p>
        </w:tc>
        <w:tc>
          <w:tcPr>
            <w:tcW w:w="814" w:type="pct"/>
            <w:tcBorders>
              <w:top w:val="single" w:color="000000" w:sz="12" w:space="0"/>
              <w:left w:val="single" w:color="000000" w:sz="6" w:space="0"/>
              <w:bottom w:val="single" w:color="000000" w:sz="6" w:space="0"/>
              <w:right w:val="single" w:color="000000" w:sz="6" w:space="0"/>
              <w:tl2br w:val="nil"/>
              <w:tr2bl w:val="nil"/>
            </w:tcBorders>
            <w:noWrap w:val="0"/>
            <w:vAlign w:val="center"/>
          </w:tcPr>
          <w:p w14:paraId="0098C3D5">
            <w:pPr>
              <w:pStyle w:val="73"/>
              <w:autoSpaceDE w:val="0"/>
              <w:autoSpaceDN w:val="0"/>
              <w:snapToGrid w:val="0"/>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合同</w:t>
            </w:r>
            <w:r>
              <w:rPr>
                <w:rFonts w:hint="eastAsia" w:ascii="宋体" w:hAnsi="宋体" w:eastAsia="宋体" w:cs="宋体"/>
                <w:color w:val="auto"/>
                <w:spacing w:val="-9"/>
                <w:sz w:val="24"/>
                <w:szCs w:val="24"/>
                <w:highlight w:val="none"/>
              </w:rPr>
              <w:t>签订日期</w:t>
            </w:r>
          </w:p>
        </w:tc>
        <w:tc>
          <w:tcPr>
            <w:tcW w:w="446" w:type="pct"/>
            <w:tcBorders>
              <w:top w:val="single" w:color="000000" w:sz="12" w:space="0"/>
              <w:left w:val="single" w:color="000000" w:sz="6" w:space="0"/>
              <w:bottom w:val="single" w:color="000000" w:sz="6" w:space="0"/>
              <w:right w:val="single" w:color="000000" w:sz="12" w:space="0"/>
              <w:tl2br w:val="nil"/>
              <w:tr2bl w:val="nil"/>
            </w:tcBorders>
            <w:noWrap w:val="0"/>
            <w:vAlign w:val="center"/>
          </w:tcPr>
          <w:p w14:paraId="08B6557B">
            <w:pPr>
              <w:pStyle w:val="73"/>
              <w:autoSpaceDE w:val="0"/>
              <w:autoSpaceDN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7A11ECF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694" w:type="pct"/>
            <w:tcBorders>
              <w:top w:val="single" w:color="000000" w:sz="6" w:space="0"/>
              <w:left w:val="single" w:color="000000" w:sz="12" w:space="0"/>
              <w:bottom w:val="single" w:color="000000" w:sz="6" w:space="0"/>
              <w:right w:val="single" w:color="000000" w:sz="6" w:space="0"/>
              <w:tl2br w:val="nil"/>
              <w:tr2bl w:val="nil"/>
            </w:tcBorders>
            <w:noWrap w:val="0"/>
            <w:vAlign w:val="top"/>
          </w:tcPr>
          <w:p w14:paraId="5587EAFB">
            <w:pPr>
              <w:pStyle w:val="73"/>
              <w:spacing w:line="360" w:lineRule="auto"/>
              <w:rPr>
                <w:rFonts w:hint="eastAsia" w:ascii="宋体" w:hAnsi="宋体" w:eastAsia="宋体" w:cs="宋体"/>
                <w:color w:val="auto"/>
                <w:sz w:val="24"/>
                <w:szCs w:val="24"/>
                <w:highlight w:val="none"/>
              </w:rPr>
            </w:pPr>
          </w:p>
        </w:tc>
        <w:tc>
          <w:tcPr>
            <w:tcW w:w="106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77A79327">
            <w:pPr>
              <w:pStyle w:val="73"/>
              <w:spacing w:line="360" w:lineRule="auto"/>
              <w:rPr>
                <w:rFonts w:hint="eastAsia" w:ascii="宋体" w:hAnsi="宋体" w:eastAsia="宋体" w:cs="宋体"/>
                <w:color w:val="auto"/>
                <w:sz w:val="24"/>
                <w:szCs w:val="24"/>
                <w:highlight w:val="none"/>
              </w:rPr>
            </w:pPr>
          </w:p>
        </w:tc>
        <w:tc>
          <w:tcPr>
            <w:tcW w:w="100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2F14600E">
            <w:pPr>
              <w:pStyle w:val="73"/>
              <w:spacing w:line="360" w:lineRule="auto"/>
              <w:rPr>
                <w:rFonts w:hint="eastAsia" w:ascii="宋体" w:hAnsi="宋体" w:eastAsia="宋体" w:cs="宋体"/>
                <w:color w:val="auto"/>
                <w:sz w:val="24"/>
                <w:szCs w:val="24"/>
                <w:highlight w:val="none"/>
              </w:rPr>
            </w:pPr>
          </w:p>
        </w:tc>
        <w:tc>
          <w:tcPr>
            <w:tcW w:w="98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47A0F2A3">
            <w:pPr>
              <w:pStyle w:val="73"/>
              <w:spacing w:line="360" w:lineRule="auto"/>
              <w:rPr>
                <w:rFonts w:hint="eastAsia" w:ascii="宋体" w:hAnsi="宋体" w:eastAsia="宋体" w:cs="宋体"/>
                <w:color w:val="auto"/>
                <w:sz w:val="24"/>
                <w:szCs w:val="24"/>
                <w:highlight w:val="none"/>
              </w:rPr>
            </w:pPr>
          </w:p>
        </w:tc>
        <w:tc>
          <w:tcPr>
            <w:tcW w:w="814"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462FFB52">
            <w:pPr>
              <w:pStyle w:val="73"/>
              <w:spacing w:line="360" w:lineRule="auto"/>
              <w:rPr>
                <w:rFonts w:hint="eastAsia" w:ascii="宋体" w:hAnsi="宋体" w:eastAsia="宋体" w:cs="宋体"/>
                <w:color w:val="auto"/>
                <w:sz w:val="24"/>
                <w:szCs w:val="24"/>
                <w:highlight w:val="none"/>
              </w:rPr>
            </w:pPr>
          </w:p>
        </w:tc>
        <w:tc>
          <w:tcPr>
            <w:tcW w:w="446" w:type="pct"/>
            <w:tcBorders>
              <w:top w:val="single" w:color="000000" w:sz="6" w:space="0"/>
              <w:left w:val="single" w:color="000000" w:sz="6" w:space="0"/>
              <w:bottom w:val="single" w:color="000000" w:sz="6" w:space="0"/>
              <w:right w:val="single" w:color="000000" w:sz="12" w:space="0"/>
              <w:tl2br w:val="nil"/>
              <w:tr2bl w:val="nil"/>
            </w:tcBorders>
            <w:noWrap w:val="0"/>
            <w:vAlign w:val="top"/>
          </w:tcPr>
          <w:p w14:paraId="4F1448A2">
            <w:pPr>
              <w:pStyle w:val="73"/>
              <w:spacing w:line="360" w:lineRule="auto"/>
              <w:rPr>
                <w:rFonts w:hint="eastAsia" w:ascii="宋体" w:hAnsi="宋体" w:eastAsia="宋体" w:cs="宋体"/>
                <w:color w:val="auto"/>
                <w:sz w:val="24"/>
                <w:szCs w:val="24"/>
                <w:highlight w:val="none"/>
              </w:rPr>
            </w:pPr>
          </w:p>
        </w:tc>
      </w:tr>
      <w:tr w14:paraId="22DF25C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694" w:type="pct"/>
            <w:tcBorders>
              <w:top w:val="single" w:color="000000" w:sz="6" w:space="0"/>
              <w:left w:val="single" w:color="000000" w:sz="12" w:space="0"/>
              <w:bottom w:val="single" w:color="000000" w:sz="6" w:space="0"/>
              <w:right w:val="single" w:color="000000" w:sz="6" w:space="0"/>
              <w:tl2br w:val="nil"/>
              <w:tr2bl w:val="nil"/>
            </w:tcBorders>
            <w:noWrap w:val="0"/>
            <w:vAlign w:val="top"/>
          </w:tcPr>
          <w:p w14:paraId="502E090A">
            <w:pPr>
              <w:pStyle w:val="73"/>
              <w:spacing w:line="360" w:lineRule="auto"/>
              <w:rPr>
                <w:rFonts w:hint="eastAsia" w:ascii="宋体" w:hAnsi="宋体" w:eastAsia="宋体" w:cs="宋体"/>
                <w:color w:val="auto"/>
                <w:sz w:val="24"/>
                <w:szCs w:val="24"/>
                <w:highlight w:val="none"/>
              </w:rPr>
            </w:pPr>
          </w:p>
        </w:tc>
        <w:tc>
          <w:tcPr>
            <w:tcW w:w="106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0419C2F2">
            <w:pPr>
              <w:pStyle w:val="73"/>
              <w:spacing w:line="360" w:lineRule="auto"/>
              <w:rPr>
                <w:rFonts w:hint="eastAsia" w:ascii="宋体" w:hAnsi="宋体" w:eastAsia="宋体" w:cs="宋体"/>
                <w:color w:val="auto"/>
                <w:sz w:val="24"/>
                <w:szCs w:val="24"/>
                <w:highlight w:val="none"/>
              </w:rPr>
            </w:pPr>
          </w:p>
        </w:tc>
        <w:tc>
          <w:tcPr>
            <w:tcW w:w="100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291B1CA1">
            <w:pPr>
              <w:pStyle w:val="73"/>
              <w:spacing w:line="360" w:lineRule="auto"/>
              <w:rPr>
                <w:rFonts w:hint="eastAsia" w:ascii="宋体" w:hAnsi="宋体" w:eastAsia="宋体" w:cs="宋体"/>
                <w:color w:val="auto"/>
                <w:sz w:val="24"/>
                <w:szCs w:val="24"/>
                <w:highlight w:val="none"/>
              </w:rPr>
            </w:pPr>
          </w:p>
        </w:tc>
        <w:tc>
          <w:tcPr>
            <w:tcW w:w="98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58B89251">
            <w:pPr>
              <w:pStyle w:val="73"/>
              <w:spacing w:line="360" w:lineRule="auto"/>
              <w:rPr>
                <w:rFonts w:hint="eastAsia" w:ascii="宋体" w:hAnsi="宋体" w:eastAsia="宋体" w:cs="宋体"/>
                <w:color w:val="auto"/>
                <w:sz w:val="24"/>
                <w:szCs w:val="24"/>
                <w:highlight w:val="none"/>
              </w:rPr>
            </w:pPr>
          </w:p>
        </w:tc>
        <w:tc>
          <w:tcPr>
            <w:tcW w:w="814"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487CB0E7">
            <w:pPr>
              <w:pStyle w:val="73"/>
              <w:spacing w:line="360" w:lineRule="auto"/>
              <w:rPr>
                <w:rFonts w:hint="eastAsia" w:ascii="宋体" w:hAnsi="宋体" w:eastAsia="宋体" w:cs="宋体"/>
                <w:color w:val="auto"/>
                <w:sz w:val="24"/>
                <w:szCs w:val="24"/>
                <w:highlight w:val="none"/>
              </w:rPr>
            </w:pPr>
          </w:p>
        </w:tc>
        <w:tc>
          <w:tcPr>
            <w:tcW w:w="446" w:type="pct"/>
            <w:tcBorders>
              <w:top w:val="single" w:color="000000" w:sz="6" w:space="0"/>
              <w:left w:val="single" w:color="000000" w:sz="6" w:space="0"/>
              <w:bottom w:val="single" w:color="000000" w:sz="6" w:space="0"/>
              <w:right w:val="single" w:color="000000" w:sz="12" w:space="0"/>
              <w:tl2br w:val="nil"/>
              <w:tr2bl w:val="nil"/>
            </w:tcBorders>
            <w:noWrap w:val="0"/>
            <w:vAlign w:val="top"/>
          </w:tcPr>
          <w:p w14:paraId="1707ECB6">
            <w:pPr>
              <w:pStyle w:val="73"/>
              <w:spacing w:line="360" w:lineRule="auto"/>
              <w:rPr>
                <w:rFonts w:hint="eastAsia" w:ascii="宋体" w:hAnsi="宋体" w:eastAsia="宋体" w:cs="宋体"/>
                <w:color w:val="auto"/>
                <w:sz w:val="24"/>
                <w:szCs w:val="24"/>
                <w:highlight w:val="none"/>
              </w:rPr>
            </w:pPr>
          </w:p>
        </w:tc>
      </w:tr>
      <w:tr w14:paraId="516439D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694" w:type="pct"/>
            <w:tcBorders>
              <w:top w:val="single" w:color="000000" w:sz="6" w:space="0"/>
              <w:left w:val="single" w:color="000000" w:sz="12" w:space="0"/>
              <w:bottom w:val="single" w:color="000000" w:sz="6" w:space="0"/>
              <w:right w:val="single" w:color="000000" w:sz="6" w:space="0"/>
              <w:tl2br w:val="nil"/>
              <w:tr2bl w:val="nil"/>
            </w:tcBorders>
            <w:noWrap w:val="0"/>
            <w:vAlign w:val="top"/>
          </w:tcPr>
          <w:p w14:paraId="761D4D9B">
            <w:pPr>
              <w:pStyle w:val="73"/>
              <w:spacing w:line="360" w:lineRule="auto"/>
              <w:rPr>
                <w:rFonts w:hint="eastAsia" w:ascii="宋体" w:hAnsi="宋体" w:eastAsia="宋体" w:cs="宋体"/>
                <w:color w:val="auto"/>
                <w:sz w:val="24"/>
                <w:szCs w:val="24"/>
                <w:highlight w:val="none"/>
              </w:rPr>
            </w:pPr>
          </w:p>
        </w:tc>
        <w:tc>
          <w:tcPr>
            <w:tcW w:w="106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4E498F79">
            <w:pPr>
              <w:pStyle w:val="73"/>
              <w:spacing w:line="360" w:lineRule="auto"/>
              <w:rPr>
                <w:rFonts w:hint="eastAsia" w:ascii="宋体" w:hAnsi="宋体" w:eastAsia="宋体" w:cs="宋体"/>
                <w:color w:val="auto"/>
                <w:sz w:val="24"/>
                <w:szCs w:val="24"/>
                <w:highlight w:val="none"/>
              </w:rPr>
            </w:pPr>
          </w:p>
        </w:tc>
        <w:tc>
          <w:tcPr>
            <w:tcW w:w="100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3E4EA42B">
            <w:pPr>
              <w:pStyle w:val="73"/>
              <w:spacing w:line="360" w:lineRule="auto"/>
              <w:rPr>
                <w:rFonts w:hint="eastAsia" w:ascii="宋体" w:hAnsi="宋体" w:eastAsia="宋体" w:cs="宋体"/>
                <w:color w:val="auto"/>
                <w:sz w:val="24"/>
                <w:szCs w:val="24"/>
                <w:highlight w:val="none"/>
              </w:rPr>
            </w:pPr>
          </w:p>
        </w:tc>
        <w:tc>
          <w:tcPr>
            <w:tcW w:w="98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131C5C38">
            <w:pPr>
              <w:pStyle w:val="73"/>
              <w:spacing w:line="360" w:lineRule="auto"/>
              <w:rPr>
                <w:rFonts w:hint="eastAsia" w:ascii="宋体" w:hAnsi="宋体" w:eastAsia="宋体" w:cs="宋体"/>
                <w:color w:val="auto"/>
                <w:sz w:val="24"/>
                <w:szCs w:val="24"/>
                <w:highlight w:val="none"/>
              </w:rPr>
            </w:pPr>
          </w:p>
        </w:tc>
        <w:tc>
          <w:tcPr>
            <w:tcW w:w="814"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3D471A60">
            <w:pPr>
              <w:pStyle w:val="73"/>
              <w:spacing w:line="360" w:lineRule="auto"/>
              <w:rPr>
                <w:rFonts w:hint="eastAsia" w:ascii="宋体" w:hAnsi="宋体" w:eastAsia="宋体" w:cs="宋体"/>
                <w:color w:val="auto"/>
                <w:sz w:val="24"/>
                <w:szCs w:val="24"/>
                <w:highlight w:val="none"/>
              </w:rPr>
            </w:pPr>
          </w:p>
        </w:tc>
        <w:tc>
          <w:tcPr>
            <w:tcW w:w="446" w:type="pct"/>
            <w:tcBorders>
              <w:top w:val="single" w:color="000000" w:sz="6" w:space="0"/>
              <w:left w:val="single" w:color="000000" w:sz="6" w:space="0"/>
              <w:bottom w:val="single" w:color="000000" w:sz="6" w:space="0"/>
              <w:right w:val="single" w:color="000000" w:sz="12" w:space="0"/>
              <w:tl2br w:val="nil"/>
              <w:tr2bl w:val="nil"/>
            </w:tcBorders>
            <w:noWrap w:val="0"/>
            <w:vAlign w:val="top"/>
          </w:tcPr>
          <w:p w14:paraId="27F792F4">
            <w:pPr>
              <w:pStyle w:val="73"/>
              <w:spacing w:line="360" w:lineRule="auto"/>
              <w:rPr>
                <w:rFonts w:hint="eastAsia" w:ascii="宋体" w:hAnsi="宋体" w:eastAsia="宋体" w:cs="宋体"/>
                <w:color w:val="auto"/>
                <w:sz w:val="24"/>
                <w:szCs w:val="24"/>
                <w:highlight w:val="none"/>
              </w:rPr>
            </w:pPr>
          </w:p>
        </w:tc>
      </w:tr>
      <w:tr w14:paraId="01D9401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694" w:type="pct"/>
            <w:tcBorders>
              <w:top w:val="single" w:color="000000" w:sz="6" w:space="0"/>
              <w:left w:val="single" w:color="000000" w:sz="12" w:space="0"/>
              <w:bottom w:val="single" w:color="000000" w:sz="6" w:space="0"/>
              <w:right w:val="single" w:color="000000" w:sz="6" w:space="0"/>
              <w:tl2br w:val="nil"/>
              <w:tr2bl w:val="nil"/>
            </w:tcBorders>
            <w:noWrap w:val="0"/>
            <w:vAlign w:val="top"/>
          </w:tcPr>
          <w:p w14:paraId="3C4FC8A1">
            <w:pPr>
              <w:pStyle w:val="73"/>
              <w:spacing w:line="360" w:lineRule="auto"/>
              <w:rPr>
                <w:rFonts w:hint="eastAsia" w:ascii="宋体" w:hAnsi="宋体" w:eastAsia="宋体" w:cs="宋体"/>
                <w:color w:val="auto"/>
                <w:sz w:val="24"/>
                <w:szCs w:val="24"/>
                <w:highlight w:val="none"/>
              </w:rPr>
            </w:pPr>
          </w:p>
        </w:tc>
        <w:tc>
          <w:tcPr>
            <w:tcW w:w="106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14F9D2C1">
            <w:pPr>
              <w:pStyle w:val="73"/>
              <w:spacing w:line="360" w:lineRule="auto"/>
              <w:rPr>
                <w:rFonts w:hint="eastAsia" w:ascii="宋体" w:hAnsi="宋体" w:eastAsia="宋体" w:cs="宋体"/>
                <w:color w:val="auto"/>
                <w:sz w:val="24"/>
                <w:szCs w:val="24"/>
                <w:highlight w:val="none"/>
              </w:rPr>
            </w:pPr>
          </w:p>
        </w:tc>
        <w:tc>
          <w:tcPr>
            <w:tcW w:w="100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5D672703">
            <w:pPr>
              <w:pStyle w:val="73"/>
              <w:spacing w:line="360" w:lineRule="auto"/>
              <w:rPr>
                <w:rFonts w:hint="eastAsia" w:ascii="宋体" w:hAnsi="宋体" w:eastAsia="宋体" w:cs="宋体"/>
                <w:color w:val="auto"/>
                <w:sz w:val="24"/>
                <w:szCs w:val="24"/>
                <w:highlight w:val="none"/>
              </w:rPr>
            </w:pPr>
          </w:p>
        </w:tc>
        <w:tc>
          <w:tcPr>
            <w:tcW w:w="98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51C68FC3">
            <w:pPr>
              <w:pStyle w:val="73"/>
              <w:spacing w:line="360" w:lineRule="auto"/>
              <w:rPr>
                <w:rFonts w:hint="eastAsia" w:ascii="宋体" w:hAnsi="宋体" w:eastAsia="宋体" w:cs="宋体"/>
                <w:color w:val="auto"/>
                <w:sz w:val="24"/>
                <w:szCs w:val="24"/>
                <w:highlight w:val="none"/>
              </w:rPr>
            </w:pPr>
          </w:p>
        </w:tc>
        <w:tc>
          <w:tcPr>
            <w:tcW w:w="814"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190075EE">
            <w:pPr>
              <w:pStyle w:val="73"/>
              <w:spacing w:line="360" w:lineRule="auto"/>
              <w:rPr>
                <w:rFonts w:hint="eastAsia" w:ascii="宋体" w:hAnsi="宋体" w:eastAsia="宋体" w:cs="宋体"/>
                <w:color w:val="auto"/>
                <w:sz w:val="24"/>
                <w:szCs w:val="24"/>
                <w:highlight w:val="none"/>
              </w:rPr>
            </w:pPr>
          </w:p>
        </w:tc>
        <w:tc>
          <w:tcPr>
            <w:tcW w:w="446" w:type="pct"/>
            <w:tcBorders>
              <w:top w:val="single" w:color="000000" w:sz="6" w:space="0"/>
              <w:left w:val="single" w:color="000000" w:sz="6" w:space="0"/>
              <w:bottom w:val="single" w:color="000000" w:sz="6" w:space="0"/>
              <w:right w:val="single" w:color="000000" w:sz="12" w:space="0"/>
              <w:tl2br w:val="nil"/>
              <w:tr2bl w:val="nil"/>
            </w:tcBorders>
            <w:noWrap w:val="0"/>
            <w:vAlign w:val="top"/>
          </w:tcPr>
          <w:p w14:paraId="2AB98F9F">
            <w:pPr>
              <w:pStyle w:val="73"/>
              <w:spacing w:line="360" w:lineRule="auto"/>
              <w:rPr>
                <w:rFonts w:hint="eastAsia" w:ascii="宋体" w:hAnsi="宋体" w:eastAsia="宋体" w:cs="宋体"/>
                <w:color w:val="auto"/>
                <w:sz w:val="24"/>
                <w:szCs w:val="24"/>
                <w:highlight w:val="none"/>
              </w:rPr>
            </w:pPr>
          </w:p>
        </w:tc>
      </w:tr>
      <w:tr w14:paraId="39802FD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694" w:type="pct"/>
            <w:tcBorders>
              <w:top w:val="single" w:color="000000" w:sz="6" w:space="0"/>
              <w:left w:val="single" w:color="000000" w:sz="12" w:space="0"/>
              <w:bottom w:val="single" w:color="000000" w:sz="6" w:space="0"/>
              <w:right w:val="single" w:color="000000" w:sz="6" w:space="0"/>
              <w:tl2br w:val="nil"/>
              <w:tr2bl w:val="nil"/>
            </w:tcBorders>
            <w:noWrap w:val="0"/>
            <w:vAlign w:val="top"/>
          </w:tcPr>
          <w:p w14:paraId="4DDC9B73">
            <w:pPr>
              <w:pStyle w:val="73"/>
              <w:spacing w:line="360" w:lineRule="auto"/>
              <w:rPr>
                <w:rFonts w:hint="eastAsia" w:ascii="宋体" w:hAnsi="宋体" w:eastAsia="宋体" w:cs="宋体"/>
                <w:color w:val="auto"/>
                <w:sz w:val="24"/>
                <w:szCs w:val="24"/>
                <w:highlight w:val="none"/>
              </w:rPr>
            </w:pPr>
          </w:p>
        </w:tc>
        <w:tc>
          <w:tcPr>
            <w:tcW w:w="106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7B15757C">
            <w:pPr>
              <w:pStyle w:val="73"/>
              <w:spacing w:line="360" w:lineRule="auto"/>
              <w:rPr>
                <w:rFonts w:hint="eastAsia" w:ascii="宋体" w:hAnsi="宋体" w:eastAsia="宋体" w:cs="宋体"/>
                <w:color w:val="auto"/>
                <w:sz w:val="24"/>
                <w:szCs w:val="24"/>
                <w:highlight w:val="none"/>
              </w:rPr>
            </w:pPr>
          </w:p>
        </w:tc>
        <w:tc>
          <w:tcPr>
            <w:tcW w:w="100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7EE12D95">
            <w:pPr>
              <w:pStyle w:val="73"/>
              <w:spacing w:line="360" w:lineRule="auto"/>
              <w:rPr>
                <w:rFonts w:hint="eastAsia" w:ascii="宋体" w:hAnsi="宋体" w:eastAsia="宋体" w:cs="宋体"/>
                <w:color w:val="auto"/>
                <w:sz w:val="24"/>
                <w:szCs w:val="24"/>
                <w:highlight w:val="none"/>
              </w:rPr>
            </w:pPr>
          </w:p>
        </w:tc>
        <w:tc>
          <w:tcPr>
            <w:tcW w:w="98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07BCC21C">
            <w:pPr>
              <w:pStyle w:val="73"/>
              <w:spacing w:line="360" w:lineRule="auto"/>
              <w:rPr>
                <w:rFonts w:hint="eastAsia" w:ascii="宋体" w:hAnsi="宋体" w:eastAsia="宋体" w:cs="宋体"/>
                <w:color w:val="auto"/>
                <w:sz w:val="24"/>
                <w:szCs w:val="24"/>
                <w:highlight w:val="none"/>
              </w:rPr>
            </w:pPr>
          </w:p>
        </w:tc>
        <w:tc>
          <w:tcPr>
            <w:tcW w:w="814"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42CA552F">
            <w:pPr>
              <w:pStyle w:val="73"/>
              <w:spacing w:line="360" w:lineRule="auto"/>
              <w:rPr>
                <w:rFonts w:hint="eastAsia" w:ascii="宋体" w:hAnsi="宋体" w:eastAsia="宋体" w:cs="宋体"/>
                <w:color w:val="auto"/>
                <w:sz w:val="24"/>
                <w:szCs w:val="24"/>
                <w:highlight w:val="none"/>
              </w:rPr>
            </w:pPr>
          </w:p>
        </w:tc>
        <w:tc>
          <w:tcPr>
            <w:tcW w:w="446" w:type="pct"/>
            <w:tcBorders>
              <w:top w:val="single" w:color="000000" w:sz="6" w:space="0"/>
              <w:left w:val="single" w:color="000000" w:sz="6" w:space="0"/>
              <w:bottom w:val="single" w:color="000000" w:sz="6" w:space="0"/>
              <w:right w:val="single" w:color="000000" w:sz="12" w:space="0"/>
              <w:tl2br w:val="nil"/>
              <w:tr2bl w:val="nil"/>
            </w:tcBorders>
            <w:noWrap w:val="0"/>
            <w:vAlign w:val="top"/>
          </w:tcPr>
          <w:p w14:paraId="488EFCD0">
            <w:pPr>
              <w:pStyle w:val="73"/>
              <w:spacing w:line="360" w:lineRule="auto"/>
              <w:rPr>
                <w:rFonts w:hint="eastAsia" w:ascii="宋体" w:hAnsi="宋体" w:eastAsia="宋体" w:cs="宋体"/>
                <w:color w:val="auto"/>
                <w:sz w:val="24"/>
                <w:szCs w:val="24"/>
                <w:highlight w:val="none"/>
              </w:rPr>
            </w:pPr>
          </w:p>
        </w:tc>
      </w:tr>
      <w:tr w14:paraId="49F7013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694" w:type="pct"/>
            <w:tcBorders>
              <w:top w:val="single" w:color="000000" w:sz="6" w:space="0"/>
              <w:left w:val="single" w:color="000000" w:sz="12" w:space="0"/>
              <w:bottom w:val="single" w:color="000000" w:sz="6" w:space="0"/>
              <w:right w:val="single" w:color="000000" w:sz="6" w:space="0"/>
              <w:tl2br w:val="nil"/>
              <w:tr2bl w:val="nil"/>
            </w:tcBorders>
            <w:noWrap w:val="0"/>
            <w:vAlign w:val="top"/>
          </w:tcPr>
          <w:p w14:paraId="49341252">
            <w:pPr>
              <w:pStyle w:val="73"/>
              <w:spacing w:line="360" w:lineRule="auto"/>
              <w:rPr>
                <w:rFonts w:hint="eastAsia" w:ascii="宋体" w:hAnsi="宋体" w:eastAsia="宋体" w:cs="宋体"/>
                <w:color w:val="auto"/>
                <w:sz w:val="24"/>
                <w:szCs w:val="24"/>
                <w:highlight w:val="none"/>
              </w:rPr>
            </w:pPr>
          </w:p>
        </w:tc>
        <w:tc>
          <w:tcPr>
            <w:tcW w:w="106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128FF786">
            <w:pPr>
              <w:pStyle w:val="73"/>
              <w:spacing w:line="360" w:lineRule="auto"/>
              <w:rPr>
                <w:rFonts w:hint="eastAsia" w:ascii="宋体" w:hAnsi="宋体" w:eastAsia="宋体" w:cs="宋体"/>
                <w:color w:val="auto"/>
                <w:sz w:val="24"/>
                <w:szCs w:val="24"/>
                <w:highlight w:val="none"/>
              </w:rPr>
            </w:pPr>
          </w:p>
        </w:tc>
        <w:tc>
          <w:tcPr>
            <w:tcW w:w="100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078518FC">
            <w:pPr>
              <w:pStyle w:val="73"/>
              <w:spacing w:line="360" w:lineRule="auto"/>
              <w:rPr>
                <w:rFonts w:hint="eastAsia" w:ascii="宋体" w:hAnsi="宋体" w:eastAsia="宋体" w:cs="宋体"/>
                <w:color w:val="auto"/>
                <w:sz w:val="24"/>
                <w:szCs w:val="24"/>
                <w:highlight w:val="none"/>
              </w:rPr>
            </w:pPr>
          </w:p>
        </w:tc>
        <w:tc>
          <w:tcPr>
            <w:tcW w:w="98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704E8CDF">
            <w:pPr>
              <w:pStyle w:val="73"/>
              <w:spacing w:line="360" w:lineRule="auto"/>
              <w:rPr>
                <w:rFonts w:hint="eastAsia" w:ascii="宋体" w:hAnsi="宋体" w:eastAsia="宋体" w:cs="宋体"/>
                <w:color w:val="auto"/>
                <w:sz w:val="24"/>
                <w:szCs w:val="24"/>
                <w:highlight w:val="none"/>
              </w:rPr>
            </w:pPr>
          </w:p>
        </w:tc>
        <w:tc>
          <w:tcPr>
            <w:tcW w:w="814"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6E890728">
            <w:pPr>
              <w:pStyle w:val="73"/>
              <w:spacing w:line="360" w:lineRule="auto"/>
              <w:rPr>
                <w:rFonts w:hint="eastAsia" w:ascii="宋体" w:hAnsi="宋体" w:eastAsia="宋体" w:cs="宋体"/>
                <w:color w:val="auto"/>
                <w:sz w:val="24"/>
                <w:szCs w:val="24"/>
                <w:highlight w:val="none"/>
              </w:rPr>
            </w:pPr>
          </w:p>
        </w:tc>
        <w:tc>
          <w:tcPr>
            <w:tcW w:w="446" w:type="pct"/>
            <w:tcBorders>
              <w:top w:val="single" w:color="000000" w:sz="6" w:space="0"/>
              <w:left w:val="single" w:color="000000" w:sz="6" w:space="0"/>
              <w:bottom w:val="single" w:color="000000" w:sz="6" w:space="0"/>
              <w:right w:val="single" w:color="000000" w:sz="12" w:space="0"/>
              <w:tl2br w:val="nil"/>
              <w:tr2bl w:val="nil"/>
            </w:tcBorders>
            <w:noWrap w:val="0"/>
            <w:vAlign w:val="top"/>
          </w:tcPr>
          <w:p w14:paraId="414298E9">
            <w:pPr>
              <w:pStyle w:val="73"/>
              <w:spacing w:line="360" w:lineRule="auto"/>
              <w:rPr>
                <w:rFonts w:hint="eastAsia" w:ascii="宋体" w:hAnsi="宋体" w:eastAsia="宋体" w:cs="宋体"/>
                <w:color w:val="auto"/>
                <w:sz w:val="24"/>
                <w:szCs w:val="24"/>
                <w:highlight w:val="none"/>
              </w:rPr>
            </w:pPr>
          </w:p>
        </w:tc>
      </w:tr>
      <w:tr w14:paraId="779D656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694" w:type="pct"/>
            <w:tcBorders>
              <w:top w:val="single" w:color="000000" w:sz="6" w:space="0"/>
              <w:left w:val="single" w:color="000000" w:sz="12" w:space="0"/>
              <w:bottom w:val="single" w:color="000000" w:sz="6" w:space="0"/>
              <w:right w:val="single" w:color="000000" w:sz="6" w:space="0"/>
              <w:tl2br w:val="nil"/>
              <w:tr2bl w:val="nil"/>
            </w:tcBorders>
            <w:noWrap w:val="0"/>
            <w:vAlign w:val="top"/>
          </w:tcPr>
          <w:p w14:paraId="7A890FC4">
            <w:pPr>
              <w:pStyle w:val="73"/>
              <w:spacing w:line="360" w:lineRule="auto"/>
              <w:rPr>
                <w:rFonts w:hint="eastAsia" w:ascii="宋体" w:hAnsi="宋体" w:eastAsia="宋体" w:cs="宋体"/>
                <w:color w:val="auto"/>
                <w:sz w:val="24"/>
                <w:szCs w:val="24"/>
                <w:highlight w:val="none"/>
              </w:rPr>
            </w:pPr>
          </w:p>
        </w:tc>
        <w:tc>
          <w:tcPr>
            <w:tcW w:w="106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2C1C475E">
            <w:pPr>
              <w:pStyle w:val="73"/>
              <w:spacing w:line="360" w:lineRule="auto"/>
              <w:rPr>
                <w:rFonts w:hint="eastAsia" w:ascii="宋体" w:hAnsi="宋体" w:eastAsia="宋体" w:cs="宋体"/>
                <w:color w:val="auto"/>
                <w:sz w:val="24"/>
                <w:szCs w:val="24"/>
                <w:highlight w:val="none"/>
              </w:rPr>
            </w:pPr>
          </w:p>
        </w:tc>
        <w:tc>
          <w:tcPr>
            <w:tcW w:w="100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491D7320">
            <w:pPr>
              <w:pStyle w:val="73"/>
              <w:spacing w:line="360" w:lineRule="auto"/>
              <w:rPr>
                <w:rFonts w:hint="eastAsia" w:ascii="宋体" w:hAnsi="宋体" w:eastAsia="宋体" w:cs="宋体"/>
                <w:color w:val="auto"/>
                <w:sz w:val="24"/>
                <w:szCs w:val="24"/>
                <w:highlight w:val="none"/>
              </w:rPr>
            </w:pPr>
          </w:p>
        </w:tc>
        <w:tc>
          <w:tcPr>
            <w:tcW w:w="98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63A0EB41">
            <w:pPr>
              <w:pStyle w:val="73"/>
              <w:spacing w:line="360" w:lineRule="auto"/>
              <w:rPr>
                <w:rFonts w:hint="eastAsia" w:ascii="宋体" w:hAnsi="宋体" w:eastAsia="宋体" w:cs="宋体"/>
                <w:color w:val="auto"/>
                <w:sz w:val="24"/>
                <w:szCs w:val="24"/>
                <w:highlight w:val="none"/>
              </w:rPr>
            </w:pPr>
          </w:p>
        </w:tc>
        <w:tc>
          <w:tcPr>
            <w:tcW w:w="814"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2C7AB90D">
            <w:pPr>
              <w:pStyle w:val="73"/>
              <w:spacing w:line="360" w:lineRule="auto"/>
              <w:rPr>
                <w:rFonts w:hint="eastAsia" w:ascii="宋体" w:hAnsi="宋体" w:eastAsia="宋体" w:cs="宋体"/>
                <w:color w:val="auto"/>
                <w:sz w:val="24"/>
                <w:szCs w:val="24"/>
                <w:highlight w:val="none"/>
              </w:rPr>
            </w:pPr>
          </w:p>
        </w:tc>
        <w:tc>
          <w:tcPr>
            <w:tcW w:w="446" w:type="pct"/>
            <w:tcBorders>
              <w:top w:val="single" w:color="000000" w:sz="6" w:space="0"/>
              <w:left w:val="single" w:color="000000" w:sz="6" w:space="0"/>
              <w:bottom w:val="single" w:color="000000" w:sz="6" w:space="0"/>
              <w:right w:val="single" w:color="000000" w:sz="12" w:space="0"/>
              <w:tl2br w:val="nil"/>
              <w:tr2bl w:val="nil"/>
            </w:tcBorders>
            <w:noWrap w:val="0"/>
            <w:vAlign w:val="top"/>
          </w:tcPr>
          <w:p w14:paraId="0BA3658E">
            <w:pPr>
              <w:pStyle w:val="73"/>
              <w:spacing w:line="360" w:lineRule="auto"/>
              <w:rPr>
                <w:rFonts w:hint="eastAsia" w:ascii="宋体" w:hAnsi="宋体" w:eastAsia="宋体" w:cs="宋体"/>
                <w:color w:val="auto"/>
                <w:sz w:val="24"/>
                <w:szCs w:val="24"/>
                <w:highlight w:val="none"/>
              </w:rPr>
            </w:pPr>
          </w:p>
        </w:tc>
      </w:tr>
      <w:tr w14:paraId="293F95A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694" w:type="pct"/>
            <w:tcBorders>
              <w:top w:val="single" w:color="000000" w:sz="6" w:space="0"/>
              <w:left w:val="single" w:color="000000" w:sz="12" w:space="0"/>
              <w:bottom w:val="single" w:color="000000" w:sz="6" w:space="0"/>
              <w:right w:val="single" w:color="000000" w:sz="6" w:space="0"/>
              <w:tl2br w:val="nil"/>
              <w:tr2bl w:val="nil"/>
            </w:tcBorders>
            <w:noWrap w:val="0"/>
            <w:vAlign w:val="top"/>
          </w:tcPr>
          <w:p w14:paraId="2283A6D2">
            <w:pPr>
              <w:pStyle w:val="73"/>
              <w:spacing w:line="360" w:lineRule="auto"/>
              <w:rPr>
                <w:rFonts w:hint="eastAsia" w:ascii="宋体" w:hAnsi="宋体" w:eastAsia="宋体" w:cs="宋体"/>
                <w:color w:val="auto"/>
                <w:sz w:val="24"/>
                <w:szCs w:val="24"/>
                <w:highlight w:val="none"/>
              </w:rPr>
            </w:pPr>
          </w:p>
        </w:tc>
        <w:tc>
          <w:tcPr>
            <w:tcW w:w="106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2F5220F0">
            <w:pPr>
              <w:pStyle w:val="73"/>
              <w:spacing w:line="360" w:lineRule="auto"/>
              <w:rPr>
                <w:rFonts w:hint="eastAsia" w:ascii="宋体" w:hAnsi="宋体" w:eastAsia="宋体" w:cs="宋体"/>
                <w:color w:val="auto"/>
                <w:sz w:val="24"/>
                <w:szCs w:val="24"/>
                <w:highlight w:val="none"/>
              </w:rPr>
            </w:pPr>
          </w:p>
        </w:tc>
        <w:tc>
          <w:tcPr>
            <w:tcW w:w="100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46BE8D5F">
            <w:pPr>
              <w:pStyle w:val="73"/>
              <w:spacing w:line="360" w:lineRule="auto"/>
              <w:rPr>
                <w:rFonts w:hint="eastAsia" w:ascii="宋体" w:hAnsi="宋体" w:eastAsia="宋体" w:cs="宋体"/>
                <w:color w:val="auto"/>
                <w:sz w:val="24"/>
                <w:szCs w:val="24"/>
                <w:highlight w:val="none"/>
              </w:rPr>
            </w:pPr>
          </w:p>
        </w:tc>
        <w:tc>
          <w:tcPr>
            <w:tcW w:w="98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794C80B0">
            <w:pPr>
              <w:pStyle w:val="73"/>
              <w:spacing w:line="360" w:lineRule="auto"/>
              <w:rPr>
                <w:rFonts w:hint="eastAsia" w:ascii="宋体" w:hAnsi="宋体" w:eastAsia="宋体" w:cs="宋体"/>
                <w:color w:val="auto"/>
                <w:sz w:val="24"/>
                <w:szCs w:val="24"/>
                <w:highlight w:val="none"/>
              </w:rPr>
            </w:pPr>
          </w:p>
        </w:tc>
        <w:tc>
          <w:tcPr>
            <w:tcW w:w="814"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65E0FDF3">
            <w:pPr>
              <w:pStyle w:val="73"/>
              <w:spacing w:line="360" w:lineRule="auto"/>
              <w:rPr>
                <w:rFonts w:hint="eastAsia" w:ascii="宋体" w:hAnsi="宋体" w:eastAsia="宋体" w:cs="宋体"/>
                <w:color w:val="auto"/>
                <w:sz w:val="24"/>
                <w:szCs w:val="24"/>
                <w:highlight w:val="none"/>
              </w:rPr>
            </w:pPr>
          </w:p>
        </w:tc>
        <w:tc>
          <w:tcPr>
            <w:tcW w:w="446" w:type="pct"/>
            <w:tcBorders>
              <w:top w:val="single" w:color="000000" w:sz="6" w:space="0"/>
              <w:left w:val="single" w:color="000000" w:sz="6" w:space="0"/>
              <w:bottom w:val="single" w:color="000000" w:sz="6" w:space="0"/>
              <w:right w:val="single" w:color="000000" w:sz="12" w:space="0"/>
              <w:tl2br w:val="nil"/>
              <w:tr2bl w:val="nil"/>
            </w:tcBorders>
            <w:noWrap w:val="0"/>
            <w:vAlign w:val="top"/>
          </w:tcPr>
          <w:p w14:paraId="5967E4FA">
            <w:pPr>
              <w:pStyle w:val="73"/>
              <w:spacing w:line="360" w:lineRule="auto"/>
              <w:rPr>
                <w:rFonts w:hint="eastAsia" w:ascii="宋体" w:hAnsi="宋体" w:eastAsia="宋体" w:cs="宋体"/>
                <w:color w:val="auto"/>
                <w:sz w:val="24"/>
                <w:szCs w:val="24"/>
                <w:highlight w:val="none"/>
              </w:rPr>
            </w:pPr>
          </w:p>
        </w:tc>
      </w:tr>
      <w:tr w14:paraId="3CD81D9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694" w:type="pct"/>
            <w:tcBorders>
              <w:top w:val="single" w:color="000000" w:sz="6" w:space="0"/>
              <w:left w:val="single" w:color="000000" w:sz="12" w:space="0"/>
              <w:bottom w:val="single" w:color="000000" w:sz="6" w:space="0"/>
              <w:right w:val="single" w:color="000000" w:sz="6" w:space="0"/>
              <w:tl2br w:val="nil"/>
              <w:tr2bl w:val="nil"/>
            </w:tcBorders>
            <w:noWrap w:val="0"/>
            <w:vAlign w:val="top"/>
          </w:tcPr>
          <w:p w14:paraId="1889B5AD">
            <w:pPr>
              <w:pStyle w:val="73"/>
              <w:spacing w:line="360" w:lineRule="auto"/>
              <w:rPr>
                <w:rFonts w:hint="eastAsia" w:ascii="宋体" w:hAnsi="宋体" w:eastAsia="宋体" w:cs="宋体"/>
                <w:color w:val="auto"/>
                <w:sz w:val="24"/>
                <w:szCs w:val="24"/>
                <w:highlight w:val="none"/>
              </w:rPr>
            </w:pPr>
          </w:p>
        </w:tc>
        <w:tc>
          <w:tcPr>
            <w:tcW w:w="106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196C6125">
            <w:pPr>
              <w:pStyle w:val="73"/>
              <w:spacing w:line="360" w:lineRule="auto"/>
              <w:rPr>
                <w:rFonts w:hint="eastAsia" w:ascii="宋体" w:hAnsi="宋体" w:eastAsia="宋体" w:cs="宋体"/>
                <w:color w:val="auto"/>
                <w:sz w:val="24"/>
                <w:szCs w:val="24"/>
                <w:highlight w:val="none"/>
              </w:rPr>
            </w:pPr>
          </w:p>
        </w:tc>
        <w:tc>
          <w:tcPr>
            <w:tcW w:w="100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47C9472E">
            <w:pPr>
              <w:pStyle w:val="73"/>
              <w:spacing w:line="360" w:lineRule="auto"/>
              <w:rPr>
                <w:rFonts w:hint="eastAsia" w:ascii="宋体" w:hAnsi="宋体" w:eastAsia="宋体" w:cs="宋体"/>
                <w:color w:val="auto"/>
                <w:sz w:val="24"/>
                <w:szCs w:val="24"/>
                <w:highlight w:val="none"/>
              </w:rPr>
            </w:pPr>
          </w:p>
        </w:tc>
        <w:tc>
          <w:tcPr>
            <w:tcW w:w="98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3380A334">
            <w:pPr>
              <w:pStyle w:val="73"/>
              <w:spacing w:line="360" w:lineRule="auto"/>
              <w:rPr>
                <w:rFonts w:hint="eastAsia" w:ascii="宋体" w:hAnsi="宋体" w:eastAsia="宋体" w:cs="宋体"/>
                <w:color w:val="auto"/>
                <w:sz w:val="24"/>
                <w:szCs w:val="24"/>
                <w:highlight w:val="none"/>
              </w:rPr>
            </w:pPr>
          </w:p>
        </w:tc>
        <w:tc>
          <w:tcPr>
            <w:tcW w:w="814"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7E553076">
            <w:pPr>
              <w:pStyle w:val="73"/>
              <w:spacing w:line="360" w:lineRule="auto"/>
              <w:rPr>
                <w:rFonts w:hint="eastAsia" w:ascii="宋体" w:hAnsi="宋体" w:eastAsia="宋体" w:cs="宋体"/>
                <w:color w:val="auto"/>
                <w:sz w:val="24"/>
                <w:szCs w:val="24"/>
                <w:highlight w:val="none"/>
              </w:rPr>
            </w:pPr>
          </w:p>
        </w:tc>
        <w:tc>
          <w:tcPr>
            <w:tcW w:w="446" w:type="pct"/>
            <w:tcBorders>
              <w:top w:val="single" w:color="000000" w:sz="6" w:space="0"/>
              <w:left w:val="single" w:color="000000" w:sz="6" w:space="0"/>
              <w:bottom w:val="single" w:color="000000" w:sz="6" w:space="0"/>
              <w:right w:val="single" w:color="000000" w:sz="12" w:space="0"/>
              <w:tl2br w:val="nil"/>
              <w:tr2bl w:val="nil"/>
            </w:tcBorders>
            <w:noWrap w:val="0"/>
            <w:vAlign w:val="top"/>
          </w:tcPr>
          <w:p w14:paraId="53320C65">
            <w:pPr>
              <w:pStyle w:val="73"/>
              <w:spacing w:line="360" w:lineRule="auto"/>
              <w:rPr>
                <w:rFonts w:hint="eastAsia" w:ascii="宋体" w:hAnsi="宋体" w:eastAsia="宋体" w:cs="宋体"/>
                <w:color w:val="auto"/>
                <w:sz w:val="24"/>
                <w:szCs w:val="24"/>
                <w:highlight w:val="none"/>
              </w:rPr>
            </w:pPr>
          </w:p>
        </w:tc>
      </w:tr>
      <w:tr w14:paraId="6D182A1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4" w:hRule="atLeast"/>
          <w:jc w:val="center"/>
        </w:trPr>
        <w:tc>
          <w:tcPr>
            <w:tcW w:w="694" w:type="pct"/>
            <w:tcBorders>
              <w:top w:val="single" w:color="000000" w:sz="6" w:space="0"/>
              <w:left w:val="single" w:color="000000" w:sz="12" w:space="0"/>
              <w:bottom w:val="single" w:color="000000" w:sz="12" w:space="0"/>
              <w:right w:val="single" w:color="000000" w:sz="6" w:space="0"/>
              <w:tl2br w:val="nil"/>
              <w:tr2bl w:val="nil"/>
            </w:tcBorders>
            <w:noWrap w:val="0"/>
            <w:vAlign w:val="top"/>
          </w:tcPr>
          <w:p w14:paraId="027C3681">
            <w:pPr>
              <w:pStyle w:val="73"/>
              <w:spacing w:line="360" w:lineRule="auto"/>
              <w:rPr>
                <w:rFonts w:hint="eastAsia" w:ascii="宋体" w:hAnsi="宋体" w:eastAsia="宋体" w:cs="宋体"/>
                <w:color w:val="auto"/>
                <w:sz w:val="24"/>
                <w:szCs w:val="24"/>
                <w:highlight w:val="none"/>
              </w:rPr>
            </w:pPr>
          </w:p>
        </w:tc>
        <w:tc>
          <w:tcPr>
            <w:tcW w:w="1061" w:type="pct"/>
            <w:tcBorders>
              <w:top w:val="single" w:color="000000" w:sz="6" w:space="0"/>
              <w:left w:val="single" w:color="000000" w:sz="6" w:space="0"/>
              <w:bottom w:val="single" w:color="000000" w:sz="12" w:space="0"/>
              <w:right w:val="single" w:color="000000" w:sz="6" w:space="0"/>
              <w:tl2br w:val="nil"/>
              <w:tr2bl w:val="nil"/>
            </w:tcBorders>
            <w:noWrap w:val="0"/>
            <w:vAlign w:val="top"/>
          </w:tcPr>
          <w:p w14:paraId="1A0AA25E">
            <w:pPr>
              <w:pStyle w:val="73"/>
              <w:spacing w:line="360" w:lineRule="auto"/>
              <w:rPr>
                <w:rFonts w:hint="eastAsia" w:ascii="宋体" w:hAnsi="宋体" w:eastAsia="宋体" w:cs="宋体"/>
                <w:color w:val="auto"/>
                <w:sz w:val="24"/>
                <w:szCs w:val="24"/>
                <w:highlight w:val="none"/>
              </w:rPr>
            </w:pPr>
          </w:p>
        </w:tc>
        <w:tc>
          <w:tcPr>
            <w:tcW w:w="1001" w:type="pct"/>
            <w:tcBorders>
              <w:top w:val="single" w:color="000000" w:sz="6" w:space="0"/>
              <w:left w:val="single" w:color="000000" w:sz="6" w:space="0"/>
              <w:bottom w:val="single" w:color="000000" w:sz="12" w:space="0"/>
              <w:right w:val="single" w:color="000000" w:sz="6" w:space="0"/>
              <w:tl2br w:val="nil"/>
              <w:tr2bl w:val="nil"/>
            </w:tcBorders>
            <w:noWrap w:val="0"/>
            <w:vAlign w:val="top"/>
          </w:tcPr>
          <w:p w14:paraId="05228F34">
            <w:pPr>
              <w:pStyle w:val="73"/>
              <w:spacing w:line="360" w:lineRule="auto"/>
              <w:rPr>
                <w:rFonts w:hint="eastAsia" w:ascii="宋体" w:hAnsi="宋体" w:eastAsia="宋体" w:cs="宋体"/>
                <w:color w:val="auto"/>
                <w:sz w:val="24"/>
                <w:szCs w:val="24"/>
                <w:highlight w:val="none"/>
              </w:rPr>
            </w:pPr>
          </w:p>
        </w:tc>
        <w:tc>
          <w:tcPr>
            <w:tcW w:w="982" w:type="pct"/>
            <w:tcBorders>
              <w:top w:val="single" w:color="000000" w:sz="6" w:space="0"/>
              <w:left w:val="single" w:color="000000" w:sz="6" w:space="0"/>
              <w:bottom w:val="single" w:color="000000" w:sz="12" w:space="0"/>
              <w:right w:val="single" w:color="000000" w:sz="6" w:space="0"/>
              <w:tl2br w:val="nil"/>
              <w:tr2bl w:val="nil"/>
            </w:tcBorders>
            <w:noWrap w:val="0"/>
            <w:vAlign w:val="top"/>
          </w:tcPr>
          <w:p w14:paraId="6E3D2FA5">
            <w:pPr>
              <w:pStyle w:val="73"/>
              <w:spacing w:line="360" w:lineRule="auto"/>
              <w:rPr>
                <w:rFonts w:hint="eastAsia" w:ascii="宋体" w:hAnsi="宋体" w:eastAsia="宋体" w:cs="宋体"/>
                <w:color w:val="auto"/>
                <w:sz w:val="24"/>
                <w:szCs w:val="24"/>
                <w:highlight w:val="none"/>
              </w:rPr>
            </w:pPr>
          </w:p>
        </w:tc>
        <w:tc>
          <w:tcPr>
            <w:tcW w:w="814" w:type="pct"/>
            <w:tcBorders>
              <w:top w:val="single" w:color="000000" w:sz="6" w:space="0"/>
              <w:left w:val="single" w:color="000000" w:sz="6" w:space="0"/>
              <w:bottom w:val="single" w:color="000000" w:sz="12" w:space="0"/>
              <w:right w:val="single" w:color="000000" w:sz="6" w:space="0"/>
              <w:tl2br w:val="nil"/>
              <w:tr2bl w:val="nil"/>
            </w:tcBorders>
            <w:noWrap w:val="0"/>
            <w:vAlign w:val="top"/>
          </w:tcPr>
          <w:p w14:paraId="52898C10">
            <w:pPr>
              <w:pStyle w:val="73"/>
              <w:spacing w:line="360" w:lineRule="auto"/>
              <w:rPr>
                <w:rFonts w:hint="eastAsia" w:ascii="宋体" w:hAnsi="宋体" w:eastAsia="宋体" w:cs="宋体"/>
                <w:color w:val="auto"/>
                <w:sz w:val="24"/>
                <w:szCs w:val="24"/>
                <w:highlight w:val="none"/>
              </w:rPr>
            </w:pPr>
          </w:p>
        </w:tc>
        <w:tc>
          <w:tcPr>
            <w:tcW w:w="446" w:type="pct"/>
            <w:tcBorders>
              <w:top w:val="single" w:color="000000" w:sz="6" w:space="0"/>
              <w:left w:val="single" w:color="000000" w:sz="6" w:space="0"/>
              <w:bottom w:val="single" w:color="000000" w:sz="12" w:space="0"/>
              <w:right w:val="single" w:color="000000" w:sz="12" w:space="0"/>
              <w:tl2br w:val="nil"/>
              <w:tr2bl w:val="nil"/>
            </w:tcBorders>
            <w:noWrap w:val="0"/>
            <w:vAlign w:val="top"/>
          </w:tcPr>
          <w:p w14:paraId="2AB37B86">
            <w:pPr>
              <w:pStyle w:val="73"/>
              <w:spacing w:line="360" w:lineRule="auto"/>
              <w:rPr>
                <w:rFonts w:hint="eastAsia" w:ascii="宋体" w:hAnsi="宋体" w:eastAsia="宋体" w:cs="宋体"/>
                <w:color w:val="auto"/>
                <w:sz w:val="24"/>
                <w:szCs w:val="24"/>
                <w:highlight w:val="none"/>
              </w:rPr>
            </w:pPr>
          </w:p>
        </w:tc>
      </w:tr>
    </w:tbl>
    <w:p w14:paraId="1CE77650">
      <w:pPr>
        <w:widowControl/>
        <w:adjustRightInd/>
        <w:spacing w:before="41" w:line="360" w:lineRule="auto"/>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注：1.请</w:t>
      </w:r>
      <w:r>
        <w:rPr>
          <w:rFonts w:hint="eastAsia" w:ascii="宋体" w:hAnsi="宋体" w:eastAsia="宋体" w:cs="宋体"/>
          <w:color w:val="auto"/>
          <w:spacing w:val="-2"/>
          <w:kern w:val="2"/>
          <w:sz w:val="24"/>
          <w:szCs w:val="24"/>
          <w:highlight w:val="none"/>
        </w:rPr>
        <w:t>投标人</w:t>
      </w:r>
      <w:r>
        <w:rPr>
          <w:rFonts w:hint="eastAsia" w:ascii="宋体" w:hAnsi="宋体" w:eastAsia="宋体" w:cs="宋体"/>
          <w:color w:val="auto"/>
          <w:kern w:val="2"/>
          <w:sz w:val="24"/>
          <w:szCs w:val="24"/>
          <w:highlight w:val="none"/>
        </w:rPr>
        <w:t>按照合同签订时间先后顺序填写此表，并按照同一顺序附相关证明材料。</w:t>
      </w:r>
    </w:p>
    <w:p w14:paraId="28783735">
      <w:pPr>
        <w:widowControl/>
        <w:adjustRightInd/>
        <w:spacing w:before="3" w:line="360" w:lineRule="auto"/>
        <w:jc w:val="left"/>
        <w:outlineLvl w:val="1"/>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w:t>
      </w:r>
      <w:bookmarkStart w:id="404" w:name="_Toc19018"/>
      <w:r>
        <w:rPr>
          <w:rFonts w:hint="eastAsia" w:ascii="宋体" w:hAnsi="宋体" w:eastAsia="宋体" w:cs="宋体"/>
          <w:color w:val="auto"/>
          <w:kern w:val="2"/>
          <w:sz w:val="24"/>
          <w:szCs w:val="24"/>
          <w:highlight w:val="none"/>
          <w:lang w:eastAsia="zh-CN"/>
        </w:rPr>
        <w:t>供应商近三年（202</w:t>
      </w:r>
      <w:r>
        <w:rPr>
          <w:rFonts w:hint="eastAsia" w:hAnsi="宋体" w:cs="宋体"/>
          <w:color w:val="auto"/>
          <w:kern w:val="2"/>
          <w:sz w:val="24"/>
          <w:szCs w:val="24"/>
          <w:highlight w:val="none"/>
          <w:lang w:val="en-US" w:eastAsia="zh-CN"/>
        </w:rPr>
        <w:t>3</w:t>
      </w:r>
      <w:r>
        <w:rPr>
          <w:rFonts w:hint="eastAsia" w:ascii="宋体" w:hAnsi="宋体" w:eastAsia="宋体" w:cs="宋体"/>
          <w:color w:val="auto"/>
          <w:kern w:val="2"/>
          <w:sz w:val="24"/>
          <w:szCs w:val="24"/>
          <w:highlight w:val="none"/>
          <w:lang w:eastAsia="zh-CN"/>
        </w:rPr>
        <w:t>年</w:t>
      </w:r>
      <w:r>
        <w:rPr>
          <w:rFonts w:hint="eastAsia" w:ascii="宋体" w:hAnsi="宋体" w:eastAsia="宋体" w:cs="宋体"/>
          <w:color w:val="auto"/>
          <w:kern w:val="2"/>
          <w:sz w:val="24"/>
          <w:szCs w:val="24"/>
          <w:highlight w:val="none"/>
          <w:lang w:val="en-US" w:eastAsia="zh-CN"/>
        </w:rPr>
        <w:t>1</w:t>
      </w:r>
      <w:r>
        <w:rPr>
          <w:rFonts w:hint="eastAsia" w:ascii="宋体" w:hAnsi="宋体" w:eastAsia="宋体" w:cs="宋体"/>
          <w:color w:val="auto"/>
          <w:kern w:val="2"/>
          <w:sz w:val="24"/>
          <w:szCs w:val="24"/>
          <w:highlight w:val="none"/>
          <w:lang w:eastAsia="zh-CN"/>
        </w:rPr>
        <w:t>月1日</w:t>
      </w:r>
      <w:r>
        <w:rPr>
          <w:rFonts w:hint="eastAsia" w:ascii="宋体" w:hAnsi="宋体" w:eastAsia="宋体" w:cs="宋体"/>
          <w:color w:val="auto"/>
          <w:kern w:val="2"/>
          <w:sz w:val="24"/>
          <w:szCs w:val="24"/>
          <w:highlight w:val="none"/>
          <w:lang w:val="en-US" w:eastAsia="zh-CN"/>
        </w:rPr>
        <w:t>-</w:t>
      </w:r>
      <w:r>
        <w:rPr>
          <w:rFonts w:hint="eastAsia" w:ascii="宋体" w:hAnsi="宋体" w:eastAsia="宋体" w:cs="宋体"/>
          <w:color w:val="auto"/>
          <w:kern w:val="2"/>
          <w:sz w:val="24"/>
          <w:szCs w:val="24"/>
          <w:highlight w:val="none"/>
          <w:lang w:eastAsia="zh-CN"/>
        </w:rPr>
        <w:t>至今）类似业绩</w:t>
      </w:r>
      <w:r>
        <w:rPr>
          <w:rFonts w:hint="eastAsia" w:hAnsi="宋体" w:cs="宋体"/>
          <w:color w:val="auto"/>
          <w:kern w:val="2"/>
          <w:sz w:val="24"/>
          <w:szCs w:val="24"/>
          <w:highlight w:val="none"/>
          <w:lang w:eastAsia="zh-CN"/>
        </w:rPr>
        <w:t>；</w:t>
      </w:r>
      <w:r>
        <w:rPr>
          <w:rFonts w:hint="eastAsia" w:ascii="宋体" w:hAnsi="宋体" w:eastAsia="宋体" w:cs="宋体"/>
          <w:color w:val="auto"/>
          <w:kern w:val="2"/>
          <w:sz w:val="24"/>
          <w:szCs w:val="24"/>
          <w:highlight w:val="none"/>
          <w:lang w:eastAsia="zh-CN"/>
        </w:rPr>
        <w:t>（须同时提供</w:t>
      </w:r>
      <w:r>
        <w:rPr>
          <w:rFonts w:hint="eastAsia" w:ascii="宋体" w:hAnsi="宋体" w:eastAsia="宋体" w:cs="宋体"/>
          <w:color w:val="auto"/>
          <w:kern w:val="2"/>
          <w:sz w:val="24"/>
          <w:szCs w:val="24"/>
          <w:highlight w:val="none"/>
          <w:lang w:val="en-US" w:eastAsia="zh-CN"/>
        </w:rPr>
        <w:t>中标通知书</w:t>
      </w:r>
      <w:r>
        <w:rPr>
          <w:rFonts w:hint="eastAsia" w:hAnsi="宋体" w:cs="宋体"/>
          <w:color w:val="auto"/>
          <w:kern w:val="2"/>
          <w:sz w:val="24"/>
          <w:szCs w:val="24"/>
          <w:highlight w:val="none"/>
          <w:lang w:val="en-US" w:eastAsia="zh-CN"/>
        </w:rPr>
        <w:t>或</w:t>
      </w:r>
      <w:r>
        <w:rPr>
          <w:rFonts w:hint="eastAsia" w:ascii="宋体" w:hAnsi="宋体" w:eastAsia="宋体" w:cs="宋体"/>
          <w:color w:val="auto"/>
          <w:kern w:val="2"/>
          <w:sz w:val="24"/>
          <w:szCs w:val="24"/>
          <w:highlight w:val="none"/>
          <w:lang w:eastAsia="zh-CN"/>
        </w:rPr>
        <w:t>合同关键页复印件（或扫描件）加盖公章及开具的发票复印件，缺一项不得分，业绩证明材料需清晰可辨认、可查，否则视为无效业绩）。</w:t>
      </w:r>
      <w:r>
        <w:rPr>
          <w:rFonts w:hint="eastAsia" w:ascii="宋体" w:hAnsi="宋体" w:eastAsia="宋体" w:cs="宋体"/>
          <w:color w:val="auto"/>
          <w:kern w:val="2"/>
          <w:sz w:val="24"/>
          <w:szCs w:val="24"/>
          <w:highlight w:val="none"/>
        </w:rPr>
        <w:t>3.投标人提供虚假合同的，按虚假投标处理。</w:t>
      </w:r>
      <w:bookmarkEnd w:id="404"/>
    </w:p>
    <w:p w14:paraId="68AEE62F">
      <w:pPr>
        <w:pStyle w:val="2"/>
        <w:spacing w:before="8" w:line="360" w:lineRule="auto"/>
        <w:rPr>
          <w:rFonts w:hint="eastAsia" w:ascii="宋体" w:hAnsi="宋体" w:eastAsia="宋体" w:cs="宋体"/>
          <w:color w:val="auto"/>
          <w:sz w:val="24"/>
          <w:szCs w:val="24"/>
          <w:highlight w:val="none"/>
        </w:rPr>
      </w:pPr>
    </w:p>
    <w:p w14:paraId="1B93AC66">
      <w:pPr>
        <w:pStyle w:val="2"/>
        <w:tabs>
          <w:tab w:val="left" w:pos="3360"/>
          <w:tab w:val="left" w:pos="5041"/>
        </w:tabs>
        <w:spacing w:line="360" w:lineRule="auto"/>
        <w:ind w:left="36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投标人</w:t>
      </w: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（盖</w:t>
      </w:r>
      <w:r>
        <w:rPr>
          <w:rFonts w:hint="eastAsia" w:ascii="宋体" w:hAnsi="宋体" w:eastAsia="宋体" w:cs="宋体"/>
          <w:color w:val="auto"/>
          <w:sz w:val="24"/>
          <w:szCs w:val="24"/>
          <w:highlight w:val="none"/>
          <w:lang w:eastAsia="zh-CN"/>
        </w:rPr>
        <w:t>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rPr>
        <w:tab/>
      </w:r>
    </w:p>
    <w:p w14:paraId="0B876D85">
      <w:pPr>
        <w:pStyle w:val="2"/>
        <w:tabs>
          <w:tab w:val="left" w:pos="3240"/>
        </w:tabs>
        <w:spacing w:before="160" w:line="360" w:lineRule="auto"/>
        <w:ind w:left="360" w:right="-31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法人代表或其授权人：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（签字或盖章） </w:t>
      </w:r>
    </w:p>
    <w:p w14:paraId="354668DA">
      <w:pPr>
        <w:pStyle w:val="2"/>
        <w:tabs>
          <w:tab w:val="left" w:pos="3240"/>
          <w:tab w:val="left" w:pos="3535"/>
        </w:tabs>
        <w:spacing w:before="160" w:line="360" w:lineRule="auto"/>
        <w:ind w:left="360" w:right="4863"/>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日</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z w:val="24"/>
          <w:szCs w:val="24"/>
          <w:highlight w:val="none"/>
        </w:rPr>
        <w:t>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p>
    <w:p w14:paraId="49050D48">
      <w:pPr>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br w:type="page"/>
      </w:r>
    </w:p>
    <w:p w14:paraId="0D8CAF19">
      <w:pPr>
        <w:rPr>
          <w:rFonts w:hint="eastAsia" w:ascii="宋体" w:hAnsi="宋体" w:eastAsia="宋体" w:cs="宋体"/>
          <w:b/>
          <w:color w:val="auto"/>
          <w:sz w:val="24"/>
          <w:szCs w:val="24"/>
          <w:highlight w:val="none"/>
        </w:rPr>
      </w:pPr>
      <w:bookmarkStart w:id="405" w:name="_Toc7801"/>
      <w:bookmarkStart w:id="406" w:name="_Toc507399530"/>
      <w:bookmarkStart w:id="407" w:name="_Toc7415"/>
      <w:bookmarkStart w:id="408" w:name="_Toc21807"/>
      <w:bookmarkStart w:id="409" w:name="_Toc31811"/>
      <w:r>
        <w:rPr>
          <w:rFonts w:hint="eastAsia" w:ascii="宋体" w:hAnsi="宋体" w:eastAsia="宋体" w:cs="宋体"/>
          <w:b/>
          <w:color w:val="auto"/>
          <w:sz w:val="24"/>
          <w:szCs w:val="24"/>
          <w:highlight w:val="none"/>
        </w:rPr>
        <w:t>附件4</w:t>
      </w:r>
      <w:r>
        <w:rPr>
          <w:rFonts w:hint="eastAsia" w:ascii="宋体" w:hAnsi="宋体" w:cs="宋体"/>
          <w:b/>
          <w:color w:val="auto"/>
          <w:sz w:val="24"/>
          <w:szCs w:val="24"/>
          <w:highlight w:val="none"/>
          <w:lang w:val="en-US" w:eastAsia="zh-CN"/>
        </w:rPr>
        <w:t xml:space="preserve"> </w:t>
      </w:r>
      <w:bookmarkStart w:id="410" w:name="_Hlt520355504"/>
      <w:bookmarkEnd w:id="410"/>
      <w:r>
        <w:rPr>
          <w:rFonts w:hint="eastAsia" w:ascii="宋体" w:hAnsi="宋体" w:eastAsia="宋体" w:cs="宋体"/>
          <w:b/>
          <w:color w:val="auto"/>
          <w:sz w:val="24"/>
          <w:szCs w:val="24"/>
          <w:highlight w:val="none"/>
        </w:rPr>
        <w:t>投标书</w:t>
      </w:r>
      <w:bookmarkEnd w:id="405"/>
      <w:bookmarkEnd w:id="406"/>
      <w:bookmarkEnd w:id="407"/>
      <w:bookmarkEnd w:id="408"/>
      <w:bookmarkEnd w:id="409"/>
    </w:p>
    <w:p w14:paraId="6C2AA754">
      <w:pPr>
        <w:pStyle w:val="56"/>
        <w:spacing w:line="360" w:lineRule="auto"/>
        <w:ind w:left="-993"/>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         投标书</w:t>
      </w:r>
    </w:p>
    <w:p w14:paraId="52ADE67F">
      <w:pPr>
        <w:pStyle w:val="56"/>
        <w:spacing w:line="360" w:lineRule="auto"/>
        <w:ind w:left="28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致：采购人/采购代理机构</w:t>
      </w:r>
    </w:p>
    <w:p w14:paraId="535F53AB">
      <w:pPr>
        <w:pStyle w:val="56"/>
        <w:tabs>
          <w:tab w:val="left" w:pos="5250"/>
        </w:tabs>
        <w:spacing w:line="360" w:lineRule="auto"/>
        <w:ind w:left="28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根据贵方为</w:t>
      </w:r>
      <w:r>
        <w:rPr>
          <w:rFonts w:hint="eastAsia" w:ascii="宋体" w:hAnsi="宋体" w:eastAsia="宋体" w:cs="宋体"/>
          <w:color w:val="auto"/>
          <w:sz w:val="24"/>
          <w:szCs w:val="24"/>
          <w:highlight w:val="none"/>
          <w:u w:val="single"/>
        </w:rPr>
        <w:t xml:space="preserve">  (项目名称、招标编号)  </w:t>
      </w:r>
      <w:r>
        <w:rPr>
          <w:rFonts w:hint="eastAsia" w:ascii="宋体" w:hAnsi="宋体" w:eastAsia="宋体" w:cs="宋体"/>
          <w:color w:val="auto"/>
          <w:sz w:val="24"/>
          <w:szCs w:val="24"/>
          <w:highlight w:val="none"/>
        </w:rPr>
        <w:t>项目的投标邀请,签字代表(姓名、职务)经正式授权并代表投标人</w:t>
      </w:r>
      <w:r>
        <w:rPr>
          <w:rFonts w:hint="eastAsia" w:ascii="宋体" w:hAnsi="宋体" w:eastAsia="宋体" w:cs="宋体"/>
          <w:color w:val="auto"/>
          <w:sz w:val="24"/>
          <w:szCs w:val="24"/>
          <w:highlight w:val="none"/>
          <w:u w:val="single"/>
        </w:rPr>
        <w:t xml:space="preserve">  （投标人名称、地址） </w:t>
      </w:r>
      <w:r>
        <w:rPr>
          <w:rFonts w:hint="eastAsia" w:ascii="宋体" w:hAnsi="宋体" w:eastAsia="宋体" w:cs="宋体"/>
          <w:color w:val="auto"/>
          <w:sz w:val="24"/>
          <w:szCs w:val="24"/>
          <w:highlight w:val="none"/>
        </w:rPr>
        <w:t xml:space="preserve"> 提交下述文件，以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形式出具的金额为人民币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元的投标保证金。并作出如下承诺：</w:t>
      </w:r>
    </w:p>
    <w:p w14:paraId="6BEE560A">
      <w:pPr>
        <w:pStyle w:val="56"/>
        <w:tabs>
          <w:tab w:val="left" w:pos="5250"/>
        </w:tabs>
        <w:spacing w:line="360" w:lineRule="auto"/>
        <w:ind w:left="28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1、如果我方被确定为中标人，我们将按照招标文件、我方投标文件及双方确认的合同条款的要求执行。</w:t>
      </w:r>
    </w:p>
    <w:p w14:paraId="54C55A32">
      <w:pPr>
        <w:pStyle w:val="56"/>
        <w:tabs>
          <w:tab w:val="left" w:pos="5250"/>
        </w:tabs>
        <w:spacing w:line="360" w:lineRule="auto"/>
        <w:ind w:left="28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2、我方保证忠实地执行双方所签的合同，并承担合同规定的责任和义务。</w:t>
      </w:r>
    </w:p>
    <w:p w14:paraId="3F8FA4D9">
      <w:pPr>
        <w:pStyle w:val="56"/>
        <w:tabs>
          <w:tab w:val="left" w:pos="5250"/>
        </w:tabs>
        <w:spacing w:line="360" w:lineRule="auto"/>
        <w:ind w:left="28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3、我方愿意向贵方提供任何与此报价有关的数据、情况和技术资料。完全理解贵方不一定接受最低价的投标或收到的任何投标。</w:t>
      </w:r>
    </w:p>
    <w:p w14:paraId="6E79986D">
      <w:pPr>
        <w:pStyle w:val="56"/>
        <w:tabs>
          <w:tab w:val="left" w:pos="5250"/>
        </w:tabs>
        <w:spacing w:line="360" w:lineRule="auto"/>
        <w:ind w:left="28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4、我方提交的投标文件及报价自提交日期起</w:t>
      </w:r>
      <w:r>
        <w:rPr>
          <w:rFonts w:hint="eastAsia" w:ascii="宋体" w:hAnsi="宋体" w:eastAsia="宋体" w:cs="宋体"/>
          <w:color w:val="auto"/>
          <w:sz w:val="24"/>
          <w:szCs w:val="24"/>
          <w:highlight w:val="none"/>
          <w:u w:val="single"/>
        </w:rPr>
        <w:t xml:space="preserve"> 90 </w:t>
      </w:r>
      <w:r>
        <w:rPr>
          <w:rFonts w:hint="eastAsia" w:ascii="宋体" w:hAnsi="宋体" w:eastAsia="宋体" w:cs="宋体"/>
          <w:color w:val="auto"/>
          <w:sz w:val="24"/>
          <w:szCs w:val="24"/>
          <w:highlight w:val="none"/>
        </w:rPr>
        <w:t>天有效，并对我方具有约束力。</w:t>
      </w:r>
    </w:p>
    <w:p w14:paraId="6D473051">
      <w:pPr>
        <w:pStyle w:val="56"/>
        <w:spacing w:line="360" w:lineRule="auto"/>
        <w:ind w:left="-3" w:leftChars="-1" w:firstLine="418" w:firstLineChars="16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5、我方已详细审查全部招标文件，包括所有补充通知（如果有的话）。我们完全理解并同意放弃对这方面有不明、误解和质疑的权力。</w:t>
      </w:r>
    </w:p>
    <w:p w14:paraId="30C9B20D">
      <w:pPr>
        <w:pStyle w:val="56"/>
        <w:spacing w:line="360" w:lineRule="auto"/>
        <w:ind w:left="-3" w:leftChars="-1" w:firstLine="418" w:firstLineChars="16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6、在规定的开标时间后，投标人保证遵守招标文件中有关保证金的规定。</w:t>
      </w:r>
    </w:p>
    <w:p w14:paraId="173DF4F2">
      <w:pPr>
        <w:pStyle w:val="56"/>
        <w:spacing w:line="360" w:lineRule="auto"/>
        <w:ind w:left="-3" w:leftChars="-1" w:firstLine="418" w:firstLineChars="161"/>
        <w:outlineLvl w:val="1"/>
        <w:rPr>
          <w:rFonts w:hint="eastAsia" w:ascii="宋体" w:hAnsi="宋体" w:eastAsia="宋体" w:cs="宋体"/>
          <w:color w:val="auto"/>
          <w:sz w:val="24"/>
          <w:szCs w:val="24"/>
          <w:highlight w:val="none"/>
        </w:rPr>
      </w:pPr>
      <w:bookmarkStart w:id="411" w:name="_Toc28438"/>
      <w:r>
        <w:rPr>
          <w:rFonts w:hint="eastAsia" w:ascii="宋体" w:hAnsi="宋体" w:eastAsia="宋体" w:cs="宋体"/>
          <w:color w:val="auto"/>
          <w:sz w:val="24"/>
          <w:szCs w:val="24"/>
          <w:highlight w:val="none"/>
        </w:rPr>
        <w:t>7、与本投标有关的一切正式往来信函请寄：</w:t>
      </w:r>
      <w:bookmarkEnd w:id="411"/>
    </w:p>
    <w:p w14:paraId="73169601">
      <w:pPr>
        <w:pStyle w:val="56"/>
        <w:spacing w:line="360" w:lineRule="auto"/>
        <w:ind w:left="-3" w:leftChars="-1" w:firstLine="418" w:firstLineChars="16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050A41C5">
      <w:pPr>
        <w:pStyle w:val="56"/>
        <w:spacing w:line="360" w:lineRule="auto"/>
        <w:ind w:left="-3" w:leftChars="-1" w:firstLine="418" w:firstLineChars="16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0A4C816C">
      <w:pPr>
        <w:pStyle w:val="56"/>
        <w:spacing w:line="360" w:lineRule="auto"/>
        <w:ind w:left="42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盖章</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ab/>
      </w:r>
    </w:p>
    <w:p w14:paraId="02FA7BF2">
      <w:pPr>
        <w:pStyle w:val="56"/>
        <w:spacing w:line="360" w:lineRule="auto"/>
        <w:ind w:left="42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法定代表人或其授权代理人：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（签字或盖章）</w:t>
      </w:r>
      <w:r>
        <w:rPr>
          <w:rFonts w:hint="eastAsia" w:ascii="宋体" w:hAnsi="宋体" w:eastAsia="宋体" w:cs="宋体"/>
          <w:color w:val="auto"/>
          <w:sz w:val="24"/>
          <w:szCs w:val="24"/>
          <w:highlight w:val="none"/>
        </w:rPr>
        <w:tab/>
      </w:r>
    </w:p>
    <w:p w14:paraId="625732E8">
      <w:pPr>
        <w:pStyle w:val="56"/>
        <w:tabs>
          <w:tab w:val="left" w:pos="5250"/>
        </w:tabs>
        <w:spacing w:line="360" w:lineRule="auto"/>
        <w:ind w:left="5250"/>
        <w:rPr>
          <w:rFonts w:hint="eastAsia" w:ascii="宋体" w:hAnsi="宋体" w:eastAsia="宋体" w:cs="宋体"/>
          <w:color w:val="auto"/>
          <w:sz w:val="24"/>
          <w:szCs w:val="24"/>
          <w:highlight w:val="none"/>
        </w:rPr>
      </w:pPr>
    </w:p>
    <w:p w14:paraId="7BE0B64F">
      <w:pPr>
        <w:pStyle w:val="56"/>
        <w:tabs>
          <w:tab w:val="left" w:pos="5250"/>
        </w:tabs>
        <w:spacing w:line="360" w:lineRule="auto"/>
        <w:ind w:left="5250"/>
        <w:rPr>
          <w:rFonts w:hint="eastAsia" w:ascii="宋体" w:hAnsi="宋体" w:eastAsia="宋体" w:cs="宋体"/>
          <w:color w:val="auto"/>
          <w:sz w:val="24"/>
          <w:szCs w:val="24"/>
          <w:highlight w:val="none"/>
        </w:rPr>
      </w:pPr>
    </w:p>
    <w:p w14:paraId="489AFF89">
      <w:pPr>
        <w:pStyle w:val="56"/>
        <w:tabs>
          <w:tab w:val="left" w:pos="5250"/>
        </w:tabs>
        <w:spacing w:line="360" w:lineRule="auto"/>
        <w:ind w:left="5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日期：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年   月   日</w:t>
      </w:r>
    </w:p>
    <w:p w14:paraId="7ECF3E6A">
      <w:pPr>
        <w:pStyle w:val="56"/>
        <w:spacing w:line="360" w:lineRule="auto"/>
        <w:ind w:left="5250"/>
        <w:rPr>
          <w:rFonts w:hint="eastAsia" w:ascii="宋体" w:hAnsi="宋体" w:eastAsia="宋体" w:cs="宋体"/>
          <w:color w:val="auto"/>
          <w:sz w:val="24"/>
          <w:szCs w:val="24"/>
          <w:highlight w:val="none"/>
        </w:rPr>
        <w:sectPr>
          <w:pgSz w:w="11905" w:h="16838"/>
          <w:pgMar w:top="1247" w:right="1423" w:bottom="1247" w:left="1423" w:header="0" w:footer="907" w:gutter="0"/>
          <w:lnNumType w:countBy="0" w:distance="360"/>
          <w:pgNumType w:fmt="decimal"/>
          <w:cols w:space="0" w:num="1"/>
          <w:rtlGutter w:val="0"/>
          <w:docGrid w:linePitch="312" w:charSpace="0"/>
        </w:sectPr>
      </w:pPr>
    </w:p>
    <w:p w14:paraId="012B8921">
      <w:pPr>
        <w:spacing w:line="360" w:lineRule="auto"/>
        <w:rPr>
          <w:rFonts w:hint="eastAsia" w:hAnsi="宋体" w:cs="宋体"/>
          <w:b/>
          <w:color w:val="auto"/>
          <w:sz w:val="24"/>
          <w:highlight w:val="none"/>
          <w:lang w:val="en-US" w:eastAsia="zh-CN"/>
        </w:rPr>
      </w:pPr>
      <w:bookmarkStart w:id="412" w:name="_Toc13864"/>
      <w:bookmarkStart w:id="413" w:name="_Toc16512"/>
      <w:bookmarkStart w:id="414" w:name="_Toc507399532"/>
      <w:bookmarkStart w:id="415" w:name="_Toc24508"/>
      <w:bookmarkStart w:id="416" w:name="_Toc216582816"/>
      <w:r>
        <w:rPr>
          <w:rFonts w:hint="eastAsia" w:hAnsi="宋体" w:cs="宋体"/>
          <w:b/>
          <w:color w:val="auto"/>
          <w:sz w:val="24"/>
          <w:highlight w:val="none"/>
        </w:rPr>
        <w:t>附件</w:t>
      </w:r>
      <w:r>
        <w:rPr>
          <w:rFonts w:hint="eastAsia" w:hAnsi="宋体" w:cs="宋体"/>
          <w:b/>
          <w:color w:val="auto"/>
          <w:sz w:val="24"/>
          <w:highlight w:val="none"/>
          <w:lang w:val="en-US" w:eastAsia="zh-CN"/>
        </w:rPr>
        <w:t xml:space="preserve">5 </w:t>
      </w:r>
      <w:bookmarkEnd w:id="412"/>
      <w:bookmarkEnd w:id="413"/>
      <w:bookmarkEnd w:id="414"/>
      <w:bookmarkEnd w:id="415"/>
      <w:bookmarkEnd w:id="416"/>
      <w:r>
        <w:rPr>
          <w:rFonts w:hint="eastAsia" w:hAnsi="宋体" w:cs="宋体"/>
          <w:b/>
          <w:color w:val="auto"/>
          <w:sz w:val="24"/>
          <w:highlight w:val="none"/>
          <w:lang w:val="en-US" w:eastAsia="zh-CN"/>
        </w:rPr>
        <w:t>人员配备表</w:t>
      </w:r>
    </w:p>
    <w:p w14:paraId="1BB57224">
      <w:pPr>
        <w:pStyle w:val="2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rPr>
        <w:t xml:space="preserve">名称:                                    </w:t>
      </w:r>
      <w:r>
        <w:rPr>
          <w:rFonts w:hint="eastAsia" w:hAnsi="宋体" w:cs="宋体"/>
          <w:color w:val="auto"/>
          <w:sz w:val="24"/>
          <w:szCs w:val="24"/>
          <w:highlight w:val="none"/>
          <w:lang w:eastAsia="zh-CN"/>
        </w:rPr>
        <w:t>项目</w:t>
      </w:r>
      <w:r>
        <w:rPr>
          <w:rFonts w:hint="eastAsia" w:ascii="宋体" w:hAnsi="宋体" w:eastAsia="宋体" w:cs="宋体"/>
          <w:color w:val="auto"/>
          <w:sz w:val="24"/>
          <w:szCs w:val="24"/>
          <w:highlight w:val="none"/>
        </w:rPr>
        <w:t xml:space="preserve">编号: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w:t>
      </w:r>
    </w:p>
    <w:tbl>
      <w:tblPr>
        <w:tblStyle w:val="35"/>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9"/>
        <w:gridCol w:w="1562"/>
        <w:gridCol w:w="1074"/>
        <w:gridCol w:w="2075"/>
        <w:gridCol w:w="2073"/>
        <w:gridCol w:w="1276"/>
      </w:tblGrid>
      <w:tr w14:paraId="3AF41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652" w:type="pct"/>
            <w:tcBorders>
              <w:top w:val="single" w:color="auto" w:sz="4" w:space="0"/>
              <w:left w:val="single" w:color="auto" w:sz="4" w:space="0"/>
              <w:bottom w:val="single" w:color="auto" w:sz="4" w:space="0"/>
              <w:right w:val="single" w:color="auto" w:sz="4" w:space="0"/>
              <w:tl2br w:val="nil"/>
              <w:tr2bl w:val="nil"/>
            </w:tcBorders>
            <w:noWrap w:val="0"/>
            <w:vAlign w:val="top"/>
          </w:tcPr>
          <w:p w14:paraId="510FBE6A">
            <w:pPr>
              <w:pStyle w:val="20"/>
              <w:spacing w:line="360" w:lineRule="auto"/>
              <w:jc w:val="center"/>
              <w:rPr>
                <w:rFonts w:hint="eastAsia" w:ascii="宋体" w:hAnsi="宋体" w:eastAsia="宋体" w:cs="宋体"/>
                <w:color w:val="auto"/>
                <w:sz w:val="24"/>
                <w:szCs w:val="24"/>
                <w:highlight w:val="none"/>
              </w:rPr>
            </w:pPr>
            <w:bookmarkStart w:id="417" w:name="_Hlk128941161"/>
            <w:r>
              <w:rPr>
                <w:rFonts w:hint="eastAsia" w:ascii="宋体" w:hAnsi="宋体" w:eastAsia="宋体" w:cs="宋体"/>
                <w:color w:val="auto"/>
                <w:sz w:val="24"/>
                <w:szCs w:val="24"/>
                <w:highlight w:val="none"/>
              </w:rPr>
              <w:t>序号</w:t>
            </w:r>
          </w:p>
        </w:tc>
        <w:tc>
          <w:tcPr>
            <w:tcW w:w="842" w:type="pct"/>
            <w:tcBorders>
              <w:top w:val="single" w:color="auto" w:sz="4" w:space="0"/>
              <w:left w:val="single" w:color="auto" w:sz="4" w:space="0"/>
              <w:bottom w:val="single" w:color="auto" w:sz="4" w:space="0"/>
              <w:right w:val="single" w:color="auto" w:sz="4" w:space="0"/>
              <w:tl2br w:val="nil"/>
              <w:tr2bl w:val="nil"/>
            </w:tcBorders>
            <w:noWrap w:val="0"/>
            <w:vAlign w:val="top"/>
          </w:tcPr>
          <w:p w14:paraId="1416D189">
            <w:pPr>
              <w:pStyle w:val="20"/>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姓名</w:t>
            </w:r>
          </w:p>
        </w:tc>
        <w:tc>
          <w:tcPr>
            <w:tcW w:w="579" w:type="pct"/>
            <w:tcBorders>
              <w:top w:val="single" w:color="auto" w:sz="4" w:space="0"/>
              <w:left w:val="single" w:color="auto" w:sz="4" w:space="0"/>
              <w:bottom w:val="single" w:color="auto" w:sz="4" w:space="0"/>
              <w:right w:val="single" w:color="auto" w:sz="4" w:space="0"/>
              <w:tl2br w:val="nil"/>
              <w:tr2bl w:val="nil"/>
            </w:tcBorders>
            <w:noWrap w:val="0"/>
            <w:vAlign w:val="top"/>
          </w:tcPr>
          <w:p w14:paraId="4AA114BF">
            <w:pPr>
              <w:pStyle w:val="20"/>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性别</w:t>
            </w:r>
          </w:p>
        </w:tc>
        <w:tc>
          <w:tcPr>
            <w:tcW w:w="1119" w:type="pct"/>
            <w:tcBorders>
              <w:top w:val="single" w:color="auto" w:sz="4" w:space="0"/>
              <w:left w:val="single" w:color="auto" w:sz="4" w:space="0"/>
              <w:bottom w:val="single" w:color="auto" w:sz="4" w:space="0"/>
              <w:right w:val="single" w:color="auto" w:sz="4" w:space="0"/>
              <w:tl2br w:val="nil"/>
              <w:tr2bl w:val="nil"/>
            </w:tcBorders>
            <w:noWrap w:val="0"/>
            <w:vAlign w:val="top"/>
          </w:tcPr>
          <w:p w14:paraId="4C2A9322">
            <w:pPr>
              <w:pStyle w:val="2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从事工作年限</w:t>
            </w:r>
          </w:p>
        </w:tc>
        <w:tc>
          <w:tcPr>
            <w:tcW w:w="1118" w:type="pct"/>
            <w:tcBorders>
              <w:top w:val="single" w:color="auto" w:sz="4" w:space="0"/>
              <w:left w:val="single" w:color="auto" w:sz="4" w:space="0"/>
              <w:bottom w:val="single" w:color="auto" w:sz="4" w:space="0"/>
              <w:right w:val="single" w:color="auto" w:sz="4" w:space="0"/>
              <w:tl2br w:val="nil"/>
              <w:tr2bl w:val="nil"/>
            </w:tcBorders>
            <w:noWrap w:val="0"/>
            <w:vAlign w:val="top"/>
          </w:tcPr>
          <w:p w14:paraId="2B33CC13">
            <w:pPr>
              <w:pStyle w:val="2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拟在本项目任职</w:t>
            </w:r>
          </w:p>
        </w:tc>
        <w:tc>
          <w:tcPr>
            <w:tcW w:w="688" w:type="pct"/>
            <w:tcBorders>
              <w:top w:val="single" w:color="auto" w:sz="4" w:space="0"/>
              <w:left w:val="single" w:color="auto" w:sz="4" w:space="0"/>
              <w:bottom w:val="single" w:color="auto" w:sz="4" w:space="0"/>
              <w:right w:val="single" w:color="auto" w:sz="4" w:space="0"/>
              <w:tl2br w:val="nil"/>
              <w:tr2bl w:val="nil"/>
            </w:tcBorders>
            <w:noWrap w:val="0"/>
            <w:vAlign w:val="top"/>
          </w:tcPr>
          <w:p w14:paraId="68A160FF">
            <w:pPr>
              <w:pStyle w:val="20"/>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备注</w:t>
            </w:r>
          </w:p>
        </w:tc>
      </w:tr>
      <w:tr w14:paraId="40E7B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652" w:type="pct"/>
            <w:tcBorders>
              <w:top w:val="single" w:color="auto" w:sz="4" w:space="0"/>
              <w:left w:val="single" w:color="auto" w:sz="4" w:space="0"/>
              <w:bottom w:val="single" w:color="auto" w:sz="4" w:space="0"/>
              <w:right w:val="single" w:color="auto" w:sz="4" w:space="0"/>
              <w:tl2br w:val="nil"/>
              <w:tr2bl w:val="nil"/>
            </w:tcBorders>
            <w:noWrap w:val="0"/>
            <w:vAlign w:val="top"/>
          </w:tcPr>
          <w:p w14:paraId="3F6355F7">
            <w:pPr>
              <w:pStyle w:val="20"/>
              <w:spacing w:line="360" w:lineRule="auto"/>
              <w:ind w:left="1413" w:leftChars="257" w:hanging="539"/>
              <w:rPr>
                <w:rFonts w:hint="eastAsia" w:ascii="宋体" w:hAnsi="宋体" w:eastAsia="宋体" w:cs="宋体"/>
                <w:color w:val="auto"/>
                <w:sz w:val="24"/>
                <w:szCs w:val="24"/>
                <w:highlight w:val="none"/>
              </w:rPr>
            </w:pPr>
          </w:p>
        </w:tc>
        <w:tc>
          <w:tcPr>
            <w:tcW w:w="842" w:type="pct"/>
            <w:tcBorders>
              <w:top w:val="single" w:color="auto" w:sz="4" w:space="0"/>
              <w:left w:val="single" w:color="auto" w:sz="4" w:space="0"/>
              <w:bottom w:val="single" w:color="auto" w:sz="4" w:space="0"/>
              <w:right w:val="single" w:color="auto" w:sz="4" w:space="0"/>
              <w:tl2br w:val="nil"/>
              <w:tr2bl w:val="nil"/>
            </w:tcBorders>
            <w:noWrap w:val="0"/>
            <w:vAlign w:val="top"/>
          </w:tcPr>
          <w:p w14:paraId="509835CD">
            <w:pPr>
              <w:pStyle w:val="20"/>
              <w:spacing w:line="360" w:lineRule="auto"/>
              <w:ind w:left="1413" w:leftChars="257" w:hanging="539"/>
              <w:rPr>
                <w:rFonts w:hint="eastAsia" w:ascii="宋体" w:hAnsi="宋体" w:eastAsia="宋体" w:cs="宋体"/>
                <w:color w:val="auto"/>
                <w:sz w:val="24"/>
                <w:szCs w:val="24"/>
                <w:highlight w:val="none"/>
              </w:rPr>
            </w:pPr>
          </w:p>
        </w:tc>
        <w:tc>
          <w:tcPr>
            <w:tcW w:w="579" w:type="pct"/>
            <w:tcBorders>
              <w:top w:val="single" w:color="auto" w:sz="4" w:space="0"/>
              <w:left w:val="single" w:color="auto" w:sz="4" w:space="0"/>
              <w:bottom w:val="single" w:color="auto" w:sz="4" w:space="0"/>
              <w:right w:val="single" w:color="auto" w:sz="4" w:space="0"/>
              <w:tl2br w:val="nil"/>
              <w:tr2bl w:val="nil"/>
            </w:tcBorders>
            <w:noWrap w:val="0"/>
            <w:vAlign w:val="top"/>
          </w:tcPr>
          <w:p w14:paraId="5E8221D5">
            <w:pPr>
              <w:pStyle w:val="20"/>
              <w:spacing w:line="360" w:lineRule="auto"/>
              <w:ind w:left="1413" w:leftChars="257" w:hanging="539"/>
              <w:rPr>
                <w:rFonts w:hint="eastAsia" w:ascii="宋体" w:hAnsi="宋体" w:eastAsia="宋体" w:cs="宋体"/>
                <w:color w:val="auto"/>
                <w:sz w:val="24"/>
                <w:szCs w:val="24"/>
                <w:highlight w:val="none"/>
              </w:rPr>
            </w:pPr>
          </w:p>
        </w:tc>
        <w:tc>
          <w:tcPr>
            <w:tcW w:w="1119" w:type="pct"/>
            <w:tcBorders>
              <w:top w:val="single" w:color="auto" w:sz="4" w:space="0"/>
              <w:left w:val="single" w:color="auto" w:sz="4" w:space="0"/>
              <w:bottom w:val="single" w:color="auto" w:sz="4" w:space="0"/>
              <w:right w:val="single" w:color="auto" w:sz="4" w:space="0"/>
              <w:tl2br w:val="nil"/>
              <w:tr2bl w:val="nil"/>
            </w:tcBorders>
            <w:noWrap w:val="0"/>
            <w:vAlign w:val="top"/>
          </w:tcPr>
          <w:p w14:paraId="31923A05">
            <w:pPr>
              <w:pStyle w:val="20"/>
              <w:spacing w:line="360" w:lineRule="auto"/>
              <w:ind w:left="1413" w:leftChars="257" w:hanging="539"/>
              <w:rPr>
                <w:rFonts w:hint="eastAsia" w:ascii="宋体" w:hAnsi="宋体" w:eastAsia="宋体" w:cs="宋体"/>
                <w:color w:val="auto"/>
                <w:sz w:val="24"/>
                <w:szCs w:val="24"/>
                <w:highlight w:val="none"/>
              </w:rPr>
            </w:pPr>
          </w:p>
        </w:tc>
        <w:tc>
          <w:tcPr>
            <w:tcW w:w="1118" w:type="pct"/>
            <w:tcBorders>
              <w:top w:val="single" w:color="auto" w:sz="4" w:space="0"/>
              <w:left w:val="single" w:color="auto" w:sz="4" w:space="0"/>
              <w:bottom w:val="single" w:color="auto" w:sz="4" w:space="0"/>
              <w:right w:val="single" w:color="auto" w:sz="4" w:space="0"/>
              <w:tl2br w:val="nil"/>
              <w:tr2bl w:val="nil"/>
            </w:tcBorders>
            <w:noWrap w:val="0"/>
            <w:vAlign w:val="top"/>
          </w:tcPr>
          <w:p w14:paraId="129A6C34">
            <w:pPr>
              <w:pStyle w:val="20"/>
              <w:spacing w:line="360" w:lineRule="auto"/>
              <w:ind w:left="1413" w:leftChars="257" w:hanging="539"/>
              <w:rPr>
                <w:rFonts w:hint="eastAsia" w:ascii="宋体" w:hAnsi="宋体" w:eastAsia="宋体" w:cs="宋体"/>
                <w:color w:val="auto"/>
                <w:sz w:val="24"/>
                <w:szCs w:val="24"/>
                <w:highlight w:val="none"/>
              </w:rPr>
            </w:pPr>
          </w:p>
        </w:tc>
        <w:tc>
          <w:tcPr>
            <w:tcW w:w="688" w:type="pct"/>
            <w:tcBorders>
              <w:top w:val="single" w:color="auto" w:sz="4" w:space="0"/>
              <w:left w:val="single" w:color="auto" w:sz="4" w:space="0"/>
              <w:bottom w:val="single" w:color="auto" w:sz="4" w:space="0"/>
              <w:right w:val="single" w:color="auto" w:sz="4" w:space="0"/>
              <w:tl2br w:val="nil"/>
              <w:tr2bl w:val="nil"/>
            </w:tcBorders>
            <w:noWrap w:val="0"/>
            <w:vAlign w:val="top"/>
          </w:tcPr>
          <w:p w14:paraId="404B9D9B">
            <w:pPr>
              <w:pStyle w:val="20"/>
              <w:spacing w:line="360" w:lineRule="auto"/>
              <w:ind w:left="1413" w:leftChars="257" w:hanging="539"/>
              <w:rPr>
                <w:rFonts w:hint="eastAsia" w:ascii="宋体" w:hAnsi="宋体" w:eastAsia="宋体" w:cs="宋体"/>
                <w:color w:val="auto"/>
                <w:sz w:val="24"/>
                <w:szCs w:val="24"/>
                <w:highlight w:val="none"/>
              </w:rPr>
            </w:pPr>
          </w:p>
        </w:tc>
      </w:tr>
      <w:tr w14:paraId="22B17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652" w:type="pct"/>
            <w:tcBorders>
              <w:top w:val="single" w:color="auto" w:sz="4" w:space="0"/>
              <w:left w:val="single" w:color="auto" w:sz="4" w:space="0"/>
              <w:bottom w:val="single" w:color="auto" w:sz="4" w:space="0"/>
              <w:right w:val="single" w:color="auto" w:sz="4" w:space="0"/>
              <w:tl2br w:val="nil"/>
              <w:tr2bl w:val="nil"/>
            </w:tcBorders>
            <w:noWrap w:val="0"/>
            <w:vAlign w:val="top"/>
          </w:tcPr>
          <w:p w14:paraId="4BC0A37D">
            <w:pPr>
              <w:pStyle w:val="20"/>
              <w:spacing w:line="360" w:lineRule="auto"/>
              <w:ind w:left="1413" w:leftChars="257" w:hanging="539"/>
              <w:rPr>
                <w:rFonts w:hint="eastAsia" w:ascii="宋体" w:hAnsi="宋体" w:eastAsia="宋体" w:cs="宋体"/>
                <w:color w:val="auto"/>
                <w:sz w:val="24"/>
                <w:szCs w:val="24"/>
                <w:highlight w:val="none"/>
              </w:rPr>
            </w:pPr>
          </w:p>
        </w:tc>
        <w:tc>
          <w:tcPr>
            <w:tcW w:w="842" w:type="pct"/>
            <w:tcBorders>
              <w:top w:val="single" w:color="auto" w:sz="4" w:space="0"/>
              <w:left w:val="single" w:color="auto" w:sz="4" w:space="0"/>
              <w:bottom w:val="single" w:color="auto" w:sz="4" w:space="0"/>
              <w:right w:val="single" w:color="auto" w:sz="4" w:space="0"/>
              <w:tl2br w:val="nil"/>
              <w:tr2bl w:val="nil"/>
            </w:tcBorders>
            <w:noWrap w:val="0"/>
            <w:vAlign w:val="top"/>
          </w:tcPr>
          <w:p w14:paraId="20213287">
            <w:pPr>
              <w:pStyle w:val="20"/>
              <w:spacing w:line="360" w:lineRule="auto"/>
              <w:ind w:left="1413" w:leftChars="257" w:hanging="539"/>
              <w:rPr>
                <w:rFonts w:hint="eastAsia" w:ascii="宋体" w:hAnsi="宋体" w:eastAsia="宋体" w:cs="宋体"/>
                <w:color w:val="auto"/>
                <w:sz w:val="24"/>
                <w:szCs w:val="24"/>
                <w:highlight w:val="none"/>
              </w:rPr>
            </w:pPr>
          </w:p>
        </w:tc>
        <w:tc>
          <w:tcPr>
            <w:tcW w:w="579" w:type="pct"/>
            <w:tcBorders>
              <w:top w:val="single" w:color="auto" w:sz="4" w:space="0"/>
              <w:left w:val="single" w:color="auto" w:sz="4" w:space="0"/>
              <w:bottom w:val="single" w:color="auto" w:sz="4" w:space="0"/>
              <w:right w:val="single" w:color="auto" w:sz="4" w:space="0"/>
              <w:tl2br w:val="nil"/>
              <w:tr2bl w:val="nil"/>
            </w:tcBorders>
            <w:noWrap w:val="0"/>
            <w:vAlign w:val="top"/>
          </w:tcPr>
          <w:p w14:paraId="570FF987">
            <w:pPr>
              <w:pStyle w:val="20"/>
              <w:spacing w:line="360" w:lineRule="auto"/>
              <w:ind w:left="1413" w:leftChars="257" w:hanging="539"/>
              <w:rPr>
                <w:rFonts w:hint="eastAsia" w:ascii="宋体" w:hAnsi="宋体" w:eastAsia="宋体" w:cs="宋体"/>
                <w:color w:val="auto"/>
                <w:sz w:val="24"/>
                <w:szCs w:val="24"/>
                <w:highlight w:val="none"/>
              </w:rPr>
            </w:pPr>
          </w:p>
        </w:tc>
        <w:tc>
          <w:tcPr>
            <w:tcW w:w="1119" w:type="pct"/>
            <w:tcBorders>
              <w:top w:val="single" w:color="auto" w:sz="4" w:space="0"/>
              <w:left w:val="single" w:color="auto" w:sz="4" w:space="0"/>
              <w:bottom w:val="single" w:color="auto" w:sz="4" w:space="0"/>
              <w:right w:val="single" w:color="auto" w:sz="4" w:space="0"/>
              <w:tl2br w:val="nil"/>
              <w:tr2bl w:val="nil"/>
            </w:tcBorders>
            <w:noWrap w:val="0"/>
            <w:vAlign w:val="top"/>
          </w:tcPr>
          <w:p w14:paraId="318843D2">
            <w:pPr>
              <w:pStyle w:val="20"/>
              <w:spacing w:line="360" w:lineRule="auto"/>
              <w:ind w:left="1413" w:leftChars="257" w:hanging="539"/>
              <w:rPr>
                <w:rFonts w:hint="eastAsia" w:ascii="宋体" w:hAnsi="宋体" w:eastAsia="宋体" w:cs="宋体"/>
                <w:color w:val="auto"/>
                <w:sz w:val="24"/>
                <w:szCs w:val="24"/>
                <w:highlight w:val="none"/>
              </w:rPr>
            </w:pPr>
          </w:p>
        </w:tc>
        <w:tc>
          <w:tcPr>
            <w:tcW w:w="1118" w:type="pct"/>
            <w:tcBorders>
              <w:top w:val="single" w:color="auto" w:sz="4" w:space="0"/>
              <w:left w:val="single" w:color="auto" w:sz="4" w:space="0"/>
              <w:bottom w:val="single" w:color="auto" w:sz="4" w:space="0"/>
              <w:right w:val="single" w:color="auto" w:sz="4" w:space="0"/>
              <w:tl2br w:val="nil"/>
              <w:tr2bl w:val="nil"/>
            </w:tcBorders>
            <w:noWrap w:val="0"/>
            <w:vAlign w:val="top"/>
          </w:tcPr>
          <w:p w14:paraId="45481C0E">
            <w:pPr>
              <w:pStyle w:val="20"/>
              <w:spacing w:line="360" w:lineRule="auto"/>
              <w:ind w:left="1413" w:leftChars="257" w:hanging="539"/>
              <w:rPr>
                <w:rFonts w:hint="eastAsia" w:ascii="宋体" w:hAnsi="宋体" w:eastAsia="宋体" w:cs="宋体"/>
                <w:color w:val="auto"/>
                <w:sz w:val="24"/>
                <w:szCs w:val="24"/>
                <w:highlight w:val="none"/>
              </w:rPr>
            </w:pPr>
          </w:p>
        </w:tc>
        <w:tc>
          <w:tcPr>
            <w:tcW w:w="688" w:type="pct"/>
            <w:tcBorders>
              <w:top w:val="single" w:color="auto" w:sz="4" w:space="0"/>
              <w:left w:val="single" w:color="auto" w:sz="4" w:space="0"/>
              <w:bottom w:val="single" w:color="auto" w:sz="4" w:space="0"/>
              <w:right w:val="single" w:color="auto" w:sz="4" w:space="0"/>
              <w:tl2br w:val="nil"/>
              <w:tr2bl w:val="nil"/>
            </w:tcBorders>
            <w:noWrap w:val="0"/>
            <w:vAlign w:val="top"/>
          </w:tcPr>
          <w:p w14:paraId="03CC9FDF">
            <w:pPr>
              <w:pStyle w:val="20"/>
              <w:spacing w:line="360" w:lineRule="auto"/>
              <w:ind w:left="1413" w:leftChars="257" w:hanging="539"/>
              <w:rPr>
                <w:rFonts w:hint="eastAsia" w:ascii="宋体" w:hAnsi="宋体" w:eastAsia="宋体" w:cs="宋体"/>
                <w:color w:val="auto"/>
                <w:sz w:val="24"/>
                <w:szCs w:val="24"/>
                <w:highlight w:val="none"/>
              </w:rPr>
            </w:pPr>
          </w:p>
        </w:tc>
      </w:tr>
      <w:tr w14:paraId="37769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652" w:type="pct"/>
            <w:tcBorders>
              <w:top w:val="single" w:color="auto" w:sz="4" w:space="0"/>
              <w:left w:val="single" w:color="auto" w:sz="4" w:space="0"/>
              <w:bottom w:val="single" w:color="auto" w:sz="4" w:space="0"/>
              <w:right w:val="single" w:color="auto" w:sz="4" w:space="0"/>
              <w:tl2br w:val="nil"/>
              <w:tr2bl w:val="nil"/>
            </w:tcBorders>
            <w:noWrap w:val="0"/>
            <w:vAlign w:val="top"/>
          </w:tcPr>
          <w:p w14:paraId="408E946B">
            <w:pPr>
              <w:pStyle w:val="20"/>
              <w:spacing w:line="360" w:lineRule="auto"/>
              <w:ind w:left="1413" w:leftChars="257" w:hanging="539"/>
              <w:rPr>
                <w:rFonts w:hint="eastAsia" w:ascii="宋体" w:hAnsi="宋体" w:eastAsia="宋体" w:cs="宋体"/>
                <w:color w:val="auto"/>
                <w:sz w:val="24"/>
                <w:szCs w:val="24"/>
                <w:highlight w:val="none"/>
              </w:rPr>
            </w:pPr>
          </w:p>
        </w:tc>
        <w:tc>
          <w:tcPr>
            <w:tcW w:w="842" w:type="pct"/>
            <w:tcBorders>
              <w:top w:val="single" w:color="auto" w:sz="4" w:space="0"/>
              <w:left w:val="single" w:color="auto" w:sz="4" w:space="0"/>
              <w:bottom w:val="single" w:color="auto" w:sz="4" w:space="0"/>
              <w:right w:val="single" w:color="auto" w:sz="4" w:space="0"/>
              <w:tl2br w:val="nil"/>
              <w:tr2bl w:val="nil"/>
            </w:tcBorders>
            <w:noWrap w:val="0"/>
            <w:vAlign w:val="top"/>
          </w:tcPr>
          <w:p w14:paraId="1673736E">
            <w:pPr>
              <w:pStyle w:val="20"/>
              <w:spacing w:line="360" w:lineRule="auto"/>
              <w:ind w:left="1413" w:leftChars="257" w:hanging="539"/>
              <w:rPr>
                <w:rFonts w:hint="eastAsia" w:ascii="宋体" w:hAnsi="宋体" w:eastAsia="宋体" w:cs="宋体"/>
                <w:color w:val="auto"/>
                <w:sz w:val="24"/>
                <w:szCs w:val="24"/>
                <w:highlight w:val="none"/>
              </w:rPr>
            </w:pPr>
          </w:p>
        </w:tc>
        <w:tc>
          <w:tcPr>
            <w:tcW w:w="579" w:type="pct"/>
            <w:tcBorders>
              <w:top w:val="single" w:color="auto" w:sz="4" w:space="0"/>
              <w:left w:val="single" w:color="auto" w:sz="4" w:space="0"/>
              <w:bottom w:val="single" w:color="auto" w:sz="4" w:space="0"/>
              <w:right w:val="single" w:color="auto" w:sz="4" w:space="0"/>
              <w:tl2br w:val="nil"/>
              <w:tr2bl w:val="nil"/>
            </w:tcBorders>
            <w:noWrap w:val="0"/>
            <w:vAlign w:val="top"/>
          </w:tcPr>
          <w:p w14:paraId="773D1CB5">
            <w:pPr>
              <w:pStyle w:val="20"/>
              <w:spacing w:line="360" w:lineRule="auto"/>
              <w:ind w:left="1413" w:leftChars="257" w:hanging="539"/>
              <w:rPr>
                <w:rFonts w:hint="eastAsia" w:ascii="宋体" w:hAnsi="宋体" w:eastAsia="宋体" w:cs="宋体"/>
                <w:color w:val="auto"/>
                <w:sz w:val="24"/>
                <w:szCs w:val="24"/>
                <w:highlight w:val="none"/>
              </w:rPr>
            </w:pPr>
          </w:p>
        </w:tc>
        <w:tc>
          <w:tcPr>
            <w:tcW w:w="1119" w:type="pct"/>
            <w:tcBorders>
              <w:top w:val="single" w:color="auto" w:sz="4" w:space="0"/>
              <w:left w:val="single" w:color="auto" w:sz="4" w:space="0"/>
              <w:bottom w:val="single" w:color="auto" w:sz="4" w:space="0"/>
              <w:right w:val="single" w:color="auto" w:sz="4" w:space="0"/>
              <w:tl2br w:val="nil"/>
              <w:tr2bl w:val="nil"/>
            </w:tcBorders>
            <w:noWrap w:val="0"/>
            <w:vAlign w:val="top"/>
          </w:tcPr>
          <w:p w14:paraId="6E8B849E">
            <w:pPr>
              <w:pStyle w:val="20"/>
              <w:spacing w:line="360" w:lineRule="auto"/>
              <w:ind w:left="1413" w:leftChars="257" w:hanging="539"/>
              <w:rPr>
                <w:rFonts w:hint="eastAsia" w:ascii="宋体" w:hAnsi="宋体" w:eastAsia="宋体" w:cs="宋体"/>
                <w:color w:val="auto"/>
                <w:sz w:val="24"/>
                <w:szCs w:val="24"/>
                <w:highlight w:val="none"/>
              </w:rPr>
            </w:pPr>
          </w:p>
        </w:tc>
        <w:tc>
          <w:tcPr>
            <w:tcW w:w="1118" w:type="pct"/>
            <w:tcBorders>
              <w:top w:val="single" w:color="auto" w:sz="4" w:space="0"/>
              <w:left w:val="single" w:color="auto" w:sz="4" w:space="0"/>
              <w:bottom w:val="single" w:color="auto" w:sz="4" w:space="0"/>
              <w:right w:val="single" w:color="auto" w:sz="4" w:space="0"/>
              <w:tl2br w:val="nil"/>
              <w:tr2bl w:val="nil"/>
            </w:tcBorders>
            <w:noWrap w:val="0"/>
            <w:vAlign w:val="top"/>
          </w:tcPr>
          <w:p w14:paraId="46E3F625">
            <w:pPr>
              <w:pStyle w:val="20"/>
              <w:spacing w:line="360" w:lineRule="auto"/>
              <w:ind w:left="1413" w:leftChars="257" w:hanging="539"/>
              <w:rPr>
                <w:rFonts w:hint="eastAsia" w:ascii="宋体" w:hAnsi="宋体" w:eastAsia="宋体" w:cs="宋体"/>
                <w:color w:val="auto"/>
                <w:sz w:val="24"/>
                <w:szCs w:val="24"/>
                <w:highlight w:val="none"/>
              </w:rPr>
            </w:pPr>
          </w:p>
        </w:tc>
        <w:tc>
          <w:tcPr>
            <w:tcW w:w="688" w:type="pct"/>
            <w:tcBorders>
              <w:top w:val="single" w:color="auto" w:sz="4" w:space="0"/>
              <w:left w:val="single" w:color="auto" w:sz="4" w:space="0"/>
              <w:bottom w:val="single" w:color="auto" w:sz="4" w:space="0"/>
              <w:right w:val="single" w:color="auto" w:sz="4" w:space="0"/>
              <w:tl2br w:val="nil"/>
              <w:tr2bl w:val="nil"/>
            </w:tcBorders>
            <w:noWrap w:val="0"/>
            <w:vAlign w:val="top"/>
          </w:tcPr>
          <w:p w14:paraId="3983C7CF">
            <w:pPr>
              <w:pStyle w:val="20"/>
              <w:spacing w:line="360" w:lineRule="auto"/>
              <w:ind w:left="1413" w:leftChars="257" w:hanging="539"/>
              <w:rPr>
                <w:rFonts w:hint="eastAsia" w:ascii="宋体" w:hAnsi="宋体" w:eastAsia="宋体" w:cs="宋体"/>
                <w:color w:val="auto"/>
                <w:sz w:val="24"/>
                <w:szCs w:val="24"/>
                <w:highlight w:val="none"/>
              </w:rPr>
            </w:pPr>
          </w:p>
        </w:tc>
      </w:tr>
      <w:tr w14:paraId="02958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652" w:type="pct"/>
            <w:tcBorders>
              <w:top w:val="single" w:color="auto" w:sz="4" w:space="0"/>
              <w:left w:val="single" w:color="auto" w:sz="4" w:space="0"/>
              <w:bottom w:val="single" w:color="auto" w:sz="4" w:space="0"/>
              <w:right w:val="single" w:color="auto" w:sz="4" w:space="0"/>
              <w:tl2br w:val="nil"/>
              <w:tr2bl w:val="nil"/>
            </w:tcBorders>
            <w:noWrap w:val="0"/>
            <w:vAlign w:val="top"/>
          </w:tcPr>
          <w:p w14:paraId="64A4261C">
            <w:pPr>
              <w:pStyle w:val="20"/>
              <w:spacing w:line="360" w:lineRule="auto"/>
              <w:ind w:left="1413" w:leftChars="257" w:hanging="539"/>
              <w:rPr>
                <w:rFonts w:hint="eastAsia" w:ascii="宋体" w:hAnsi="宋体" w:eastAsia="宋体" w:cs="宋体"/>
                <w:color w:val="auto"/>
                <w:sz w:val="24"/>
                <w:szCs w:val="24"/>
                <w:highlight w:val="none"/>
              </w:rPr>
            </w:pPr>
          </w:p>
        </w:tc>
        <w:tc>
          <w:tcPr>
            <w:tcW w:w="842" w:type="pct"/>
            <w:tcBorders>
              <w:top w:val="single" w:color="auto" w:sz="4" w:space="0"/>
              <w:left w:val="single" w:color="auto" w:sz="4" w:space="0"/>
              <w:bottom w:val="single" w:color="auto" w:sz="4" w:space="0"/>
              <w:right w:val="single" w:color="auto" w:sz="4" w:space="0"/>
              <w:tl2br w:val="nil"/>
              <w:tr2bl w:val="nil"/>
            </w:tcBorders>
            <w:noWrap w:val="0"/>
            <w:vAlign w:val="top"/>
          </w:tcPr>
          <w:p w14:paraId="47BCE07C">
            <w:pPr>
              <w:pStyle w:val="20"/>
              <w:spacing w:line="360" w:lineRule="auto"/>
              <w:ind w:left="1413" w:leftChars="257" w:hanging="539"/>
              <w:rPr>
                <w:rFonts w:hint="eastAsia" w:ascii="宋体" w:hAnsi="宋体" w:eastAsia="宋体" w:cs="宋体"/>
                <w:color w:val="auto"/>
                <w:sz w:val="24"/>
                <w:szCs w:val="24"/>
                <w:highlight w:val="none"/>
              </w:rPr>
            </w:pPr>
          </w:p>
        </w:tc>
        <w:tc>
          <w:tcPr>
            <w:tcW w:w="579" w:type="pct"/>
            <w:tcBorders>
              <w:top w:val="single" w:color="auto" w:sz="4" w:space="0"/>
              <w:left w:val="single" w:color="auto" w:sz="4" w:space="0"/>
              <w:bottom w:val="single" w:color="auto" w:sz="4" w:space="0"/>
              <w:right w:val="single" w:color="auto" w:sz="4" w:space="0"/>
              <w:tl2br w:val="nil"/>
              <w:tr2bl w:val="nil"/>
            </w:tcBorders>
            <w:noWrap w:val="0"/>
            <w:vAlign w:val="top"/>
          </w:tcPr>
          <w:p w14:paraId="6CB0DB69">
            <w:pPr>
              <w:pStyle w:val="20"/>
              <w:spacing w:line="360" w:lineRule="auto"/>
              <w:ind w:left="1413" w:leftChars="257" w:hanging="539"/>
              <w:rPr>
                <w:rFonts w:hint="eastAsia" w:ascii="宋体" w:hAnsi="宋体" w:eastAsia="宋体" w:cs="宋体"/>
                <w:color w:val="auto"/>
                <w:sz w:val="24"/>
                <w:szCs w:val="24"/>
                <w:highlight w:val="none"/>
              </w:rPr>
            </w:pPr>
          </w:p>
        </w:tc>
        <w:tc>
          <w:tcPr>
            <w:tcW w:w="1119" w:type="pct"/>
            <w:tcBorders>
              <w:top w:val="single" w:color="auto" w:sz="4" w:space="0"/>
              <w:left w:val="single" w:color="auto" w:sz="4" w:space="0"/>
              <w:bottom w:val="single" w:color="auto" w:sz="4" w:space="0"/>
              <w:right w:val="single" w:color="auto" w:sz="4" w:space="0"/>
              <w:tl2br w:val="nil"/>
              <w:tr2bl w:val="nil"/>
            </w:tcBorders>
            <w:noWrap w:val="0"/>
            <w:vAlign w:val="top"/>
          </w:tcPr>
          <w:p w14:paraId="5188D426">
            <w:pPr>
              <w:pStyle w:val="20"/>
              <w:spacing w:line="360" w:lineRule="auto"/>
              <w:ind w:left="1413" w:leftChars="257" w:hanging="539"/>
              <w:rPr>
                <w:rFonts w:hint="eastAsia" w:ascii="宋体" w:hAnsi="宋体" w:eastAsia="宋体" w:cs="宋体"/>
                <w:color w:val="auto"/>
                <w:sz w:val="24"/>
                <w:szCs w:val="24"/>
                <w:highlight w:val="none"/>
              </w:rPr>
            </w:pPr>
          </w:p>
        </w:tc>
        <w:tc>
          <w:tcPr>
            <w:tcW w:w="1118" w:type="pct"/>
            <w:tcBorders>
              <w:top w:val="single" w:color="auto" w:sz="4" w:space="0"/>
              <w:left w:val="single" w:color="auto" w:sz="4" w:space="0"/>
              <w:bottom w:val="single" w:color="auto" w:sz="4" w:space="0"/>
              <w:right w:val="single" w:color="auto" w:sz="4" w:space="0"/>
              <w:tl2br w:val="nil"/>
              <w:tr2bl w:val="nil"/>
            </w:tcBorders>
            <w:noWrap w:val="0"/>
            <w:vAlign w:val="top"/>
          </w:tcPr>
          <w:p w14:paraId="0A35F8A2">
            <w:pPr>
              <w:pStyle w:val="20"/>
              <w:spacing w:line="360" w:lineRule="auto"/>
              <w:ind w:left="1413" w:leftChars="257" w:hanging="539"/>
              <w:rPr>
                <w:rFonts w:hint="eastAsia" w:ascii="宋体" w:hAnsi="宋体" w:eastAsia="宋体" w:cs="宋体"/>
                <w:color w:val="auto"/>
                <w:sz w:val="24"/>
                <w:szCs w:val="24"/>
                <w:highlight w:val="none"/>
              </w:rPr>
            </w:pPr>
          </w:p>
        </w:tc>
        <w:tc>
          <w:tcPr>
            <w:tcW w:w="688" w:type="pct"/>
            <w:tcBorders>
              <w:top w:val="single" w:color="auto" w:sz="4" w:space="0"/>
              <w:left w:val="single" w:color="auto" w:sz="4" w:space="0"/>
              <w:bottom w:val="single" w:color="auto" w:sz="4" w:space="0"/>
              <w:right w:val="single" w:color="auto" w:sz="4" w:space="0"/>
              <w:tl2br w:val="nil"/>
              <w:tr2bl w:val="nil"/>
            </w:tcBorders>
            <w:noWrap w:val="0"/>
            <w:vAlign w:val="top"/>
          </w:tcPr>
          <w:p w14:paraId="1B24C6BA">
            <w:pPr>
              <w:pStyle w:val="20"/>
              <w:spacing w:line="360" w:lineRule="auto"/>
              <w:ind w:left="1413" w:leftChars="257" w:hanging="539"/>
              <w:rPr>
                <w:rFonts w:hint="eastAsia" w:ascii="宋体" w:hAnsi="宋体" w:eastAsia="宋体" w:cs="宋体"/>
                <w:color w:val="auto"/>
                <w:sz w:val="24"/>
                <w:szCs w:val="24"/>
                <w:highlight w:val="none"/>
              </w:rPr>
            </w:pPr>
          </w:p>
        </w:tc>
      </w:tr>
      <w:tr w14:paraId="75043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652" w:type="pct"/>
            <w:tcBorders>
              <w:top w:val="single" w:color="auto" w:sz="4" w:space="0"/>
              <w:left w:val="single" w:color="auto" w:sz="4" w:space="0"/>
              <w:bottom w:val="single" w:color="auto" w:sz="4" w:space="0"/>
              <w:right w:val="single" w:color="auto" w:sz="4" w:space="0"/>
              <w:tl2br w:val="nil"/>
              <w:tr2bl w:val="nil"/>
            </w:tcBorders>
            <w:noWrap w:val="0"/>
            <w:vAlign w:val="top"/>
          </w:tcPr>
          <w:p w14:paraId="60665108">
            <w:pPr>
              <w:pStyle w:val="20"/>
              <w:spacing w:line="360" w:lineRule="auto"/>
              <w:ind w:left="1413" w:leftChars="257" w:hanging="539"/>
              <w:rPr>
                <w:rFonts w:hint="eastAsia" w:ascii="宋体" w:hAnsi="宋体" w:eastAsia="宋体" w:cs="宋体"/>
                <w:color w:val="auto"/>
                <w:sz w:val="24"/>
                <w:szCs w:val="24"/>
                <w:highlight w:val="none"/>
              </w:rPr>
            </w:pPr>
          </w:p>
        </w:tc>
        <w:tc>
          <w:tcPr>
            <w:tcW w:w="842" w:type="pct"/>
            <w:tcBorders>
              <w:top w:val="single" w:color="auto" w:sz="4" w:space="0"/>
              <w:left w:val="single" w:color="auto" w:sz="4" w:space="0"/>
              <w:bottom w:val="single" w:color="auto" w:sz="4" w:space="0"/>
              <w:right w:val="single" w:color="auto" w:sz="4" w:space="0"/>
              <w:tl2br w:val="nil"/>
              <w:tr2bl w:val="nil"/>
            </w:tcBorders>
            <w:noWrap w:val="0"/>
            <w:vAlign w:val="top"/>
          </w:tcPr>
          <w:p w14:paraId="4D5C15CA">
            <w:pPr>
              <w:pStyle w:val="20"/>
              <w:spacing w:line="360" w:lineRule="auto"/>
              <w:ind w:left="1413" w:leftChars="257" w:hanging="539"/>
              <w:rPr>
                <w:rFonts w:hint="eastAsia" w:ascii="宋体" w:hAnsi="宋体" w:eastAsia="宋体" w:cs="宋体"/>
                <w:color w:val="auto"/>
                <w:sz w:val="24"/>
                <w:szCs w:val="24"/>
                <w:highlight w:val="none"/>
              </w:rPr>
            </w:pPr>
          </w:p>
        </w:tc>
        <w:tc>
          <w:tcPr>
            <w:tcW w:w="579" w:type="pct"/>
            <w:tcBorders>
              <w:top w:val="single" w:color="auto" w:sz="4" w:space="0"/>
              <w:left w:val="single" w:color="auto" w:sz="4" w:space="0"/>
              <w:bottom w:val="single" w:color="auto" w:sz="4" w:space="0"/>
              <w:right w:val="single" w:color="auto" w:sz="4" w:space="0"/>
              <w:tl2br w:val="nil"/>
              <w:tr2bl w:val="nil"/>
            </w:tcBorders>
            <w:noWrap w:val="0"/>
            <w:vAlign w:val="top"/>
          </w:tcPr>
          <w:p w14:paraId="697D5318">
            <w:pPr>
              <w:pStyle w:val="20"/>
              <w:spacing w:line="360" w:lineRule="auto"/>
              <w:ind w:left="1413" w:leftChars="257" w:hanging="539"/>
              <w:rPr>
                <w:rFonts w:hint="eastAsia" w:ascii="宋体" w:hAnsi="宋体" w:eastAsia="宋体" w:cs="宋体"/>
                <w:color w:val="auto"/>
                <w:sz w:val="24"/>
                <w:szCs w:val="24"/>
                <w:highlight w:val="none"/>
              </w:rPr>
            </w:pPr>
          </w:p>
        </w:tc>
        <w:tc>
          <w:tcPr>
            <w:tcW w:w="1119" w:type="pct"/>
            <w:tcBorders>
              <w:top w:val="single" w:color="auto" w:sz="4" w:space="0"/>
              <w:left w:val="single" w:color="auto" w:sz="4" w:space="0"/>
              <w:bottom w:val="single" w:color="auto" w:sz="4" w:space="0"/>
              <w:right w:val="single" w:color="auto" w:sz="4" w:space="0"/>
              <w:tl2br w:val="nil"/>
              <w:tr2bl w:val="nil"/>
            </w:tcBorders>
            <w:noWrap w:val="0"/>
            <w:vAlign w:val="top"/>
          </w:tcPr>
          <w:p w14:paraId="5BFEB811">
            <w:pPr>
              <w:pStyle w:val="20"/>
              <w:spacing w:line="360" w:lineRule="auto"/>
              <w:ind w:left="1413" w:leftChars="257" w:hanging="539"/>
              <w:rPr>
                <w:rFonts w:hint="eastAsia" w:ascii="宋体" w:hAnsi="宋体" w:eastAsia="宋体" w:cs="宋体"/>
                <w:color w:val="auto"/>
                <w:sz w:val="24"/>
                <w:szCs w:val="24"/>
                <w:highlight w:val="none"/>
              </w:rPr>
            </w:pPr>
          </w:p>
        </w:tc>
        <w:tc>
          <w:tcPr>
            <w:tcW w:w="1118" w:type="pct"/>
            <w:tcBorders>
              <w:top w:val="single" w:color="auto" w:sz="4" w:space="0"/>
              <w:left w:val="single" w:color="auto" w:sz="4" w:space="0"/>
              <w:bottom w:val="single" w:color="auto" w:sz="4" w:space="0"/>
              <w:right w:val="single" w:color="auto" w:sz="4" w:space="0"/>
              <w:tl2br w:val="nil"/>
              <w:tr2bl w:val="nil"/>
            </w:tcBorders>
            <w:noWrap w:val="0"/>
            <w:vAlign w:val="top"/>
          </w:tcPr>
          <w:p w14:paraId="17D99FE7">
            <w:pPr>
              <w:pStyle w:val="20"/>
              <w:spacing w:line="360" w:lineRule="auto"/>
              <w:ind w:left="1413" w:leftChars="257" w:hanging="539"/>
              <w:rPr>
                <w:rFonts w:hint="eastAsia" w:ascii="宋体" w:hAnsi="宋体" w:eastAsia="宋体" w:cs="宋体"/>
                <w:color w:val="auto"/>
                <w:sz w:val="24"/>
                <w:szCs w:val="24"/>
                <w:highlight w:val="none"/>
              </w:rPr>
            </w:pPr>
          </w:p>
        </w:tc>
        <w:tc>
          <w:tcPr>
            <w:tcW w:w="688" w:type="pct"/>
            <w:tcBorders>
              <w:top w:val="single" w:color="auto" w:sz="4" w:space="0"/>
              <w:left w:val="single" w:color="auto" w:sz="4" w:space="0"/>
              <w:bottom w:val="single" w:color="auto" w:sz="4" w:space="0"/>
              <w:right w:val="single" w:color="auto" w:sz="4" w:space="0"/>
              <w:tl2br w:val="nil"/>
              <w:tr2bl w:val="nil"/>
            </w:tcBorders>
            <w:noWrap w:val="0"/>
            <w:vAlign w:val="top"/>
          </w:tcPr>
          <w:p w14:paraId="3F167105">
            <w:pPr>
              <w:pStyle w:val="20"/>
              <w:spacing w:line="360" w:lineRule="auto"/>
              <w:ind w:left="1413" w:leftChars="257" w:hanging="539"/>
              <w:rPr>
                <w:rFonts w:hint="eastAsia" w:ascii="宋体" w:hAnsi="宋体" w:eastAsia="宋体" w:cs="宋体"/>
                <w:color w:val="auto"/>
                <w:sz w:val="24"/>
                <w:szCs w:val="24"/>
                <w:highlight w:val="none"/>
              </w:rPr>
            </w:pPr>
          </w:p>
        </w:tc>
      </w:tr>
      <w:tr w14:paraId="1A0A5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652" w:type="pct"/>
            <w:tcBorders>
              <w:top w:val="single" w:color="auto" w:sz="4" w:space="0"/>
              <w:left w:val="single" w:color="auto" w:sz="4" w:space="0"/>
              <w:bottom w:val="single" w:color="auto" w:sz="4" w:space="0"/>
              <w:right w:val="single" w:color="auto" w:sz="4" w:space="0"/>
              <w:tl2br w:val="nil"/>
              <w:tr2bl w:val="nil"/>
            </w:tcBorders>
            <w:noWrap w:val="0"/>
            <w:vAlign w:val="top"/>
          </w:tcPr>
          <w:p w14:paraId="1D1A523B">
            <w:pPr>
              <w:pStyle w:val="20"/>
              <w:spacing w:line="360" w:lineRule="auto"/>
              <w:ind w:left="1413" w:leftChars="257" w:hanging="539"/>
              <w:rPr>
                <w:rFonts w:hint="eastAsia" w:ascii="宋体" w:hAnsi="宋体" w:eastAsia="宋体" w:cs="宋体"/>
                <w:color w:val="auto"/>
                <w:sz w:val="24"/>
                <w:szCs w:val="24"/>
                <w:highlight w:val="none"/>
              </w:rPr>
            </w:pPr>
          </w:p>
        </w:tc>
        <w:tc>
          <w:tcPr>
            <w:tcW w:w="842" w:type="pct"/>
            <w:tcBorders>
              <w:top w:val="single" w:color="auto" w:sz="4" w:space="0"/>
              <w:left w:val="single" w:color="auto" w:sz="4" w:space="0"/>
              <w:bottom w:val="single" w:color="auto" w:sz="4" w:space="0"/>
              <w:right w:val="single" w:color="auto" w:sz="4" w:space="0"/>
              <w:tl2br w:val="nil"/>
              <w:tr2bl w:val="nil"/>
            </w:tcBorders>
            <w:noWrap w:val="0"/>
            <w:vAlign w:val="top"/>
          </w:tcPr>
          <w:p w14:paraId="163237DC">
            <w:pPr>
              <w:pStyle w:val="20"/>
              <w:spacing w:line="360" w:lineRule="auto"/>
              <w:ind w:left="1413" w:leftChars="257" w:hanging="539"/>
              <w:rPr>
                <w:rFonts w:hint="eastAsia" w:ascii="宋体" w:hAnsi="宋体" w:eastAsia="宋体" w:cs="宋体"/>
                <w:color w:val="auto"/>
                <w:sz w:val="24"/>
                <w:szCs w:val="24"/>
                <w:highlight w:val="none"/>
              </w:rPr>
            </w:pPr>
          </w:p>
        </w:tc>
        <w:tc>
          <w:tcPr>
            <w:tcW w:w="579" w:type="pct"/>
            <w:tcBorders>
              <w:top w:val="single" w:color="auto" w:sz="4" w:space="0"/>
              <w:left w:val="single" w:color="auto" w:sz="4" w:space="0"/>
              <w:bottom w:val="single" w:color="auto" w:sz="4" w:space="0"/>
              <w:right w:val="single" w:color="auto" w:sz="4" w:space="0"/>
              <w:tl2br w:val="nil"/>
              <w:tr2bl w:val="nil"/>
            </w:tcBorders>
            <w:noWrap w:val="0"/>
            <w:vAlign w:val="top"/>
          </w:tcPr>
          <w:p w14:paraId="7BD7AE67">
            <w:pPr>
              <w:pStyle w:val="20"/>
              <w:spacing w:line="360" w:lineRule="auto"/>
              <w:ind w:left="1413" w:leftChars="257" w:hanging="539"/>
              <w:rPr>
                <w:rFonts w:hint="eastAsia" w:ascii="宋体" w:hAnsi="宋体" w:eastAsia="宋体" w:cs="宋体"/>
                <w:color w:val="auto"/>
                <w:sz w:val="24"/>
                <w:szCs w:val="24"/>
                <w:highlight w:val="none"/>
              </w:rPr>
            </w:pPr>
          </w:p>
        </w:tc>
        <w:tc>
          <w:tcPr>
            <w:tcW w:w="1119" w:type="pct"/>
            <w:tcBorders>
              <w:top w:val="single" w:color="auto" w:sz="4" w:space="0"/>
              <w:left w:val="single" w:color="auto" w:sz="4" w:space="0"/>
              <w:bottom w:val="single" w:color="auto" w:sz="4" w:space="0"/>
              <w:right w:val="single" w:color="auto" w:sz="4" w:space="0"/>
              <w:tl2br w:val="nil"/>
              <w:tr2bl w:val="nil"/>
            </w:tcBorders>
            <w:noWrap w:val="0"/>
            <w:vAlign w:val="top"/>
          </w:tcPr>
          <w:p w14:paraId="640BD409">
            <w:pPr>
              <w:pStyle w:val="20"/>
              <w:spacing w:line="360" w:lineRule="auto"/>
              <w:ind w:left="1413" w:leftChars="257" w:hanging="539"/>
              <w:rPr>
                <w:rFonts w:hint="eastAsia" w:ascii="宋体" w:hAnsi="宋体" w:eastAsia="宋体" w:cs="宋体"/>
                <w:color w:val="auto"/>
                <w:sz w:val="24"/>
                <w:szCs w:val="24"/>
                <w:highlight w:val="none"/>
              </w:rPr>
            </w:pPr>
          </w:p>
        </w:tc>
        <w:tc>
          <w:tcPr>
            <w:tcW w:w="1118" w:type="pct"/>
            <w:tcBorders>
              <w:top w:val="single" w:color="auto" w:sz="4" w:space="0"/>
              <w:left w:val="single" w:color="auto" w:sz="4" w:space="0"/>
              <w:bottom w:val="single" w:color="auto" w:sz="4" w:space="0"/>
              <w:right w:val="single" w:color="auto" w:sz="4" w:space="0"/>
              <w:tl2br w:val="nil"/>
              <w:tr2bl w:val="nil"/>
            </w:tcBorders>
            <w:noWrap w:val="0"/>
            <w:vAlign w:val="top"/>
          </w:tcPr>
          <w:p w14:paraId="0BB6E7E9">
            <w:pPr>
              <w:pStyle w:val="20"/>
              <w:spacing w:line="360" w:lineRule="auto"/>
              <w:ind w:left="1413" w:leftChars="257" w:hanging="539"/>
              <w:rPr>
                <w:rFonts w:hint="eastAsia" w:ascii="宋体" w:hAnsi="宋体" w:eastAsia="宋体" w:cs="宋体"/>
                <w:color w:val="auto"/>
                <w:sz w:val="24"/>
                <w:szCs w:val="24"/>
                <w:highlight w:val="none"/>
              </w:rPr>
            </w:pPr>
          </w:p>
        </w:tc>
        <w:tc>
          <w:tcPr>
            <w:tcW w:w="688" w:type="pct"/>
            <w:tcBorders>
              <w:top w:val="single" w:color="auto" w:sz="4" w:space="0"/>
              <w:left w:val="single" w:color="auto" w:sz="4" w:space="0"/>
              <w:bottom w:val="single" w:color="auto" w:sz="4" w:space="0"/>
              <w:right w:val="single" w:color="auto" w:sz="4" w:space="0"/>
              <w:tl2br w:val="nil"/>
              <w:tr2bl w:val="nil"/>
            </w:tcBorders>
            <w:noWrap w:val="0"/>
            <w:vAlign w:val="top"/>
          </w:tcPr>
          <w:p w14:paraId="5BA83CC8">
            <w:pPr>
              <w:pStyle w:val="20"/>
              <w:spacing w:line="360" w:lineRule="auto"/>
              <w:ind w:left="1413" w:leftChars="257" w:hanging="539"/>
              <w:rPr>
                <w:rFonts w:hint="eastAsia" w:ascii="宋体" w:hAnsi="宋体" w:eastAsia="宋体" w:cs="宋体"/>
                <w:color w:val="auto"/>
                <w:sz w:val="24"/>
                <w:szCs w:val="24"/>
                <w:highlight w:val="none"/>
              </w:rPr>
            </w:pPr>
          </w:p>
        </w:tc>
      </w:tr>
      <w:tr w14:paraId="3E573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652" w:type="pct"/>
            <w:tcBorders>
              <w:top w:val="single" w:color="auto" w:sz="4" w:space="0"/>
              <w:left w:val="single" w:color="auto" w:sz="4" w:space="0"/>
              <w:bottom w:val="single" w:color="auto" w:sz="4" w:space="0"/>
              <w:right w:val="single" w:color="auto" w:sz="4" w:space="0"/>
              <w:tl2br w:val="nil"/>
              <w:tr2bl w:val="nil"/>
            </w:tcBorders>
            <w:noWrap w:val="0"/>
            <w:vAlign w:val="top"/>
          </w:tcPr>
          <w:p w14:paraId="449DCB5C">
            <w:pPr>
              <w:pStyle w:val="20"/>
              <w:spacing w:line="360" w:lineRule="auto"/>
              <w:ind w:left="1413" w:leftChars="257" w:hanging="539"/>
              <w:rPr>
                <w:rFonts w:hint="eastAsia" w:ascii="宋体" w:hAnsi="宋体" w:eastAsia="宋体" w:cs="宋体"/>
                <w:color w:val="auto"/>
                <w:sz w:val="24"/>
                <w:szCs w:val="24"/>
                <w:highlight w:val="none"/>
              </w:rPr>
            </w:pPr>
          </w:p>
        </w:tc>
        <w:tc>
          <w:tcPr>
            <w:tcW w:w="842" w:type="pct"/>
            <w:tcBorders>
              <w:top w:val="single" w:color="auto" w:sz="4" w:space="0"/>
              <w:left w:val="single" w:color="auto" w:sz="4" w:space="0"/>
              <w:bottom w:val="single" w:color="auto" w:sz="4" w:space="0"/>
              <w:right w:val="single" w:color="auto" w:sz="4" w:space="0"/>
              <w:tl2br w:val="nil"/>
              <w:tr2bl w:val="nil"/>
            </w:tcBorders>
            <w:noWrap w:val="0"/>
            <w:vAlign w:val="top"/>
          </w:tcPr>
          <w:p w14:paraId="47ECE9DA">
            <w:pPr>
              <w:pStyle w:val="20"/>
              <w:spacing w:line="360" w:lineRule="auto"/>
              <w:ind w:left="1413" w:leftChars="257" w:hanging="539"/>
              <w:rPr>
                <w:rFonts w:hint="eastAsia" w:ascii="宋体" w:hAnsi="宋体" w:eastAsia="宋体" w:cs="宋体"/>
                <w:color w:val="auto"/>
                <w:sz w:val="24"/>
                <w:szCs w:val="24"/>
                <w:highlight w:val="none"/>
              </w:rPr>
            </w:pPr>
          </w:p>
        </w:tc>
        <w:tc>
          <w:tcPr>
            <w:tcW w:w="579" w:type="pct"/>
            <w:tcBorders>
              <w:top w:val="single" w:color="auto" w:sz="4" w:space="0"/>
              <w:left w:val="single" w:color="auto" w:sz="4" w:space="0"/>
              <w:bottom w:val="single" w:color="auto" w:sz="4" w:space="0"/>
              <w:right w:val="single" w:color="auto" w:sz="4" w:space="0"/>
              <w:tl2br w:val="nil"/>
              <w:tr2bl w:val="nil"/>
            </w:tcBorders>
            <w:noWrap w:val="0"/>
            <w:vAlign w:val="top"/>
          </w:tcPr>
          <w:p w14:paraId="3ADECCE4">
            <w:pPr>
              <w:pStyle w:val="20"/>
              <w:spacing w:line="360" w:lineRule="auto"/>
              <w:ind w:left="1413" w:leftChars="257" w:hanging="539"/>
              <w:rPr>
                <w:rFonts w:hint="eastAsia" w:ascii="宋体" w:hAnsi="宋体" w:eastAsia="宋体" w:cs="宋体"/>
                <w:color w:val="auto"/>
                <w:sz w:val="24"/>
                <w:szCs w:val="24"/>
                <w:highlight w:val="none"/>
              </w:rPr>
            </w:pPr>
          </w:p>
        </w:tc>
        <w:tc>
          <w:tcPr>
            <w:tcW w:w="1119" w:type="pct"/>
            <w:tcBorders>
              <w:top w:val="single" w:color="auto" w:sz="4" w:space="0"/>
              <w:left w:val="single" w:color="auto" w:sz="4" w:space="0"/>
              <w:bottom w:val="single" w:color="auto" w:sz="4" w:space="0"/>
              <w:right w:val="single" w:color="auto" w:sz="4" w:space="0"/>
              <w:tl2br w:val="nil"/>
              <w:tr2bl w:val="nil"/>
            </w:tcBorders>
            <w:noWrap w:val="0"/>
            <w:vAlign w:val="top"/>
          </w:tcPr>
          <w:p w14:paraId="2F621FFD">
            <w:pPr>
              <w:pStyle w:val="20"/>
              <w:spacing w:line="360" w:lineRule="auto"/>
              <w:ind w:left="1413" w:leftChars="257" w:hanging="539"/>
              <w:rPr>
                <w:rFonts w:hint="eastAsia" w:ascii="宋体" w:hAnsi="宋体" w:eastAsia="宋体" w:cs="宋体"/>
                <w:color w:val="auto"/>
                <w:sz w:val="24"/>
                <w:szCs w:val="24"/>
                <w:highlight w:val="none"/>
              </w:rPr>
            </w:pPr>
          </w:p>
        </w:tc>
        <w:tc>
          <w:tcPr>
            <w:tcW w:w="1118" w:type="pct"/>
            <w:tcBorders>
              <w:top w:val="single" w:color="auto" w:sz="4" w:space="0"/>
              <w:left w:val="single" w:color="auto" w:sz="4" w:space="0"/>
              <w:bottom w:val="single" w:color="auto" w:sz="4" w:space="0"/>
              <w:right w:val="single" w:color="auto" w:sz="4" w:space="0"/>
              <w:tl2br w:val="nil"/>
              <w:tr2bl w:val="nil"/>
            </w:tcBorders>
            <w:noWrap w:val="0"/>
            <w:vAlign w:val="top"/>
          </w:tcPr>
          <w:p w14:paraId="048BA19F">
            <w:pPr>
              <w:pStyle w:val="20"/>
              <w:spacing w:line="360" w:lineRule="auto"/>
              <w:ind w:left="1413" w:leftChars="257" w:hanging="539"/>
              <w:rPr>
                <w:rFonts w:hint="eastAsia" w:ascii="宋体" w:hAnsi="宋体" w:eastAsia="宋体" w:cs="宋体"/>
                <w:color w:val="auto"/>
                <w:sz w:val="24"/>
                <w:szCs w:val="24"/>
                <w:highlight w:val="none"/>
              </w:rPr>
            </w:pPr>
          </w:p>
        </w:tc>
        <w:tc>
          <w:tcPr>
            <w:tcW w:w="688" w:type="pct"/>
            <w:tcBorders>
              <w:top w:val="single" w:color="auto" w:sz="4" w:space="0"/>
              <w:left w:val="single" w:color="auto" w:sz="4" w:space="0"/>
              <w:bottom w:val="single" w:color="auto" w:sz="4" w:space="0"/>
              <w:right w:val="single" w:color="auto" w:sz="4" w:space="0"/>
              <w:tl2br w:val="nil"/>
              <w:tr2bl w:val="nil"/>
            </w:tcBorders>
            <w:noWrap w:val="0"/>
            <w:vAlign w:val="top"/>
          </w:tcPr>
          <w:p w14:paraId="5FE5B25B">
            <w:pPr>
              <w:pStyle w:val="20"/>
              <w:spacing w:line="360" w:lineRule="auto"/>
              <w:ind w:left="1413" w:leftChars="257" w:hanging="539"/>
              <w:rPr>
                <w:rFonts w:hint="eastAsia" w:ascii="宋体" w:hAnsi="宋体" w:eastAsia="宋体" w:cs="宋体"/>
                <w:color w:val="auto"/>
                <w:sz w:val="24"/>
                <w:szCs w:val="24"/>
                <w:highlight w:val="none"/>
              </w:rPr>
            </w:pPr>
          </w:p>
        </w:tc>
      </w:tr>
      <w:tr w14:paraId="60328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52" w:type="pct"/>
            <w:tcBorders>
              <w:top w:val="single" w:color="auto" w:sz="4" w:space="0"/>
              <w:left w:val="single" w:color="auto" w:sz="4" w:space="0"/>
              <w:bottom w:val="single" w:color="auto" w:sz="4" w:space="0"/>
              <w:right w:val="single" w:color="auto" w:sz="4" w:space="0"/>
              <w:tl2br w:val="nil"/>
              <w:tr2bl w:val="nil"/>
            </w:tcBorders>
            <w:noWrap w:val="0"/>
            <w:vAlign w:val="top"/>
          </w:tcPr>
          <w:p w14:paraId="09761095">
            <w:pPr>
              <w:pStyle w:val="20"/>
              <w:spacing w:line="360" w:lineRule="auto"/>
              <w:ind w:left="1413" w:leftChars="257" w:hanging="539"/>
              <w:rPr>
                <w:rFonts w:hint="eastAsia" w:ascii="宋体" w:hAnsi="宋体" w:eastAsia="宋体" w:cs="宋体"/>
                <w:color w:val="auto"/>
                <w:sz w:val="24"/>
                <w:szCs w:val="24"/>
                <w:highlight w:val="none"/>
              </w:rPr>
            </w:pPr>
          </w:p>
        </w:tc>
        <w:tc>
          <w:tcPr>
            <w:tcW w:w="842" w:type="pct"/>
            <w:tcBorders>
              <w:top w:val="single" w:color="auto" w:sz="4" w:space="0"/>
              <w:left w:val="single" w:color="auto" w:sz="4" w:space="0"/>
              <w:bottom w:val="single" w:color="auto" w:sz="4" w:space="0"/>
              <w:right w:val="single" w:color="auto" w:sz="4" w:space="0"/>
              <w:tl2br w:val="nil"/>
              <w:tr2bl w:val="nil"/>
            </w:tcBorders>
            <w:noWrap w:val="0"/>
            <w:vAlign w:val="top"/>
          </w:tcPr>
          <w:p w14:paraId="77351927">
            <w:pPr>
              <w:pStyle w:val="20"/>
              <w:spacing w:line="360" w:lineRule="auto"/>
              <w:ind w:left="1413" w:leftChars="257" w:hanging="539"/>
              <w:rPr>
                <w:rFonts w:hint="eastAsia" w:ascii="宋体" w:hAnsi="宋体" w:eastAsia="宋体" w:cs="宋体"/>
                <w:color w:val="auto"/>
                <w:sz w:val="24"/>
                <w:szCs w:val="24"/>
                <w:highlight w:val="none"/>
              </w:rPr>
            </w:pPr>
          </w:p>
        </w:tc>
        <w:tc>
          <w:tcPr>
            <w:tcW w:w="579" w:type="pct"/>
            <w:tcBorders>
              <w:top w:val="single" w:color="auto" w:sz="4" w:space="0"/>
              <w:left w:val="single" w:color="auto" w:sz="4" w:space="0"/>
              <w:bottom w:val="single" w:color="auto" w:sz="4" w:space="0"/>
              <w:right w:val="single" w:color="auto" w:sz="4" w:space="0"/>
              <w:tl2br w:val="nil"/>
              <w:tr2bl w:val="nil"/>
            </w:tcBorders>
            <w:noWrap w:val="0"/>
            <w:vAlign w:val="top"/>
          </w:tcPr>
          <w:p w14:paraId="73138202">
            <w:pPr>
              <w:pStyle w:val="20"/>
              <w:spacing w:line="360" w:lineRule="auto"/>
              <w:ind w:left="1413" w:leftChars="257" w:hanging="539"/>
              <w:rPr>
                <w:rFonts w:hint="eastAsia" w:ascii="宋体" w:hAnsi="宋体" w:eastAsia="宋体" w:cs="宋体"/>
                <w:color w:val="auto"/>
                <w:sz w:val="24"/>
                <w:szCs w:val="24"/>
                <w:highlight w:val="none"/>
              </w:rPr>
            </w:pPr>
          </w:p>
        </w:tc>
        <w:tc>
          <w:tcPr>
            <w:tcW w:w="1119" w:type="pct"/>
            <w:tcBorders>
              <w:top w:val="single" w:color="auto" w:sz="4" w:space="0"/>
              <w:left w:val="single" w:color="auto" w:sz="4" w:space="0"/>
              <w:bottom w:val="single" w:color="auto" w:sz="4" w:space="0"/>
              <w:right w:val="single" w:color="auto" w:sz="4" w:space="0"/>
              <w:tl2br w:val="nil"/>
              <w:tr2bl w:val="nil"/>
            </w:tcBorders>
            <w:noWrap w:val="0"/>
            <w:vAlign w:val="top"/>
          </w:tcPr>
          <w:p w14:paraId="239EB4F4">
            <w:pPr>
              <w:pStyle w:val="20"/>
              <w:spacing w:line="360" w:lineRule="auto"/>
              <w:ind w:left="1413" w:leftChars="257" w:hanging="539"/>
              <w:rPr>
                <w:rFonts w:hint="eastAsia" w:ascii="宋体" w:hAnsi="宋体" w:eastAsia="宋体" w:cs="宋体"/>
                <w:color w:val="auto"/>
                <w:sz w:val="24"/>
                <w:szCs w:val="24"/>
                <w:highlight w:val="none"/>
              </w:rPr>
            </w:pPr>
          </w:p>
        </w:tc>
        <w:tc>
          <w:tcPr>
            <w:tcW w:w="1118" w:type="pct"/>
            <w:tcBorders>
              <w:top w:val="single" w:color="auto" w:sz="4" w:space="0"/>
              <w:left w:val="single" w:color="auto" w:sz="4" w:space="0"/>
              <w:bottom w:val="single" w:color="auto" w:sz="4" w:space="0"/>
              <w:right w:val="single" w:color="auto" w:sz="4" w:space="0"/>
              <w:tl2br w:val="nil"/>
              <w:tr2bl w:val="nil"/>
            </w:tcBorders>
            <w:noWrap w:val="0"/>
            <w:vAlign w:val="top"/>
          </w:tcPr>
          <w:p w14:paraId="1B8C6B11">
            <w:pPr>
              <w:pStyle w:val="20"/>
              <w:spacing w:line="360" w:lineRule="auto"/>
              <w:ind w:left="1413" w:leftChars="257" w:hanging="539"/>
              <w:rPr>
                <w:rFonts w:hint="eastAsia" w:ascii="宋体" w:hAnsi="宋体" w:eastAsia="宋体" w:cs="宋体"/>
                <w:color w:val="auto"/>
                <w:sz w:val="24"/>
                <w:szCs w:val="24"/>
                <w:highlight w:val="none"/>
              </w:rPr>
            </w:pPr>
          </w:p>
        </w:tc>
        <w:tc>
          <w:tcPr>
            <w:tcW w:w="688" w:type="pct"/>
            <w:tcBorders>
              <w:top w:val="single" w:color="auto" w:sz="4" w:space="0"/>
              <w:left w:val="single" w:color="auto" w:sz="4" w:space="0"/>
              <w:bottom w:val="single" w:color="auto" w:sz="4" w:space="0"/>
              <w:right w:val="single" w:color="auto" w:sz="4" w:space="0"/>
              <w:tl2br w:val="nil"/>
              <w:tr2bl w:val="nil"/>
            </w:tcBorders>
            <w:noWrap w:val="0"/>
            <w:vAlign w:val="top"/>
          </w:tcPr>
          <w:p w14:paraId="2E54B6FE">
            <w:pPr>
              <w:pStyle w:val="20"/>
              <w:spacing w:line="360" w:lineRule="auto"/>
              <w:ind w:left="1413" w:leftChars="257" w:hanging="539"/>
              <w:rPr>
                <w:rFonts w:hint="eastAsia" w:ascii="宋体" w:hAnsi="宋体" w:eastAsia="宋体" w:cs="宋体"/>
                <w:color w:val="auto"/>
                <w:sz w:val="24"/>
                <w:szCs w:val="24"/>
                <w:highlight w:val="none"/>
              </w:rPr>
            </w:pPr>
          </w:p>
        </w:tc>
      </w:tr>
      <w:bookmarkEnd w:id="417"/>
    </w:tbl>
    <w:p w14:paraId="290807C9">
      <w:pPr>
        <w:pStyle w:val="20"/>
        <w:spacing w:line="360" w:lineRule="auto"/>
        <w:ind w:left="1413" w:leftChars="257" w:hanging="539"/>
        <w:rPr>
          <w:rFonts w:hint="eastAsia" w:ascii="宋体" w:hAnsi="宋体" w:eastAsia="宋体" w:cs="宋体"/>
          <w:color w:val="auto"/>
          <w:sz w:val="24"/>
          <w:szCs w:val="24"/>
          <w:highlight w:val="none"/>
        </w:rPr>
      </w:pPr>
    </w:p>
    <w:p w14:paraId="199E7BDF">
      <w:pPr>
        <w:pStyle w:val="2"/>
        <w:tabs>
          <w:tab w:val="left" w:pos="3240"/>
          <w:tab w:val="left" w:pos="3535"/>
          <w:tab w:val="left" w:pos="4921"/>
          <w:tab w:val="left" w:pos="8620"/>
        </w:tabs>
        <w:spacing w:line="360" w:lineRule="auto"/>
        <w:ind w:right="0"/>
        <w:jc w:val="righ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投标人名称：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lang w:eastAsia="zh-CN"/>
        </w:rPr>
        <w:t>（盖章</w:t>
      </w:r>
      <w:r>
        <w:rPr>
          <w:rFonts w:hint="eastAsia" w:ascii="宋体" w:hAnsi="宋体" w:eastAsia="宋体" w:cs="宋体"/>
          <w:color w:val="auto"/>
          <w:sz w:val="24"/>
          <w:szCs w:val="24"/>
          <w:highlight w:val="none"/>
          <w:u w:val="single"/>
        </w:rPr>
        <w:t>）</w:t>
      </w:r>
    </w:p>
    <w:p w14:paraId="7279F755">
      <w:pPr>
        <w:pStyle w:val="2"/>
        <w:tabs>
          <w:tab w:val="left" w:pos="3240"/>
          <w:tab w:val="left" w:pos="4921"/>
          <w:tab w:val="left" w:pos="8620"/>
        </w:tabs>
        <w:spacing w:line="360" w:lineRule="auto"/>
        <w:ind w:right="-314"/>
        <w:jc w:val="righ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法人代表或其授权人：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（签字或盖章）</w:t>
      </w:r>
    </w:p>
    <w:p w14:paraId="1710C99F">
      <w:pPr>
        <w:pStyle w:val="56"/>
        <w:spacing w:line="360" w:lineRule="auto"/>
        <w:jc w:val="righ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日</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z w:val="24"/>
          <w:szCs w:val="24"/>
          <w:highlight w:val="none"/>
        </w:rPr>
        <w:t>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p>
    <w:p w14:paraId="5B9D7551">
      <w:pPr>
        <w:pStyle w:val="56"/>
        <w:spacing w:line="360" w:lineRule="auto"/>
        <w:ind w:left="5250"/>
        <w:rPr>
          <w:rFonts w:hint="eastAsia" w:ascii="宋体" w:hAnsi="宋体" w:eastAsia="宋体" w:cs="宋体"/>
          <w:color w:val="auto"/>
          <w:sz w:val="24"/>
          <w:szCs w:val="24"/>
          <w:highlight w:val="none"/>
        </w:rPr>
        <w:sectPr>
          <w:pgSz w:w="11905" w:h="16838"/>
          <w:pgMar w:top="1247" w:right="1423" w:bottom="1247" w:left="1423" w:header="0" w:footer="907" w:gutter="0"/>
          <w:lnNumType w:countBy="0" w:distance="360"/>
          <w:pgNumType w:fmt="decimal"/>
          <w:cols w:space="0" w:num="1"/>
          <w:rtlGutter w:val="0"/>
          <w:docGrid w:linePitch="312" w:charSpace="0"/>
        </w:sectPr>
      </w:pPr>
    </w:p>
    <w:p w14:paraId="304DCC92">
      <w:pPr>
        <w:spacing w:line="360" w:lineRule="auto"/>
        <w:rPr>
          <w:rFonts w:hint="eastAsia"/>
          <w:b/>
          <w:bCs/>
          <w:sz w:val="24"/>
          <w:highlight w:val="none"/>
        </w:rPr>
      </w:pPr>
      <w:bookmarkStart w:id="418" w:name="_Toc5972"/>
      <w:bookmarkStart w:id="419" w:name="_Toc29754"/>
      <w:bookmarkStart w:id="420" w:name="_Toc216582817"/>
      <w:bookmarkStart w:id="421" w:name="_Toc32182"/>
      <w:bookmarkStart w:id="422" w:name="_Toc507399533"/>
      <w:r>
        <w:rPr>
          <w:rFonts w:hint="eastAsia"/>
          <w:b/>
          <w:bCs/>
          <w:sz w:val="24"/>
          <w:highlight w:val="none"/>
        </w:rPr>
        <w:t>附件</w:t>
      </w:r>
      <w:r>
        <w:rPr>
          <w:rFonts w:hint="eastAsia"/>
          <w:b/>
          <w:bCs/>
          <w:sz w:val="24"/>
          <w:highlight w:val="none"/>
          <w:lang w:val="en-US" w:eastAsia="zh-CN"/>
        </w:rPr>
        <w:t>6 商务条款</w:t>
      </w:r>
      <w:r>
        <w:rPr>
          <w:rFonts w:hint="eastAsia"/>
          <w:b/>
          <w:bCs/>
          <w:sz w:val="24"/>
          <w:highlight w:val="none"/>
        </w:rPr>
        <w:t>偏离表</w:t>
      </w:r>
      <w:bookmarkEnd w:id="418"/>
      <w:bookmarkEnd w:id="419"/>
      <w:bookmarkEnd w:id="420"/>
      <w:bookmarkEnd w:id="421"/>
      <w:bookmarkEnd w:id="422"/>
    </w:p>
    <w:p w14:paraId="5BDAE8BE">
      <w:pPr>
        <w:pStyle w:val="2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项目名称:</w:t>
      </w:r>
      <w:r>
        <w:rPr>
          <w:rFonts w:hint="eastAsia"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项目</w:t>
      </w:r>
      <w:r>
        <w:rPr>
          <w:rFonts w:hint="eastAsia" w:ascii="宋体" w:hAnsi="宋体" w:eastAsia="宋体" w:cs="宋体"/>
          <w:color w:val="auto"/>
          <w:sz w:val="24"/>
          <w:szCs w:val="24"/>
          <w:highlight w:val="none"/>
          <w:lang w:val="en-US" w:eastAsia="zh-CN"/>
        </w:rPr>
        <w:t>编号：</w:t>
      </w:r>
    </w:p>
    <w:tbl>
      <w:tblPr>
        <w:tblStyle w:val="35"/>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3"/>
        <w:gridCol w:w="3221"/>
        <w:gridCol w:w="2592"/>
        <w:gridCol w:w="1543"/>
        <w:gridCol w:w="1209"/>
      </w:tblGrid>
      <w:tr w14:paraId="7D1BC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379" w:type="pct"/>
            <w:tcBorders>
              <w:top w:val="single" w:color="auto" w:sz="4" w:space="0"/>
              <w:left w:val="single" w:color="auto" w:sz="4" w:space="0"/>
              <w:bottom w:val="single" w:color="auto" w:sz="4" w:space="0"/>
              <w:right w:val="single" w:color="auto" w:sz="4" w:space="0"/>
              <w:tl2br w:val="nil"/>
              <w:tr2bl w:val="nil"/>
            </w:tcBorders>
            <w:noWrap w:val="0"/>
            <w:vAlign w:val="top"/>
          </w:tcPr>
          <w:p w14:paraId="6C4433A3">
            <w:pPr>
              <w:pStyle w:val="2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73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E56536E">
            <w:pPr>
              <w:pStyle w:val="20"/>
              <w:snapToGrid/>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招标文件条款号及招标规格</w:t>
            </w:r>
          </w:p>
        </w:tc>
        <w:tc>
          <w:tcPr>
            <w:tcW w:w="139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3F68757">
            <w:pPr>
              <w:pStyle w:val="20"/>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投标</w:t>
            </w:r>
            <w:r>
              <w:rPr>
                <w:rFonts w:hint="eastAsia" w:hAnsi="宋体" w:cs="宋体"/>
                <w:color w:val="auto"/>
                <w:sz w:val="24"/>
                <w:szCs w:val="24"/>
                <w:highlight w:val="none"/>
                <w:lang w:val="en-US" w:eastAsia="zh-CN"/>
              </w:rPr>
              <w:t>文件的商务条款</w:t>
            </w:r>
          </w:p>
        </w:tc>
        <w:tc>
          <w:tcPr>
            <w:tcW w:w="83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7674BBC">
            <w:pPr>
              <w:pStyle w:val="2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偏离</w:t>
            </w:r>
            <w:r>
              <w:rPr>
                <w:rFonts w:hint="eastAsia" w:hAnsi="宋体" w:cs="宋体"/>
                <w:color w:val="auto"/>
                <w:sz w:val="24"/>
                <w:szCs w:val="24"/>
                <w:highlight w:val="none"/>
                <w:lang w:val="en-US" w:eastAsia="zh-CN"/>
              </w:rPr>
              <w:t>情况</w:t>
            </w:r>
          </w:p>
        </w:tc>
        <w:tc>
          <w:tcPr>
            <w:tcW w:w="65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E8422D8">
            <w:pPr>
              <w:pStyle w:val="20"/>
              <w:spacing w:line="360" w:lineRule="auto"/>
              <w:jc w:val="center"/>
              <w:rPr>
                <w:rFonts w:hint="eastAsia"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说明</w:t>
            </w:r>
          </w:p>
        </w:tc>
      </w:tr>
      <w:tr w14:paraId="24406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379" w:type="pct"/>
            <w:tcBorders>
              <w:top w:val="single" w:color="auto" w:sz="4" w:space="0"/>
              <w:left w:val="single" w:color="auto" w:sz="4" w:space="0"/>
              <w:bottom w:val="single" w:color="auto" w:sz="4" w:space="0"/>
              <w:right w:val="single" w:color="auto" w:sz="4" w:space="0"/>
              <w:tl2br w:val="nil"/>
              <w:tr2bl w:val="nil"/>
            </w:tcBorders>
            <w:noWrap w:val="0"/>
            <w:vAlign w:val="top"/>
          </w:tcPr>
          <w:p w14:paraId="6B61DEB8">
            <w:pPr>
              <w:pStyle w:val="20"/>
              <w:spacing w:line="360" w:lineRule="auto"/>
              <w:ind w:left="1413" w:leftChars="257" w:hanging="539"/>
              <w:rPr>
                <w:rFonts w:hint="eastAsia" w:ascii="宋体" w:hAnsi="宋体" w:eastAsia="宋体" w:cs="宋体"/>
                <w:color w:val="auto"/>
                <w:sz w:val="24"/>
                <w:szCs w:val="24"/>
                <w:highlight w:val="none"/>
              </w:rPr>
            </w:pPr>
          </w:p>
        </w:tc>
        <w:tc>
          <w:tcPr>
            <w:tcW w:w="1737" w:type="pct"/>
            <w:tcBorders>
              <w:top w:val="single" w:color="auto" w:sz="4" w:space="0"/>
              <w:left w:val="single" w:color="auto" w:sz="4" w:space="0"/>
              <w:bottom w:val="single" w:color="auto" w:sz="4" w:space="0"/>
              <w:right w:val="single" w:color="auto" w:sz="4" w:space="0"/>
              <w:tl2br w:val="nil"/>
              <w:tr2bl w:val="nil"/>
            </w:tcBorders>
            <w:noWrap w:val="0"/>
            <w:vAlign w:val="top"/>
          </w:tcPr>
          <w:p w14:paraId="78506962">
            <w:pPr>
              <w:pStyle w:val="20"/>
              <w:spacing w:line="360" w:lineRule="auto"/>
              <w:ind w:left="1413" w:leftChars="257" w:hanging="539"/>
              <w:rPr>
                <w:rFonts w:hint="eastAsia" w:ascii="宋体" w:hAnsi="宋体" w:eastAsia="宋体" w:cs="宋体"/>
                <w:color w:val="auto"/>
                <w:sz w:val="24"/>
                <w:szCs w:val="24"/>
                <w:highlight w:val="none"/>
              </w:rPr>
            </w:pPr>
          </w:p>
        </w:tc>
        <w:tc>
          <w:tcPr>
            <w:tcW w:w="1398" w:type="pct"/>
            <w:tcBorders>
              <w:top w:val="single" w:color="auto" w:sz="4" w:space="0"/>
              <w:left w:val="single" w:color="auto" w:sz="4" w:space="0"/>
              <w:bottom w:val="single" w:color="auto" w:sz="4" w:space="0"/>
              <w:right w:val="single" w:color="auto" w:sz="4" w:space="0"/>
              <w:tl2br w:val="nil"/>
              <w:tr2bl w:val="nil"/>
            </w:tcBorders>
            <w:noWrap w:val="0"/>
            <w:vAlign w:val="top"/>
          </w:tcPr>
          <w:p w14:paraId="1096A680">
            <w:pPr>
              <w:pStyle w:val="20"/>
              <w:spacing w:line="360" w:lineRule="auto"/>
              <w:ind w:left="1413" w:leftChars="257" w:hanging="539"/>
              <w:rPr>
                <w:rFonts w:hint="eastAsia" w:ascii="宋体" w:hAnsi="宋体" w:eastAsia="宋体" w:cs="宋体"/>
                <w:color w:val="auto"/>
                <w:sz w:val="24"/>
                <w:szCs w:val="24"/>
                <w:highlight w:val="none"/>
              </w:rPr>
            </w:pPr>
          </w:p>
        </w:tc>
        <w:tc>
          <w:tcPr>
            <w:tcW w:w="832" w:type="pct"/>
            <w:tcBorders>
              <w:top w:val="single" w:color="auto" w:sz="4" w:space="0"/>
              <w:left w:val="single" w:color="auto" w:sz="4" w:space="0"/>
              <w:bottom w:val="single" w:color="auto" w:sz="4" w:space="0"/>
              <w:right w:val="single" w:color="auto" w:sz="4" w:space="0"/>
              <w:tl2br w:val="nil"/>
              <w:tr2bl w:val="nil"/>
            </w:tcBorders>
            <w:noWrap w:val="0"/>
            <w:vAlign w:val="top"/>
          </w:tcPr>
          <w:p w14:paraId="13C75756">
            <w:pPr>
              <w:pStyle w:val="20"/>
              <w:spacing w:line="360" w:lineRule="auto"/>
              <w:ind w:left="1413" w:leftChars="257" w:hanging="539"/>
              <w:rPr>
                <w:rFonts w:hint="eastAsia" w:ascii="宋体" w:hAnsi="宋体" w:eastAsia="宋体" w:cs="宋体"/>
                <w:color w:val="auto"/>
                <w:sz w:val="24"/>
                <w:szCs w:val="24"/>
                <w:highlight w:val="none"/>
              </w:rPr>
            </w:pPr>
          </w:p>
        </w:tc>
        <w:tc>
          <w:tcPr>
            <w:tcW w:w="652" w:type="pct"/>
            <w:tcBorders>
              <w:top w:val="single" w:color="auto" w:sz="4" w:space="0"/>
              <w:left w:val="single" w:color="auto" w:sz="4" w:space="0"/>
              <w:bottom w:val="single" w:color="auto" w:sz="4" w:space="0"/>
              <w:right w:val="single" w:color="auto" w:sz="4" w:space="0"/>
              <w:tl2br w:val="nil"/>
              <w:tr2bl w:val="nil"/>
            </w:tcBorders>
            <w:noWrap w:val="0"/>
            <w:vAlign w:val="top"/>
          </w:tcPr>
          <w:p w14:paraId="08DE1AB5">
            <w:pPr>
              <w:pStyle w:val="20"/>
              <w:spacing w:line="360" w:lineRule="auto"/>
              <w:ind w:left="1413" w:leftChars="257" w:hanging="539"/>
              <w:rPr>
                <w:rFonts w:hint="eastAsia" w:ascii="宋体" w:hAnsi="宋体" w:eastAsia="宋体" w:cs="宋体"/>
                <w:color w:val="auto"/>
                <w:sz w:val="24"/>
                <w:szCs w:val="24"/>
                <w:highlight w:val="none"/>
              </w:rPr>
            </w:pPr>
          </w:p>
        </w:tc>
      </w:tr>
      <w:tr w14:paraId="614E0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379" w:type="pct"/>
            <w:tcBorders>
              <w:top w:val="single" w:color="auto" w:sz="4" w:space="0"/>
              <w:left w:val="single" w:color="auto" w:sz="4" w:space="0"/>
              <w:bottom w:val="single" w:color="auto" w:sz="4" w:space="0"/>
              <w:right w:val="single" w:color="auto" w:sz="4" w:space="0"/>
              <w:tl2br w:val="nil"/>
              <w:tr2bl w:val="nil"/>
            </w:tcBorders>
            <w:noWrap w:val="0"/>
            <w:vAlign w:val="top"/>
          </w:tcPr>
          <w:p w14:paraId="2B79FD0B">
            <w:pPr>
              <w:pStyle w:val="20"/>
              <w:spacing w:line="360" w:lineRule="auto"/>
              <w:ind w:left="1413" w:leftChars="257" w:hanging="539"/>
              <w:rPr>
                <w:rFonts w:hint="eastAsia" w:ascii="宋体" w:hAnsi="宋体" w:eastAsia="宋体" w:cs="宋体"/>
                <w:color w:val="auto"/>
                <w:sz w:val="24"/>
                <w:szCs w:val="24"/>
                <w:highlight w:val="none"/>
              </w:rPr>
            </w:pPr>
          </w:p>
        </w:tc>
        <w:tc>
          <w:tcPr>
            <w:tcW w:w="1737" w:type="pct"/>
            <w:tcBorders>
              <w:top w:val="single" w:color="auto" w:sz="4" w:space="0"/>
              <w:left w:val="single" w:color="auto" w:sz="4" w:space="0"/>
              <w:bottom w:val="single" w:color="auto" w:sz="4" w:space="0"/>
              <w:right w:val="single" w:color="auto" w:sz="4" w:space="0"/>
              <w:tl2br w:val="nil"/>
              <w:tr2bl w:val="nil"/>
            </w:tcBorders>
            <w:noWrap w:val="0"/>
            <w:vAlign w:val="top"/>
          </w:tcPr>
          <w:p w14:paraId="67BF2237">
            <w:pPr>
              <w:pStyle w:val="20"/>
              <w:spacing w:line="360" w:lineRule="auto"/>
              <w:ind w:left="1413" w:leftChars="257" w:hanging="539"/>
              <w:rPr>
                <w:rFonts w:hint="eastAsia" w:ascii="宋体" w:hAnsi="宋体" w:eastAsia="宋体" w:cs="宋体"/>
                <w:color w:val="auto"/>
                <w:sz w:val="24"/>
                <w:szCs w:val="24"/>
                <w:highlight w:val="none"/>
              </w:rPr>
            </w:pPr>
          </w:p>
        </w:tc>
        <w:tc>
          <w:tcPr>
            <w:tcW w:w="1398" w:type="pct"/>
            <w:tcBorders>
              <w:top w:val="single" w:color="auto" w:sz="4" w:space="0"/>
              <w:left w:val="single" w:color="auto" w:sz="4" w:space="0"/>
              <w:bottom w:val="single" w:color="auto" w:sz="4" w:space="0"/>
              <w:right w:val="single" w:color="auto" w:sz="4" w:space="0"/>
              <w:tl2br w:val="nil"/>
              <w:tr2bl w:val="nil"/>
            </w:tcBorders>
            <w:noWrap w:val="0"/>
            <w:vAlign w:val="top"/>
          </w:tcPr>
          <w:p w14:paraId="76CDDBE1">
            <w:pPr>
              <w:pStyle w:val="20"/>
              <w:spacing w:line="360" w:lineRule="auto"/>
              <w:ind w:left="1413" w:leftChars="257" w:hanging="539"/>
              <w:rPr>
                <w:rFonts w:hint="eastAsia" w:ascii="宋体" w:hAnsi="宋体" w:eastAsia="宋体" w:cs="宋体"/>
                <w:color w:val="auto"/>
                <w:sz w:val="24"/>
                <w:szCs w:val="24"/>
                <w:highlight w:val="none"/>
              </w:rPr>
            </w:pPr>
          </w:p>
        </w:tc>
        <w:tc>
          <w:tcPr>
            <w:tcW w:w="832" w:type="pct"/>
            <w:tcBorders>
              <w:top w:val="single" w:color="auto" w:sz="4" w:space="0"/>
              <w:left w:val="single" w:color="auto" w:sz="4" w:space="0"/>
              <w:bottom w:val="single" w:color="auto" w:sz="4" w:space="0"/>
              <w:right w:val="single" w:color="auto" w:sz="4" w:space="0"/>
              <w:tl2br w:val="nil"/>
              <w:tr2bl w:val="nil"/>
            </w:tcBorders>
            <w:noWrap w:val="0"/>
            <w:vAlign w:val="top"/>
          </w:tcPr>
          <w:p w14:paraId="051F3EFD">
            <w:pPr>
              <w:pStyle w:val="20"/>
              <w:spacing w:line="360" w:lineRule="auto"/>
              <w:ind w:left="1413" w:leftChars="257" w:hanging="539"/>
              <w:rPr>
                <w:rFonts w:hint="eastAsia" w:ascii="宋体" w:hAnsi="宋体" w:eastAsia="宋体" w:cs="宋体"/>
                <w:color w:val="auto"/>
                <w:sz w:val="24"/>
                <w:szCs w:val="24"/>
                <w:highlight w:val="none"/>
              </w:rPr>
            </w:pPr>
          </w:p>
        </w:tc>
        <w:tc>
          <w:tcPr>
            <w:tcW w:w="652" w:type="pct"/>
            <w:tcBorders>
              <w:top w:val="single" w:color="auto" w:sz="4" w:space="0"/>
              <w:left w:val="single" w:color="auto" w:sz="4" w:space="0"/>
              <w:bottom w:val="single" w:color="auto" w:sz="4" w:space="0"/>
              <w:right w:val="single" w:color="auto" w:sz="4" w:space="0"/>
              <w:tl2br w:val="nil"/>
              <w:tr2bl w:val="nil"/>
            </w:tcBorders>
            <w:noWrap w:val="0"/>
            <w:vAlign w:val="top"/>
          </w:tcPr>
          <w:p w14:paraId="106E4A2A">
            <w:pPr>
              <w:pStyle w:val="20"/>
              <w:spacing w:line="360" w:lineRule="auto"/>
              <w:ind w:left="1413" w:leftChars="257" w:hanging="539"/>
              <w:rPr>
                <w:rFonts w:hint="eastAsia" w:ascii="宋体" w:hAnsi="宋体" w:eastAsia="宋体" w:cs="宋体"/>
                <w:color w:val="auto"/>
                <w:sz w:val="24"/>
                <w:szCs w:val="24"/>
                <w:highlight w:val="none"/>
              </w:rPr>
            </w:pPr>
          </w:p>
        </w:tc>
      </w:tr>
      <w:tr w14:paraId="10291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379" w:type="pct"/>
            <w:tcBorders>
              <w:top w:val="single" w:color="auto" w:sz="4" w:space="0"/>
              <w:left w:val="single" w:color="auto" w:sz="4" w:space="0"/>
              <w:bottom w:val="single" w:color="auto" w:sz="4" w:space="0"/>
              <w:right w:val="single" w:color="auto" w:sz="4" w:space="0"/>
              <w:tl2br w:val="nil"/>
              <w:tr2bl w:val="nil"/>
            </w:tcBorders>
            <w:noWrap w:val="0"/>
            <w:vAlign w:val="top"/>
          </w:tcPr>
          <w:p w14:paraId="7ED2B9EE">
            <w:pPr>
              <w:pStyle w:val="20"/>
              <w:spacing w:line="360" w:lineRule="auto"/>
              <w:ind w:left="1413" w:leftChars="257" w:hanging="539"/>
              <w:rPr>
                <w:rFonts w:hint="eastAsia" w:ascii="宋体" w:hAnsi="宋体" w:eastAsia="宋体" w:cs="宋体"/>
                <w:color w:val="auto"/>
                <w:sz w:val="24"/>
                <w:szCs w:val="24"/>
                <w:highlight w:val="none"/>
              </w:rPr>
            </w:pPr>
          </w:p>
        </w:tc>
        <w:tc>
          <w:tcPr>
            <w:tcW w:w="1737" w:type="pct"/>
            <w:tcBorders>
              <w:top w:val="single" w:color="auto" w:sz="4" w:space="0"/>
              <w:left w:val="single" w:color="auto" w:sz="4" w:space="0"/>
              <w:bottom w:val="single" w:color="auto" w:sz="4" w:space="0"/>
              <w:right w:val="single" w:color="auto" w:sz="4" w:space="0"/>
              <w:tl2br w:val="nil"/>
              <w:tr2bl w:val="nil"/>
            </w:tcBorders>
            <w:noWrap w:val="0"/>
            <w:vAlign w:val="top"/>
          </w:tcPr>
          <w:p w14:paraId="0034A6FD">
            <w:pPr>
              <w:pStyle w:val="20"/>
              <w:spacing w:line="360" w:lineRule="auto"/>
              <w:ind w:left="1413" w:leftChars="257" w:hanging="539"/>
              <w:rPr>
                <w:rFonts w:hint="eastAsia" w:ascii="宋体" w:hAnsi="宋体" w:eastAsia="宋体" w:cs="宋体"/>
                <w:color w:val="auto"/>
                <w:sz w:val="24"/>
                <w:szCs w:val="24"/>
                <w:highlight w:val="none"/>
              </w:rPr>
            </w:pPr>
          </w:p>
        </w:tc>
        <w:tc>
          <w:tcPr>
            <w:tcW w:w="1398" w:type="pct"/>
            <w:tcBorders>
              <w:top w:val="single" w:color="auto" w:sz="4" w:space="0"/>
              <w:left w:val="single" w:color="auto" w:sz="4" w:space="0"/>
              <w:bottom w:val="single" w:color="auto" w:sz="4" w:space="0"/>
              <w:right w:val="single" w:color="auto" w:sz="4" w:space="0"/>
              <w:tl2br w:val="nil"/>
              <w:tr2bl w:val="nil"/>
            </w:tcBorders>
            <w:noWrap w:val="0"/>
            <w:vAlign w:val="top"/>
          </w:tcPr>
          <w:p w14:paraId="3259C567">
            <w:pPr>
              <w:pStyle w:val="20"/>
              <w:spacing w:line="360" w:lineRule="auto"/>
              <w:ind w:left="1413" w:leftChars="257" w:hanging="539"/>
              <w:rPr>
                <w:rFonts w:hint="eastAsia" w:ascii="宋体" w:hAnsi="宋体" w:eastAsia="宋体" w:cs="宋体"/>
                <w:color w:val="auto"/>
                <w:sz w:val="24"/>
                <w:szCs w:val="24"/>
                <w:highlight w:val="none"/>
              </w:rPr>
            </w:pPr>
          </w:p>
        </w:tc>
        <w:tc>
          <w:tcPr>
            <w:tcW w:w="832" w:type="pct"/>
            <w:tcBorders>
              <w:top w:val="single" w:color="auto" w:sz="4" w:space="0"/>
              <w:left w:val="single" w:color="auto" w:sz="4" w:space="0"/>
              <w:bottom w:val="single" w:color="auto" w:sz="4" w:space="0"/>
              <w:right w:val="single" w:color="auto" w:sz="4" w:space="0"/>
              <w:tl2br w:val="nil"/>
              <w:tr2bl w:val="nil"/>
            </w:tcBorders>
            <w:noWrap w:val="0"/>
            <w:vAlign w:val="top"/>
          </w:tcPr>
          <w:p w14:paraId="350FA49A">
            <w:pPr>
              <w:pStyle w:val="20"/>
              <w:spacing w:line="360" w:lineRule="auto"/>
              <w:ind w:left="1413" w:leftChars="257" w:hanging="539"/>
              <w:rPr>
                <w:rFonts w:hint="eastAsia" w:ascii="宋体" w:hAnsi="宋体" w:eastAsia="宋体" w:cs="宋体"/>
                <w:color w:val="auto"/>
                <w:sz w:val="24"/>
                <w:szCs w:val="24"/>
                <w:highlight w:val="none"/>
              </w:rPr>
            </w:pPr>
          </w:p>
        </w:tc>
        <w:tc>
          <w:tcPr>
            <w:tcW w:w="652" w:type="pct"/>
            <w:tcBorders>
              <w:top w:val="single" w:color="auto" w:sz="4" w:space="0"/>
              <w:left w:val="single" w:color="auto" w:sz="4" w:space="0"/>
              <w:bottom w:val="single" w:color="auto" w:sz="4" w:space="0"/>
              <w:right w:val="single" w:color="auto" w:sz="4" w:space="0"/>
              <w:tl2br w:val="nil"/>
              <w:tr2bl w:val="nil"/>
            </w:tcBorders>
            <w:noWrap w:val="0"/>
            <w:vAlign w:val="top"/>
          </w:tcPr>
          <w:p w14:paraId="41178F1A">
            <w:pPr>
              <w:pStyle w:val="20"/>
              <w:spacing w:line="360" w:lineRule="auto"/>
              <w:ind w:left="1413" w:leftChars="257" w:hanging="539"/>
              <w:rPr>
                <w:rFonts w:hint="eastAsia" w:ascii="宋体" w:hAnsi="宋体" w:eastAsia="宋体" w:cs="宋体"/>
                <w:color w:val="auto"/>
                <w:sz w:val="24"/>
                <w:szCs w:val="24"/>
                <w:highlight w:val="none"/>
              </w:rPr>
            </w:pPr>
          </w:p>
        </w:tc>
      </w:tr>
      <w:tr w14:paraId="49863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379" w:type="pct"/>
            <w:tcBorders>
              <w:top w:val="single" w:color="auto" w:sz="4" w:space="0"/>
              <w:left w:val="single" w:color="auto" w:sz="4" w:space="0"/>
              <w:bottom w:val="single" w:color="auto" w:sz="4" w:space="0"/>
              <w:right w:val="single" w:color="auto" w:sz="4" w:space="0"/>
              <w:tl2br w:val="nil"/>
              <w:tr2bl w:val="nil"/>
            </w:tcBorders>
            <w:noWrap w:val="0"/>
            <w:vAlign w:val="top"/>
          </w:tcPr>
          <w:p w14:paraId="6B5ADF82">
            <w:pPr>
              <w:pStyle w:val="20"/>
              <w:spacing w:line="360" w:lineRule="auto"/>
              <w:ind w:left="1413" w:leftChars="257" w:hanging="539"/>
              <w:rPr>
                <w:rFonts w:hint="eastAsia" w:ascii="宋体" w:hAnsi="宋体" w:eastAsia="宋体" w:cs="宋体"/>
                <w:color w:val="auto"/>
                <w:sz w:val="24"/>
                <w:szCs w:val="24"/>
                <w:highlight w:val="none"/>
              </w:rPr>
            </w:pPr>
          </w:p>
        </w:tc>
        <w:tc>
          <w:tcPr>
            <w:tcW w:w="1737" w:type="pct"/>
            <w:tcBorders>
              <w:top w:val="single" w:color="auto" w:sz="4" w:space="0"/>
              <w:left w:val="single" w:color="auto" w:sz="4" w:space="0"/>
              <w:bottom w:val="single" w:color="auto" w:sz="4" w:space="0"/>
              <w:right w:val="single" w:color="auto" w:sz="4" w:space="0"/>
              <w:tl2br w:val="nil"/>
              <w:tr2bl w:val="nil"/>
            </w:tcBorders>
            <w:noWrap w:val="0"/>
            <w:vAlign w:val="top"/>
          </w:tcPr>
          <w:p w14:paraId="62C50602">
            <w:pPr>
              <w:pStyle w:val="20"/>
              <w:spacing w:line="360" w:lineRule="auto"/>
              <w:ind w:left="1413" w:leftChars="257" w:hanging="539"/>
              <w:rPr>
                <w:rFonts w:hint="eastAsia" w:ascii="宋体" w:hAnsi="宋体" w:eastAsia="宋体" w:cs="宋体"/>
                <w:color w:val="auto"/>
                <w:sz w:val="24"/>
                <w:szCs w:val="24"/>
                <w:highlight w:val="none"/>
              </w:rPr>
            </w:pPr>
          </w:p>
        </w:tc>
        <w:tc>
          <w:tcPr>
            <w:tcW w:w="1398" w:type="pct"/>
            <w:tcBorders>
              <w:top w:val="single" w:color="auto" w:sz="4" w:space="0"/>
              <w:left w:val="single" w:color="auto" w:sz="4" w:space="0"/>
              <w:bottom w:val="single" w:color="auto" w:sz="4" w:space="0"/>
              <w:right w:val="single" w:color="auto" w:sz="4" w:space="0"/>
              <w:tl2br w:val="nil"/>
              <w:tr2bl w:val="nil"/>
            </w:tcBorders>
            <w:noWrap w:val="0"/>
            <w:vAlign w:val="top"/>
          </w:tcPr>
          <w:p w14:paraId="4BB2DBFA">
            <w:pPr>
              <w:pStyle w:val="20"/>
              <w:spacing w:line="360" w:lineRule="auto"/>
              <w:ind w:left="1413" w:leftChars="257" w:hanging="539"/>
              <w:rPr>
                <w:rFonts w:hint="eastAsia" w:ascii="宋体" w:hAnsi="宋体" w:eastAsia="宋体" w:cs="宋体"/>
                <w:color w:val="auto"/>
                <w:sz w:val="24"/>
                <w:szCs w:val="24"/>
                <w:highlight w:val="none"/>
              </w:rPr>
            </w:pPr>
          </w:p>
        </w:tc>
        <w:tc>
          <w:tcPr>
            <w:tcW w:w="832" w:type="pct"/>
            <w:tcBorders>
              <w:top w:val="single" w:color="auto" w:sz="4" w:space="0"/>
              <w:left w:val="single" w:color="auto" w:sz="4" w:space="0"/>
              <w:bottom w:val="single" w:color="auto" w:sz="4" w:space="0"/>
              <w:right w:val="single" w:color="auto" w:sz="4" w:space="0"/>
              <w:tl2br w:val="nil"/>
              <w:tr2bl w:val="nil"/>
            </w:tcBorders>
            <w:noWrap w:val="0"/>
            <w:vAlign w:val="top"/>
          </w:tcPr>
          <w:p w14:paraId="50BE63C5">
            <w:pPr>
              <w:pStyle w:val="20"/>
              <w:spacing w:line="360" w:lineRule="auto"/>
              <w:ind w:left="1413" w:leftChars="257" w:hanging="539"/>
              <w:rPr>
                <w:rFonts w:hint="eastAsia" w:ascii="宋体" w:hAnsi="宋体" w:eastAsia="宋体" w:cs="宋体"/>
                <w:color w:val="auto"/>
                <w:sz w:val="24"/>
                <w:szCs w:val="24"/>
                <w:highlight w:val="none"/>
              </w:rPr>
            </w:pPr>
          </w:p>
        </w:tc>
        <w:tc>
          <w:tcPr>
            <w:tcW w:w="652" w:type="pct"/>
            <w:tcBorders>
              <w:top w:val="single" w:color="auto" w:sz="4" w:space="0"/>
              <w:left w:val="single" w:color="auto" w:sz="4" w:space="0"/>
              <w:bottom w:val="single" w:color="auto" w:sz="4" w:space="0"/>
              <w:right w:val="single" w:color="auto" w:sz="4" w:space="0"/>
              <w:tl2br w:val="nil"/>
              <w:tr2bl w:val="nil"/>
            </w:tcBorders>
            <w:noWrap w:val="0"/>
            <w:vAlign w:val="top"/>
          </w:tcPr>
          <w:p w14:paraId="10464E66">
            <w:pPr>
              <w:pStyle w:val="20"/>
              <w:spacing w:line="360" w:lineRule="auto"/>
              <w:ind w:left="1413" w:leftChars="257" w:hanging="539"/>
              <w:rPr>
                <w:rFonts w:hint="eastAsia" w:ascii="宋体" w:hAnsi="宋体" w:eastAsia="宋体" w:cs="宋体"/>
                <w:color w:val="auto"/>
                <w:sz w:val="24"/>
                <w:szCs w:val="24"/>
                <w:highlight w:val="none"/>
              </w:rPr>
            </w:pPr>
          </w:p>
        </w:tc>
      </w:tr>
      <w:tr w14:paraId="7CBE1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379" w:type="pct"/>
            <w:tcBorders>
              <w:top w:val="single" w:color="auto" w:sz="4" w:space="0"/>
              <w:left w:val="single" w:color="auto" w:sz="4" w:space="0"/>
              <w:bottom w:val="single" w:color="auto" w:sz="4" w:space="0"/>
              <w:right w:val="single" w:color="auto" w:sz="4" w:space="0"/>
              <w:tl2br w:val="nil"/>
              <w:tr2bl w:val="nil"/>
            </w:tcBorders>
            <w:noWrap w:val="0"/>
            <w:vAlign w:val="top"/>
          </w:tcPr>
          <w:p w14:paraId="7488C18D">
            <w:pPr>
              <w:pStyle w:val="20"/>
              <w:spacing w:line="360" w:lineRule="auto"/>
              <w:ind w:left="1413" w:leftChars="257" w:hanging="539"/>
              <w:rPr>
                <w:rFonts w:hint="eastAsia" w:ascii="宋体" w:hAnsi="宋体" w:eastAsia="宋体" w:cs="宋体"/>
                <w:color w:val="auto"/>
                <w:sz w:val="24"/>
                <w:szCs w:val="24"/>
                <w:highlight w:val="none"/>
              </w:rPr>
            </w:pPr>
          </w:p>
        </w:tc>
        <w:tc>
          <w:tcPr>
            <w:tcW w:w="1737" w:type="pct"/>
            <w:tcBorders>
              <w:top w:val="single" w:color="auto" w:sz="4" w:space="0"/>
              <w:left w:val="single" w:color="auto" w:sz="4" w:space="0"/>
              <w:bottom w:val="single" w:color="auto" w:sz="4" w:space="0"/>
              <w:right w:val="single" w:color="auto" w:sz="4" w:space="0"/>
              <w:tl2br w:val="nil"/>
              <w:tr2bl w:val="nil"/>
            </w:tcBorders>
            <w:noWrap w:val="0"/>
            <w:vAlign w:val="top"/>
          </w:tcPr>
          <w:p w14:paraId="2068198F">
            <w:pPr>
              <w:pStyle w:val="20"/>
              <w:spacing w:line="360" w:lineRule="auto"/>
              <w:ind w:left="1413" w:leftChars="257" w:hanging="539"/>
              <w:rPr>
                <w:rFonts w:hint="eastAsia" w:ascii="宋体" w:hAnsi="宋体" w:eastAsia="宋体" w:cs="宋体"/>
                <w:color w:val="auto"/>
                <w:sz w:val="24"/>
                <w:szCs w:val="24"/>
                <w:highlight w:val="none"/>
              </w:rPr>
            </w:pPr>
          </w:p>
        </w:tc>
        <w:tc>
          <w:tcPr>
            <w:tcW w:w="1398" w:type="pct"/>
            <w:tcBorders>
              <w:top w:val="single" w:color="auto" w:sz="4" w:space="0"/>
              <w:left w:val="single" w:color="auto" w:sz="4" w:space="0"/>
              <w:bottom w:val="single" w:color="auto" w:sz="4" w:space="0"/>
              <w:right w:val="single" w:color="auto" w:sz="4" w:space="0"/>
              <w:tl2br w:val="nil"/>
              <w:tr2bl w:val="nil"/>
            </w:tcBorders>
            <w:noWrap w:val="0"/>
            <w:vAlign w:val="top"/>
          </w:tcPr>
          <w:p w14:paraId="1AB34169">
            <w:pPr>
              <w:pStyle w:val="20"/>
              <w:spacing w:line="360" w:lineRule="auto"/>
              <w:ind w:left="1413" w:leftChars="257" w:hanging="539"/>
              <w:rPr>
                <w:rFonts w:hint="eastAsia" w:ascii="宋体" w:hAnsi="宋体" w:eastAsia="宋体" w:cs="宋体"/>
                <w:color w:val="auto"/>
                <w:sz w:val="24"/>
                <w:szCs w:val="24"/>
                <w:highlight w:val="none"/>
              </w:rPr>
            </w:pPr>
          </w:p>
        </w:tc>
        <w:tc>
          <w:tcPr>
            <w:tcW w:w="832" w:type="pct"/>
            <w:tcBorders>
              <w:top w:val="single" w:color="auto" w:sz="4" w:space="0"/>
              <w:left w:val="single" w:color="auto" w:sz="4" w:space="0"/>
              <w:bottom w:val="single" w:color="auto" w:sz="4" w:space="0"/>
              <w:right w:val="single" w:color="auto" w:sz="4" w:space="0"/>
              <w:tl2br w:val="nil"/>
              <w:tr2bl w:val="nil"/>
            </w:tcBorders>
            <w:noWrap w:val="0"/>
            <w:vAlign w:val="top"/>
          </w:tcPr>
          <w:p w14:paraId="1025E081">
            <w:pPr>
              <w:pStyle w:val="20"/>
              <w:spacing w:line="360" w:lineRule="auto"/>
              <w:ind w:left="1413" w:leftChars="257" w:hanging="539"/>
              <w:rPr>
                <w:rFonts w:hint="eastAsia" w:ascii="宋体" w:hAnsi="宋体" w:eastAsia="宋体" w:cs="宋体"/>
                <w:color w:val="auto"/>
                <w:sz w:val="24"/>
                <w:szCs w:val="24"/>
                <w:highlight w:val="none"/>
              </w:rPr>
            </w:pPr>
          </w:p>
        </w:tc>
        <w:tc>
          <w:tcPr>
            <w:tcW w:w="652" w:type="pct"/>
            <w:tcBorders>
              <w:top w:val="single" w:color="auto" w:sz="4" w:space="0"/>
              <w:left w:val="single" w:color="auto" w:sz="4" w:space="0"/>
              <w:bottom w:val="single" w:color="auto" w:sz="4" w:space="0"/>
              <w:right w:val="single" w:color="auto" w:sz="4" w:space="0"/>
              <w:tl2br w:val="nil"/>
              <w:tr2bl w:val="nil"/>
            </w:tcBorders>
            <w:noWrap w:val="0"/>
            <w:vAlign w:val="top"/>
          </w:tcPr>
          <w:p w14:paraId="253B71DA">
            <w:pPr>
              <w:pStyle w:val="20"/>
              <w:spacing w:line="360" w:lineRule="auto"/>
              <w:ind w:left="1413" w:leftChars="257" w:hanging="539"/>
              <w:rPr>
                <w:rFonts w:hint="eastAsia" w:ascii="宋体" w:hAnsi="宋体" w:eastAsia="宋体" w:cs="宋体"/>
                <w:color w:val="auto"/>
                <w:sz w:val="24"/>
                <w:szCs w:val="24"/>
                <w:highlight w:val="none"/>
              </w:rPr>
            </w:pPr>
          </w:p>
        </w:tc>
      </w:tr>
      <w:tr w14:paraId="5F7F2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379" w:type="pct"/>
            <w:tcBorders>
              <w:top w:val="single" w:color="auto" w:sz="4" w:space="0"/>
              <w:left w:val="single" w:color="auto" w:sz="4" w:space="0"/>
              <w:bottom w:val="single" w:color="auto" w:sz="4" w:space="0"/>
              <w:right w:val="single" w:color="auto" w:sz="4" w:space="0"/>
              <w:tl2br w:val="nil"/>
              <w:tr2bl w:val="nil"/>
            </w:tcBorders>
            <w:noWrap w:val="0"/>
            <w:vAlign w:val="top"/>
          </w:tcPr>
          <w:p w14:paraId="5B8BCD89">
            <w:pPr>
              <w:pStyle w:val="20"/>
              <w:spacing w:line="360" w:lineRule="auto"/>
              <w:ind w:left="1413" w:leftChars="257" w:hanging="539"/>
              <w:rPr>
                <w:rFonts w:hint="eastAsia" w:ascii="宋体" w:hAnsi="宋体" w:eastAsia="宋体" w:cs="宋体"/>
                <w:color w:val="auto"/>
                <w:sz w:val="24"/>
                <w:szCs w:val="24"/>
                <w:highlight w:val="none"/>
              </w:rPr>
            </w:pPr>
          </w:p>
        </w:tc>
        <w:tc>
          <w:tcPr>
            <w:tcW w:w="1737" w:type="pct"/>
            <w:tcBorders>
              <w:top w:val="single" w:color="auto" w:sz="4" w:space="0"/>
              <w:left w:val="single" w:color="auto" w:sz="4" w:space="0"/>
              <w:bottom w:val="single" w:color="auto" w:sz="4" w:space="0"/>
              <w:right w:val="single" w:color="auto" w:sz="4" w:space="0"/>
              <w:tl2br w:val="nil"/>
              <w:tr2bl w:val="nil"/>
            </w:tcBorders>
            <w:noWrap w:val="0"/>
            <w:vAlign w:val="top"/>
          </w:tcPr>
          <w:p w14:paraId="66F00B2C">
            <w:pPr>
              <w:pStyle w:val="20"/>
              <w:spacing w:line="360" w:lineRule="auto"/>
              <w:ind w:left="1413" w:leftChars="257" w:hanging="539"/>
              <w:rPr>
                <w:rFonts w:hint="eastAsia" w:ascii="宋体" w:hAnsi="宋体" w:eastAsia="宋体" w:cs="宋体"/>
                <w:color w:val="auto"/>
                <w:sz w:val="24"/>
                <w:szCs w:val="24"/>
                <w:highlight w:val="none"/>
              </w:rPr>
            </w:pPr>
          </w:p>
        </w:tc>
        <w:tc>
          <w:tcPr>
            <w:tcW w:w="1398" w:type="pct"/>
            <w:tcBorders>
              <w:top w:val="single" w:color="auto" w:sz="4" w:space="0"/>
              <w:left w:val="single" w:color="auto" w:sz="4" w:space="0"/>
              <w:bottom w:val="single" w:color="auto" w:sz="4" w:space="0"/>
              <w:right w:val="single" w:color="auto" w:sz="4" w:space="0"/>
              <w:tl2br w:val="nil"/>
              <w:tr2bl w:val="nil"/>
            </w:tcBorders>
            <w:noWrap w:val="0"/>
            <w:vAlign w:val="top"/>
          </w:tcPr>
          <w:p w14:paraId="00FB1465">
            <w:pPr>
              <w:pStyle w:val="20"/>
              <w:spacing w:line="360" w:lineRule="auto"/>
              <w:ind w:left="1413" w:leftChars="257" w:hanging="539"/>
              <w:rPr>
                <w:rFonts w:hint="eastAsia" w:ascii="宋体" w:hAnsi="宋体" w:eastAsia="宋体" w:cs="宋体"/>
                <w:color w:val="auto"/>
                <w:sz w:val="24"/>
                <w:szCs w:val="24"/>
                <w:highlight w:val="none"/>
              </w:rPr>
            </w:pPr>
          </w:p>
        </w:tc>
        <w:tc>
          <w:tcPr>
            <w:tcW w:w="832" w:type="pct"/>
            <w:tcBorders>
              <w:top w:val="single" w:color="auto" w:sz="4" w:space="0"/>
              <w:left w:val="single" w:color="auto" w:sz="4" w:space="0"/>
              <w:bottom w:val="single" w:color="auto" w:sz="4" w:space="0"/>
              <w:right w:val="single" w:color="auto" w:sz="4" w:space="0"/>
              <w:tl2br w:val="nil"/>
              <w:tr2bl w:val="nil"/>
            </w:tcBorders>
            <w:noWrap w:val="0"/>
            <w:vAlign w:val="top"/>
          </w:tcPr>
          <w:p w14:paraId="4CE68F62">
            <w:pPr>
              <w:pStyle w:val="20"/>
              <w:spacing w:line="360" w:lineRule="auto"/>
              <w:ind w:left="1413" w:leftChars="257" w:hanging="539"/>
              <w:rPr>
                <w:rFonts w:hint="eastAsia" w:ascii="宋体" w:hAnsi="宋体" w:eastAsia="宋体" w:cs="宋体"/>
                <w:color w:val="auto"/>
                <w:sz w:val="24"/>
                <w:szCs w:val="24"/>
                <w:highlight w:val="none"/>
              </w:rPr>
            </w:pPr>
          </w:p>
        </w:tc>
        <w:tc>
          <w:tcPr>
            <w:tcW w:w="652" w:type="pct"/>
            <w:tcBorders>
              <w:top w:val="single" w:color="auto" w:sz="4" w:space="0"/>
              <w:left w:val="single" w:color="auto" w:sz="4" w:space="0"/>
              <w:bottom w:val="single" w:color="auto" w:sz="4" w:space="0"/>
              <w:right w:val="single" w:color="auto" w:sz="4" w:space="0"/>
              <w:tl2br w:val="nil"/>
              <w:tr2bl w:val="nil"/>
            </w:tcBorders>
            <w:noWrap w:val="0"/>
            <w:vAlign w:val="top"/>
          </w:tcPr>
          <w:p w14:paraId="10F44072">
            <w:pPr>
              <w:pStyle w:val="20"/>
              <w:spacing w:line="360" w:lineRule="auto"/>
              <w:ind w:left="1413" w:leftChars="257" w:hanging="539"/>
              <w:rPr>
                <w:rFonts w:hint="eastAsia" w:ascii="宋体" w:hAnsi="宋体" w:eastAsia="宋体" w:cs="宋体"/>
                <w:color w:val="auto"/>
                <w:sz w:val="24"/>
                <w:szCs w:val="24"/>
                <w:highlight w:val="none"/>
              </w:rPr>
            </w:pPr>
          </w:p>
        </w:tc>
      </w:tr>
      <w:tr w14:paraId="6474C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379" w:type="pct"/>
            <w:tcBorders>
              <w:top w:val="single" w:color="auto" w:sz="4" w:space="0"/>
              <w:left w:val="single" w:color="auto" w:sz="4" w:space="0"/>
              <w:bottom w:val="single" w:color="auto" w:sz="4" w:space="0"/>
              <w:right w:val="single" w:color="auto" w:sz="4" w:space="0"/>
              <w:tl2br w:val="nil"/>
              <w:tr2bl w:val="nil"/>
            </w:tcBorders>
            <w:noWrap w:val="0"/>
            <w:vAlign w:val="top"/>
          </w:tcPr>
          <w:p w14:paraId="64B48A09">
            <w:pPr>
              <w:pStyle w:val="20"/>
              <w:spacing w:line="360" w:lineRule="auto"/>
              <w:ind w:left="1413" w:leftChars="257" w:hanging="539"/>
              <w:rPr>
                <w:rFonts w:hint="eastAsia" w:ascii="宋体" w:hAnsi="宋体" w:eastAsia="宋体" w:cs="宋体"/>
                <w:color w:val="auto"/>
                <w:sz w:val="24"/>
                <w:szCs w:val="24"/>
                <w:highlight w:val="none"/>
              </w:rPr>
            </w:pPr>
          </w:p>
        </w:tc>
        <w:tc>
          <w:tcPr>
            <w:tcW w:w="1737" w:type="pct"/>
            <w:tcBorders>
              <w:top w:val="single" w:color="auto" w:sz="4" w:space="0"/>
              <w:left w:val="single" w:color="auto" w:sz="4" w:space="0"/>
              <w:bottom w:val="single" w:color="auto" w:sz="4" w:space="0"/>
              <w:right w:val="single" w:color="auto" w:sz="4" w:space="0"/>
              <w:tl2br w:val="nil"/>
              <w:tr2bl w:val="nil"/>
            </w:tcBorders>
            <w:noWrap w:val="0"/>
            <w:vAlign w:val="top"/>
          </w:tcPr>
          <w:p w14:paraId="39B1A5B6">
            <w:pPr>
              <w:pStyle w:val="20"/>
              <w:spacing w:line="360" w:lineRule="auto"/>
              <w:ind w:left="1413" w:leftChars="257" w:hanging="539"/>
              <w:rPr>
                <w:rFonts w:hint="eastAsia" w:ascii="宋体" w:hAnsi="宋体" w:eastAsia="宋体" w:cs="宋体"/>
                <w:color w:val="auto"/>
                <w:sz w:val="24"/>
                <w:szCs w:val="24"/>
                <w:highlight w:val="none"/>
              </w:rPr>
            </w:pPr>
          </w:p>
        </w:tc>
        <w:tc>
          <w:tcPr>
            <w:tcW w:w="1398" w:type="pct"/>
            <w:tcBorders>
              <w:top w:val="single" w:color="auto" w:sz="4" w:space="0"/>
              <w:left w:val="single" w:color="auto" w:sz="4" w:space="0"/>
              <w:bottom w:val="single" w:color="auto" w:sz="4" w:space="0"/>
              <w:right w:val="single" w:color="auto" w:sz="4" w:space="0"/>
              <w:tl2br w:val="nil"/>
              <w:tr2bl w:val="nil"/>
            </w:tcBorders>
            <w:noWrap w:val="0"/>
            <w:vAlign w:val="top"/>
          </w:tcPr>
          <w:p w14:paraId="39B90AE4">
            <w:pPr>
              <w:pStyle w:val="20"/>
              <w:spacing w:line="360" w:lineRule="auto"/>
              <w:ind w:left="1413" w:leftChars="257" w:hanging="539"/>
              <w:rPr>
                <w:rFonts w:hint="eastAsia" w:ascii="宋体" w:hAnsi="宋体" w:eastAsia="宋体" w:cs="宋体"/>
                <w:color w:val="auto"/>
                <w:sz w:val="24"/>
                <w:szCs w:val="24"/>
                <w:highlight w:val="none"/>
              </w:rPr>
            </w:pPr>
          </w:p>
        </w:tc>
        <w:tc>
          <w:tcPr>
            <w:tcW w:w="832" w:type="pct"/>
            <w:tcBorders>
              <w:top w:val="single" w:color="auto" w:sz="4" w:space="0"/>
              <w:left w:val="single" w:color="auto" w:sz="4" w:space="0"/>
              <w:bottom w:val="single" w:color="auto" w:sz="4" w:space="0"/>
              <w:right w:val="single" w:color="auto" w:sz="4" w:space="0"/>
              <w:tl2br w:val="nil"/>
              <w:tr2bl w:val="nil"/>
            </w:tcBorders>
            <w:noWrap w:val="0"/>
            <w:vAlign w:val="top"/>
          </w:tcPr>
          <w:p w14:paraId="1FADAD7A">
            <w:pPr>
              <w:pStyle w:val="20"/>
              <w:spacing w:line="360" w:lineRule="auto"/>
              <w:ind w:left="1413" w:leftChars="257" w:hanging="539"/>
              <w:rPr>
                <w:rFonts w:hint="eastAsia" w:ascii="宋体" w:hAnsi="宋体" w:eastAsia="宋体" w:cs="宋体"/>
                <w:color w:val="auto"/>
                <w:sz w:val="24"/>
                <w:szCs w:val="24"/>
                <w:highlight w:val="none"/>
              </w:rPr>
            </w:pPr>
          </w:p>
        </w:tc>
        <w:tc>
          <w:tcPr>
            <w:tcW w:w="652" w:type="pct"/>
            <w:tcBorders>
              <w:top w:val="single" w:color="auto" w:sz="4" w:space="0"/>
              <w:left w:val="single" w:color="auto" w:sz="4" w:space="0"/>
              <w:bottom w:val="single" w:color="auto" w:sz="4" w:space="0"/>
              <w:right w:val="single" w:color="auto" w:sz="4" w:space="0"/>
              <w:tl2br w:val="nil"/>
              <w:tr2bl w:val="nil"/>
            </w:tcBorders>
            <w:noWrap w:val="0"/>
            <w:vAlign w:val="top"/>
          </w:tcPr>
          <w:p w14:paraId="47F2C36B">
            <w:pPr>
              <w:pStyle w:val="20"/>
              <w:spacing w:line="360" w:lineRule="auto"/>
              <w:ind w:left="1413" w:leftChars="257" w:hanging="539"/>
              <w:rPr>
                <w:rFonts w:hint="eastAsia" w:ascii="宋体" w:hAnsi="宋体" w:eastAsia="宋体" w:cs="宋体"/>
                <w:color w:val="auto"/>
                <w:sz w:val="24"/>
                <w:szCs w:val="24"/>
                <w:highlight w:val="none"/>
              </w:rPr>
            </w:pPr>
          </w:p>
        </w:tc>
      </w:tr>
      <w:tr w14:paraId="2CFA8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379" w:type="pct"/>
            <w:tcBorders>
              <w:top w:val="single" w:color="auto" w:sz="4" w:space="0"/>
              <w:left w:val="single" w:color="auto" w:sz="4" w:space="0"/>
              <w:bottom w:val="single" w:color="auto" w:sz="4" w:space="0"/>
              <w:right w:val="single" w:color="auto" w:sz="4" w:space="0"/>
              <w:tl2br w:val="nil"/>
              <w:tr2bl w:val="nil"/>
            </w:tcBorders>
            <w:noWrap w:val="0"/>
            <w:vAlign w:val="top"/>
          </w:tcPr>
          <w:p w14:paraId="65772BBB">
            <w:pPr>
              <w:pStyle w:val="20"/>
              <w:spacing w:line="360" w:lineRule="auto"/>
              <w:ind w:left="1413" w:leftChars="257" w:hanging="539"/>
              <w:rPr>
                <w:rFonts w:hint="eastAsia" w:ascii="宋体" w:hAnsi="宋体" w:eastAsia="宋体" w:cs="宋体"/>
                <w:color w:val="auto"/>
                <w:sz w:val="24"/>
                <w:szCs w:val="24"/>
                <w:highlight w:val="none"/>
              </w:rPr>
            </w:pPr>
          </w:p>
        </w:tc>
        <w:tc>
          <w:tcPr>
            <w:tcW w:w="1737" w:type="pct"/>
            <w:tcBorders>
              <w:top w:val="single" w:color="auto" w:sz="4" w:space="0"/>
              <w:left w:val="single" w:color="auto" w:sz="4" w:space="0"/>
              <w:bottom w:val="single" w:color="auto" w:sz="4" w:space="0"/>
              <w:right w:val="single" w:color="auto" w:sz="4" w:space="0"/>
              <w:tl2br w:val="nil"/>
              <w:tr2bl w:val="nil"/>
            </w:tcBorders>
            <w:noWrap w:val="0"/>
            <w:vAlign w:val="top"/>
          </w:tcPr>
          <w:p w14:paraId="2088CAA1">
            <w:pPr>
              <w:pStyle w:val="20"/>
              <w:spacing w:line="360" w:lineRule="auto"/>
              <w:ind w:left="1413" w:leftChars="257" w:hanging="539"/>
              <w:rPr>
                <w:rFonts w:hint="eastAsia" w:ascii="宋体" w:hAnsi="宋体" w:eastAsia="宋体" w:cs="宋体"/>
                <w:color w:val="auto"/>
                <w:sz w:val="24"/>
                <w:szCs w:val="24"/>
                <w:highlight w:val="none"/>
              </w:rPr>
            </w:pPr>
          </w:p>
        </w:tc>
        <w:tc>
          <w:tcPr>
            <w:tcW w:w="1398" w:type="pct"/>
            <w:tcBorders>
              <w:top w:val="single" w:color="auto" w:sz="4" w:space="0"/>
              <w:left w:val="single" w:color="auto" w:sz="4" w:space="0"/>
              <w:bottom w:val="single" w:color="auto" w:sz="4" w:space="0"/>
              <w:right w:val="single" w:color="auto" w:sz="4" w:space="0"/>
              <w:tl2br w:val="nil"/>
              <w:tr2bl w:val="nil"/>
            </w:tcBorders>
            <w:noWrap w:val="0"/>
            <w:vAlign w:val="top"/>
          </w:tcPr>
          <w:p w14:paraId="1F21521C">
            <w:pPr>
              <w:pStyle w:val="20"/>
              <w:spacing w:line="360" w:lineRule="auto"/>
              <w:ind w:left="1413" w:leftChars="257" w:hanging="539"/>
              <w:rPr>
                <w:rFonts w:hint="eastAsia" w:ascii="宋体" w:hAnsi="宋体" w:eastAsia="宋体" w:cs="宋体"/>
                <w:color w:val="auto"/>
                <w:sz w:val="24"/>
                <w:szCs w:val="24"/>
                <w:highlight w:val="none"/>
              </w:rPr>
            </w:pPr>
          </w:p>
        </w:tc>
        <w:tc>
          <w:tcPr>
            <w:tcW w:w="832" w:type="pct"/>
            <w:tcBorders>
              <w:top w:val="single" w:color="auto" w:sz="4" w:space="0"/>
              <w:left w:val="single" w:color="auto" w:sz="4" w:space="0"/>
              <w:bottom w:val="single" w:color="auto" w:sz="4" w:space="0"/>
              <w:right w:val="single" w:color="auto" w:sz="4" w:space="0"/>
              <w:tl2br w:val="nil"/>
              <w:tr2bl w:val="nil"/>
            </w:tcBorders>
            <w:noWrap w:val="0"/>
            <w:vAlign w:val="top"/>
          </w:tcPr>
          <w:p w14:paraId="1B175F6C">
            <w:pPr>
              <w:pStyle w:val="20"/>
              <w:spacing w:line="360" w:lineRule="auto"/>
              <w:ind w:left="1413" w:leftChars="257" w:hanging="539"/>
              <w:rPr>
                <w:rFonts w:hint="eastAsia" w:ascii="宋体" w:hAnsi="宋体" w:eastAsia="宋体" w:cs="宋体"/>
                <w:color w:val="auto"/>
                <w:sz w:val="24"/>
                <w:szCs w:val="24"/>
                <w:highlight w:val="none"/>
              </w:rPr>
            </w:pPr>
          </w:p>
        </w:tc>
        <w:tc>
          <w:tcPr>
            <w:tcW w:w="652" w:type="pct"/>
            <w:tcBorders>
              <w:top w:val="single" w:color="auto" w:sz="4" w:space="0"/>
              <w:left w:val="single" w:color="auto" w:sz="4" w:space="0"/>
              <w:bottom w:val="single" w:color="auto" w:sz="4" w:space="0"/>
              <w:right w:val="single" w:color="auto" w:sz="4" w:space="0"/>
              <w:tl2br w:val="nil"/>
              <w:tr2bl w:val="nil"/>
            </w:tcBorders>
            <w:noWrap w:val="0"/>
            <w:vAlign w:val="top"/>
          </w:tcPr>
          <w:p w14:paraId="7F6B9AC9">
            <w:pPr>
              <w:pStyle w:val="20"/>
              <w:spacing w:line="360" w:lineRule="auto"/>
              <w:ind w:left="1413" w:leftChars="257" w:hanging="539"/>
              <w:rPr>
                <w:rFonts w:hint="eastAsia" w:ascii="宋体" w:hAnsi="宋体" w:eastAsia="宋体" w:cs="宋体"/>
                <w:color w:val="auto"/>
                <w:sz w:val="24"/>
                <w:szCs w:val="24"/>
                <w:highlight w:val="none"/>
              </w:rPr>
            </w:pPr>
          </w:p>
        </w:tc>
      </w:tr>
    </w:tbl>
    <w:p w14:paraId="5094151E">
      <w:pPr>
        <w:pStyle w:val="2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0F648E8A">
      <w:pPr>
        <w:pStyle w:val="2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1.有偏离条款须在该表中逐一列明，并在“投标文件的</w:t>
      </w:r>
      <w:r>
        <w:rPr>
          <w:rFonts w:hint="eastAsia" w:ascii="宋体" w:hAnsi="宋体" w:eastAsia="宋体" w:cs="宋体"/>
          <w:color w:val="auto"/>
          <w:sz w:val="24"/>
          <w:szCs w:val="24"/>
          <w:highlight w:val="none"/>
          <w:lang w:val="en-US" w:eastAsia="zh-CN"/>
        </w:rPr>
        <w:t>商务</w:t>
      </w:r>
      <w:r>
        <w:rPr>
          <w:rFonts w:hint="eastAsia" w:ascii="宋体" w:hAnsi="宋体" w:eastAsia="宋体" w:cs="宋体"/>
          <w:color w:val="auto"/>
          <w:sz w:val="24"/>
          <w:szCs w:val="24"/>
          <w:highlight w:val="none"/>
        </w:rPr>
        <w:t>条款”栏填写具体应答内容， 在“</w:t>
      </w:r>
      <w:r>
        <w:rPr>
          <w:rFonts w:hint="eastAsia" w:hAnsi="宋体" w:cs="宋体"/>
          <w:color w:val="auto"/>
          <w:sz w:val="24"/>
          <w:szCs w:val="24"/>
          <w:highlight w:val="none"/>
          <w:lang w:val="en-US" w:eastAsia="zh-CN"/>
        </w:rPr>
        <w:t>说明</w:t>
      </w:r>
      <w:r>
        <w:rPr>
          <w:rFonts w:hint="eastAsia" w:ascii="宋体" w:hAnsi="宋体" w:eastAsia="宋体" w:cs="宋体"/>
          <w:color w:val="auto"/>
          <w:sz w:val="24"/>
          <w:szCs w:val="24"/>
          <w:highlight w:val="none"/>
        </w:rPr>
        <w:t>”中说明偏离具体情形。若无偏离请在“</w:t>
      </w:r>
      <w:r>
        <w:rPr>
          <w:rFonts w:hint="eastAsia" w:hAnsi="宋体" w:cs="宋体"/>
          <w:color w:val="auto"/>
          <w:sz w:val="24"/>
          <w:szCs w:val="24"/>
          <w:highlight w:val="none"/>
          <w:lang w:val="en-US" w:eastAsia="zh-CN"/>
        </w:rPr>
        <w:t>偏离情况</w:t>
      </w:r>
      <w:r>
        <w:rPr>
          <w:rFonts w:hint="eastAsia" w:ascii="宋体" w:hAnsi="宋体" w:eastAsia="宋体" w:cs="宋体"/>
          <w:color w:val="auto"/>
          <w:sz w:val="24"/>
          <w:szCs w:val="24"/>
          <w:highlight w:val="none"/>
        </w:rPr>
        <w:t>”中填写“无偏离”。</w:t>
      </w:r>
    </w:p>
    <w:p w14:paraId="516E1B6A">
      <w:pPr>
        <w:pStyle w:val="2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2.未声明部分将被视为已接受投标文件要求，签约时未经采购人同意不得改变。</w:t>
      </w:r>
    </w:p>
    <w:p w14:paraId="5C01A513">
      <w:pPr>
        <w:pStyle w:val="2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3.投标人可根据其投标内容进一步细化上述表格，并可增添其它表格或说明以便进一步明确投标内容。</w:t>
      </w:r>
    </w:p>
    <w:p w14:paraId="650FB4CA">
      <w:pPr>
        <w:pStyle w:val="21"/>
        <w:rPr>
          <w:rFonts w:hint="eastAsia"/>
        </w:rPr>
      </w:pPr>
    </w:p>
    <w:p w14:paraId="210DA7E3">
      <w:pPr>
        <w:pStyle w:val="20"/>
        <w:spacing w:line="360" w:lineRule="auto"/>
        <w:ind w:firstLine="480" w:firstLineChars="200"/>
        <w:rPr>
          <w:rFonts w:hint="eastAsia" w:ascii="宋体" w:hAnsi="宋体" w:eastAsia="宋体" w:cs="宋体"/>
          <w:color w:val="auto"/>
          <w:sz w:val="24"/>
          <w:szCs w:val="24"/>
          <w:highlight w:val="none"/>
        </w:rPr>
      </w:pPr>
      <w:bookmarkStart w:id="423" w:name="_Toc216582818"/>
      <w:bookmarkStart w:id="424" w:name="_Toc23907"/>
      <w:bookmarkStart w:id="425" w:name="_Toc507399534"/>
      <w:bookmarkStart w:id="426" w:name="_Toc25702"/>
      <w:r>
        <w:rPr>
          <w:rFonts w:hint="eastAsia" w:ascii="宋体" w:hAnsi="宋体" w:eastAsia="宋体" w:cs="宋体"/>
          <w:color w:val="auto"/>
          <w:sz w:val="24"/>
          <w:szCs w:val="24"/>
          <w:highlight w:val="none"/>
        </w:rPr>
        <w:t>法定代表人或授权代表（签字或盖章）</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w:t>
      </w:r>
    </w:p>
    <w:p w14:paraId="4AD09928">
      <w:pPr>
        <w:pStyle w:val="20"/>
        <w:tabs>
          <w:tab w:val="left" w:pos="5580"/>
        </w:tabs>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投标人(盖章):</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p>
    <w:p w14:paraId="020A1D29">
      <w:pPr>
        <w:pStyle w:val="20"/>
        <w:tabs>
          <w:tab w:val="left" w:pos="5580"/>
        </w:tabs>
        <w:spacing w:line="360" w:lineRule="auto"/>
        <w:ind w:firstLine="480" w:firstLineChars="200"/>
        <w:rPr>
          <w:rFonts w:hint="eastAsia" w:ascii="宋体" w:hAnsi="宋体" w:eastAsia="宋体" w:cs="宋体"/>
          <w:color w:val="auto"/>
          <w:sz w:val="24"/>
          <w:szCs w:val="24"/>
          <w:highlight w:val="none"/>
        </w:rPr>
        <w:sectPr>
          <w:pgSz w:w="11905" w:h="16838"/>
          <w:pgMar w:top="1247" w:right="1423" w:bottom="1247" w:left="1423" w:header="0" w:footer="907" w:gutter="0"/>
          <w:lnNumType w:countBy="0" w:distance="360"/>
          <w:pgNumType w:fmt="decimal"/>
          <w:cols w:space="0" w:num="1"/>
          <w:rtlGutter w:val="0"/>
          <w:docGrid w:linePitch="312" w:charSpace="0"/>
        </w:sect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p>
    <w:bookmarkEnd w:id="423"/>
    <w:bookmarkEnd w:id="424"/>
    <w:bookmarkEnd w:id="425"/>
    <w:bookmarkEnd w:id="426"/>
    <w:p w14:paraId="26AFFEC9">
      <w:pPr>
        <w:spacing w:line="360" w:lineRule="auto"/>
        <w:rPr>
          <w:rFonts w:hint="eastAsia"/>
          <w:b/>
          <w:bCs/>
          <w:sz w:val="24"/>
          <w:highlight w:val="none"/>
        </w:rPr>
      </w:pPr>
      <w:bookmarkStart w:id="427" w:name="_Toc1502"/>
      <w:bookmarkStart w:id="428" w:name="_Toc19084"/>
      <w:bookmarkStart w:id="429" w:name="_Toc14711"/>
      <w:r>
        <w:rPr>
          <w:rFonts w:hint="eastAsia"/>
          <w:b/>
          <w:bCs/>
          <w:sz w:val="24"/>
          <w:highlight w:val="none"/>
        </w:rPr>
        <w:t>附件</w:t>
      </w:r>
      <w:r>
        <w:rPr>
          <w:rFonts w:hint="eastAsia"/>
          <w:b/>
          <w:bCs/>
          <w:sz w:val="24"/>
          <w:highlight w:val="none"/>
          <w:lang w:val="en-US" w:eastAsia="zh-CN"/>
        </w:rPr>
        <w:t>6.1 技术条款</w:t>
      </w:r>
      <w:r>
        <w:rPr>
          <w:rFonts w:hint="eastAsia"/>
          <w:b/>
          <w:bCs/>
          <w:sz w:val="24"/>
          <w:highlight w:val="none"/>
        </w:rPr>
        <w:t>偏离表</w:t>
      </w:r>
    </w:p>
    <w:p w14:paraId="10DB3B39">
      <w:pPr>
        <w:pStyle w:val="2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项目名称:</w:t>
      </w:r>
      <w:r>
        <w:rPr>
          <w:rFonts w:hint="eastAsia"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项目</w:t>
      </w:r>
      <w:r>
        <w:rPr>
          <w:rFonts w:hint="eastAsia" w:ascii="宋体" w:hAnsi="宋体" w:eastAsia="宋体" w:cs="宋体"/>
          <w:color w:val="auto"/>
          <w:sz w:val="24"/>
          <w:szCs w:val="24"/>
          <w:highlight w:val="none"/>
          <w:lang w:val="en-US" w:eastAsia="zh-CN"/>
        </w:rPr>
        <w:t>编号：</w:t>
      </w:r>
    </w:p>
    <w:tbl>
      <w:tblPr>
        <w:tblStyle w:val="35"/>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3"/>
        <w:gridCol w:w="3221"/>
        <w:gridCol w:w="2592"/>
        <w:gridCol w:w="1543"/>
        <w:gridCol w:w="1209"/>
      </w:tblGrid>
      <w:tr w14:paraId="41DF8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379" w:type="pct"/>
            <w:tcBorders>
              <w:top w:val="single" w:color="auto" w:sz="4" w:space="0"/>
              <w:left w:val="single" w:color="auto" w:sz="4" w:space="0"/>
              <w:bottom w:val="single" w:color="auto" w:sz="4" w:space="0"/>
              <w:right w:val="single" w:color="auto" w:sz="4" w:space="0"/>
              <w:tl2br w:val="nil"/>
              <w:tr2bl w:val="nil"/>
            </w:tcBorders>
            <w:noWrap w:val="0"/>
            <w:vAlign w:val="top"/>
          </w:tcPr>
          <w:p w14:paraId="67675BE4">
            <w:pPr>
              <w:pStyle w:val="2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73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72A7A1E">
            <w:pPr>
              <w:pStyle w:val="20"/>
              <w:snapToGrid/>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招标文件条款号及招标规格</w:t>
            </w:r>
          </w:p>
        </w:tc>
        <w:tc>
          <w:tcPr>
            <w:tcW w:w="139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4647119">
            <w:pPr>
              <w:pStyle w:val="20"/>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投标</w:t>
            </w:r>
            <w:r>
              <w:rPr>
                <w:rFonts w:hint="eastAsia" w:hAnsi="宋体" w:cs="宋体"/>
                <w:color w:val="auto"/>
                <w:sz w:val="24"/>
                <w:szCs w:val="24"/>
                <w:highlight w:val="none"/>
                <w:lang w:val="en-US" w:eastAsia="zh-CN"/>
              </w:rPr>
              <w:t>文件的技术条款</w:t>
            </w:r>
          </w:p>
        </w:tc>
        <w:tc>
          <w:tcPr>
            <w:tcW w:w="83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9F7C751">
            <w:pPr>
              <w:pStyle w:val="2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偏离</w:t>
            </w:r>
            <w:r>
              <w:rPr>
                <w:rFonts w:hint="eastAsia" w:hAnsi="宋体" w:cs="宋体"/>
                <w:color w:val="auto"/>
                <w:sz w:val="24"/>
                <w:szCs w:val="24"/>
                <w:highlight w:val="none"/>
                <w:lang w:val="en-US" w:eastAsia="zh-CN"/>
              </w:rPr>
              <w:t>情况</w:t>
            </w:r>
          </w:p>
        </w:tc>
        <w:tc>
          <w:tcPr>
            <w:tcW w:w="65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D1B0B31">
            <w:pPr>
              <w:pStyle w:val="20"/>
              <w:spacing w:line="360" w:lineRule="auto"/>
              <w:jc w:val="center"/>
              <w:rPr>
                <w:rFonts w:hint="eastAsia"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说明</w:t>
            </w:r>
          </w:p>
        </w:tc>
      </w:tr>
      <w:tr w14:paraId="61B74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379" w:type="pct"/>
            <w:tcBorders>
              <w:top w:val="single" w:color="auto" w:sz="4" w:space="0"/>
              <w:left w:val="single" w:color="auto" w:sz="4" w:space="0"/>
              <w:bottom w:val="single" w:color="auto" w:sz="4" w:space="0"/>
              <w:right w:val="single" w:color="auto" w:sz="4" w:space="0"/>
              <w:tl2br w:val="nil"/>
              <w:tr2bl w:val="nil"/>
            </w:tcBorders>
            <w:noWrap w:val="0"/>
            <w:vAlign w:val="top"/>
          </w:tcPr>
          <w:p w14:paraId="189DC609">
            <w:pPr>
              <w:pStyle w:val="20"/>
              <w:spacing w:line="360" w:lineRule="auto"/>
              <w:ind w:left="1413" w:leftChars="257" w:hanging="539"/>
              <w:rPr>
                <w:rFonts w:hint="eastAsia" w:ascii="宋体" w:hAnsi="宋体" w:eastAsia="宋体" w:cs="宋体"/>
                <w:color w:val="auto"/>
                <w:sz w:val="24"/>
                <w:szCs w:val="24"/>
                <w:highlight w:val="none"/>
              </w:rPr>
            </w:pPr>
          </w:p>
        </w:tc>
        <w:tc>
          <w:tcPr>
            <w:tcW w:w="1737" w:type="pct"/>
            <w:tcBorders>
              <w:top w:val="single" w:color="auto" w:sz="4" w:space="0"/>
              <w:left w:val="single" w:color="auto" w:sz="4" w:space="0"/>
              <w:bottom w:val="single" w:color="auto" w:sz="4" w:space="0"/>
              <w:right w:val="single" w:color="auto" w:sz="4" w:space="0"/>
              <w:tl2br w:val="nil"/>
              <w:tr2bl w:val="nil"/>
            </w:tcBorders>
            <w:noWrap w:val="0"/>
            <w:vAlign w:val="top"/>
          </w:tcPr>
          <w:p w14:paraId="5540FCEA">
            <w:pPr>
              <w:pStyle w:val="20"/>
              <w:spacing w:line="360" w:lineRule="auto"/>
              <w:ind w:left="1413" w:leftChars="257" w:hanging="539"/>
              <w:rPr>
                <w:rFonts w:hint="eastAsia" w:ascii="宋体" w:hAnsi="宋体" w:eastAsia="宋体" w:cs="宋体"/>
                <w:color w:val="auto"/>
                <w:sz w:val="24"/>
                <w:szCs w:val="24"/>
                <w:highlight w:val="none"/>
              </w:rPr>
            </w:pPr>
          </w:p>
        </w:tc>
        <w:tc>
          <w:tcPr>
            <w:tcW w:w="1398" w:type="pct"/>
            <w:tcBorders>
              <w:top w:val="single" w:color="auto" w:sz="4" w:space="0"/>
              <w:left w:val="single" w:color="auto" w:sz="4" w:space="0"/>
              <w:bottom w:val="single" w:color="auto" w:sz="4" w:space="0"/>
              <w:right w:val="single" w:color="auto" w:sz="4" w:space="0"/>
              <w:tl2br w:val="nil"/>
              <w:tr2bl w:val="nil"/>
            </w:tcBorders>
            <w:noWrap w:val="0"/>
            <w:vAlign w:val="top"/>
          </w:tcPr>
          <w:p w14:paraId="14280437">
            <w:pPr>
              <w:pStyle w:val="20"/>
              <w:spacing w:line="360" w:lineRule="auto"/>
              <w:ind w:left="1413" w:leftChars="257" w:hanging="539"/>
              <w:rPr>
                <w:rFonts w:hint="eastAsia" w:ascii="宋体" w:hAnsi="宋体" w:eastAsia="宋体" w:cs="宋体"/>
                <w:color w:val="auto"/>
                <w:sz w:val="24"/>
                <w:szCs w:val="24"/>
                <w:highlight w:val="none"/>
              </w:rPr>
            </w:pPr>
          </w:p>
        </w:tc>
        <w:tc>
          <w:tcPr>
            <w:tcW w:w="832" w:type="pct"/>
            <w:tcBorders>
              <w:top w:val="single" w:color="auto" w:sz="4" w:space="0"/>
              <w:left w:val="single" w:color="auto" w:sz="4" w:space="0"/>
              <w:bottom w:val="single" w:color="auto" w:sz="4" w:space="0"/>
              <w:right w:val="single" w:color="auto" w:sz="4" w:space="0"/>
              <w:tl2br w:val="nil"/>
              <w:tr2bl w:val="nil"/>
            </w:tcBorders>
            <w:noWrap w:val="0"/>
            <w:vAlign w:val="top"/>
          </w:tcPr>
          <w:p w14:paraId="3ED266A1">
            <w:pPr>
              <w:pStyle w:val="20"/>
              <w:spacing w:line="360" w:lineRule="auto"/>
              <w:ind w:left="1413" w:leftChars="257" w:hanging="539"/>
              <w:rPr>
                <w:rFonts w:hint="eastAsia" w:ascii="宋体" w:hAnsi="宋体" w:eastAsia="宋体" w:cs="宋体"/>
                <w:color w:val="auto"/>
                <w:sz w:val="24"/>
                <w:szCs w:val="24"/>
                <w:highlight w:val="none"/>
              </w:rPr>
            </w:pPr>
          </w:p>
        </w:tc>
        <w:tc>
          <w:tcPr>
            <w:tcW w:w="652" w:type="pct"/>
            <w:tcBorders>
              <w:top w:val="single" w:color="auto" w:sz="4" w:space="0"/>
              <w:left w:val="single" w:color="auto" w:sz="4" w:space="0"/>
              <w:bottom w:val="single" w:color="auto" w:sz="4" w:space="0"/>
              <w:right w:val="single" w:color="auto" w:sz="4" w:space="0"/>
              <w:tl2br w:val="nil"/>
              <w:tr2bl w:val="nil"/>
            </w:tcBorders>
            <w:noWrap w:val="0"/>
            <w:vAlign w:val="top"/>
          </w:tcPr>
          <w:p w14:paraId="386D529E">
            <w:pPr>
              <w:pStyle w:val="20"/>
              <w:spacing w:line="360" w:lineRule="auto"/>
              <w:ind w:left="1413" w:leftChars="257" w:hanging="539"/>
              <w:rPr>
                <w:rFonts w:hint="eastAsia" w:ascii="宋体" w:hAnsi="宋体" w:eastAsia="宋体" w:cs="宋体"/>
                <w:color w:val="auto"/>
                <w:sz w:val="24"/>
                <w:szCs w:val="24"/>
                <w:highlight w:val="none"/>
              </w:rPr>
            </w:pPr>
          </w:p>
        </w:tc>
      </w:tr>
      <w:tr w14:paraId="35579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379" w:type="pct"/>
            <w:tcBorders>
              <w:top w:val="single" w:color="auto" w:sz="4" w:space="0"/>
              <w:left w:val="single" w:color="auto" w:sz="4" w:space="0"/>
              <w:bottom w:val="single" w:color="auto" w:sz="4" w:space="0"/>
              <w:right w:val="single" w:color="auto" w:sz="4" w:space="0"/>
              <w:tl2br w:val="nil"/>
              <w:tr2bl w:val="nil"/>
            </w:tcBorders>
            <w:noWrap w:val="0"/>
            <w:vAlign w:val="top"/>
          </w:tcPr>
          <w:p w14:paraId="36AF49D2">
            <w:pPr>
              <w:pStyle w:val="20"/>
              <w:spacing w:line="360" w:lineRule="auto"/>
              <w:ind w:left="1413" w:leftChars="257" w:hanging="539"/>
              <w:rPr>
                <w:rFonts w:hint="eastAsia" w:ascii="宋体" w:hAnsi="宋体" w:eastAsia="宋体" w:cs="宋体"/>
                <w:color w:val="auto"/>
                <w:sz w:val="24"/>
                <w:szCs w:val="24"/>
                <w:highlight w:val="none"/>
              </w:rPr>
            </w:pPr>
          </w:p>
        </w:tc>
        <w:tc>
          <w:tcPr>
            <w:tcW w:w="1737" w:type="pct"/>
            <w:tcBorders>
              <w:top w:val="single" w:color="auto" w:sz="4" w:space="0"/>
              <w:left w:val="single" w:color="auto" w:sz="4" w:space="0"/>
              <w:bottom w:val="single" w:color="auto" w:sz="4" w:space="0"/>
              <w:right w:val="single" w:color="auto" w:sz="4" w:space="0"/>
              <w:tl2br w:val="nil"/>
              <w:tr2bl w:val="nil"/>
            </w:tcBorders>
            <w:noWrap w:val="0"/>
            <w:vAlign w:val="top"/>
          </w:tcPr>
          <w:p w14:paraId="00F80AC4">
            <w:pPr>
              <w:pStyle w:val="20"/>
              <w:spacing w:line="360" w:lineRule="auto"/>
              <w:ind w:left="1413" w:leftChars="257" w:hanging="539"/>
              <w:rPr>
                <w:rFonts w:hint="eastAsia" w:ascii="宋体" w:hAnsi="宋体" w:eastAsia="宋体" w:cs="宋体"/>
                <w:color w:val="auto"/>
                <w:sz w:val="24"/>
                <w:szCs w:val="24"/>
                <w:highlight w:val="none"/>
              </w:rPr>
            </w:pPr>
          </w:p>
        </w:tc>
        <w:tc>
          <w:tcPr>
            <w:tcW w:w="1398" w:type="pct"/>
            <w:tcBorders>
              <w:top w:val="single" w:color="auto" w:sz="4" w:space="0"/>
              <w:left w:val="single" w:color="auto" w:sz="4" w:space="0"/>
              <w:bottom w:val="single" w:color="auto" w:sz="4" w:space="0"/>
              <w:right w:val="single" w:color="auto" w:sz="4" w:space="0"/>
              <w:tl2br w:val="nil"/>
              <w:tr2bl w:val="nil"/>
            </w:tcBorders>
            <w:noWrap w:val="0"/>
            <w:vAlign w:val="top"/>
          </w:tcPr>
          <w:p w14:paraId="064E2190">
            <w:pPr>
              <w:pStyle w:val="20"/>
              <w:spacing w:line="360" w:lineRule="auto"/>
              <w:ind w:left="1413" w:leftChars="257" w:hanging="539"/>
              <w:rPr>
                <w:rFonts w:hint="eastAsia" w:ascii="宋体" w:hAnsi="宋体" w:eastAsia="宋体" w:cs="宋体"/>
                <w:color w:val="auto"/>
                <w:sz w:val="24"/>
                <w:szCs w:val="24"/>
                <w:highlight w:val="none"/>
              </w:rPr>
            </w:pPr>
          </w:p>
        </w:tc>
        <w:tc>
          <w:tcPr>
            <w:tcW w:w="832" w:type="pct"/>
            <w:tcBorders>
              <w:top w:val="single" w:color="auto" w:sz="4" w:space="0"/>
              <w:left w:val="single" w:color="auto" w:sz="4" w:space="0"/>
              <w:bottom w:val="single" w:color="auto" w:sz="4" w:space="0"/>
              <w:right w:val="single" w:color="auto" w:sz="4" w:space="0"/>
              <w:tl2br w:val="nil"/>
              <w:tr2bl w:val="nil"/>
            </w:tcBorders>
            <w:noWrap w:val="0"/>
            <w:vAlign w:val="top"/>
          </w:tcPr>
          <w:p w14:paraId="03FA7B9E">
            <w:pPr>
              <w:pStyle w:val="20"/>
              <w:spacing w:line="360" w:lineRule="auto"/>
              <w:ind w:left="1413" w:leftChars="257" w:hanging="539"/>
              <w:rPr>
                <w:rFonts w:hint="eastAsia" w:ascii="宋体" w:hAnsi="宋体" w:eastAsia="宋体" w:cs="宋体"/>
                <w:color w:val="auto"/>
                <w:sz w:val="24"/>
                <w:szCs w:val="24"/>
                <w:highlight w:val="none"/>
              </w:rPr>
            </w:pPr>
          </w:p>
        </w:tc>
        <w:tc>
          <w:tcPr>
            <w:tcW w:w="652" w:type="pct"/>
            <w:tcBorders>
              <w:top w:val="single" w:color="auto" w:sz="4" w:space="0"/>
              <w:left w:val="single" w:color="auto" w:sz="4" w:space="0"/>
              <w:bottom w:val="single" w:color="auto" w:sz="4" w:space="0"/>
              <w:right w:val="single" w:color="auto" w:sz="4" w:space="0"/>
              <w:tl2br w:val="nil"/>
              <w:tr2bl w:val="nil"/>
            </w:tcBorders>
            <w:noWrap w:val="0"/>
            <w:vAlign w:val="top"/>
          </w:tcPr>
          <w:p w14:paraId="4F531D4D">
            <w:pPr>
              <w:pStyle w:val="20"/>
              <w:spacing w:line="360" w:lineRule="auto"/>
              <w:ind w:left="1413" w:leftChars="257" w:hanging="539"/>
              <w:rPr>
                <w:rFonts w:hint="eastAsia" w:ascii="宋体" w:hAnsi="宋体" w:eastAsia="宋体" w:cs="宋体"/>
                <w:color w:val="auto"/>
                <w:sz w:val="24"/>
                <w:szCs w:val="24"/>
                <w:highlight w:val="none"/>
              </w:rPr>
            </w:pPr>
          </w:p>
        </w:tc>
      </w:tr>
      <w:tr w14:paraId="4E480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379" w:type="pct"/>
            <w:tcBorders>
              <w:top w:val="single" w:color="auto" w:sz="4" w:space="0"/>
              <w:left w:val="single" w:color="auto" w:sz="4" w:space="0"/>
              <w:bottom w:val="single" w:color="auto" w:sz="4" w:space="0"/>
              <w:right w:val="single" w:color="auto" w:sz="4" w:space="0"/>
              <w:tl2br w:val="nil"/>
              <w:tr2bl w:val="nil"/>
            </w:tcBorders>
            <w:noWrap w:val="0"/>
            <w:vAlign w:val="top"/>
          </w:tcPr>
          <w:p w14:paraId="475D35AC">
            <w:pPr>
              <w:pStyle w:val="20"/>
              <w:spacing w:line="360" w:lineRule="auto"/>
              <w:ind w:left="1413" w:leftChars="257" w:hanging="539"/>
              <w:rPr>
                <w:rFonts w:hint="eastAsia" w:ascii="宋体" w:hAnsi="宋体" w:eastAsia="宋体" w:cs="宋体"/>
                <w:color w:val="auto"/>
                <w:sz w:val="24"/>
                <w:szCs w:val="24"/>
                <w:highlight w:val="none"/>
              </w:rPr>
            </w:pPr>
          </w:p>
        </w:tc>
        <w:tc>
          <w:tcPr>
            <w:tcW w:w="1737" w:type="pct"/>
            <w:tcBorders>
              <w:top w:val="single" w:color="auto" w:sz="4" w:space="0"/>
              <w:left w:val="single" w:color="auto" w:sz="4" w:space="0"/>
              <w:bottom w:val="single" w:color="auto" w:sz="4" w:space="0"/>
              <w:right w:val="single" w:color="auto" w:sz="4" w:space="0"/>
              <w:tl2br w:val="nil"/>
              <w:tr2bl w:val="nil"/>
            </w:tcBorders>
            <w:noWrap w:val="0"/>
            <w:vAlign w:val="top"/>
          </w:tcPr>
          <w:p w14:paraId="501B6420">
            <w:pPr>
              <w:pStyle w:val="20"/>
              <w:spacing w:line="360" w:lineRule="auto"/>
              <w:ind w:left="1413" w:leftChars="257" w:hanging="539"/>
              <w:rPr>
                <w:rFonts w:hint="eastAsia" w:ascii="宋体" w:hAnsi="宋体" w:eastAsia="宋体" w:cs="宋体"/>
                <w:color w:val="auto"/>
                <w:sz w:val="24"/>
                <w:szCs w:val="24"/>
                <w:highlight w:val="none"/>
              </w:rPr>
            </w:pPr>
          </w:p>
        </w:tc>
        <w:tc>
          <w:tcPr>
            <w:tcW w:w="1398" w:type="pct"/>
            <w:tcBorders>
              <w:top w:val="single" w:color="auto" w:sz="4" w:space="0"/>
              <w:left w:val="single" w:color="auto" w:sz="4" w:space="0"/>
              <w:bottom w:val="single" w:color="auto" w:sz="4" w:space="0"/>
              <w:right w:val="single" w:color="auto" w:sz="4" w:space="0"/>
              <w:tl2br w:val="nil"/>
              <w:tr2bl w:val="nil"/>
            </w:tcBorders>
            <w:noWrap w:val="0"/>
            <w:vAlign w:val="top"/>
          </w:tcPr>
          <w:p w14:paraId="32FF84AC">
            <w:pPr>
              <w:pStyle w:val="20"/>
              <w:spacing w:line="360" w:lineRule="auto"/>
              <w:ind w:left="1413" w:leftChars="257" w:hanging="539"/>
              <w:rPr>
                <w:rFonts w:hint="eastAsia" w:ascii="宋体" w:hAnsi="宋体" w:eastAsia="宋体" w:cs="宋体"/>
                <w:color w:val="auto"/>
                <w:sz w:val="24"/>
                <w:szCs w:val="24"/>
                <w:highlight w:val="none"/>
              </w:rPr>
            </w:pPr>
          </w:p>
        </w:tc>
        <w:tc>
          <w:tcPr>
            <w:tcW w:w="832" w:type="pct"/>
            <w:tcBorders>
              <w:top w:val="single" w:color="auto" w:sz="4" w:space="0"/>
              <w:left w:val="single" w:color="auto" w:sz="4" w:space="0"/>
              <w:bottom w:val="single" w:color="auto" w:sz="4" w:space="0"/>
              <w:right w:val="single" w:color="auto" w:sz="4" w:space="0"/>
              <w:tl2br w:val="nil"/>
              <w:tr2bl w:val="nil"/>
            </w:tcBorders>
            <w:noWrap w:val="0"/>
            <w:vAlign w:val="top"/>
          </w:tcPr>
          <w:p w14:paraId="5265B6CB">
            <w:pPr>
              <w:pStyle w:val="20"/>
              <w:spacing w:line="360" w:lineRule="auto"/>
              <w:ind w:left="1413" w:leftChars="257" w:hanging="539"/>
              <w:rPr>
                <w:rFonts w:hint="eastAsia" w:ascii="宋体" w:hAnsi="宋体" w:eastAsia="宋体" w:cs="宋体"/>
                <w:color w:val="auto"/>
                <w:sz w:val="24"/>
                <w:szCs w:val="24"/>
                <w:highlight w:val="none"/>
              </w:rPr>
            </w:pPr>
          </w:p>
        </w:tc>
        <w:tc>
          <w:tcPr>
            <w:tcW w:w="652" w:type="pct"/>
            <w:tcBorders>
              <w:top w:val="single" w:color="auto" w:sz="4" w:space="0"/>
              <w:left w:val="single" w:color="auto" w:sz="4" w:space="0"/>
              <w:bottom w:val="single" w:color="auto" w:sz="4" w:space="0"/>
              <w:right w:val="single" w:color="auto" w:sz="4" w:space="0"/>
              <w:tl2br w:val="nil"/>
              <w:tr2bl w:val="nil"/>
            </w:tcBorders>
            <w:noWrap w:val="0"/>
            <w:vAlign w:val="top"/>
          </w:tcPr>
          <w:p w14:paraId="611AFD76">
            <w:pPr>
              <w:pStyle w:val="20"/>
              <w:spacing w:line="360" w:lineRule="auto"/>
              <w:ind w:left="1413" w:leftChars="257" w:hanging="539"/>
              <w:rPr>
                <w:rFonts w:hint="eastAsia" w:ascii="宋体" w:hAnsi="宋体" w:eastAsia="宋体" w:cs="宋体"/>
                <w:color w:val="auto"/>
                <w:sz w:val="24"/>
                <w:szCs w:val="24"/>
                <w:highlight w:val="none"/>
              </w:rPr>
            </w:pPr>
          </w:p>
        </w:tc>
      </w:tr>
      <w:tr w14:paraId="24523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379" w:type="pct"/>
            <w:tcBorders>
              <w:top w:val="single" w:color="auto" w:sz="4" w:space="0"/>
              <w:left w:val="single" w:color="auto" w:sz="4" w:space="0"/>
              <w:bottom w:val="single" w:color="auto" w:sz="4" w:space="0"/>
              <w:right w:val="single" w:color="auto" w:sz="4" w:space="0"/>
              <w:tl2br w:val="nil"/>
              <w:tr2bl w:val="nil"/>
            </w:tcBorders>
            <w:noWrap w:val="0"/>
            <w:vAlign w:val="top"/>
          </w:tcPr>
          <w:p w14:paraId="6C4EAE0C">
            <w:pPr>
              <w:pStyle w:val="20"/>
              <w:spacing w:line="360" w:lineRule="auto"/>
              <w:ind w:left="1413" w:leftChars="257" w:hanging="539"/>
              <w:rPr>
                <w:rFonts w:hint="eastAsia" w:ascii="宋体" w:hAnsi="宋体" w:eastAsia="宋体" w:cs="宋体"/>
                <w:color w:val="auto"/>
                <w:sz w:val="24"/>
                <w:szCs w:val="24"/>
                <w:highlight w:val="none"/>
              </w:rPr>
            </w:pPr>
          </w:p>
        </w:tc>
        <w:tc>
          <w:tcPr>
            <w:tcW w:w="1737" w:type="pct"/>
            <w:tcBorders>
              <w:top w:val="single" w:color="auto" w:sz="4" w:space="0"/>
              <w:left w:val="single" w:color="auto" w:sz="4" w:space="0"/>
              <w:bottom w:val="single" w:color="auto" w:sz="4" w:space="0"/>
              <w:right w:val="single" w:color="auto" w:sz="4" w:space="0"/>
              <w:tl2br w:val="nil"/>
              <w:tr2bl w:val="nil"/>
            </w:tcBorders>
            <w:noWrap w:val="0"/>
            <w:vAlign w:val="top"/>
          </w:tcPr>
          <w:p w14:paraId="011782A0">
            <w:pPr>
              <w:pStyle w:val="20"/>
              <w:spacing w:line="360" w:lineRule="auto"/>
              <w:ind w:left="1413" w:leftChars="257" w:hanging="539"/>
              <w:rPr>
                <w:rFonts w:hint="eastAsia" w:ascii="宋体" w:hAnsi="宋体" w:eastAsia="宋体" w:cs="宋体"/>
                <w:color w:val="auto"/>
                <w:sz w:val="24"/>
                <w:szCs w:val="24"/>
                <w:highlight w:val="none"/>
              </w:rPr>
            </w:pPr>
          </w:p>
        </w:tc>
        <w:tc>
          <w:tcPr>
            <w:tcW w:w="1398" w:type="pct"/>
            <w:tcBorders>
              <w:top w:val="single" w:color="auto" w:sz="4" w:space="0"/>
              <w:left w:val="single" w:color="auto" w:sz="4" w:space="0"/>
              <w:bottom w:val="single" w:color="auto" w:sz="4" w:space="0"/>
              <w:right w:val="single" w:color="auto" w:sz="4" w:space="0"/>
              <w:tl2br w:val="nil"/>
              <w:tr2bl w:val="nil"/>
            </w:tcBorders>
            <w:noWrap w:val="0"/>
            <w:vAlign w:val="top"/>
          </w:tcPr>
          <w:p w14:paraId="323DCB36">
            <w:pPr>
              <w:pStyle w:val="20"/>
              <w:spacing w:line="360" w:lineRule="auto"/>
              <w:ind w:left="1413" w:leftChars="257" w:hanging="539"/>
              <w:rPr>
                <w:rFonts w:hint="eastAsia" w:ascii="宋体" w:hAnsi="宋体" w:eastAsia="宋体" w:cs="宋体"/>
                <w:color w:val="auto"/>
                <w:sz w:val="24"/>
                <w:szCs w:val="24"/>
                <w:highlight w:val="none"/>
              </w:rPr>
            </w:pPr>
          </w:p>
        </w:tc>
        <w:tc>
          <w:tcPr>
            <w:tcW w:w="832" w:type="pct"/>
            <w:tcBorders>
              <w:top w:val="single" w:color="auto" w:sz="4" w:space="0"/>
              <w:left w:val="single" w:color="auto" w:sz="4" w:space="0"/>
              <w:bottom w:val="single" w:color="auto" w:sz="4" w:space="0"/>
              <w:right w:val="single" w:color="auto" w:sz="4" w:space="0"/>
              <w:tl2br w:val="nil"/>
              <w:tr2bl w:val="nil"/>
            </w:tcBorders>
            <w:noWrap w:val="0"/>
            <w:vAlign w:val="top"/>
          </w:tcPr>
          <w:p w14:paraId="20E16F7E">
            <w:pPr>
              <w:pStyle w:val="20"/>
              <w:spacing w:line="360" w:lineRule="auto"/>
              <w:ind w:left="1413" w:leftChars="257" w:hanging="539"/>
              <w:rPr>
                <w:rFonts w:hint="eastAsia" w:ascii="宋体" w:hAnsi="宋体" w:eastAsia="宋体" w:cs="宋体"/>
                <w:color w:val="auto"/>
                <w:sz w:val="24"/>
                <w:szCs w:val="24"/>
                <w:highlight w:val="none"/>
              </w:rPr>
            </w:pPr>
          </w:p>
        </w:tc>
        <w:tc>
          <w:tcPr>
            <w:tcW w:w="652" w:type="pct"/>
            <w:tcBorders>
              <w:top w:val="single" w:color="auto" w:sz="4" w:space="0"/>
              <w:left w:val="single" w:color="auto" w:sz="4" w:space="0"/>
              <w:bottom w:val="single" w:color="auto" w:sz="4" w:space="0"/>
              <w:right w:val="single" w:color="auto" w:sz="4" w:space="0"/>
              <w:tl2br w:val="nil"/>
              <w:tr2bl w:val="nil"/>
            </w:tcBorders>
            <w:noWrap w:val="0"/>
            <w:vAlign w:val="top"/>
          </w:tcPr>
          <w:p w14:paraId="12EA9A50">
            <w:pPr>
              <w:pStyle w:val="20"/>
              <w:spacing w:line="360" w:lineRule="auto"/>
              <w:ind w:left="1413" w:leftChars="257" w:hanging="539"/>
              <w:rPr>
                <w:rFonts w:hint="eastAsia" w:ascii="宋体" w:hAnsi="宋体" w:eastAsia="宋体" w:cs="宋体"/>
                <w:color w:val="auto"/>
                <w:sz w:val="24"/>
                <w:szCs w:val="24"/>
                <w:highlight w:val="none"/>
              </w:rPr>
            </w:pPr>
          </w:p>
        </w:tc>
      </w:tr>
      <w:tr w14:paraId="05DCE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379" w:type="pct"/>
            <w:tcBorders>
              <w:top w:val="single" w:color="auto" w:sz="4" w:space="0"/>
              <w:left w:val="single" w:color="auto" w:sz="4" w:space="0"/>
              <w:bottom w:val="single" w:color="auto" w:sz="4" w:space="0"/>
              <w:right w:val="single" w:color="auto" w:sz="4" w:space="0"/>
              <w:tl2br w:val="nil"/>
              <w:tr2bl w:val="nil"/>
            </w:tcBorders>
            <w:noWrap w:val="0"/>
            <w:vAlign w:val="top"/>
          </w:tcPr>
          <w:p w14:paraId="2D9880BC">
            <w:pPr>
              <w:pStyle w:val="20"/>
              <w:spacing w:line="360" w:lineRule="auto"/>
              <w:ind w:left="1413" w:leftChars="257" w:hanging="539"/>
              <w:rPr>
                <w:rFonts w:hint="eastAsia" w:ascii="宋体" w:hAnsi="宋体" w:eastAsia="宋体" w:cs="宋体"/>
                <w:color w:val="auto"/>
                <w:sz w:val="24"/>
                <w:szCs w:val="24"/>
                <w:highlight w:val="none"/>
              </w:rPr>
            </w:pPr>
          </w:p>
        </w:tc>
        <w:tc>
          <w:tcPr>
            <w:tcW w:w="1737" w:type="pct"/>
            <w:tcBorders>
              <w:top w:val="single" w:color="auto" w:sz="4" w:space="0"/>
              <w:left w:val="single" w:color="auto" w:sz="4" w:space="0"/>
              <w:bottom w:val="single" w:color="auto" w:sz="4" w:space="0"/>
              <w:right w:val="single" w:color="auto" w:sz="4" w:space="0"/>
              <w:tl2br w:val="nil"/>
              <w:tr2bl w:val="nil"/>
            </w:tcBorders>
            <w:noWrap w:val="0"/>
            <w:vAlign w:val="top"/>
          </w:tcPr>
          <w:p w14:paraId="3A1C6206">
            <w:pPr>
              <w:pStyle w:val="20"/>
              <w:spacing w:line="360" w:lineRule="auto"/>
              <w:ind w:left="1413" w:leftChars="257" w:hanging="539"/>
              <w:rPr>
                <w:rFonts w:hint="eastAsia" w:ascii="宋体" w:hAnsi="宋体" w:eastAsia="宋体" w:cs="宋体"/>
                <w:color w:val="auto"/>
                <w:sz w:val="24"/>
                <w:szCs w:val="24"/>
                <w:highlight w:val="none"/>
              </w:rPr>
            </w:pPr>
          </w:p>
        </w:tc>
        <w:tc>
          <w:tcPr>
            <w:tcW w:w="1398" w:type="pct"/>
            <w:tcBorders>
              <w:top w:val="single" w:color="auto" w:sz="4" w:space="0"/>
              <w:left w:val="single" w:color="auto" w:sz="4" w:space="0"/>
              <w:bottom w:val="single" w:color="auto" w:sz="4" w:space="0"/>
              <w:right w:val="single" w:color="auto" w:sz="4" w:space="0"/>
              <w:tl2br w:val="nil"/>
              <w:tr2bl w:val="nil"/>
            </w:tcBorders>
            <w:noWrap w:val="0"/>
            <w:vAlign w:val="top"/>
          </w:tcPr>
          <w:p w14:paraId="4A30117D">
            <w:pPr>
              <w:pStyle w:val="20"/>
              <w:spacing w:line="360" w:lineRule="auto"/>
              <w:ind w:left="1413" w:leftChars="257" w:hanging="539"/>
              <w:rPr>
                <w:rFonts w:hint="eastAsia" w:ascii="宋体" w:hAnsi="宋体" w:eastAsia="宋体" w:cs="宋体"/>
                <w:color w:val="auto"/>
                <w:sz w:val="24"/>
                <w:szCs w:val="24"/>
                <w:highlight w:val="none"/>
              </w:rPr>
            </w:pPr>
          </w:p>
        </w:tc>
        <w:tc>
          <w:tcPr>
            <w:tcW w:w="832" w:type="pct"/>
            <w:tcBorders>
              <w:top w:val="single" w:color="auto" w:sz="4" w:space="0"/>
              <w:left w:val="single" w:color="auto" w:sz="4" w:space="0"/>
              <w:bottom w:val="single" w:color="auto" w:sz="4" w:space="0"/>
              <w:right w:val="single" w:color="auto" w:sz="4" w:space="0"/>
              <w:tl2br w:val="nil"/>
              <w:tr2bl w:val="nil"/>
            </w:tcBorders>
            <w:noWrap w:val="0"/>
            <w:vAlign w:val="top"/>
          </w:tcPr>
          <w:p w14:paraId="355B5A67">
            <w:pPr>
              <w:pStyle w:val="20"/>
              <w:spacing w:line="360" w:lineRule="auto"/>
              <w:ind w:left="1413" w:leftChars="257" w:hanging="539"/>
              <w:rPr>
                <w:rFonts w:hint="eastAsia" w:ascii="宋体" w:hAnsi="宋体" w:eastAsia="宋体" w:cs="宋体"/>
                <w:color w:val="auto"/>
                <w:sz w:val="24"/>
                <w:szCs w:val="24"/>
                <w:highlight w:val="none"/>
              </w:rPr>
            </w:pPr>
          </w:p>
        </w:tc>
        <w:tc>
          <w:tcPr>
            <w:tcW w:w="652" w:type="pct"/>
            <w:tcBorders>
              <w:top w:val="single" w:color="auto" w:sz="4" w:space="0"/>
              <w:left w:val="single" w:color="auto" w:sz="4" w:space="0"/>
              <w:bottom w:val="single" w:color="auto" w:sz="4" w:space="0"/>
              <w:right w:val="single" w:color="auto" w:sz="4" w:space="0"/>
              <w:tl2br w:val="nil"/>
              <w:tr2bl w:val="nil"/>
            </w:tcBorders>
            <w:noWrap w:val="0"/>
            <w:vAlign w:val="top"/>
          </w:tcPr>
          <w:p w14:paraId="5919E01F">
            <w:pPr>
              <w:pStyle w:val="20"/>
              <w:spacing w:line="360" w:lineRule="auto"/>
              <w:ind w:left="1413" w:leftChars="257" w:hanging="539"/>
              <w:rPr>
                <w:rFonts w:hint="eastAsia" w:ascii="宋体" w:hAnsi="宋体" w:eastAsia="宋体" w:cs="宋体"/>
                <w:color w:val="auto"/>
                <w:sz w:val="24"/>
                <w:szCs w:val="24"/>
                <w:highlight w:val="none"/>
              </w:rPr>
            </w:pPr>
          </w:p>
        </w:tc>
      </w:tr>
      <w:tr w14:paraId="1D82F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379" w:type="pct"/>
            <w:tcBorders>
              <w:top w:val="single" w:color="auto" w:sz="4" w:space="0"/>
              <w:left w:val="single" w:color="auto" w:sz="4" w:space="0"/>
              <w:bottom w:val="single" w:color="auto" w:sz="4" w:space="0"/>
              <w:right w:val="single" w:color="auto" w:sz="4" w:space="0"/>
              <w:tl2br w:val="nil"/>
              <w:tr2bl w:val="nil"/>
            </w:tcBorders>
            <w:noWrap w:val="0"/>
            <w:vAlign w:val="top"/>
          </w:tcPr>
          <w:p w14:paraId="492F8A9A">
            <w:pPr>
              <w:pStyle w:val="20"/>
              <w:spacing w:line="360" w:lineRule="auto"/>
              <w:ind w:left="1413" w:leftChars="257" w:hanging="539"/>
              <w:rPr>
                <w:rFonts w:hint="eastAsia" w:ascii="宋体" w:hAnsi="宋体" w:eastAsia="宋体" w:cs="宋体"/>
                <w:color w:val="auto"/>
                <w:sz w:val="24"/>
                <w:szCs w:val="24"/>
                <w:highlight w:val="none"/>
              </w:rPr>
            </w:pPr>
          </w:p>
        </w:tc>
        <w:tc>
          <w:tcPr>
            <w:tcW w:w="1737" w:type="pct"/>
            <w:tcBorders>
              <w:top w:val="single" w:color="auto" w:sz="4" w:space="0"/>
              <w:left w:val="single" w:color="auto" w:sz="4" w:space="0"/>
              <w:bottom w:val="single" w:color="auto" w:sz="4" w:space="0"/>
              <w:right w:val="single" w:color="auto" w:sz="4" w:space="0"/>
              <w:tl2br w:val="nil"/>
              <w:tr2bl w:val="nil"/>
            </w:tcBorders>
            <w:noWrap w:val="0"/>
            <w:vAlign w:val="top"/>
          </w:tcPr>
          <w:p w14:paraId="0461BEE2">
            <w:pPr>
              <w:pStyle w:val="20"/>
              <w:spacing w:line="360" w:lineRule="auto"/>
              <w:ind w:left="1413" w:leftChars="257" w:hanging="539"/>
              <w:rPr>
                <w:rFonts w:hint="eastAsia" w:ascii="宋体" w:hAnsi="宋体" w:eastAsia="宋体" w:cs="宋体"/>
                <w:color w:val="auto"/>
                <w:sz w:val="24"/>
                <w:szCs w:val="24"/>
                <w:highlight w:val="none"/>
              </w:rPr>
            </w:pPr>
          </w:p>
        </w:tc>
        <w:tc>
          <w:tcPr>
            <w:tcW w:w="1398" w:type="pct"/>
            <w:tcBorders>
              <w:top w:val="single" w:color="auto" w:sz="4" w:space="0"/>
              <w:left w:val="single" w:color="auto" w:sz="4" w:space="0"/>
              <w:bottom w:val="single" w:color="auto" w:sz="4" w:space="0"/>
              <w:right w:val="single" w:color="auto" w:sz="4" w:space="0"/>
              <w:tl2br w:val="nil"/>
              <w:tr2bl w:val="nil"/>
            </w:tcBorders>
            <w:noWrap w:val="0"/>
            <w:vAlign w:val="top"/>
          </w:tcPr>
          <w:p w14:paraId="2F7176A3">
            <w:pPr>
              <w:pStyle w:val="20"/>
              <w:spacing w:line="360" w:lineRule="auto"/>
              <w:ind w:left="1413" w:leftChars="257" w:hanging="539"/>
              <w:rPr>
                <w:rFonts w:hint="eastAsia" w:ascii="宋体" w:hAnsi="宋体" w:eastAsia="宋体" w:cs="宋体"/>
                <w:color w:val="auto"/>
                <w:sz w:val="24"/>
                <w:szCs w:val="24"/>
                <w:highlight w:val="none"/>
              </w:rPr>
            </w:pPr>
          </w:p>
        </w:tc>
        <w:tc>
          <w:tcPr>
            <w:tcW w:w="832" w:type="pct"/>
            <w:tcBorders>
              <w:top w:val="single" w:color="auto" w:sz="4" w:space="0"/>
              <w:left w:val="single" w:color="auto" w:sz="4" w:space="0"/>
              <w:bottom w:val="single" w:color="auto" w:sz="4" w:space="0"/>
              <w:right w:val="single" w:color="auto" w:sz="4" w:space="0"/>
              <w:tl2br w:val="nil"/>
              <w:tr2bl w:val="nil"/>
            </w:tcBorders>
            <w:noWrap w:val="0"/>
            <w:vAlign w:val="top"/>
          </w:tcPr>
          <w:p w14:paraId="26E138EA">
            <w:pPr>
              <w:pStyle w:val="20"/>
              <w:spacing w:line="360" w:lineRule="auto"/>
              <w:ind w:left="1413" w:leftChars="257" w:hanging="539"/>
              <w:rPr>
                <w:rFonts w:hint="eastAsia" w:ascii="宋体" w:hAnsi="宋体" w:eastAsia="宋体" w:cs="宋体"/>
                <w:color w:val="auto"/>
                <w:sz w:val="24"/>
                <w:szCs w:val="24"/>
                <w:highlight w:val="none"/>
              </w:rPr>
            </w:pPr>
          </w:p>
        </w:tc>
        <w:tc>
          <w:tcPr>
            <w:tcW w:w="652" w:type="pct"/>
            <w:tcBorders>
              <w:top w:val="single" w:color="auto" w:sz="4" w:space="0"/>
              <w:left w:val="single" w:color="auto" w:sz="4" w:space="0"/>
              <w:bottom w:val="single" w:color="auto" w:sz="4" w:space="0"/>
              <w:right w:val="single" w:color="auto" w:sz="4" w:space="0"/>
              <w:tl2br w:val="nil"/>
              <w:tr2bl w:val="nil"/>
            </w:tcBorders>
            <w:noWrap w:val="0"/>
            <w:vAlign w:val="top"/>
          </w:tcPr>
          <w:p w14:paraId="4D827857">
            <w:pPr>
              <w:pStyle w:val="20"/>
              <w:spacing w:line="360" w:lineRule="auto"/>
              <w:ind w:left="1413" w:leftChars="257" w:hanging="539"/>
              <w:rPr>
                <w:rFonts w:hint="eastAsia" w:ascii="宋体" w:hAnsi="宋体" w:eastAsia="宋体" w:cs="宋体"/>
                <w:color w:val="auto"/>
                <w:sz w:val="24"/>
                <w:szCs w:val="24"/>
                <w:highlight w:val="none"/>
              </w:rPr>
            </w:pPr>
          </w:p>
        </w:tc>
      </w:tr>
      <w:tr w14:paraId="78A47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379" w:type="pct"/>
            <w:tcBorders>
              <w:top w:val="single" w:color="auto" w:sz="4" w:space="0"/>
              <w:left w:val="single" w:color="auto" w:sz="4" w:space="0"/>
              <w:bottom w:val="single" w:color="auto" w:sz="4" w:space="0"/>
              <w:right w:val="single" w:color="auto" w:sz="4" w:space="0"/>
              <w:tl2br w:val="nil"/>
              <w:tr2bl w:val="nil"/>
            </w:tcBorders>
            <w:noWrap w:val="0"/>
            <w:vAlign w:val="top"/>
          </w:tcPr>
          <w:p w14:paraId="6FFFAF1A">
            <w:pPr>
              <w:pStyle w:val="20"/>
              <w:spacing w:line="360" w:lineRule="auto"/>
              <w:ind w:left="1413" w:leftChars="257" w:hanging="539"/>
              <w:rPr>
                <w:rFonts w:hint="eastAsia" w:ascii="宋体" w:hAnsi="宋体" w:eastAsia="宋体" w:cs="宋体"/>
                <w:color w:val="auto"/>
                <w:sz w:val="24"/>
                <w:szCs w:val="24"/>
                <w:highlight w:val="none"/>
              </w:rPr>
            </w:pPr>
          </w:p>
        </w:tc>
        <w:tc>
          <w:tcPr>
            <w:tcW w:w="1737" w:type="pct"/>
            <w:tcBorders>
              <w:top w:val="single" w:color="auto" w:sz="4" w:space="0"/>
              <w:left w:val="single" w:color="auto" w:sz="4" w:space="0"/>
              <w:bottom w:val="single" w:color="auto" w:sz="4" w:space="0"/>
              <w:right w:val="single" w:color="auto" w:sz="4" w:space="0"/>
              <w:tl2br w:val="nil"/>
              <w:tr2bl w:val="nil"/>
            </w:tcBorders>
            <w:noWrap w:val="0"/>
            <w:vAlign w:val="top"/>
          </w:tcPr>
          <w:p w14:paraId="6FAEE9A0">
            <w:pPr>
              <w:pStyle w:val="20"/>
              <w:spacing w:line="360" w:lineRule="auto"/>
              <w:ind w:left="1413" w:leftChars="257" w:hanging="539"/>
              <w:rPr>
                <w:rFonts w:hint="eastAsia" w:ascii="宋体" w:hAnsi="宋体" w:eastAsia="宋体" w:cs="宋体"/>
                <w:color w:val="auto"/>
                <w:sz w:val="24"/>
                <w:szCs w:val="24"/>
                <w:highlight w:val="none"/>
              </w:rPr>
            </w:pPr>
          </w:p>
        </w:tc>
        <w:tc>
          <w:tcPr>
            <w:tcW w:w="1398" w:type="pct"/>
            <w:tcBorders>
              <w:top w:val="single" w:color="auto" w:sz="4" w:space="0"/>
              <w:left w:val="single" w:color="auto" w:sz="4" w:space="0"/>
              <w:bottom w:val="single" w:color="auto" w:sz="4" w:space="0"/>
              <w:right w:val="single" w:color="auto" w:sz="4" w:space="0"/>
              <w:tl2br w:val="nil"/>
              <w:tr2bl w:val="nil"/>
            </w:tcBorders>
            <w:noWrap w:val="0"/>
            <w:vAlign w:val="top"/>
          </w:tcPr>
          <w:p w14:paraId="2EF9B51E">
            <w:pPr>
              <w:pStyle w:val="20"/>
              <w:spacing w:line="360" w:lineRule="auto"/>
              <w:ind w:left="1413" w:leftChars="257" w:hanging="539"/>
              <w:rPr>
                <w:rFonts w:hint="eastAsia" w:ascii="宋体" w:hAnsi="宋体" w:eastAsia="宋体" w:cs="宋体"/>
                <w:color w:val="auto"/>
                <w:sz w:val="24"/>
                <w:szCs w:val="24"/>
                <w:highlight w:val="none"/>
              </w:rPr>
            </w:pPr>
          </w:p>
        </w:tc>
        <w:tc>
          <w:tcPr>
            <w:tcW w:w="832" w:type="pct"/>
            <w:tcBorders>
              <w:top w:val="single" w:color="auto" w:sz="4" w:space="0"/>
              <w:left w:val="single" w:color="auto" w:sz="4" w:space="0"/>
              <w:bottom w:val="single" w:color="auto" w:sz="4" w:space="0"/>
              <w:right w:val="single" w:color="auto" w:sz="4" w:space="0"/>
              <w:tl2br w:val="nil"/>
              <w:tr2bl w:val="nil"/>
            </w:tcBorders>
            <w:noWrap w:val="0"/>
            <w:vAlign w:val="top"/>
          </w:tcPr>
          <w:p w14:paraId="29A2C750">
            <w:pPr>
              <w:pStyle w:val="20"/>
              <w:spacing w:line="360" w:lineRule="auto"/>
              <w:ind w:left="1413" w:leftChars="257" w:hanging="539"/>
              <w:rPr>
                <w:rFonts w:hint="eastAsia" w:ascii="宋体" w:hAnsi="宋体" w:eastAsia="宋体" w:cs="宋体"/>
                <w:color w:val="auto"/>
                <w:sz w:val="24"/>
                <w:szCs w:val="24"/>
                <w:highlight w:val="none"/>
              </w:rPr>
            </w:pPr>
          </w:p>
        </w:tc>
        <w:tc>
          <w:tcPr>
            <w:tcW w:w="652" w:type="pct"/>
            <w:tcBorders>
              <w:top w:val="single" w:color="auto" w:sz="4" w:space="0"/>
              <w:left w:val="single" w:color="auto" w:sz="4" w:space="0"/>
              <w:bottom w:val="single" w:color="auto" w:sz="4" w:space="0"/>
              <w:right w:val="single" w:color="auto" w:sz="4" w:space="0"/>
              <w:tl2br w:val="nil"/>
              <w:tr2bl w:val="nil"/>
            </w:tcBorders>
            <w:noWrap w:val="0"/>
            <w:vAlign w:val="top"/>
          </w:tcPr>
          <w:p w14:paraId="45E233B7">
            <w:pPr>
              <w:pStyle w:val="20"/>
              <w:spacing w:line="360" w:lineRule="auto"/>
              <w:ind w:left="1413" w:leftChars="257" w:hanging="539"/>
              <w:rPr>
                <w:rFonts w:hint="eastAsia" w:ascii="宋体" w:hAnsi="宋体" w:eastAsia="宋体" w:cs="宋体"/>
                <w:color w:val="auto"/>
                <w:sz w:val="24"/>
                <w:szCs w:val="24"/>
                <w:highlight w:val="none"/>
              </w:rPr>
            </w:pPr>
          </w:p>
        </w:tc>
      </w:tr>
      <w:tr w14:paraId="0E15E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379" w:type="pct"/>
            <w:tcBorders>
              <w:top w:val="single" w:color="auto" w:sz="4" w:space="0"/>
              <w:left w:val="single" w:color="auto" w:sz="4" w:space="0"/>
              <w:bottom w:val="single" w:color="auto" w:sz="4" w:space="0"/>
              <w:right w:val="single" w:color="auto" w:sz="4" w:space="0"/>
              <w:tl2br w:val="nil"/>
              <w:tr2bl w:val="nil"/>
            </w:tcBorders>
            <w:noWrap w:val="0"/>
            <w:vAlign w:val="top"/>
          </w:tcPr>
          <w:p w14:paraId="7EF019EC">
            <w:pPr>
              <w:pStyle w:val="20"/>
              <w:spacing w:line="360" w:lineRule="auto"/>
              <w:ind w:left="1413" w:leftChars="257" w:hanging="539"/>
              <w:rPr>
                <w:rFonts w:hint="eastAsia" w:ascii="宋体" w:hAnsi="宋体" w:eastAsia="宋体" w:cs="宋体"/>
                <w:color w:val="auto"/>
                <w:sz w:val="24"/>
                <w:szCs w:val="24"/>
                <w:highlight w:val="none"/>
              </w:rPr>
            </w:pPr>
          </w:p>
        </w:tc>
        <w:tc>
          <w:tcPr>
            <w:tcW w:w="1737" w:type="pct"/>
            <w:tcBorders>
              <w:top w:val="single" w:color="auto" w:sz="4" w:space="0"/>
              <w:left w:val="single" w:color="auto" w:sz="4" w:space="0"/>
              <w:bottom w:val="single" w:color="auto" w:sz="4" w:space="0"/>
              <w:right w:val="single" w:color="auto" w:sz="4" w:space="0"/>
              <w:tl2br w:val="nil"/>
              <w:tr2bl w:val="nil"/>
            </w:tcBorders>
            <w:noWrap w:val="0"/>
            <w:vAlign w:val="top"/>
          </w:tcPr>
          <w:p w14:paraId="7AFDC195">
            <w:pPr>
              <w:pStyle w:val="20"/>
              <w:spacing w:line="360" w:lineRule="auto"/>
              <w:ind w:left="1413" w:leftChars="257" w:hanging="539"/>
              <w:rPr>
                <w:rFonts w:hint="eastAsia" w:ascii="宋体" w:hAnsi="宋体" w:eastAsia="宋体" w:cs="宋体"/>
                <w:color w:val="auto"/>
                <w:sz w:val="24"/>
                <w:szCs w:val="24"/>
                <w:highlight w:val="none"/>
              </w:rPr>
            </w:pPr>
          </w:p>
        </w:tc>
        <w:tc>
          <w:tcPr>
            <w:tcW w:w="1398" w:type="pct"/>
            <w:tcBorders>
              <w:top w:val="single" w:color="auto" w:sz="4" w:space="0"/>
              <w:left w:val="single" w:color="auto" w:sz="4" w:space="0"/>
              <w:bottom w:val="single" w:color="auto" w:sz="4" w:space="0"/>
              <w:right w:val="single" w:color="auto" w:sz="4" w:space="0"/>
              <w:tl2br w:val="nil"/>
              <w:tr2bl w:val="nil"/>
            </w:tcBorders>
            <w:noWrap w:val="0"/>
            <w:vAlign w:val="top"/>
          </w:tcPr>
          <w:p w14:paraId="2381AC9D">
            <w:pPr>
              <w:pStyle w:val="20"/>
              <w:spacing w:line="360" w:lineRule="auto"/>
              <w:ind w:left="1413" w:leftChars="257" w:hanging="539"/>
              <w:rPr>
                <w:rFonts w:hint="eastAsia" w:ascii="宋体" w:hAnsi="宋体" w:eastAsia="宋体" w:cs="宋体"/>
                <w:color w:val="auto"/>
                <w:sz w:val="24"/>
                <w:szCs w:val="24"/>
                <w:highlight w:val="none"/>
              </w:rPr>
            </w:pPr>
          </w:p>
        </w:tc>
        <w:tc>
          <w:tcPr>
            <w:tcW w:w="832" w:type="pct"/>
            <w:tcBorders>
              <w:top w:val="single" w:color="auto" w:sz="4" w:space="0"/>
              <w:left w:val="single" w:color="auto" w:sz="4" w:space="0"/>
              <w:bottom w:val="single" w:color="auto" w:sz="4" w:space="0"/>
              <w:right w:val="single" w:color="auto" w:sz="4" w:space="0"/>
              <w:tl2br w:val="nil"/>
              <w:tr2bl w:val="nil"/>
            </w:tcBorders>
            <w:noWrap w:val="0"/>
            <w:vAlign w:val="top"/>
          </w:tcPr>
          <w:p w14:paraId="2A3CA613">
            <w:pPr>
              <w:pStyle w:val="20"/>
              <w:spacing w:line="360" w:lineRule="auto"/>
              <w:ind w:left="1413" w:leftChars="257" w:hanging="539"/>
              <w:rPr>
                <w:rFonts w:hint="eastAsia" w:ascii="宋体" w:hAnsi="宋体" w:eastAsia="宋体" w:cs="宋体"/>
                <w:color w:val="auto"/>
                <w:sz w:val="24"/>
                <w:szCs w:val="24"/>
                <w:highlight w:val="none"/>
              </w:rPr>
            </w:pPr>
          </w:p>
        </w:tc>
        <w:tc>
          <w:tcPr>
            <w:tcW w:w="652" w:type="pct"/>
            <w:tcBorders>
              <w:top w:val="single" w:color="auto" w:sz="4" w:space="0"/>
              <w:left w:val="single" w:color="auto" w:sz="4" w:space="0"/>
              <w:bottom w:val="single" w:color="auto" w:sz="4" w:space="0"/>
              <w:right w:val="single" w:color="auto" w:sz="4" w:space="0"/>
              <w:tl2br w:val="nil"/>
              <w:tr2bl w:val="nil"/>
            </w:tcBorders>
            <w:noWrap w:val="0"/>
            <w:vAlign w:val="top"/>
          </w:tcPr>
          <w:p w14:paraId="23F89AB3">
            <w:pPr>
              <w:pStyle w:val="20"/>
              <w:spacing w:line="360" w:lineRule="auto"/>
              <w:ind w:left="1413" w:leftChars="257" w:hanging="539"/>
              <w:rPr>
                <w:rFonts w:hint="eastAsia" w:ascii="宋体" w:hAnsi="宋体" w:eastAsia="宋体" w:cs="宋体"/>
                <w:color w:val="auto"/>
                <w:sz w:val="24"/>
                <w:szCs w:val="24"/>
                <w:highlight w:val="none"/>
              </w:rPr>
            </w:pPr>
          </w:p>
        </w:tc>
      </w:tr>
    </w:tbl>
    <w:p w14:paraId="610C5B6C">
      <w:pPr>
        <w:pStyle w:val="2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3B278BF9">
      <w:pPr>
        <w:pStyle w:val="2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1.有偏离条款须在该表中逐一列明，并在“投标文件的</w:t>
      </w:r>
      <w:r>
        <w:rPr>
          <w:rFonts w:hint="eastAsia" w:hAnsi="宋体" w:cs="宋体"/>
          <w:color w:val="auto"/>
          <w:sz w:val="24"/>
          <w:szCs w:val="24"/>
          <w:highlight w:val="none"/>
          <w:lang w:val="en-US" w:eastAsia="zh-CN"/>
        </w:rPr>
        <w:t>技术</w:t>
      </w:r>
      <w:r>
        <w:rPr>
          <w:rFonts w:hint="eastAsia" w:ascii="宋体" w:hAnsi="宋体" w:eastAsia="宋体" w:cs="宋体"/>
          <w:color w:val="auto"/>
          <w:sz w:val="24"/>
          <w:szCs w:val="24"/>
          <w:highlight w:val="none"/>
        </w:rPr>
        <w:t>条款”栏填写具体应答内容， 在“</w:t>
      </w:r>
      <w:r>
        <w:rPr>
          <w:rFonts w:hint="eastAsia" w:hAnsi="宋体" w:cs="宋体"/>
          <w:color w:val="auto"/>
          <w:sz w:val="24"/>
          <w:szCs w:val="24"/>
          <w:highlight w:val="none"/>
          <w:lang w:val="en-US" w:eastAsia="zh-CN"/>
        </w:rPr>
        <w:t>说明</w:t>
      </w:r>
      <w:r>
        <w:rPr>
          <w:rFonts w:hint="eastAsia" w:ascii="宋体" w:hAnsi="宋体" w:eastAsia="宋体" w:cs="宋体"/>
          <w:color w:val="auto"/>
          <w:sz w:val="24"/>
          <w:szCs w:val="24"/>
          <w:highlight w:val="none"/>
        </w:rPr>
        <w:t>”中说明偏离具体情形。若无偏离请在“</w:t>
      </w:r>
      <w:r>
        <w:rPr>
          <w:rFonts w:hint="eastAsia" w:hAnsi="宋体" w:cs="宋体"/>
          <w:color w:val="auto"/>
          <w:sz w:val="24"/>
          <w:szCs w:val="24"/>
          <w:highlight w:val="none"/>
          <w:lang w:val="en-US" w:eastAsia="zh-CN"/>
        </w:rPr>
        <w:t>偏离情况</w:t>
      </w:r>
      <w:r>
        <w:rPr>
          <w:rFonts w:hint="eastAsia" w:ascii="宋体" w:hAnsi="宋体" w:eastAsia="宋体" w:cs="宋体"/>
          <w:color w:val="auto"/>
          <w:sz w:val="24"/>
          <w:szCs w:val="24"/>
          <w:highlight w:val="none"/>
        </w:rPr>
        <w:t>”中填写“无偏离”。</w:t>
      </w:r>
    </w:p>
    <w:p w14:paraId="1C366F7C">
      <w:pPr>
        <w:pStyle w:val="2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2.未声明部分将被视为已接受投标文件要求，签约时未经采购人同意不得改变。</w:t>
      </w:r>
    </w:p>
    <w:p w14:paraId="2A2E051C">
      <w:pPr>
        <w:pStyle w:val="2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3.投标人可根据其投标内容进一步细化上述表格，并可增添其它表格或说明以便进一步明确投标内容。</w:t>
      </w:r>
    </w:p>
    <w:p w14:paraId="6E830F1D">
      <w:pPr>
        <w:pStyle w:val="21"/>
        <w:rPr>
          <w:rFonts w:hint="eastAsia"/>
        </w:rPr>
      </w:pPr>
    </w:p>
    <w:p w14:paraId="32BEB481">
      <w:pPr>
        <w:pStyle w:val="2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法定代表人或授权代表（签字或盖章）</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w:t>
      </w:r>
    </w:p>
    <w:p w14:paraId="74D5BC66">
      <w:pPr>
        <w:pStyle w:val="20"/>
        <w:tabs>
          <w:tab w:val="left" w:pos="5580"/>
        </w:tabs>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投标人(盖章):</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p>
    <w:p w14:paraId="0C358343">
      <w:pPr>
        <w:pStyle w:val="20"/>
        <w:tabs>
          <w:tab w:val="left" w:pos="5580"/>
        </w:tabs>
        <w:spacing w:line="360" w:lineRule="auto"/>
        <w:ind w:firstLine="480" w:firstLineChars="200"/>
        <w:rPr>
          <w:rFonts w:hint="eastAsia" w:ascii="宋体" w:hAnsi="宋体" w:eastAsia="宋体" w:cs="宋体"/>
          <w:color w:val="auto"/>
          <w:sz w:val="24"/>
          <w:szCs w:val="24"/>
          <w:highlight w:val="none"/>
        </w:rPr>
        <w:sectPr>
          <w:type w:val="nextColumn"/>
          <w:pgSz w:w="11905" w:h="16838"/>
          <w:pgMar w:top="1247" w:right="1423" w:bottom="1247" w:left="1423" w:header="0" w:footer="907" w:gutter="0"/>
          <w:lnNumType w:countBy="0" w:distance="360"/>
          <w:pgNumType w:fmt="decimal"/>
          <w:cols w:space="0" w:num="1"/>
          <w:rtlGutter w:val="0"/>
          <w:docGrid w:linePitch="312" w:charSpace="0"/>
        </w:sect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p>
    <w:p w14:paraId="03899473">
      <w:pPr>
        <w:rPr>
          <w:rFonts w:hint="eastAsia"/>
          <w:b/>
          <w:bCs/>
          <w:sz w:val="24"/>
          <w:highlight w:val="none"/>
        </w:rPr>
      </w:pPr>
      <w:r>
        <w:rPr>
          <w:rFonts w:hint="eastAsia"/>
          <w:b/>
          <w:bCs/>
          <w:sz w:val="24"/>
          <w:highlight w:val="none"/>
        </w:rPr>
        <w:t>附件</w:t>
      </w:r>
      <w:bookmarkStart w:id="430" w:name="_Toc71631935"/>
      <w:r>
        <w:rPr>
          <w:rFonts w:hint="eastAsia"/>
          <w:b/>
          <w:bCs/>
          <w:sz w:val="24"/>
          <w:highlight w:val="none"/>
          <w:lang w:val="en-US" w:eastAsia="zh-CN"/>
        </w:rPr>
        <w:t>7</w:t>
      </w:r>
      <w:r>
        <w:rPr>
          <w:rFonts w:hint="eastAsia"/>
          <w:b/>
          <w:bCs/>
          <w:sz w:val="24"/>
          <w:highlight w:val="none"/>
        </w:rPr>
        <w:t>中小企业声明函</w:t>
      </w:r>
      <w:bookmarkEnd w:id="430"/>
      <w:r>
        <w:rPr>
          <w:rFonts w:hint="eastAsia"/>
          <w:b/>
          <w:bCs/>
          <w:sz w:val="24"/>
          <w:highlight w:val="none"/>
        </w:rPr>
        <w:t>（如是）</w:t>
      </w:r>
      <w:bookmarkEnd w:id="427"/>
      <w:bookmarkEnd w:id="428"/>
      <w:bookmarkEnd w:id="429"/>
    </w:p>
    <w:p w14:paraId="2B9FB7EF">
      <w:pPr>
        <w:widowControl/>
        <w:snapToGrid w:val="0"/>
        <w:spacing w:line="360" w:lineRule="auto"/>
        <w:ind w:hanging="540"/>
        <w:jc w:val="center"/>
        <w:rPr>
          <w:rFonts w:hint="eastAsia" w:ascii="宋体" w:hAnsi="宋体" w:eastAsia="宋体" w:cs="宋体"/>
          <w:b/>
          <w:color w:val="auto"/>
          <w:sz w:val="24"/>
          <w:szCs w:val="24"/>
          <w:highlight w:val="none"/>
        </w:rPr>
      </w:pPr>
    </w:p>
    <w:p w14:paraId="1DCE2188">
      <w:pPr>
        <w:pStyle w:val="20"/>
        <w:tabs>
          <w:tab w:val="left" w:pos="5580"/>
        </w:tabs>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本公司（联合体）郑重声明，根据《政府采购促进中小企业发展管理办法》（财库﹝2020﹞46 号）的规定，本公司（联合体）参加</w:t>
      </w:r>
      <w:r>
        <w:rPr>
          <w:rFonts w:hint="eastAsia" w:ascii="宋体" w:hAnsi="宋体" w:eastAsia="宋体" w:cs="宋体"/>
          <w:i/>
          <w:color w:val="auto"/>
          <w:sz w:val="24"/>
          <w:szCs w:val="24"/>
          <w:highlight w:val="none"/>
          <w:u w:val="single"/>
        </w:rPr>
        <w:t>（单位名称）</w:t>
      </w:r>
      <w:r>
        <w:rPr>
          <w:rFonts w:hint="eastAsia" w:ascii="宋体" w:hAnsi="宋体" w:eastAsia="宋体" w:cs="宋体"/>
          <w:color w:val="auto"/>
          <w:sz w:val="24"/>
          <w:szCs w:val="24"/>
          <w:highlight w:val="none"/>
        </w:rPr>
        <w:t>的</w:t>
      </w:r>
      <w:r>
        <w:rPr>
          <w:rFonts w:hint="eastAsia" w:ascii="宋体" w:hAnsi="宋体" w:eastAsia="宋体" w:cs="宋体"/>
          <w:i/>
          <w:color w:val="auto"/>
          <w:sz w:val="24"/>
          <w:szCs w:val="24"/>
          <w:highlight w:val="none"/>
          <w:u w:val="single"/>
        </w:rPr>
        <w:t>（项目名称）</w:t>
      </w:r>
      <w:r>
        <w:rPr>
          <w:rFonts w:hint="eastAsia" w:ascii="宋体" w:hAnsi="宋体" w:eastAsia="宋体" w:cs="宋体"/>
          <w:color w:val="auto"/>
          <w:sz w:val="24"/>
          <w:szCs w:val="24"/>
          <w:highlight w:val="none"/>
        </w:rPr>
        <w:t>采购活动，提供的货物全部由符合政策要求的中小企业制造。相关企业（含联合体中的中小企业、签订分包意向协议的中小企业）的具体情况如下：</w:t>
      </w:r>
    </w:p>
    <w:p w14:paraId="330AF201">
      <w:pPr>
        <w:pStyle w:val="20"/>
        <w:tabs>
          <w:tab w:val="left" w:pos="5580"/>
        </w:tabs>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 </w:t>
      </w:r>
      <w:r>
        <w:rPr>
          <w:rFonts w:hint="eastAsia" w:ascii="宋体" w:hAnsi="宋体" w:eastAsia="宋体" w:cs="宋体"/>
          <w:i/>
          <w:color w:val="auto"/>
          <w:sz w:val="24"/>
          <w:szCs w:val="24"/>
          <w:highlight w:val="none"/>
          <w:u w:val="single"/>
        </w:rPr>
        <w:t>（标的名称）</w:t>
      </w:r>
      <w:r>
        <w:rPr>
          <w:rFonts w:hint="eastAsia" w:ascii="宋体" w:hAnsi="宋体" w:eastAsia="宋体" w:cs="宋体"/>
          <w:color w:val="auto"/>
          <w:sz w:val="24"/>
          <w:szCs w:val="24"/>
          <w:highlight w:val="none"/>
        </w:rPr>
        <w:t xml:space="preserve"> ，属于</w:t>
      </w:r>
      <w:r>
        <w:rPr>
          <w:rFonts w:hint="eastAsia" w:ascii="宋体" w:hAnsi="宋体" w:eastAsia="宋体" w:cs="宋体"/>
          <w:i/>
          <w:color w:val="auto"/>
          <w:sz w:val="24"/>
          <w:szCs w:val="24"/>
          <w:highlight w:val="none"/>
          <w:u w:val="single"/>
        </w:rPr>
        <w:t>（采购文件中明确的所属行业）</w:t>
      </w:r>
      <w:r>
        <w:rPr>
          <w:rFonts w:hint="eastAsia" w:ascii="宋体" w:hAnsi="宋体" w:eastAsia="宋体" w:cs="宋体"/>
          <w:color w:val="auto"/>
          <w:sz w:val="24"/>
          <w:szCs w:val="24"/>
          <w:highlight w:val="none"/>
        </w:rPr>
        <w:t>行业；制造商为</w:t>
      </w:r>
      <w:r>
        <w:rPr>
          <w:rFonts w:hint="eastAsia" w:ascii="宋体" w:hAnsi="宋体" w:eastAsia="宋体" w:cs="宋体"/>
          <w:i/>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i/>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73E9FB22">
      <w:pPr>
        <w:pStyle w:val="20"/>
        <w:tabs>
          <w:tab w:val="left" w:pos="5580"/>
        </w:tabs>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 </w:t>
      </w:r>
      <w:r>
        <w:rPr>
          <w:rFonts w:hint="eastAsia" w:ascii="宋体" w:hAnsi="宋体" w:eastAsia="宋体" w:cs="宋体"/>
          <w:color w:val="auto"/>
          <w:sz w:val="24"/>
          <w:szCs w:val="24"/>
          <w:highlight w:val="none"/>
          <w:u w:val="single"/>
        </w:rPr>
        <w:t>（</w:t>
      </w:r>
      <w:r>
        <w:rPr>
          <w:rFonts w:hint="eastAsia" w:ascii="宋体" w:hAnsi="宋体" w:eastAsia="宋体" w:cs="宋体"/>
          <w:i/>
          <w:color w:val="auto"/>
          <w:sz w:val="24"/>
          <w:szCs w:val="24"/>
          <w:highlight w:val="none"/>
          <w:u w:val="single"/>
        </w:rPr>
        <w:t>标的名称）</w:t>
      </w:r>
      <w:r>
        <w:rPr>
          <w:rFonts w:hint="eastAsia" w:ascii="宋体" w:hAnsi="宋体" w:eastAsia="宋体" w:cs="宋体"/>
          <w:color w:val="auto"/>
          <w:sz w:val="24"/>
          <w:szCs w:val="24"/>
          <w:highlight w:val="none"/>
        </w:rPr>
        <w:t xml:space="preserve"> ，属于</w:t>
      </w:r>
      <w:r>
        <w:rPr>
          <w:rFonts w:hint="eastAsia" w:ascii="宋体" w:hAnsi="宋体" w:eastAsia="宋体" w:cs="宋体"/>
          <w:i/>
          <w:color w:val="auto"/>
          <w:sz w:val="24"/>
          <w:szCs w:val="24"/>
          <w:highlight w:val="none"/>
          <w:u w:val="single"/>
        </w:rPr>
        <w:t>（采购文件中明确的所属行业）</w:t>
      </w:r>
      <w:r>
        <w:rPr>
          <w:rFonts w:hint="eastAsia" w:ascii="宋体" w:hAnsi="宋体" w:eastAsia="宋体" w:cs="宋体"/>
          <w:color w:val="auto"/>
          <w:sz w:val="24"/>
          <w:szCs w:val="24"/>
          <w:highlight w:val="none"/>
        </w:rPr>
        <w:t>行业；制造商为</w:t>
      </w:r>
      <w:r>
        <w:rPr>
          <w:rFonts w:hint="eastAsia" w:ascii="宋体" w:hAnsi="宋体" w:eastAsia="宋体" w:cs="宋体"/>
          <w:i/>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i/>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374F2E9A">
      <w:pPr>
        <w:pStyle w:val="20"/>
        <w:tabs>
          <w:tab w:val="left" w:pos="5580"/>
        </w:tabs>
        <w:adjustRightInd w:val="0"/>
        <w:snapToGrid w:val="0"/>
        <w:spacing w:line="360" w:lineRule="auto"/>
        <w:ind w:left="46" w:hanging="45" w:hangingChars="1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2E158C0C">
      <w:pPr>
        <w:pStyle w:val="20"/>
        <w:tabs>
          <w:tab w:val="left" w:pos="5580"/>
        </w:tabs>
        <w:adjustRightInd w:val="0"/>
        <w:snapToGrid w:val="0"/>
        <w:spacing w:line="360" w:lineRule="auto"/>
        <w:ind w:firstLine="491" w:firstLineChars="20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以上企业，不属于大企业的分支机构，不存在控股股东为大企业的情形，也不存在与大企业的负责人为同一人的情形。</w:t>
      </w:r>
    </w:p>
    <w:p w14:paraId="05C9A6FA">
      <w:pPr>
        <w:pStyle w:val="20"/>
        <w:tabs>
          <w:tab w:val="left" w:pos="5580"/>
        </w:tabs>
        <w:adjustRightInd w:val="0"/>
        <w:snapToGrid w:val="0"/>
        <w:spacing w:line="360" w:lineRule="auto"/>
        <w:ind w:firstLine="491" w:firstLineChars="20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本企业对上述声明内容的真实性负责。如有虚假，将依法承担相应责任。</w:t>
      </w:r>
    </w:p>
    <w:p w14:paraId="698E4985">
      <w:pPr>
        <w:pStyle w:val="20"/>
        <w:tabs>
          <w:tab w:val="left" w:pos="5580"/>
        </w:tabs>
        <w:adjustRightInd w:val="0"/>
        <w:snapToGrid w:val="0"/>
        <w:spacing w:line="360" w:lineRule="auto"/>
        <w:ind w:hanging="527"/>
        <w:rPr>
          <w:rFonts w:hint="eastAsia" w:ascii="宋体" w:hAnsi="宋体" w:eastAsia="宋体" w:cs="宋体"/>
          <w:color w:val="auto"/>
          <w:sz w:val="24"/>
          <w:szCs w:val="24"/>
          <w:highlight w:val="none"/>
        </w:rPr>
      </w:pPr>
    </w:p>
    <w:p w14:paraId="15685B07">
      <w:pPr>
        <w:pStyle w:val="20"/>
        <w:tabs>
          <w:tab w:val="left" w:pos="5580"/>
        </w:tabs>
        <w:adjustRightInd w:val="0"/>
        <w:snapToGrid w:val="0"/>
        <w:spacing w:line="360" w:lineRule="auto"/>
        <w:ind w:hanging="527"/>
        <w:rPr>
          <w:rFonts w:hint="eastAsia" w:ascii="宋体" w:hAnsi="宋体" w:eastAsia="宋体" w:cs="宋体"/>
          <w:color w:val="auto"/>
          <w:sz w:val="24"/>
          <w:szCs w:val="24"/>
          <w:highlight w:val="none"/>
        </w:rPr>
      </w:pPr>
    </w:p>
    <w:p w14:paraId="2BC87F53">
      <w:pPr>
        <w:pStyle w:val="20"/>
        <w:tabs>
          <w:tab w:val="left" w:pos="5580"/>
        </w:tabs>
        <w:adjustRightInd w:val="0"/>
        <w:snapToGrid w:val="0"/>
        <w:spacing w:line="360" w:lineRule="auto"/>
        <w:ind w:firstLine="4680" w:firstLineChars="19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企业名称（盖章）：</w:t>
      </w:r>
    </w:p>
    <w:p w14:paraId="61B036F5">
      <w:pPr>
        <w:pStyle w:val="20"/>
        <w:tabs>
          <w:tab w:val="left" w:pos="5580"/>
        </w:tabs>
        <w:adjustRightInd w:val="0"/>
        <w:snapToGrid w:val="0"/>
        <w:spacing w:line="360" w:lineRule="auto"/>
        <w:ind w:firstLine="4680" w:firstLineChars="19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1895643E">
      <w:pPr>
        <w:pStyle w:val="20"/>
        <w:tabs>
          <w:tab w:val="left" w:pos="5580"/>
        </w:tabs>
        <w:adjustRightInd w:val="0"/>
        <w:snapToGrid w:val="0"/>
        <w:spacing w:line="360" w:lineRule="auto"/>
        <w:ind w:hanging="527"/>
        <w:rPr>
          <w:rFonts w:hint="eastAsia" w:ascii="宋体" w:hAnsi="宋体" w:eastAsia="宋体" w:cs="宋体"/>
          <w:color w:val="auto"/>
          <w:sz w:val="24"/>
          <w:szCs w:val="24"/>
          <w:highlight w:val="none"/>
        </w:rPr>
      </w:pPr>
    </w:p>
    <w:p w14:paraId="60E49C7E">
      <w:pPr>
        <w:pStyle w:val="20"/>
        <w:tabs>
          <w:tab w:val="left" w:pos="5580"/>
        </w:tabs>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注1、从业人员、营业收入、资产总额填报</w:t>
      </w:r>
      <w:r>
        <w:rPr>
          <w:rFonts w:hint="eastAsia" w:hAnsi="宋体" w:cs="宋体"/>
          <w:color w:val="auto"/>
          <w:sz w:val="24"/>
          <w:szCs w:val="24"/>
          <w:highlight w:val="none"/>
          <w:lang w:eastAsia="zh-CN"/>
        </w:rPr>
        <w:t>202</w:t>
      </w:r>
      <w:r>
        <w:rPr>
          <w:rFonts w:hint="eastAsia" w:hAnsi="宋体" w:cs="宋体"/>
          <w:color w:val="auto"/>
          <w:sz w:val="24"/>
          <w:szCs w:val="24"/>
          <w:highlight w:val="none"/>
          <w:lang w:val="en-US" w:eastAsia="zh-CN"/>
        </w:rPr>
        <w:t>5</w:t>
      </w:r>
      <w:r>
        <w:rPr>
          <w:rFonts w:hint="eastAsia" w:hAnsi="宋体" w:cs="宋体"/>
          <w:color w:val="auto"/>
          <w:sz w:val="24"/>
          <w:szCs w:val="24"/>
          <w:highlight w:val="none"/>
          <w:lang w:eastAsia="zh-CN"/>
        </w:rPr>
        <w:t>年度</w:t>
      </w:r>
      <w:r>
        <w:rPr>
          <w:rFonts w:hint="eastAsia" w:ascii="宋体" w:hAnsi="宋体" w:eastAsia="宋体" w:cs="宋体"/>
          <w:color w:val="auto"/>
          <w:sz w:val="24"/>
          <w:szCs w:val="24"/>
          <w:highlight w:val="none"/>
        </w:rPr>
        <w:t>数据，无</w:t>
      </w:r>
      <w:r>
        <w:rPr>
          <w:rFonts w:hint="eastAsia" w:hAnsi="宋体" w:cs="宋体"/>
          <w:color w:val="auto"/>
          <w:sz w:val="24"/>
          <w:szCs w:val="24"/>
          <w:highlight w:val="none"/>
          <w:lang w:eastAsia="zh-CN"/>
        </w:rPr>
        <w:t>202</w:t>
      </w:r>
      <w:r>
        <w:rPr>
          <w:rFonts w:hint="eastAsia" w:hAnsi="宋体" w:cs="宋体"/>
          <w:color w:val="auto"/>
          <w:sz w:val="24"/>
          <w:szCs w:val="24"/>
          <w:highlight w:val="none"/>
          <w:lang w:val="en-US" w:eastAsia="zh-CN"/>
        </w:rPr>
        <w:t>5</w:t>
      </w:r>
      <w:r>
        <w:rPr>
          <w:rFonts w:hint="eastAsia" w:hAnsi="宋体" w:cs="宋体"/>
          <w:color w:val="auto"/>
          <w:sz w:val="24"/>
          <w:szCs w:val="24"/>
          <w:highlight w:val="none"/>
          <w:lang w:eastAsia="zh-CN"/>
        </w:rPr>
        <w:t>年度</w:t>
      </w:r>
      <w:r>
        <w:rPr>
          <w:rFonts w:hint="eastAsia" w:ascii="宋体" w:hAnsi="宋体" w:eastAsia="宋体" w:cs="宋体"/>
          <w:color w:val="auto"/>
          <w:sz w:val="24"/>
          <w:szCs w:val="24"/>
          <w:highlight w:val="none"/>
        </w:rPr>
        <w:t>数据的新成立企业可不填报。</w:t>
      </w:r>
    </w:p>
    <w:p w14:paraId="4AF410C8">
      <w:pPr>
        <w:pStyle w:val="20"/>
        <w:tabs>
          <w:tab w:val="left" w:pos="5580"/>
        </w:tabs>
        <w:adjustRightInd w:val="0"/>
        <w:snapToGrid w:val="0"/>
        <w:spacing w:line="360" w:lineRule="auto"/>
        <w:outlineLvl w:val="1"/>
        <w:rPr>
          <w:rFonts w:hint="eastAsia" w:ascii="宋体" w:hAnsi="宋体" w:eastAsia="宋体" w:cs="宋体"/>
          <w:color w:val="auto"/>
          <w:sz w:val="24"/>
          <w:szCs w:val="24"/>
          <w:highlight w:val="none"/>
        </w:rPr>
      </w:pPr>
      <w:bookmarkStart w:id="431" w:name="_Toc27216"/>
      <w:r>
        <w:rPr>
          <w:rFonts w:hint="eastAsia" w:ascii="宋体" w:hAnsi="宋体" w:eastAsia="宋体" w:cs="宋体"/>
          <w:color w:val="auto"/>
          <w:sz w:val="24"/>
          <w:szCs w:val="24"/>
          <w:highlight w:val="none"/>
        </w:rPr>
        <w:t>2、请在本表中填写</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rPr>
        <w:t>中写明的中小企业行业类别。</w:t>
      </w:r>
      <w:bookmarkEnd w:id="431"/>
    </w:p>
    <w:p w14:paraId="3D958C63">
      <w:pPr>
        <w:pStyle w:val="56"/>
        <w:adjustRightInd w:val="0"/>
        <w:snapToGrid w:val="0"/>
        <w:spacing w:before="0"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3、制造商如为监狱企业或残疾人福利性单位的，视同为小型、微型企业，请填写此声明函，并需要出具相应的声明函和证明文件（格式后附）。</w:t>
      </w:r>
    </w:p>
    <w:p w14:paraId="015E801F">
      <w:pPr>
        <w:widowControl/>
        <w:adjustRightInd/>
        <w:spacing w:line="360" w:lineRule="auto"/>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br w:type="page"/>
      </w:r>
    </w:p>
    <w:p w14:paraId="20E6ECED">
      <w:pPr>
        <w:rPr>
          <w:rFonts w:hint="eastAsia"/>
          <w:b/>
          <w:bCs/>
          <w:sz w:val="24"/>
          <w:highlight w:val="none"/>
        </w:rPr>
      </w:pPr>
      <w:bookmarkStart w:id="432" w:name="_Toc71631936"/>
      <w:bookmarkStart w:id="433" w:name="_Toc9608"/>
      <w:bookmarkStart w:id="434" w:name="_Toc17905"/>
      <w:bookmarkStart w:id="435" w:name="_Toc17478"/>
      <w:bookmarkStart w:id="436" w:name="_Toc32390"/>
      <w:bookmarkStart w:id="437" w:name="_Toc5109"/>
      <w:r>
        <w:rPr>
          <w:rFonts w:hint="eastAsia"/>
          <w:b/>
          <w:bCs/>
          <w:sz w:val="24"/>
          <w:highlight w:val="none"/>
        </w:rPr>
        <w:t>附件</w:t>
      </w:r>
      <w:r>
        <w:rPr>
          <w:rFonts w:hint="eastAsia"/>
          <w:b/>
          <w:bCs/>
          <w:sz w:val="24"/>
          <w:highlight w:val="none"/>
          <w:lang w:val="en-US" w:eastAsia="zh-CN"/>
        </w:rPr>
        <w:t xml:space="preserve">7.1 </w:t>
      </w:r>
      <w:r>
        <w:rPr>
          <w:rFonts w:hint="eastAsia"/>
          <w:b/>
          <w:bCs/>
          <w:sz w:val="24"/>
          <w:highlight w:val="none"/>
        </w:rPr>
        <w:t>监狱企业声明函</w:t>
      </w:r>
      <w:bookmarkEnd w:id="432"/>
      <w:r>
        <w:rPr>
          <w:rFonts w:hint="eastAsia"/>
          <w:b/>
          <w:bCs/>
          <w:sz w:val="24"/>
          <w:highlight w:val="none"/>
        </w:rPr>
        <w:t>（如是）</w:t>
      </w:r>
      <w:bookmarkEnd w:id="433"/>
      <w:bookmarkEnd w:id="434"/>
      <w:bookmarkEnd w:id="435"/>
      <w:bookmarkEnd w:id="436"/>
      <w:bookmarkEnd w:id="437"/>
    </w:p>
    <w:p w14:paraId="49ECD61C">
      <w:pPr>
        <w:widowControl/>
        <w:snapToGrid w:val="0"/>
        <w:spacing w:line="360" w:lineRule="auto"/>
        <w:jc w:val="left"/>
        <w:rPr>
          <w:rFonts w:hint="eastAsia" w:ascii="宋体" w:hAnsi="宋体" w:eastAsia="宋体" w:cs="宋体"/>
          <w:b/>
          <w:color w:val="auto"/>
          <w:sz w:val="24"/>
          <w:szCs w:val="24"/>
          <w:highlight w:val="none"/>
        </w:rPr>
      </w:pPr>
    </w:p>
    <w:p w14:paraId="400F8A1F">
      <w:pPr>
        <w:widowControl/>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本单位郑重声明，本单位在参加</w:t>
      </w:r>
      <w:r>
        <w:rPr>
          <w:rFonts w:hint="eastAsia" w:ascii="宋体" w:hAnsi="宋体" w:eastAsia="宋体" w:cs="宋体"/>
          <w:color w:val="auto"/>
          <w:sz w:val="24"/>
          <w:szCs w:val="24"/>
          <w:highlight w:val="none"/>
          <w:u w:val="single"/>
        </w:rPr>
        <w:t>（采购人名称）</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（招标项目名称）</w:t>
      </w:r>
      <w:r>
        <w:rPr>
          <w:rFonts w:hint="eastAsia" w:ascii="宋体" w:hAnsi="宋体" w:eastAsia="宋体" w:cs="宋体"/>
          <w:color w:val="auto"/>
          <w:sz w:val="24"/>
          <w:szCs w:val="24"/>
          <w:highlight w:val="none"/>
        </w:rPr>
        <w:t>项目采购活动提供以下监狱企业制造的货物（或监狱企业承担的工程、或监狱企业承接的服务），具体情况如下：（按照实际情况勾选或填空）</w:t>
      </w:r>
    </w:p>
    <w:p w14:paraId="7020637C">
      <w:pPr>
        <w:widowControl/>
        <w:snapToGrid w:val="0"/>
        <w:spacing w:line="360" w:lineRule="auto"/>
        <w:ind w:firstLine="360" w:firstLineChars="1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u w:val="single"/>
        </w:rPr>
        <w:t>（制造商名称）</w:t>
      </w:r>
      <w:r>
        <w:rPr>
          <w:rFonts w:hint="eastAsia" w:ascii="宋体" w:hAnsi="宋体" w:eastAsia="宋体" w:cs="宋体"/>
          <w:color w:val="auto"/>
          <w:sz w:val="24"/>
          <w:szCs w:val="24"/>
          <w:highlight w:val="none"/>
        </w:rPr>
        <w:t>属于监狱企业，后附省级以上监狱管理局、戒毒管理局（含新疆生产建设兵团）出具的属于监狱企业的证明文件。</w:t>
      </w:r>
    </w:p>
    <w:p w14:paraId="3FF32331">
      <w:pPr>
        <w:widowControl/>
        <w:snapToGrid w:val="0"/>
        <w:spacing w:line="360" w:lineRule="auto"/>
        <w:ind w:firstLine="42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u w:val="single"/>
        </w:rPr>
        <w:t>（制造商名称）</w:t>
      </w:r>
      <w:r>
        <w:rPr>
          <w:rFonts w:hint="eastAsia" w:ascii="宋体" w:hAnsi="宋体" w:eastAsia="宋体" w:cs="宋体"/>
          <w:color w:val="auto"/>
          <w:sz w:val="24"/>
          <w:szCs w:val="24"/>
          <w:highlight w:val="none"/>
        </w:rPr>
        <w:t>属于监狱企业并作为联合体一方，其提供协议合同金额占到共同投标协议合同总金额的比例为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。后附省级以上监狱管理局、戒毒管理局（含新疆生产建设兵团）出具的属于监狱企业的证明文件。</w:t>
      </w:r>
    </w:p>
    <w:p w14:paraId="45D1295D">
      <w:pPr>
        <w:widowControl/>
        <w:snapToGrid w:val="0"/>
        <w:spacing w:line="360" w:lineRule="auto"/>
        <w:ind w:firstLine="42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u w:val="single"/>
        </w:rPr>
        <w:t>（制造商名称）</w:t>
      </w:r>
      <w:r>
        <w:rPr>
          <w:rFonts w:hint="eastAsia" w:ascii="宋体" w:hAnsi="宋体" w:eastAsia="宋体" w:cs="宋体"/>
          <w:color w:val="auto"/>
          <w:sz w:val="24"/>
          <w:szCs w:val="24"/>
          <w:highlight w:val="none"/>
        </w:rPr>
        <w:t>属于监狱企业并作为分包方，其提供协议合同金额占到分包意向协议合同总金额的比例为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。后附省级以上监狱管理局、戒毒管理局（含新疆生产建设兵团）出具的属于监狱企业的证明文件。</w:t>
      </w:r>
    </w:p>
    <w:p w14:paraId="395C4439">
      <w:pPr>
        <w:widowControl/>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本单位对上述声明的真实性负责。如有虚假，将依法承担相应责任。</w:t>
      </w:r>
    </w:p>
    <w:p w14:paraId="028B6A48">
      <w:pPr>
        <w:widowControl/>
        <w:snapToGrid w:val="0"/>
        <w:spacing w:line="360" w:lineRule="auto"/>
        <w:jc w:val="left"/>
        <w:rPr>
          <w:rFonts w:hint="eastAsia" w:ascii="宋体" w:hAnsi="宋体" w:eastAsia="宋体" w:cs="宋体"/>
          <w:color w:val="auto"/>
          <w:sz w:val="24"/>
          <w:szCs w:val="24"/>
          <w:highlight w:val="none"/>
        </w:rPr>
      </w:pPr>
    </w:p>
    <w:p w14:paraId="08746753">
      <w:pPr>
        <w:pStyle w:val="25"/>
        <w:spacing w:line="360" w:lineRule="auto"/>
        <w:rPr>
          <w:rFonts w:hint="eastAsia" w:ascii="宋体" w:hAnsi="宋体" w:eastAsia="宋体" w:cs="宋体"/>
          <w:color w:val="auto"/>
          <w:sz w:val="24"/>
          <w:szCs w:val="24"/>
          <w:highlight w:val="none"/>
        </w:rPr>
      </w:pPr>
    </w:p>
    <w:p w14:paraId="0FD62F43">
      <w:pPr>
        <w:widowControl/>
        <w:snapToGrid w:val="0"/>
        <w:spacing w:line="360" w:lineRule="auto"/>
        <w:jc w:val="left"/>
        <w:rPr>
          <w:rFonts w:hint="eastAsia" w:ascii="宋体" w:hAnsi="宋体" w:eastAsia="宋体" w:cs="宋体"/>
          <w:color w:val="auto"/>
          <w:sz w:val="24"/>
          <w:szCs w:val="24"/>
          <w:highlight w:val="none"/>
        </w:rPr>
      </w:pPr>
    </w:p>
    <w:p w14:paraId="3533E769">
      <w:pPr>
        <w:widowControl/>
        <w:snapToGrid w:val="0"/>
        <w:spacing w:line="360" w:lineRule="auto"/>
        <w:ind w:firstLine="5301" w:firstLineChars="2200"/>
        <w:jc w:val="left"/>
        <w:rPr>
          <w:rFonts w:hint="eastAsia" w:ascii="宋体" w:hAnsi="宋体" w:eastAsia="宋体" w:cs="宋体"/>
          <w:b/>
          <w:color w:val="auto"/>
          <w:sz w:val="24"/>
          <w:szCs w:val="24"/>
          <w:highlight w:val="none"/>
        </w:rPr>
      </w:pPr>
    </w:p>
    <w:p w14:paraId="1903B986">
      <w:pPr>
        <w:widowControl/>
        <w:snapToGrid w:val="0"/>
        <w:spacing w:line="360" w:lineRule="auto"/>
        <w:ind w:firstLine="5280" w:firstLineChars="2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单位名称（盖章）：</w:t>
      </w:r>
    </w:p>
    <w:p w14:paraId="0D53DC0A">
      <w:pPr>
        <w:widowControl/>
        <w:snapToGrid w:val="0"/>
        <w:spacing w:line="360" w:lineRule="auto"/>
        <w:ind w:firstLine="5280" w:firstLineChars="2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p>
    <w:p w14:paraId="6246AB57">
      <w:pPr>
        <w:widowControl/>
        <w:adjustRightInd/>
        <w:spacing w:line="360" w:lineRule="auto"/>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br w:type="page"/>
      </w:r>
    </w:p>
    <w:p w14:paraId="351B704D">
      <w:pPr>
        <w:rPr>
          <w:rFonts w:hint="eastAsia"/>
          <w:b/>
          <w:bCs/>
          <w:sz w:val="24"/>
          <w:highlight w:val="none"/>
        </w:rPr>
      </w:pPr>
      <w:bookmarkStart w:id="438" w:name="_Toc71631937"/>
      <w:bookmarkStart w:id="439" w:name="_Toc16712"/>
      <w:bookmarkStart w:id="440" w:name="_Toc13918"/>
      <w:bookmarkStart w:id="441" w:name="_Toc28543"/>
      <w:bookmarkStart w:id="442" w:name="_Toc32233"/>
      <w:bookmarkStart w:id="443" w:name="_Toc19189"/>
      <w:bookmarkStart w:id="444" w:name="OLE_LINK13"/>
      <w:bookmarkStart w:id="445" w:name="OLE_LINK14"/>
      <w:r>
        <w:rPr>
          <w:rFonts w:hint="eastAsia"/>
          <w:b/>
          <w:bCs/>
          <w:sz w:val="24"/>
          <w:highlight w:val="none"/>
        </w:rPr>
        <w:t>附件</w:t>
      </w:r>
      <w:r>
        <w:rPr>
          <w:rFonts w:hint="eastAsia"/>
          <w:b/>
          <w:bCs/>
          <w:sz w:val="24"/>
          <w:highlight w:val="none"/>
          <w:lang w:val="en-US" w:eastAsia="zh-CN"/>
        </w:rPr>
        <w:t xml:space="preserve">7.2 </w:t>
      </w:r>
      <w:r>
        <w:rPr>
          <w:rFonts w:hint="eastAsia"/>
          <w:b/>
          <w:bCs/>
          <w:sz w:val="24"/>
          <w:highlight w:val="none"/>
        </w:rPr>
        <w:t>残疾人福利性单位声明函</w:t>
      </w:r>
      <w:bookmarkEnd w:id="438"/>
      <w:r>
        <w:rPr>
          <w:rFonts w:hint="eastAsia"/>
          <w:b/>
          <w:bCs/>
          <w:sz w:val="24"/>
          <w:highlight w:val="none"/>
        </w:rPr>
        <w:t>（如是）</w:t>
      </w:r>
      <w:bookmarkEnd w:id="439"/>
      <w:bookmarkEnd w:id="440"/>
      <w:bookmarkEnd w:id="441"/>
      <w:bookmarkEnd w:id="442"/>
      <w:bookmarkEnd w:id="443"/>
    </w:p>
    <w:bookmarkEnd w:id="444"/>
    <w:bookmarkEnd w:id="445"/>
    <w:p w14:paraId="0C01CCDC">
      <w:pPr>
        <w:widowControl/>
        <w:adjustRightInd/>
        <w:spacing w:line="360" w:lineRule="auto"/>
        <w:ind w:hanging="540"/>
        <w:jc w:val="center"/>
        <w:rPr>
          <w:rFonts w:hint="eastAsia" w:ascii="宋体" w:hAnsi="宋体" w:eastAsia="宋体" w:cs="宋体"/>
          <w:color w:val="auto"/>
          <w:sz w:val="24"/>
          <w:szCs w:val="24"/>
          <w:highlight w:val="none"/>
        </w:rPr>
      </w:pPr>
    </w:p>
    <w:p w14:paraId="50AC4F98">
      <w:pPr>
        <w:widowControl/>
        <w:adjustRightInd/>
        <w:spacing w:line="360" w:lineRule="auto"/>
        <w:ind w:firstLine="567"/>
        <w:jc w:val="left"/>
        <w:rPr>
          <w:rFonts w:hint="eastAsia" w:ascii="宋体" w:hAnsi="宋体" w:eastAsia="宋体" w:cs="宋体"/>
          <w:color w:val="auto"/>
          <w:sz w:val="24"/>
          <w:szCs w:val="24"/>
          <w:highlight w:val="none"/>
        </w:rPr>
      </w:pPr>
    </w:p>
    <w:p w14:paraId="68957607">
      <w:pPr>
        <w:widowControl/>
        <w:adjustRightInd/>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单位的</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项目采购活动提供本单位制造的货物（由本单位承担工程/提供服务），或者提供其他残疾人福利性单位制造的货物（不包括使用非残疾人福利性单位注册商标的货物）。</w:t>
      </w:r>
    </w:p>
    <w:p w14:paraId="17966E55">
      <w:pPr>
        <w:widowControl/>
        <w:adjustRightInd/>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本单位对上述声明的真实性负责。如有虚假，将依法承担相应责任。</w:t>
      </w:r>
    </w:p>
    <w:p w14:paraId="78CB9858">
      <w:pPr>
        <w:widowControl/>
        <w:adjustRightInd/>
        <w:spacing w:line="360" w:lineRule="auto"/>
        <w:ind w:firstLine="480" w:firstLineChars="200"/>
        <w:jc w:val="left"/>
        <w:rPr>
          <w:rFonts w:hint="eastAsia" w:ascii="宋体" w:hAnsi="宋体" w:eastAsia="宋体" w:cs="宋体"/>
          <w:color w:val="auto"/>
          <w:sz w:val="24"/>
          <w:szCs w:val="24"/>
          <w:highlight w:val="none"/>
        </w:rPr>
      </w:pPr>
    </w:p>
    <w:p w14:paraId="34966E17">
      <w:pPr>
        <w:widowControl/>
        <w:adjustRightInd/>
        <w:spacing w:line="360" w:lineRule="auto"/>
        <w:ind w:firstLine="504" w:firstLineChars="200"/>
        <w:jc w:val="left"/>
        <w:rPr>
          <w:rFonts w:hint="eastAsia" w:ascii="宋体" w:hAnsi="宋体" w:eastAsia="宋体" w:cs="宋体"/>
          <w:color w:val="auto"/>
          <w:spacing w:val="6"/>
          <w:kern w:val="2"/>
          <w:sz w:val="24"/>
          <w:szCs w:val="24"/>
          <w:highlight w:val="none"/>
        </w:rPr>
      </w:pPr>
    </w:p>
    <w:p w14:paraId="687125DC">
      <w:pPr>
        <w:widowControl/>
        <w:adjustRightInd/>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单位名称（盖章）：</w:t>
      </w:r>
    </w:p>
    <w:p w14:paraId="1C171CE6">
      <w:pPr>
        <w:widowControl/>
        <w:adjustRightInd/>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  期：</w:t>
      </w:r>
    </w:p>
    <w:p w14:paraId="4D028098">
      <w:pPr>
        <w:widowControl/>
        <w:adjustRightInd/>
        <w:spacing w:line="360" w:lineRule="auto"/>
        <w:ind w:left="1414" w:leftChars="257" w:hanging="540"/>
        <w:jc w:val="center"/>
        <w:rPr>
          <w:rFonts w:hint="eastAsia" w:ascii="宋体" w:hAnsi="宋体" w:eastAsia="宋体" w:cs="宋体"/>
          <w:b/>
          <w:color w:val="auto"/>
          <w:sz w:val="24"/>
          <w:szCs w:val="24"/>
          <w:highlight w:val="none"/>
        </w:rPr>
      </w:pPr>
    </w:p>
    <w:p w14:paraId="29859604">
      <w:pPr>
        <w:widowControl/>
        <w:adjustRightInd/>
        <w:spacing w:line="360" w:lineRule="auto"/>
        <w:jc w:val="left"/>
        <w:rPr>
          <w:rFonts w:hint="eastAsia" w:ascii="宋体" w:hAnsi="宋体" w:eastAsia="宋体" w:cs="宋体"/>
          <w:b/>
          <w:color w:val="auto"/>
          <w:kern w:val="2"/>
          <w:sz w:val="24"/>
          <w:szCs w:val="24"/>
          <w:highlight w:val="none"/>
        </w:rPr>
      </w:pPr>
      <w:bookmarkStart w:id="446" w:name="_Toc71631941"/>
      <w:r>
        <w:rPr>
          <w:rFonts w:hint="eastAsia" w:ascii="宋体" w:hAnsi="宋体" w:eastAsia="宋体" w:cs="宋体"/>
          <w:color w:val="auto"/>
          <w:kern w:val="2"/>
          <w:sz w:val="24"/>
          <w:szCs w:val="24"/>
          <w:highlight w:val="none"/>
        </w:rPr>
        <w:br w:type="page"/>
      </w:r>
    </w:p>
    <w:p w14:paraId="657C447A">
      <w:pPr>
        <w:pStyle w:val="56"/>
        <w:adjustRightInd w:val="0"/>
        <w:snapToGrid w:val="0"/>
        <w:spacing w:before="0" w:after="0" w:line="360" w:lineRule="auto"/>
        <w:outlineLvl w:val="0"/>
        <w:rPr>
          <w:rFonts w:hint="eastAsia" w:ascii="宋体" w:hAnsi="宋体" w:eastAsia="宋体" w:cs="宋体"/>
          <w:b/>
          <w:color w:val="auto"/>
          <w:sz w:val="24"/>
          <w:szCs w:val="24"/>
          <w:highlight w:val="none"/>
        </w:rPr>
      </w:pPr>
      <w:bookmarkStart w:id="447" w:name="_Toc29840"/>
      <w:bookmarkStart w:id="448" w:name="_Toc2602"/>
      <w:bookmarkStart w:id="449" w:name="_Toc26382"/>
      <w:bookmarkStart w:id="450" w:name="_Toc12988"/>
      <w:bookmarkStart w:id="451" w:name="_Toc28415"/>
      <w:bookmarkStart w:id="452" w:name="_Toc21112"/>
      <w:bookmarkStart w:id="453" w:name="_Toc23124"/>
      <w:r>
        <w:rPr>
          <w:rFonts w:hint="eastAsia" w:ascii="宋体" w:hAnsi="宋体" w:eastAsia="宋体" w:cs="宋体"/>
          <w:b/>
          <w:color w:val="auto"/>
          <w:sz w:val="24"/>
          <w:szCs w:val="24"/>
          <w:highlight w:val="none"/>
        </w:rPr>
        <w:t>附件</w:t>
      </w:r>
      <w:r>
        <w:rPr>
          <w:rFonts w:hint="eastAsia" w:ascii="宋体" w:hAnsi="宋体" w:eastAsia="宋体" w:cs="宋体"/>
          <w:b/>
          <w:color w:val="auto"/>
          <w:sz w:val="24"/>
          <w:szCs w:val="24"/>
          <w:highlight w:val="none"/>
          <w:lang w:val="en-US" w:eastAsia="zh-CN"/>
        </w:rPr>
        <w:t>8</w:t>
      </w:r>
      <w:r>
        <w:rPr>
          <w:rFonts w:hint="eastAsia" w:ascii="宋体" w:hAnsi="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投标文件还应包括的技术文件</w:t>
      </w:r>
      <w:bookmarkEnd w:id="446"/>
      <w:bookmarkEnd w:id="447"/>
      <w:bookmarkEnd w:id="448"/>
      <w:bookmarkEnd w:id="449"/>
      <w:bookmarkEnd w:id="450"/>
      <w:bookmarkEnd w:id="451"/>
      <w:bookmarkEnd w:id="452"/>
      <w:bookmarkEnd w:id="453"/>
    </w:p>
    <w:p w14:paraId="33D770F0">
      <w:pPr>
        <w:pStyle w:val="56"/>
        <w:adjustRightInd w:val="0"/>
        <w:snapToGrid w:val="0"/>
        <w:spacing w:before="0" w:after="0" w:line="360" w:lineRule="auto"/>
        <w:rPr>
          <w:rFonts w:hint="eastAsia" w:ascii="宋体" w:hAnsi="宋体" w:eastAsia="宋体" w:cs="宋体"/>
          <w:color w:val="auto"/>
          <w:sz w:val="24"/>
          <w:szCs w:val="24"/>
          <w:highlight w:val="none"/>
        </w:rPr>
      </w:pPr>
    </w:p>
    <w:p w14:paraId="7506BB26">
      <w:pPr>
        <w:pStyle w:val="56"/>
        <w:adjustRightInd w:val="0"/>
        <w:snapToGrid w:val="0"/>
        <w:spacing w:before="0"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投标人应根据招标文件评标办法的</w:t>
      </w:r>
      <w:r>
        <w:rPr>
          <w:rFonts w:hint="eastAsia" w:ascii="宋体" w:hAnsi="宋体" w:cs="宋体"/>
          <w:color w:val="auto"/>
          <w:sz w:val="24"/>
          <w:szCs w:val="24"/>
          <w:highlight w:val="none"/>
          <w:lang w:val="en-US" w:eastAsia="zh-CN"/>
        </w:rPr>
        <w:t>内容</w:t>
      </w:r>
      <w:bookmarkStart w:id="454" w:name="_GoBack"/>
      <w:bookmarkEnd w:id="454"/>
      <w:r>
        <w:rPr>
          <w:rFonts w:hint="eastAsia" w:ascii="宋体" w:hAnsi="宋体" w:eastAsia="宋体" w:cs="宋体"/>
          <w:color w:val="auto"/>
          <w:sz w:val="24"/>
          <w:szCs w:val="24"/>
          <w:highlight w:val="none"/>
        </w:rPr>
        <w:t>规定自行编写。</w:t>
      </w:r>
    </w:p>
    <w:p w14:paraId="7B3AC13C">
      <w:pPr>
        <w:widowControl/>
        <w:adjustRightInd/>
        <w:spacing w:line="360" w:lineRule="auto"/>
        <w:jc w:val="left"/>
        <w:rPr>
          <w:rFonts w:hint="eastAsia" w:ascii="宋体" w:hAnsi="宋体" w:eastAsia="宋体" w:cs="宋体"/>
          <w:b/>
          <w:color w:val="auto"/>
          <w:kern w:val="2"/>
          <w:sz w:val="24"/>
          <w:szCs w:val="24"/>
          <w:highlight w:val="none"/>
        </w:rPr>
      </w:pPr>
    </w:p>
    <w:sectPr>
      <w:type w:val="nextColumn"/>
      <w:pgSz w:w="11905" w:h="16838"/>
      <w:pgMar w:top="1247" w:right="1423" w:bottom="1247" w:left="1423" w:header="0" w:footer="907" w:gutter="0"/>
      <w:lnNumType w:countBy="0" w:distance="360"/>
      <w:pgNumType w:fmt="decimal"/>
      <w:cols w:space="0" w:num="1"/>
      <w:rtlGutter w:val="0"/>
      <w:docGrid w:linePitch="323"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43F4F60F-73DE-453E-9D0E-1910AA9554F3}"/>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G Times">
    <w:altName w:val="Times New Roman"/>
    <w:panose1 w:val="00000000000000000000"/>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楷体">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swiss"/>
    <w:pitch w:val="default"/>
    <w:sig w:usb0="80000287" w:usb1="2ACF3C50" w:usb2="00000016" w:usb3="00000000" w:csb0="0004001F" w:csb1="00000000"/>
  </w:font>
  <w:font w:name="方正仿宋_GB2312">
    <w:panose1 w:val="02000000000000000000"/>
    <w:charset w:val="86"/>
    <w:family w:val="auto"/>
    <w:pitch w:val="default"/>
    <w:sig w:usb0="A00002BF" w:usb1="184F6CFA" w:usb2="00000012" w:usb3="00000000" w:csb0="00040001" w:csb1="00000000"/>
    <w:embedRegular r:id="rId2" w:fontKey="{CD0210B5-1CD3-4043-8609-2902878F1E06}"/>
  </w:font>
  <w:font w:name="WPSEMBED4">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98B829">
    <w:pPr>
      <w:pStyle w:val="25"/>
      <w:ind w:right="360"/>
      <w:rPr>
        <w:rFonts w:hint="default"/>
        <w:sz w:val="18"/>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9F3760">
    <w:pPr>
      <w:spacing w:line="219" w:lineRule="auto"/>
      <w:rPr>
        <w:rFonts w:ascii="宋体" w:hAnsi="宋体" w:eastAsia="宋体" w:cs="宋体"/>
        <w:sz w:val="17"/>
        <w:szCs w:val="17"/>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E8BB37">
    <w:pPr>
      <w:spacing w:line="176" w:lineRule="auto"/>
      <w:ind w:left="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6B5550">
                          <w:pPr>
                            <w:pStyle w:val="2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196B5550">
                    <w:pPr>
                      <w:pStyle w:val="2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B6E9BF">
    <w:pPr>
      <w:tabs>
        <w:tab w:val="center" w:pos="4529"/>
      </w:tabs>
      <w:spacing w:line="219" w:lineRule="auto"/>
      <w:rPr>
        <w:rFonts w:ascii="宋体" w:hAnsi="宋体" w:eastAsia="宋体" w:cs="宋体"/>
        <w:sz w:val="17"/>
        <w:szCs w:val="17"/>
      </w:rPr>
    </w:pPr>
    <w:r>
      <w:rPr>
        <w:sz w:val="17"/>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553525">
                          <w:pPr>
                            <w:pStyle w:val="2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eh/es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Hof3rMQIAAGMEAAAOAAAAAAAAAAEAIAAAAB8BAABkcnMvZTJvRG9jLnhtbFBLBQYA&#10;AAAABgAGAFkBAADCBQAAAAA=&#10;">
              <v:fill on="f" focussize="0,0"/>
              <v:stroke on="f" weight="0.5pt"/>
              <v:imagedata o:title=""/>
              <o:lock v:ext="edit" aspectratio="f"/>
              <v:textbox inset="0mm,0mm,0mm,0mm" style="mso-fit-shape-to-text:t;">
                <w:txbxContent>
                  <w:p w14:paraId="33553525">
                    <w:pPr>
                      <w:pStyle w:val="2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32277">
    <w:pPr>
      <w:pStyle w:val="25"/>
      <w:jc w:val="cente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0513E9">
                          <w:pPr>
                            <w:pStyle w:val="25"/>
                            <w:jc w:val="center"/>
                          </w:pPr>
                          <w:r>
                            <w:fldChar w:fldCharType="begin"/>
                          </w:r>
                          <w:r>
                            <w:instrText xml:space="preserve"> PAGE   \* MERGEFORMAT </w:instrText>
                          </w:r>
                          <w:r>
                            <w:fldChar w:fldCharType="separate"/>
                          </w:r>
                          <w:r>
                            <w:rPr>
                              <w:lang w:val="zh-CN"/>
                            </w:rPr>
                            <w:t>21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550513E9">
                    <w:pPr>
                      <w:pStyle w:val="25"/>
                      <w:jc w:val="center"/>
                    </w:pPr>
                    <w:r>
                      <w:fldChar w:fldCharType="begin"/>
                    </w:r>
                    <w:r>
                      <w:instrText xml:space="preserve"> PAGE   \* MERGEFORMAT </w:instrText>
                    </w:r>
                    <w:r>
                      <w:fldChar w:fldCharType="separate"/>
                    </w:r>
                    <w:r>
                      <w:rPr>
                        <w:lang w:val="zh-CN"/>
                      </w:rPr>
                      <w:t>21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F4E61A">
    <w:pPr>
      <w:pStyle w:val="26"/>
      <w:pBdr>
        <w:bottom w:val="none" w:color="auto" w:sz="0" w:space="0"/>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4F3669"/>
    <w:multiLevelType w:val="singleLevel"/>
    <w:tmpl w:val="B54F3669"/>
    <w:lvl w:ilvl="0" w:tentative="0">
      <w:start w:val="2"/>
      <w:numFmt w:val="chineseCounting"/>
      <w:suff w:val="nothing"/>
      <w:lvlText w:val="%1、"/>
      <w:lvlJc w:val="left"/>
      <w:rPr>
        <w:rFonts w:hint="eastAsia"/>
      </w:rPr>
    </w:lvl>
  </w:abstractNum>
  <w:abstractNum w:abstractNumId="1">
    <w:nsid w:val="00000002"/>
    <w:multiLevelType w:val="multilevel"/>
    <w:tmpl w:val="00000002"/>
    <w:lvl w:ilvl="0" w:tentative="0">
      <w:start w:val="1"/>
      <w:numFmt w:val="decimal"/>
      <w:pStyle w:val="6"/>
      <w:lvlText w:val="%1."/>
      <w:lvlJc w:val="left"/>
      <w:pPr>
        <w:tabs>
          <w:tab w:val="left" w:pos="425"/>
        </w:tabs>
        <w:ind w:left="425" w:hanging="425"/>
      </w:pPr>
      <w:rPr>
        <w:rFonts w:hint="default"/>
        <w:u w:val="none" w:color="auto"/>
      </w:rPr>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abstractNum w:abstractNumId="2">
    <w:nsid w:val="00000003"/>
    <w:multiLevelType w:val="multilevel"/>
    <w:tmpl w:val="00000003"/>
    <w:lvl w:ilvl="0" w:tentative="0">
      <w:start w:val="5"/>
      <w:numFmt w:val="decimal"/>
      <w:lvlText w:val="%1、"/>
      <w:lvlJc w:val="left"/>
      <w:pPr>
        <w:tabs>
          <w:tab w:val="left" w:pos="900"/>
        </w:tabs>
        <w:ind w:left="900" w:hanging="360"/>
      </w:pPr>
      <w:rPr>
        <w:rFonts w:hint="default"/>
        <w:u w:val="none" w:color="auto"/>
      </w:rPr>
    </w:lvl>
    <w:lvl w:ilvl="1" w:tentative="0">
      <w:start w:val="1"/>
      <w:numFmt w:val="lowerLetter"/>
      <w:lvlText w:val="%2)"/>
      <w:lvlJc w:val="left"/>
      <w:pPr>
        <w:tabs>
          <w:tab w:val="left" w:pos="1380"/>
        </w:tabs>
        <w:ind w:left="1380" w:hanging="420"/>
      </w:pPr>
      <w:rPr>
        <w:rFonts w:hint="default"/>
        <w:u w:val="none" w:color="auto"/>
      </w:rPr>
    </w:lvl>
    <w:lvl w:ilvl="2" w:tentative="0">
      <w:start w:val="1"/>
      <w:numFmt w:val="lowerRoman"/>
      <w:pStyle w:val="72"/>
      <w:lvlText w:val="%3."/>
      <w:lvlJc w:val="right"/>
      <w:pPr>
        <w:tabs>
          <w:tab w:val="left" w:pos="1800"/>
        </w:tabs>
        <w:ind w:left="1800" w:hanging="420"/>
      </w:pPr>
      <w:rPr>
        <w:rFonts w:hint="default"/>
        <w:u w:val="none" w:color="auto"/>
      </w:rPr>
    </w:lvl>
    <w:lvl w:ilvl="3" w:tentative="0">
      <w:start w:val="1"/>
      <w:numFmt w:val="decimal"/>
      <w:lvlText w:val="%4."/>
      <w:lvlJc w:val="left"/>
      <w:pPr>
        <w:tabs>
          <w:tab w:val="left" w:pos="2220"/>
        </w:tabs>
        <w:ind w:left="2220" w:hanging="420"/>
      </w:pPr>
      <w:rPr>
        <w:rFonts w:hint="default"/>
        <w:u w:val="none" w:color="auto"/>
      </w:rPr>
    </w:lvl>
    <w:lvl w:ilvl="4" w:tentative="0">
      <w:start w:val="1"/>
      <w:numFmt w:val="lowerLetter"/>
      <w:lvlText w:val="%5)"/>
      <w:lvlJc w:val="left"/>
      <w:pPr>
        <w:tabs>
          <w:tab w:val="left" w:pos="2640"/>
        </w:tabs>
        <w:ind w:left="2640" w:hanging="420"/>
      </w:pPr>
      <w:rPr>
        <w:rFonts w:hint="default"/>
        <w:u w:val="none" w:color="auto"/>
      </w:rPr>
    </w:lvl>
    <w:lvl w:ilvl="5" w:tentative="0">
      <w:start w:val="1"/>
      <w:numFmt w:val="lowerRoman"/>
      <w:lvlText w:val="%6."/>
      <w:lvlJc w:val="right"/>
      <w:pPr>
        <w:tabs>
          <w:tab w:val="left" w:pos="3060"/>
        </w:tabs>
        <w:ind w:left="3060" w:hanging="420"/>
      </w:pPr>
      <w:rPr>
        <w:rFonts w:hint="default"/>
        <w:u w:val="none" w:color="auto"/>
      </w:rPr>
    </w:lvl>
    <w:lvl w:ilvl="6" w:tentative="0">
      <w:start w:val="1"/>
      <w:numFmt w:val="decimal"/>
      <w:lvlText w:val="%7."/>
      <w:lvlJc w:val="left"/>
      <w:pPr>
        <w:tabs>
          <w:tab w:val="left" w:pos="3480"/>
        </w:tabs>
        <w:ind w:left="3480" w:hanging="420"/>
      </w:pPr>
      <w:rPr>
        <w:rFonts w:hint="default"/>
        <w:u w:val="none" w:color="auto"/>
      </w:rPr>
    </w:lvl>
    <w:lvl w:ilvl="7" w:tentative="0">
      <w:start w:val="1"/>
      <w:numFmt w:val="lowerLetter"/>
      <w:lvlText w:val="%8)"/>
      <w:lvlJc w:val="left"/>
      <w:pPr>
        <w:tabs>
          <w:tab w:val="left" w:pos="3900"/>
        </w:tabs>
        <w:ind w:left="3900" w:hanging="420"/>
      </w:pPr>
      <w:rPr>
        <w:rFonts w:hint="default"/>
        <w:u w:val="none" w:color="auto"/>
      </w:rPr>
    </w:lvl>
    <w:lvl w:ilvl="8" w:tentative="0">
      <w:start w:val="1"/>
      <w:numFmt w:val="lowerRoman"/>
      <w:lvlText w:val="%9."/>
      <w:lvlJc w:val="right"/>
      <w:pPr>
        <w:tabs>
          <w:tab w:val="left" w:pos="4320"/>
        </w:tabs>
        <w:ind w:left="4320" w:hanging="420"/>
      </w:pPr>
      <w:rPr>
        <w:rFonts w:hint="default"/>
        <w:u w:val="none" w:color="auto"/>
      </w:rPr>
    </w:lvl>
  </w:abstractNum>
  <w:abstractNum w:abstractNumId="3">
    <w:nsid w:val="00000004"/>
    <w:multiLevelType w:val="multilevel"/>
    <w:tmpl w:val="00000004"/>
    <w:lvl w:ilvl="0" w:tentative="0">
      <w:start w:val="1"/>
      <w:numFmt w:val="chineseCountingThousand"/>
      <w:pStyle w:val="3"/>
      <w:suff w:val="nothing"/>
      <w:lvlText w:val="第%1部分"/>
      <w:lvlJc w:val="left"/>
      <w:pPr>
        <w:ind w:left="0" w:firstLine="0"/>
      </w:pPr>
      <w:rPr>
        <w:rFonts w:hint="eastAsia" w:ascii="宋体" w:hAnsi="宋体" w:eastAsia="宋体" w:cs="宋体"/>
        <w:sz w:val="32"/>
        <w:u w:val="none" w:color="auto"/>
      </w:rPr>
    </w:lvl>
    <w:lvl w:ilvl="1" w:tentative="0">
      <w:start w:val="1"/>
      <w:numFmt w:val="upperLetter"/>
      <w:pStyle w:val="4"/>
      <w:suff w:val="nothing"/>
      <w:lvlText w:val="%2"/>
      <w:lvlJc w:val="left"/>
      <w:pPr>
        <w:ind w:left="2553" w:firstLine="0"/>
      </w:pPr>
      <w:rPr>
        <w:rFonts w:hint="default" w:ascii="CG Times" w:hAnsi="CG Times" w:eastAsia="宋体"/>
        <w:b/>
        <w:sz w:val="28"/>
        <w:u w:val="none" w:color="auto"/>
      </w:rPr>
    </w:lvl>
    <w:lvl w:ilvl="2" w:tentative="0">
      <w:start w:val="1"/>
      <w:numFmt w:val="decimal"/>
      <w:lvlRestart w:val="0"/>
      <w:suff w:val="nothing"/>
      <w:lvlText w:val="%3"/>
      <w:lvlJc w:val="left"/>
      <w:pPr>
        <w:ind w:left="0" w:firstLine="0"/>
      </w:pPr>
      <w:rPr>
        <w:rFonts w:hint="default" w:ascii="宋体" w:hAnsi="Times New Roman" w:eastAsia="宋体"/>
        <w:b/>
        <w:sz w:val="28"/>
        <w:u w:val="none" w:color="auto"/>
      </w:rPr>
    </w:lvl>
    <w:lvl w:ilvl="3" w:tentative="0">
      <w:start w:val="1"/>
      <w:numFmt w:val="none"/>
      <w:suff w:val="nothing"/>
      <w:lvlText w:val=""/>
      <w:lvlJc w:val="left"/>
      <w:pPr>
        <w:ind w:left="0" w:firstLine="0"/>
      </w:pPr>
      <w:rPr>
        <w:rFonts w:hint="default"/>
        <w:u w:val="none" w:color="auto"/>
      </w:rPr>
    </w:lvl>
    <w:lvl w:ilvl="4" w:tentative="0">
      <w:start w:val="1"/>
      <w:numFmt w:val="none"/>
      <w:pStyle w:val="8"/>
      <w:suff w:val="nothing"/>
      <w:lvlText w:val=""/>
      <w:lvlJc w:val="left"/>
      <w:pPr>
        <w:ind w:left="0" w:firstLine="0"/>
      </w:pPr>
      <w:rPr>
        <w:rFonts w:hint="default"/>
        <w:u w:val="none" w:color="auto"/>
      </w:rPr>
    </w:lvl>
    <w:lvl w:ilvl="5" w:tentative="0">
      <w:start w:val="1"/>
      <w:numFmt w:val="none"/>
      <w:pStyle w:val="9"/>
      <w:suff w:val="nothing"/>
      <w:lvlText w:val=""/>
      <w:lvlJc w:val="left"/>
      <w:pPr>
        <w:ind w:left="0" w:firstLine="0"/>
      </w:pPr>
      <w:rPr>
        <w:rFonts w:hint="default"/>
        <w:u w:val="none" w:color="auto"/>
      </w:rPr>
    </w:lvl>
    <w:lvl w:ilvl="6" w:tentative="0">
      <w:start w:val="1"/>
      <w:numFmt w:val="none"/>
      <w:pStyle w:val="11"/>
      <w:suff w:val="nothing"/>
      <w:lvlText w:val=""/>
      <w:lvlJc w:val="left"/>
      <w:pPr>
        <w:ind w:left="0" w:firstLine="0"/>
      </w:pPr>
      <w:rPr>
        <w:rFonts w:hint="default"/>
        <w:u w:val="none" w:color="auto"/>
      </w:rPr>
    </w:lvl>
    <w:lvl w:ilvl="7" w:tentative="0">
      <w:start w:val="1"/>
      <w:numFmt w:val="none"/>
      <w:pStyle w:val="12"/>
      <w:suff w:val="nothing"/>
      <w:lvlText w:val=""/>
      <w:lvlJc w:val="left"/>
      <w:pPr>
        <w:ind w:left="0" w:firstLine="0"/>
      </w:pPr>
      <w:rPr>
        <w:rFonts w:hint="default"/>
        <w:u w:val="none" w:color="auto"/>
      </w:rPr>
    </w:lvl>
    <w:lvl w:ilvl="8" w:tentative="0">
      <w:start w:val="1"/>
      <w:numFmt w:val="none"/>
      <w:pStyle w:val="13"/>
      <w:suff w:val="nothing"/>
      <w:lvlText w:val=""/>
      <w:lvlJc w:val="left"/>
      <w:pPr>
        <w:ind w:left="0" w:firstLine="0"/>
      </w:pPr>
      <w:rPr>
        <w:rFonts w:hint="default"/>
        <w:u w:val="none" w:color="auto"/>
      </w:rPr>
    </w:lvl>
  </w:abstractNum>
  <w:abstractNum w:abstractNumId="4">
    <w:nsid w:val="00000005"/>
    <w:multiLevelType w:val="multilevel"/>
    <w:tmpl w:val="00000005"/>
    <w:lvl w:ilvl="0" w:tentative="0">
      <w:start w:val="1"/>
      <w:numFmt w:val="decimal"/>
      <w:pStyle w:val="7"/>
      <w:lvlText w:val="%1."/>
      <w:lvlJc w:val="left"/>
      <w:pPr>
        <w:tabs>
          <w:tab w:val="left" w:pos="425"/>
        </w:tabs>
        <w:ind w:left="425" w:hanging="425"/>
      </w:pPr>
      <w:rPr>
        <w:rFonts w:hint="default"/>
        <w:u w:val="none" w:color="auto"/>
      </w:rPr>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abstractNum w:abstractNumId="5">
    <w:nsid w:val="6B22420F"/>
    <w:multiLevelType w:val="multilevel"/>
    <w:tmpl w:val="6B22420F"/>
    <w:lvl w:ilvl="0" w:tentative="0">
      <w:start w:val="1"/>
      <w:numFmt w:val="decimal"/>
      <w:pStyle w:val="107"/>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1"/>
  </w:num>
  <w:num w:numId="3">
    <w:abstractNumId w:val="4"/>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340"/>
  <w:drawingGridVerticalSpacing w:val="99999990"/>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IxMjMxZDI5ZWMzY2U0ZGQ0NjZhODIyNjZjOTEwMDcifQ=="/>
  </w:docVars>
  <w:rsids>
    <w:rsidRoot w:val="00172A27"/>
    <w:rsid w:val="006A5E20"/>
    <w:rsid w:val="022C24BF"/>
    <w:rsid w:val="027E3A8B"/>
    <w:rsid w:val="029C3666"/>
    <w:rsid w:val="032D0892"/>
    <w:rsid w:val="037A4069"/>
    <w:rsid w:val="039024BF"/>
    <w:rsid w:val="043E013B"/>
    <w:rsid w:val="04644EA6"/>
    <w:rsid w:val="047E6A8C"/>
    <w:rsid w:val="048876FA"/>
    <w:rsid w:val="059F7988"/>
    <w:rsid w:val="05CB2336"/>
    <w:rsid w:val="067136B9"/>
    <w:rsid w:val="072E0AA7"/>
    <w:rsid w:val="08E91129"/>
    <w:rsid w:val="08FB2C0B"/>
    <w:rsid w:val="098F222C"/>
    <w:rsid w:val="09E50ECB"/>
    <w:rsid w:val="0A391C3C"/>
    <w:rsid w:val="0A481E7F"/>
    <w:rsid w:val="0AA7129C"/>
    <w:rsid w:val="0B1353FE"/>
    <w:rsid w:val="0B1C2811"/>
    <w:rsid w:val="0BC81BCE"/>
    <w:rsid w:val="0BEE6C5D"/>
    <w:rsid w:val="0C4859CB"/>
    <w:rsid w:val="0C803E8D"/>
    <w:rsid w:val="0CDE1D72"/>
    <w:rsid w:val="0D0C634F"/>
    <w:rsid w:val="0D0D544F"/>
    <w:rsid w:val="0D18630F"/>
    <w:rsid w:val="0D3F04B1"/>
    <w:rsid w:val="0D3F2957"/>
    <w:rsid w:val="0D864AC9"/>
    <w:rsid w:val="0E4025D6"/>
    <w:rsid w:val="0E704BBE"/>
    <w:rsid w:val="0E741E03"/>
    <w:rsid w:val="0EFE5739"/>
    <w:rsid w:val="0F031129"/>
    <w:rsid w:val="0F690F2F"/>
    <w:rsid w:val="0FDD4B16"/>
    <w:rsid w:val="1020361A"/>
    <w:rsid w:val="10874D2A"/>
    <w:rsid w:val="115A65E4"/>
    <w:rsid w:val="11606388"/>
    <w:rsid w:val="118440E5"/>
    <w:rsid w:val="11BF1C0B"/>
    <w:rsid w:val="11C64636"/>
    <w:rsid w:val="11DB5E03"/>
    <w:rsid w:val="1272218F"/>
    <w:rsid w:val="13223BB5"/>
    <w:rsid w:val="13BB1914"/>
    <w:rsid w:val="14D077AF"/>
    <w:rsid w:val="14E167EC"/>
    <w:rsid w:val="15192D96"/>
    <w:rsid w:val="1566669B"/>
    <w:rsid w:val="1666200B"/>
    <w:rsid w:val="16B234A2"/>
    <w:rsid w:val="16C51614"/>
    <w:rsid w:val="16F42EC5"/>
    <w:rsid w:val="180970F2"/>
    <w:rsid w:val="184B17B9"/>
    <w:rsid w:val="18B828C6"/>
    <w:rsid w:val="193526D5"/>
    <w:rsid w:val="197C3DBF"/>
    <w:rsid w:val="198D2276"/>
    <w:rsid w:val="19972B7B"/>
    <w:rsid w:val="19F811CC"/>
    <w:rsid w:val="19FE6F7A"/>
    <w:rsid w:val="1A231FC1"/>
    <w:rsid w:val="1A656355"/>
    <w:rsid w:val="1A705C01"/>
    <w:rsid w:val="1A772C7B"/>
    <w:rsid w:val="1A7B1DFD"/>
    <w:rsid w:val="1A8A32C1"/>
    <w:rsid w:val="1A8E1F00"/>
    <w:rsid w:val="1A9A3EC2"/>
    <w:rsid w:val="1AB84DF8"/>
    <w:rsid w:val="1B530684"/>
    <w:rsid w:val="1B742F86"/>
    <w:rsid w:val="1C5E1BE1"/>
    <w:rsid w:val="1C7B531C"/>
    <w:rsid w:val="1C884981"/>
    <w:rsid w:val="1CCB2BC8"/>
    <w:rsid w:val="1D9650E8"/>
    <w:rsid w:val="1DBC4C07"/>
    <w:rsid w:val="1DF120DF"/>
    <w:rsid w:val="1E433084"/>
    <w:rsid w:val="1E796654"/>
    <w:rsid w:val="1EE53CE9"/>
    <w:rsid w:val="1F8B1810"/>
    <w:rsid w:val="1FC81641"/>
    <w:rsid w:val="20484530"/>
    <w:rsid w:val="20F4410C"/>
    <w:rsid w:val="20F621DE"/>
    <w:rsid w:val="220E3C6C"/>
    <w:rsid w:val="223573AF"/>
    <w:rsid w:val="223C3FCD"/>
    <w:rsid w:val="225D0766"/>
    <w:rsid w:val="22AD740D"/>
    <w:rsid w:val="232C0C4C"/>
    <w:rsid w:val="238F30AF"/>
    <w:rsid w:val="23AD5202"/>
    <w:rsid w:val="23AE0481"/>
    <w:rsid w:val="23AE6D9F"/>
    <w:rsid w:val="23C959D7"/>
    <w:rsid w:val="247D4E1C"/>
    <w:rsid w:val="248A5117"/>
    <w:rsid w:val="252950A3"/>
    <w:rsid w:val="258821A9"/>
    <w:rsid w:val="266C73A6"/>
    <w:rsid w:val="26BF6F42"/>
    <w:rsid w:val="26CE50D2"/>
    <w:rsid w:val="274A5031"/>
    <w:rsid w:val="27B57550"/>
    <w:rsid w:val="27B801ED"/>
    <w:rsid w:val="291D034F"/>
    <w:rsid w:val="296A3769"/>
    <w:rsid w:val="2A2E22B8"/>
    <w:rsid w:val="2A866380"/>
    <w:rsid w:val="2B2D21A1"/>
    <w:rsid w:val="2B571819"/>
    <w:rsid w:val="2B894F6D"/>
    <w:rsid w:val="2C0F785A"/>
    <w:rsid w:val="2C4064CC"/>
    <w:rsid w:val="2EAD4823"/>
    <w:rsid w:val="2EEE2746"/>
    <w:rsid w:val="2EF37BC5"/>
    <w:rsid w:val="2F7B222C"/>
    <w:rsid w:val="2F8D1E33"/>
    <w:rsid w:val="30BA6E07"/>
    <w:rsid w:val="30C44BBE"/>
    <w:rsid w:val="30C75861"/>
    <w:rsid w:val="30CD2F5B"/>
    <w:rsid w:val="30F3030B"/>
    <w:rsid w:val="3158755A"/>
    <w:rsid w:val="3175714F"/>
    <w:rsid w:val="31837ABD"/>
    <w:rsid w:val="319452B1"/>
    <w:rsid w:val="322E5C7B"/>
    <w:rsid w:val="323E12FF"/>
    <w:rsid w:val="329F4483"/>
    <w:rsid w:val="3316163C"/>
    <w:rsid w:val="3361695F"/>
    <w:rsid w:val="33884F17"/>
    <w:rsid w:val="3390201E"/>
    <w:rsid w:val="33CB12A8"/>
    <w:rsid w:val="34A044E2"/>
    <w:rsid w:val="34CE1050"/>
    <w:rsid w:val="3524631B"/>
    <w:rsid w:val="356933D3"/>
    <w:rsid w:val="35D718CB"/>
    <w:rsid w:val="362A6D6C"/>
    <w:rsid w:val="36687282"/>
    <w:rsid w:val="36D45384"/>
    <w:rsid w:val="36DF5796"/>
    <w:rsid w:val="37185D4B"/>
    <w:rsid w:val="375A4E1C"/>
    <w:rsid w:val="37B95FE7"/>
    <w:rsid w:val="37EA20A5"/>
    <w:rsid w:val="38926838"/>
    <w:rsid w:val="390B4B35"/>
    <w:rsid w:val="39534219"/>
    <w:rsid w:val="3960656E"/>
    <w:rsid w:val="397877DC"/>
    <w:rsid w:val="398D0EBD"/>
    <w:rsid w:val="39EF7F12"/>
    <w:rsid w:val="3A006D4E"/>
    <w:rsid w:val="3A4A32E3"/>
    <w:rsid w:val="3AA505D9"/>
    <w:rsid w:val="3AC20512"/>
    <w:rsid w:val="3AEA50A6"/>
    <w:rsid w:val="3AF33BF2"/>
    <w:rsid w:val="3B070E17"/>
    <w:rsid w:val="3B304812"/>
    <w:rsid w:val="3C57182F"/>
    <w:rsid w:val="3C926E07"/>
    <w:rsid w:val="3DAF7924"/>
    <w:rsid w:val="3DB8289D"/>
    <w:rsid w:val="3DC76F84"/>
    <w:rsid w:val="3E2B0B41"/>
    <w:rsid w:val="3E4660FB"/>
    <w:rsid w:val="3EFE4835"/>
    <w:rsid w:val="3F520ACF"/>
    <w:rsid w:val="3FEA0D08"/>
    <w:rsid w:val="400131CB"/>
    <w:rsid w:val="402E044B"/>
    <w:rsid w:val="407C5084"/>
    <w:rsid w:val="412D35A2"/>
    <w:rsid w:val="41EC25C5"/>
    <w:rsid w:val="42021EDE"/>
    <w:rsid w:val="421C2E24"/>
    <w:rsid w:val="42356379"/>
    <w:rsid w:val="42440D0D"/>
    <w:rsid w:val="425A5B33"/>
    <w:rsid w:val="435117C9"/>
    <w:rsid w:val="43515EAA"/>
    <w:rsid w:val="436C03B1"/>
    <w:rsid w:val="4387343D"/>
    <w:rsid w:val="4389705D"/>
    <w:rsid w:val="43BB52AD"/>
    <w:rsid w:val="442C263E"/>
    <w:rsid w:val="443448FA"/>
    <w:rsid w:val="444619A9"/>
    <w:rsid w:val="44827761"/>
    <w:rsid w:val="45036AF3"/>
    <w:rsid w:val="451505D5"/>
    <w:rsid w:val="45A57BAB"/>
    <w:rsid w:val="464E5895"/>
    <w:rsid w:val="46BC4505"/>
    <w:rsid w:val="47590F1F"/>
    <w:rsid w:val="478E10A9"/>
    <w:rsid w:val="47A92849"/>
    <w:rsid w:val="47F2472B"/>
    <w:rsid w:val="496B3D69"/>
    <w:rsid w:val="4983062C"/>
    <w:rsid w:val="49CB2E3D"/>
    <w:rsid w:val="49DA69E0"/>
    <w:rsid w:val="4A266E36"/>
    <w:rsid w:val="4A54394D"/>
    <w:rsid w:val="4B26353C"/>
    <w:rsid w:val="4BBA17F2"/>
    <w:rsid w:val="4C3E6663"/>
    <w:rsid w:val="4C9A2254"/>
    <w:rsid w:val="4CC15FFE"/>
    <w:rsid w:val="4D424AB4"/>
    <w:rsid w:val="4D5048A0"/>
    <w:rsid w:val="4E042BEF"/>
    <w:rsid w:val="4E165AE9"/>
    <w:rsid w:val="4E920EE8"/>
    <w:rsid w:val="4EBC7D13"/>
    <w:rsid w:val="4F0F42E7"/>
    <w:rsid w:val="4F1960FD"/>
    <w:rsid w:val="4F7D74A2"/>
    <w:rsid w:val="4FEB03CB"/>
    <w:rsid w:val="50151DD1"/>
    <w:rsid w:val="508F5F01"/>
    <w:rsid w:val="51295B34"/>
    <w:rsid w:val="51397BC2"/>
    <w:rsid w:val="521635D3"/>
    <w:rsid w:val="523D15BE"/>
    <w:rsid w:val="52C82C3E"/>
    <w:rsid w:val="53B544FB"/>
    <w:rsid w:val="540644AA"/>
    <w:rsid w:val="541C54DC"/>
    <w:rsid w:val="5456175F"/>
    <w:rsid w:val="547525FA"/>
    <w:rsid w:val="5488021D"/>
    <w:rsid w:val="54A200DB"/>
    <w:rsid w:val="54B12085"/>
    <w:rsid w:val="54B716A8"/>
    <w:rsid w:val="55DB7DA0"/>
    <w:rsid w:val="571409EE"/>
    <w:rsid w:val="57C52D36"/>
    <w:rsid w:val="584D55C0"/>
    <w:rsid w:val="58543AB8"/>
    <w:rsid w:val="587578B0"/>
    <w:rsid w:val="58962410"/>
    <w:rsid w:val="58B53C70"/>
    <w:rsid w:val="593405B4"/>
    <w:rsid w:val="59DE0E81"/>
    <w:rsid w:val="5AA60C54"/>
    <w:rsid w:val="5ABF6F34"/>
    <w:rsid w:val="5B8B15E4"/>
    <w:rsid w:val="5D231FC3"/>
    <w:rsid w:val="5D4B3D86"/>
    <w:rsid w:val="5D722DBF"/>
    <w:rsid w:val="5F69510C"/>
    <w:rsid w:val="5F995BC6"/>
    <w:rsid w:val="610F33CB"/>
    <w:rsid w:val="625C73EB"/>
    <w:rsid w:val="628E7290"/>
    <w:rsid w:val="62944DD7"/>
    <w:rsid w:val="63424833"/>
    <w:rsid w:val="635C3B47"/>
    <w:rsid w:val="637C7B09"/>
    <w:rsid w:val="647D0F5E"/>
    <w:rsid w:val="64CE65D6"/>
    <w:rsid w:val="656E6131"/>
    <w:rsid w:val="65CA10CB"/>
    <w:rsid w:val="66846CF6"/>
    <w:rsid w:val="66911A1A"/>
    <w:rsid w:val="66F368F3"/>
    <w:rsid w:val="6712276E"/>
    <w:rsid w:val="67F13D08"/>
    <w:rsid w:val="680622D3"/>
    <w:rsid w:val="68BB30BE"/>
    <w:rsid w:val="68D57089"/>
    <w:rsid w:val="68F12E0C"/>
    <w:rsid w:val="6A4D3EC8"/>
    <w:rsid w:val="6A90057A"/>
    <w:rsid w:val="6ABB67D3"/>
    <w:rsid w:val="6AD05083"/>
    <w:rsid w:val="6B3362CF"/>
    <w:rsid w:val="6BE555A6"/>
    <w:rsid w:val="6CB20E55"/>
    <w:rsid w:val="6CC559FA"/>
    <w:rsid w:val="6CF72B7F"/>
    <w:rsid w:val="6D222AAF"/>
    <w:rsid w:val="6DB73689"/>
    <w:rsid w:val="6E265C71"/>
    <w:rsid w:val="6EBD794D"/>
    <w:rsid w:val="6EDD3662"/>
    <w:rsid w:val="70157C70"/>
    <w:rsid w:val="7026193B"/>
    <w:rsid w:val="70584279"/>
    <w:rsid w:val="70586A30"/>
    <w:rsid w:val="706F64CC"/>
    <w:rsid w:val="70703A03"/>
    <w:rsid w:val="70E647E3"/>
    <w:rsid w:val="711D3975"/>
    <w:rsid w:val="72C132D3"/>
    <w:rsid w:val="73367B0C"/>
    <w:rsid w:val="73986A62"/>
    <w:rsid w:val="73B052BA"/>
    <w:rsid w:val="73FC27DC"/>
    <w:rsid w:val="747B5DF7"/>
    <w:rsid w:val="74CD28EC"/>
    <w:rsid w:val="74D11968"/>
    <w:rsid w:val="74DD260E"/>
    <w:rsid w:val="75412B9C"/>
    <w:rsid w:val="75CB06B8"/>
    <w:rsid w:val="7643647A"/>
    <w:rsid w:val="76A86F9E"/>
    <w:rsid w:val="76C05D8F"/>
    <w:rsid w:val="772F061F"/>
    <w:rsid w:val="77311C15"/>
    <w:rsid w:val="77626B10"/>
    <w:rsid w:val="7855167B"/>
    <w:rsid w:val="78C37F2B"/>
    <w:rsid w:val="79382B2E"/>
    <w:rsid w:val="797C0647"/>
    <w:rsid w:val="79C43D9C"/>
    <w:rsid w:val="7ADE0E8D"/>
    <w:rsid w:val="7B5431BE"/>
    <w:rsid w:val="7BA656B9"/>
    <w:rsid w:val="7BFE1C08"/>
    <w:rsid w:val="7C012101"/>
    <w:rsid w:val="7C324FED"/>
    <w:rsid w:val="7C971286"/>
    <w:rsid w:val="7CC911BE"/>
    <w:rsid w:val="7D292894"/>
    <w:rsid w:val="7D5136A3"/>
    <w:rsid w:val="7D537F1F"/>
    <w:rsid w:val="7D594994"/>
    <w:rsid w:val="7D5C4288"/>
    <w:rsid w:val="7D9B1B0D"/>
    <w:rsid w:val="7DA511E1"/>
    <w:rsid w:val="7EB65E72"/>
    <w:rsid w:val="7F396BD9"/>
    <w:rsid w:val="7F9D30C5"/>
    <w:rsid w:val="7F9E0BEB"/>
    <w:rsid w:val="7FF75BD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iPriority="0" w:semiHidden="0" w:name="heading 1"/>
    <w:lsdException w:qFormat="1" w:uiPriority="0" w:semiHidden="0" w:name="heading 2"/>
    <w:lsdException w:qFormat="1" w:uiPriority="0" w:semiHidden="0" w:name="heading 3"/>
    <w:lsdException w:qFormat="1" w:uiPriority="9" w:semiHidden="0" w:name="heading 4"/>
    <w:lsdException w:qFormat="1" w:uiPriority="1" w:semiHidden="0" w:name="heading 5"/>
    <w:lsdException w:qFormat="1" w:uiPriority="1" w:semiHidden="0" w:name="heading 6"/>
    <w:lsdException w:qFormat="1" w:uiPriority="1" w:semiHidden="0" w:name="heading 7"/>
    <w:lsdException w:qFormat="1" w:uiPriority="0" w:semiHidden="0" w:name="heading 8"/>
    <w:lsdException w:qFormat="1" w:uiPriority="0" w:semiHidden="0"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iPriority="0"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iPriority="0" w:semiHidden="0" w:name="Normal Indent"/>
    <w:lsdException w:qFormat="1" w:uiPriority="0" w:semiHidden="0" w:name="footnote text"/>
    <w:lsdException w:qFormat="1" w:uiPriority="0" w:semiHidden="0" w:name="annotation text"/>
    <w:lsdException w:qFormat="1" w:uiPriority="0" w:semiHidden="0" w:name="header"/>
    <w:lsdException w:qFormat="1" w:uiPriority="99" w:semiHidden="0" w:name="footer"/>
    <w:lsdException w:qFormat="1" w:unhideWhenUsed="0" w:uiPriority="99" w:semiHidden="0" w:name="index heading"/>
    <w:lsdException w:qFormat="1" w:unhideWhenUsed="0" w:uiPriority="35" w:semiHidden="0" w:name="caption"/>
    <w:lsdException w:qFormat="1" w:unhideWhenUsed="0" w:uiPriority="99" w:semiHidden="0" w:name="table of figures"/>
    <w:lsdException w:qFormat="1" w:unhideWhenUsed="0" w:uiPriority="99" w:semiHidden="0" w:name="envelope address"/>
    <w:lsdException w:qFormat="1" w:unhideWhenUsed="0" w:uiPriority="99" w:semiHidden="0" w:name="envelope return"/>
    <w:lsdException w:qFormat="1" w:unhideWhenUsed="0" w:uiPriority="99" w:semiHidden="0" w:name="footnote reference"/>
    <w:lsdException w:qFormat="1" w:unhideWhenUsed="0" w:uiPriority="0" w:semiHidden="0" w:name="annotation reference"/>
    <w:lsdException w:qFormat="1" w:unhideWhenUsed="0" w:uiPriority="99" w:semiHidden="0" w:name="line number"/>
    <w:lsdException w:qFormat="1" w:uiPriority="0"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iPriority="0" w:semiHidden="0" w:name="Title"/>
    <w:lsdException w:qFormat="1" w:unhideWhenUsed="0" w:uiPriority="99" w:semiHidden="0" w:name="Closing"/>
    <w:lsdException w:qFormat="1" w:unhideWhenUsed="0" w:uiPriority="99" w:semiHidden="0" w:name="Signature"/>
    <w:lsdException w:qFormat="1" w:uiPriority="0" w:semiHidden="0" w:name="Default Paragraph Font"/>
    <w:lsdException w:qFormat="1" w:uiPriority="1" w:semiHidden="0" w:name="Body Text"/>
    <w:lsdException w:qFormat="1" w:uiPriority="0"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0" w:semiHidden="0" w:name="Subtitle"/>
    <w:lsdException w:qFormat="1" w:uiPriority="0" w:semiHidden="0" w:name="Salutation"/>
    <w:lsdException w:qFormat="1" w:uiPriority="0" w:semiHidden="0" w:name="Date"/>
    <w:lsdException w:qFormat="1" w:uiPriority="0" w:semiHidden="0" w:name="Body Text First Indent"/>
    <w:lsdException w:qFormat="1" w:uiPriority="0" w:semiHidden="0" w:name="Body Text First Indent 2"/>
    <w:lsdException w:qFormat="1" w:unhideWhenUsed="0" w:uiPriority="99" w:semiHidden="0" w:name="Note Heading"/>
    <w:lsdException w:qFormat="1" w:unhideWhenUsed="0" w:uiPriority="99" w:semiHidden="0" w:name="Body Text 2"/>
    <w:lsdException w:qFormat="1" w:unhideWhenUsed="0" w:uiPriority="99" w:semiHidden="0" w:name="Body Text 3"/>
    <w:lsdException w:qFormat="1" w:unhideWhenUsed="0" w:uiPriority="0" w:semiHidden="0" w:name="Body Text Indent 2"/>
    <w:lsdException w:qFormat="1" w:unhideWhenUsed="0" w:uiPriority="99" w:semiHidden="0" w:name="Body Text Indent 3"/>
    <w:lsdException w:qFormat="1" w:unhideWhenUsed="0" w:uiPriority="99" w:semiHidden="0" w:name="Block Text"/>
    <w:lsdException w:qFormat="1" w:uiPriority="0" w:semiHidden="0" w:name="Hyperlink"/>
    <w:lsdException w:qFormat="1" w:unhideWhenUsed="0" w:uiPriority="99" w:semiHidden="0" w:name="FollowedHyperlink"/>
    <w:lsdException w:qFormat="1" w:uiPriority="0" w:semiHidden="0" w:name="Strong"/>
    <w:lsdException w:qFormat="1" w:uiPriority="20" w:semiHidden="0" w:name="Emphasis"/>
    <w:lsdException w:qFormat="1" w:unhideWhenUsed="0" w:uiPriority="99" w:semiHidden="0" w:name="Document Map"/>
    <w:lsdException w:qFormat="1" w:uiPriority="0" w:semiHidden="0" w:name="Plain Text"/>
    <w:lsdException w:qFormat="1" w:unhideWhenUsed="0" w:uiPriority="99" w:semiHidden="0" w:name="E-mail Signature"/>
    <w:lsdException w:qFormat="1" w:uiPriority="0"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iPriority="0"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nhideWhenUsed="0" w:uiPriority="0" w:semiHidden="0" w:name="Normal Table"/>
    <w:lsdException w:qFormat="1" w:unhideWhenUsed="0" w:uiPriority="99" w:semiHidden="0" w:name="annotation subject"/>
    <w:lsdException w:qFormat="1" w:unhideWhenUsed="0" w:uiPriority="99" w:semiHidden="0" w:name="Table Simple 1"/>
    <w:lsdException w:qFormat="1" w:unhideWhenUsed="0" w:uiPriority="99" w:semiHidden="0" w:name="Table Simple 2"/>
    <w:lsdException w:qFormat="1" w:unhideWhenUsed="0" w:uiPriority="99" w:semiHidden="0" w:name="Table Simple 3"/>
    <w:lsdException w:qFormat="1" w:unhideWhenUsed="0" w:uiPriority="99" w:semiHidden="0" w:name="Table Classic 1"/>
    <w:lsdException w:qFormat="1" w:unhideWhenUsed="0" w:uiPriority="99" w:semiHidden="0" w:name="Table Classic 2"/>
    <w:lsdException w:qFormat="1" w:unhideWhenUsed="0" w:uiPriority="99" w:semiHidden="0" w:name="Table Classic 3"/>
    <w:lsdException w:qFormat="1" w:unhideWhenUsed="0" w:uiPriority="99" w:semiHidden="0" w:name="Table Classic 4"/>
    <w:lsdException w:qFormat="1" w:unhideWhenUsed="0" w:uiPriority="99" w:semiHidden="0" w:name="Table Colorful 1"/>
    <w:lsdException w:qFormat="1" w:unhideWhenUsed="0" w:uiPriority="99" w:semiHidden="0" w:name="Table Colorful 2"/>
    <w:lsdException w:qFormat="1" w:unhideWhenUsed="0" w:uiPriority="99" w:semiHidden="0" w:name="Table Colorful 3"/>
    <w:lsdException w:qFormat="1" w:unhideWhenUsed="0" w:uiPriority="99" w:semiHidden="0" w:name="Table Columns 1"/>
    <w:lsdException w:qFormat="1" w:unhideWhenUsed="0" w:uiPriority="99" w:semiHidden="0" w:name="Table Columns 2"/>
    <w:lsdException w:qFormat="1" w:unhideWhenUsed="0" w:uiPriority="99" w:semiHidden="0" w:name="Table Columns 3"/>
    <w:lsdException w:qFormat="1" w:unhideWhenUsed="0" w:uiPriority="99" w:semiHidden="0" w:name="Table Columns 4"/>
    <w:lsdException w:qFormat="1" w:unhideWhenUsed="0" w:uiPriority="99" w:semiHidden="0" w:name="Table Columns 5"/>
    <w:lsdException w:qFormat="1" w:unhideWhenUsed="0" w:uiPriority="99" w:semiHidden="0" w:name="Table Grid 1"/>
    <w:lsdException w:qFormat="1" w:unhideWhenUsed="0" w:uiPriority="99" w:semiHidden="0" w:name="Table Grid 2"/>
    <w:lsdException w:qFormat="1" w:unhideWhenUsed="0" w:uiPriority="99" w:semiHidden="0" w:name="Table Grid 3"/>
    <w:lsdException w:qFormat="1" w:unhideWhenUsed="0" w:uiPriority="99" w:semiHidden="0" w:name="Table Grid 4"/>
    <w:lsdException w:qFormat="1" w:unhideWhenUsed="0" w:uiPriority="99" w:semiHidden="0" w:name="Table Grid 5"/>
    <w:lsdException w:qFormat="1" w:unhideWhenUsed="0" w:uiPriority="99" w:semiHidden="0" w:name="Table Grid 6"/>
    <w:lsdException w:qFormat="1" w:unhideWhenUsed="0" w:uiPriority="99" w:semiHidden="0" w:name="Table Grid 7"/>
    <w:lsdException w:qFormat="1" w:unhideWhenUsed="0" w:uiPriority="99" w:semiHidden="0" w:name="Table Grid 8"/>
    <w:lsdException w:qFormat="1" w:unhideWhenUsed="0" w:uiPriority="99" w:semiHidden="0" w:name="Table List 1"/>
    <w:lsdException w:qFormat="1" w:unhideWhenUsed="0" w:uiPriority="99" w:semiHidden="0" w:name="Table List 2"/>
    <w:lsdException w:qFormat="1" w:unhideWhenUsed="0" w:uiPriority="99" w:semiHidden="0" w:name="Table List 3"/>
    <w:lsdException w:qFormat="1" w:unhideWhenUsed="0" w:uiPriority="99" w:semiHidden="0" w:name="Table List 4"/>
    <w:lsdException w:qFormat="1" w:unhideWhenUsed="0" w:uiPriority="99" w:semiHidden="0" w:name="Table List 5"/>
    <w:lsdException w:qFormat="1" w:unhideWhenUsed="0" w:uiPriority="99" w:semiHidden="0" w:name="Table List 6"/>
    <w:lsdException w:qFormat="1" w:unhideWhenUsed="0" w:uiPriority="99" w:semiHidden="0" w:name="Table List 7"/>
    <w:lsdException w:qFormat="1" w:unhideWhenUsed="0" w:uiPriority="99" w:semiHidden="0" w:name="Table List 8"/>
    <w:lsdException w:qFormat="1" w:unhideWhenUsed="0" w:uiPriority="99" w:semiHidden="0" w:name="Table 3D effects 1"/>
    <w:lsdException w:qFormat="1" w:unhideWhenUsed="0" w:uiPriority="99" w:semiHidden="0" w:name="Table 3D effects 2"/>
    <w:lsdException w:qFormat="1" w:unhideWhenUsed="0" w:uiPriority="99" w:semiHidden="0" w:name="Table 3D effects 3"/>
    <w:lsdException w:qFormat="1" w:unhideWhenUsed="0" w:uiPriority="99" w:semiHidden="0" w:name="Table Contemporary"/>
    <w:lsdException w:qFormat="1" w:unhideWhenUsed="0" w:uiPriority="99" w:semiHidden="0" w:name="Table Elegant"/>
    <w:lsdException w:qFormat="1" w:unhideWhenUsed="0" w:uiPriority="99" w:semiHidden="0" w:name="Table Professional"/>
    <w:lsdException w:qFormat="1" w:unhideWhenUsed="0" w:uiPriority="99" w:semiHidden="0" w:name="Table Subtle 1"/>
    <w:lsdException w:qFormat="1" w:unhideWhenUsed="0" w:uiPriority="99" w:semiHidden="0" w:name="Table Subtle 2"/>
    <w:lsdException w:qFormat="1" w:unhideWhenUsed="0" w:uiPriority="99" w:semiHidden="0" w:name="Table Web 1"/>
    <w:lsdException w:qFormat="1" w:unhideWhenUsed="0" w:uiPriority="99" w:semiHidden="0" w:name="Table Web 2"/>
    <w:lsdException w:qFormat="1" w:unhideWhenUsed="0" w:uiPriority="99" w:semiHidden="0" w:name="Table Web 3"/>
    <w:lsdException w:qFormat="1" w:uiPriority="0" w:semiHidden="0" w:name="Balloon Text"/>
    <w:lsdException w:qFormat="1" w:unhideWhenUsed="0" w:uiPriority="0" w:semiHidden="0" w:name="Table Grid"/>
    <w:lsdException w:qFormat="1" w:unhideWhenUsed="0" w:uiPriority="99" w:semiHidden="0" w:name="Table Theme"/>
    <w:lsdException w:qFormat="1"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widowControl w:val="0"/>
      <w:adjustRightInd w:val="0"/>
      <w:spacing w:line="312" w:lineRule="atLeast"/>
      <w:jc w:val="both"/>
      <w:textAlignment w:val="baseline"/>
    </w:pPr>
    <w:rPr>
      <w:rFonts w:hint="default" w:ascii="宋体" w:hAnsi="Times New Roman" w:eastAsia="宋体" w:cs="Times New Roman"/>
      <w:sz w:val="34"/>
      <w:szCs w:val="24"/>
      <w:lang w:val="en-US" w:eastAsia="zh-CN" w:bidi="ar-SA"/>
    </w:rPr>
  </w:style>
  <w:style w:type="paragraph" w:styleId="3">
    <w:name w:val="heading 1"/>
    <w:basedOn w:val="1"/>
    <w:next w:val="1"/>
    <w:unhideWhenUsed/>
    <w:qFormat/>
    <w:uiPriority w:val="0"/>
    <w:pPr>
      <w:keepNext/>
      <w:keepLines/>
      <w:widowControl/>
      <w:numPr>
        <w:ilvl w:val="0"/>
        <w:numId w:val="1"/>
      </w:numPr>
      <w:adjustRightInd/>
      <w:spacing w:before="0" w:after="0" w:line="576" w:lineRule="auto"/>
      <w:jc w:val="center"/>
      <w:outlineLvl w:val="0"/>
    </w:pPr>
    <w:rPr>
      <w:rFonts w:hint="eastAsia" w:ascii="Times New Roman" w:hAnsi="Times New Roman" w:eastAsia="宋体"/>
      <w:b/>
      <w:kern w:val="44"/>
      <w:sz w:val="28"/>
    </w:rPr>
  </w:style>
  <w:style w:type="paragraph" w:styleId="4">
    <w:name w:val="heading 2"/>
    <w:basedOn w:val="5"/>
    <w:next w:val="1"/>
    <w:unhideWhenUsed/>
    <w:qFormat/>
    <w:uiPriority w:val="0"/>
    <w:pPr>
      <w:keepNext/>
      <w:keepLines/>
      <w:widowControl/>
      <w:numPr>
        <w:ilvl w:val="1"/>
        <w:numId w:val="1"/>
      </w:numPr>
      <w:adjustRightInd/>
      <w:spacing w:before="260" w:after="260" w:line="413" w:lineRule="auto"/>
      <w:ind w:left="2553"/>
      <w:jc w:val="center"/>
      <w:outlineLvl w:val="1"/>
    </w:pPr>
    <w:rPr>
      <w:rFonts w:hint="default" w:ascii="CG Times" w:hAnsi="CG Times"/>
      <w:b/>
      <w:kern w:val="2"/>
      <w:sz w:val="30"/>
      <w:szCs w:val="24"/>
    </w:rPr>
  </w:style>
  <w:style w:type="paragraph" w:styleId="6">
    <w:name w:val="heading 3"/>
    <w:basedOn w:val="1"/>
    <w:next w:val="1"/>
    <w:unhideWhenUsed/>
    <w:qFormat/>
    <w:uiPriority w:val="0"/>
    <w:pPr>
      <w:keepNext/>
      <w:keepLines/>
      <w:widowControl/>
      <w:numPr>
        <w:ilvl w:val="0"/>
        <w:numId w:val="2"/>
      </w:numPr>
      <w:tabs>
        <w:tab w:val="left" w:pos="5852"/>
        <w:tab w:val="clear" w:pos="425"/>
      </w:tabs>
      <w:adjustRightInd/>
      <w:snapToGrid w:val="0"/>
      <w:spacing w:before="360" w:line="240" w:lineRule="exact"/>
      <w:ind w:left="425" w:hanging="425"/>
      <w:jc w:val="left"/>
      <w:outlineLvl w:val="2"/>
    </w:pPr>
    <w:rPr>
      <w:rFonts w:hint="default"/>
      <w:b/>
      <w:kern w:val="2"/>
      <w:sz w:val="28"/>
      <w:szCs w:val="24"/>
    </w:rPr>
  </w:style>
  <w:style w:type="paragraph" w:styleId="7">
    <w:name w:val="heading 4"/>
    <w:basedOn w:val="1"/>
    <w:next w:val="1"/>
    <w:unhideWhenUsed/>
    <w:qFormat/>
    <w:uiPriority w:val="9"/>
    <w:pPr>
      <w:keepNext/>
      <w:keepLines/>
      <w:widowControl/>
      <w:numPr>
        <w:ilvl w:val="0"/>
        <w:numId w:val="3"/>
      </w:numPr>
      <w:adjustRightInd/>
      <w:spacing w:before="360" w:line="240" w:lineRule="exact"/>
      <w:ind w:left="425" w:hanging="425"/>
      <w:jc w:val="left"/>
      <w:outlineLvl w:val="3"/>
    </w:pPr>
    <w:rPr>
      <w:rFonts w:hint="default"/>
      <w:b/>
      <w:kern w:val="2"/>
      <w:sz w:val="28"/>
      <w:szCs w:val="24"/>
    </w:rPr>
  </w:style>
  <w:style w:type="paragraph" w:styleId="8">
    <w:name w:val="heading 5"/>
    <w:basedOn w:val="1"/>
    <w:next w:val="1"/>
    <w:unhideWhenUsed/>
    <w:qFormat/>
    <w:uiPriority w:val="1"/>
    <w:pPr>
      <w:keepNext/>
      <w:keepLines/>
      <w:widowControl/>
      <w:numPr>
        <w:ilvl w:val="4"/>
        <w:numId w:val="1"/>
      </w:numPr>
      <w:adjustRightInd/>
      <w:spacing w:before="280" w:after="290" w:line="372" w:lineRule="auto"/>
      <w:jc w:val="left"/>
      <w:outlineLvl w:val="4"/>
    </w:pPr>
    <w:rPr>
      <w:rFonts w:hint="default"/>
      <w:b/>
      <w:kern w:val="2"/>
      <w:sz w:val="28"/>
      <w:szCs w:val="24"/>
    </w:rPr>
  </w:style>
  <w:style w:type="paragraph" w:styleId="9">
    <w:name w:val="heading 6"/>
    <w:basedOn w:val="1"/>
    <w:next w:val="10"/>
    <w:unhideWhenUsed/>
    <w:qFormat/>
    <w:uiPriority w:val="1"/>
    <w:pPr>
      <w:keepNext/>
      <w:keepLines/>
      <w:widowControl/>
      <w:numPr>
        <w:ilvl w:val="5"/>
        <w:numId w:val="1"/>
      </w:numPr>
      <w:adjustRightInd/>
      <w:spacing w:before="240" w:after="64" w:line="317" w:lineRule="auto"/>
      <w:jc w:val="left"/>
      <w:outlineLvl w:val="5"/>
    </w:pPr>
    <w:rPr>
      <w:rFonts w:hint="default" w:ascii="Arial" w:hAnsi="Arial" w:eastAsia="黑体"/>
      <w:b/>
      <w:kern w:val="2"/>
      <w:sz w:val="24"/>
      <w:szCs w:val="24"/>
    </w:rPr>
  </w:style>
  <w:style w:type="paragraph" w:styleId="11">
    <w:name w:val="heading 7"/>
    <w:basedOn w:val="1"/>
    <w:next w:val="1"/>
    <w:unhideWhenUsed/>
    <w:qFormat/>
    <w:uiPriority w:val="1"/>
    <w:pPr>
      <w:keepNext/>
      <w:keepLines/>
      <w:widowControl/>
      <w:numPr>
        <w:ilvl w:val="6"/>
        <w:numId w:val="1"/>
      </w:numPr>
      <w:adjustRightInd/>
      <w:spacing w:before="240" w:after="64" w:line="317" w:lineRule="auto"/>
      <w:jc w:val="left"/>
      <w:outlineLvl w:val="6"/>
    </w:pPr>
    <w:rPr>
      <w:rFonts w:hint="default"/>
      <w:b/>
      <w:kern w:val="2"/>
      <w:sz w:val="24"/>
      <w:szCs w:val="24"/>
    </w:rPr>
  </w:style>
  <w:style w:type="paragraph" w:styleId="12">
    <w:name w:val="heading 8"/>
    <w:basedOn w:val="1"/>
    <w:next w:val="10"/>
    <w:unhideWhenUsed/>
    <w:qFormat/>
    <w:uiPriority w:val="0"/>
    <w:pPr>
      <w:keepNext/>
      <w:keepLines/>
      <w:widowControl/>
      <w:numPr>
        <w:ilvl w:val="7"/>
        <w:numId w:val="1"/>
      </w:numPr>
      <w:adjustRightInd/>
      <w:spacing w:before="240" w:after="64" w:line="317" w:lineRule="auto"/>
      <w:jc w:val="left"/>
      <w:outlineLvl w:val="7"/>
    </w:pPr>
    <w:rPr>
      <w:rFonts w:hint="default" w:ascii="Arial" w:hAnsi="Arial" w:eastAsia="黑体"/>
      <w:kern w:val="2"/>
      <w:sz w:val="24"/>
      <w:szCs w:val="24"/>
    </w:rPr>
  </w:style>
  <w:style w:type="paragraph" w:styleId="13">
    <w:name w:val="heading 9"/>
    <w:basedOn w:val="1"/>
    <w:next w:val="10"/>
    <w:unhideWhenUsed/>
    <w:qFormat/>
    <w:uiPriority w:val="0"/>
    <w:pPr>
      <w:keepNext/>
      <w:keepLines/>
      <w:widowControl/>
      <w:numPr>
        <w:ilvl w:val="8"/>
        <w:numId w:val="1"/>
      </w:numPr>
      <w:adjustRightInd/>
      <w:spacing w:before="240" w:after="64" w:line="317" w:lineRule="auto"/>
      <w:jc w:val="left"/>
      <w:outlineLvl w:val="8"/>
    </w:pPr>
    <w:rPr>
      <w:rFonts w:hint="default" w:ascii="Arial" w:hAnsi="Arial" w:eastAsia="黑体"/>
      <w:kern w:val="2"/>
      <w:sz w:val="21"/>
      <w:szCs w:val="24"/>
    </w:rPr>
  </w:style>
  <w:style w:type="character" w:default="1" w:styleId="37">
    <w:name w:val="Default Paragraph Font"/>
    <w:unhideWhenUsed/>
    <w:qFormat/>
    <w:uiPriority w:val="0"/>
    <w:rPr>
      <w:rFonts w:hint="default"/>
      <w:sz w:val="24"/>
      <w:szCs w:val="24"/>
    </w:rPr>
  </w:style>
  <w:style w:type="table" w:default="1" w:styleId="35">
    <w:name w:val="Normal Table"/>
    <w:qFormat/>
    <w:uiPriority w:val="0"/>
    <w:tblPr>
      <w:tblCellMar>
        <w:top w:w="0" w:type="dxa"/>
        <w:left w:w="108" w:type="dxa"/>
        <w:bottom w:w="0" w:type="dxa"/>
        <w:right w:w="108" w:type="dxa"/>
      </w:tblCellMar>
    </w:tblPr>
  </w:style>
  <w:style w:type="paragraph" w:styleId="2">
    <w:name w:val="Body Text"/>
    <w:basedOn w:val="1"/>
    <w:next w:val="1"/>
    <w:link w:val="47"/>
    <w:unhideWhenUsed/>
    <w:qFormat/>
    <w:uiPriority w:val="1"/>
    <w:pPr>
      <w:widowControl/>
      <w:adjustRightInd/>
      <w:spacing w:line="380" w:lineRule="exact"/>
      <w:jc w:val="left"/>
    </w:pPr>
    <w:rPr>
      <w:rFonts w:hint="default"/>
      <w:kern w:val="2"/>
      <w:sz w:val="24"/>
      <w:szCs w:val="24"/>
    </w:rPr>
  </w:style>
  <w:style w:type="paragraph" w:customStyle="1" w:styleId="5">
    <w:name w:val="列出段落1"/>
    <w:basedOn w:val="1"/>
    <w:unhideWhenUsed/>
    <w:qFormat/>
    <w:uiPriority w:val="34"/>
    <w:pPr>
      <w:widowControl/>
      <w:adjustRightInd/>
      <w:spacing w:line="240" w:lineRule="auto"/>
      <w:ind w:firstLine="420" w:firstLineChars="200"/>
      <w:jc w:val="left"/>
    </w:pPr>
    <w:rPr>
      <w:rFonts w:hint="default" w:ascii="Calibri" w:hAnsi="Calibri"/>
      <w:kern w:val="2"/>
      <w:sz w:val="21"/>
      <w:szCs w:val="24"/>
    </w:rPr>
  </w:style>
  <w:style w:type="paragraph" w:styleId="10">
    <w:name w:val="Normal Indent"/>
    <w:basedOn w:val="1"/>
    <w:link w:val="44"/>
    <w:unhideWhenUsed/>
    <w:qFormat/>
    <w:uiPriority w:val="0"/>
    <w:pPr>
      <w:widowControl/>
      <w:adjustRightInd/>
      <w:spacing w:line="240" w:lineRule="auto"/>
      <w:ind w:firstLine="420" w:firstLineChars="200"/>
      <w:jc w:val="left"/>
      <w:textAlignment w:val="auto"/>
    </w:pPr>
    <w:rPr>
      <w:rFonts w:hint="default"/>
      <w:kern w:val="2"/>
      <w:sz w:val="21"/>
      <w:szCs w:val="24"/>
    </w:rPr>
  </w:style>
  <w:style w:type="paragraph" w:styleId="14">
    <w:name w:val="annotation text"/>
    <w:basedOn w:val="1"/>
    <w:link w:val="45"/>
    <w:unhideWhenUsed/>
    <w:qFormat/>
    <w:uiPriority w:val="0"/>
    <w:pPr>
      <w:adjustRightInd/>
      <w:spacing w:line="240" w:lineRule="auto"/>
      <w:jc w:val="left"/>
    </w:pPr>
    <w:rPr>
      <w:rFonts w:hint="default" w:ascii="Calibri" w:hAnsi="Calibri" w:cs="Times New Roman"/>
      <w:kern w:val="2"/>
      <w:sz w:val="21"/>
      <w:szCs w:val="24"/>
    </w:rPr>
  </w:style>
  <w:style w:type="paragraph" w:styleId="15">
    <w:name w:val="Salutation"/>
    <w:basedOn w:val="1"/>
    <w:next w:val="1"/>
    <w:link w:val="46"/>
    <w:unhideWhenUsed/>
    <w:qFormat/>
    <w:uiPriority w:val="0"/>
    <w:pPr>
      <w:widowControl/>
      <w:adjustRightInd/>
      <w:spacing w:line="240" w:lineRule="auto"/>
      <w:jc w:val="left"/>
      <w:textAlignment w:val="auto"/>
    </w:pPr>
    <w:rPr>
      <w:rFonts w:hint="default"/>
      <w:kern w:val="2"/>
      <w:sz w:val="21"/>
      <w:szCs w:val="24"/>
    </w:rPr>
  </w:style>
  <w:style w:type="paragraph" w:styleId="16">
    <w:name w:val="Body Text Indent"/>
    <w:basedOn w:val="1"/>
    <w:next w:val="17"/>
    <w:unhideWhenUsed/>
    <w:qFormat/>
    <w:uiPriority w:val="0"/>
    <w:pPr>
      <w:widowControl/>
      <w:adjustRightInd/>
      <w:spacing w:after="120" w:line="240" w:lineRule="auto"/>
      <w:ind w:left="420" w:leftChars="200"/>
      <w:jc w:val="left"/>
    </w:pPr>
    <w:rPr>
      <w:rFonts w:hint="default"/>
      <w:kern w:val="2"/>
      <w:sz w:val="21"/>
      <w:szCs w:val="24"/>
    </w:rPr>
  </w:style>
  <w:style w:type="paragraph" w:styleId="17">
    <w:name w:val="Normal (Web)"/>
    <w:basedOn w:val="1"/>
    <w:unhideWhenUsed/>
    <w:qFormat/>
    <w:uiPriority w:val="0"/>
    <w:pPr>
      <w:widowControl/>
      <w:adjustRightInd/>
      <w:spacing w:before="100" w:beforeAutospacing="1" w:after="100" w:afterAutospacing="1" w:line="240" w:lineRule="auto"/>
      <w:jc w:val="left"/>
    </w:pPr>
    <w:rPr>
      <w:rFonts w:hint="default" w:hAnsi="宋体" w:cs="宋体"/>
      <w:sz w:val="24"/>
      <w:szCs w:val="24"/>
    </w:rPr>
  </w:style>
  <w:style w:type="paragraph" w:styleId="18">
    <w:name w:val="toc 5"/>
    <w:basedOn w:val="1"/>
    <w:next w:val="1"/>
    <w:unhideWhenUsed/>
    <w:qFormat/>
    <w:uiPriority w:val="0"/>
    <w:pPr>
      <w:widowControl/>
      <w:adjustRightInd/>
      <w:spacing w:line="240" w:lineRule="auto"/>
      <w:ind w:left="1680" w:leftChars="800"/>
      <w:jc w:val="left"/>
    </w:pPr>
    <w:rPr>
      <w:rFonts w:hint="default"/>
      <w:kern w:val="2"/>
      <w:sz w:val="21"/>
      <w:szCs w:val="24"/>
    </w:rPr>
  </w:style>
  <w:style w:type="paragraph" w:styleId="19">
    <w:name w:val="toc 3"/>
    <w:basedOn w:val="1"/>
    <w:next w:val="1"/>
    <w:qFormat/>
    <w:uiPriority w:val="39"/>
    <w:pPr>
      <w:ind w:left="840" w:leftChars="400"/>
    </w:pPr>
  </w:style>
  <w:style w:type="paragraph" w:styleId="20">
    <w:name w:val="Plain Text"/>
    <w:basedOn w:val="1"/>
    <w:next w:val="21"/>
    <w:link w:val="48"/>
    <w:unhideWhenUsed/>
    <w:qFormat/>
    <w:uiPriority w:val="0"/>
    <w:pPr>
      <w:widowControl/>
      <w:adjustRightInd/>
      <w:spacing w:line="240" w:lineRule="auto"/>
      <w:jc w:val="left"/>
    </w:pPr>
    <w:rPr>
      <w:rFonts w:hint="default" w:hAnsi="Courier New"/>
      <w:kern w:val="2"/>
      <w:sz w:val="21"/>
      <w:szCs w:val="24"/>
    </w:rPr>
  </w:style>
  <w:style w:type="paragraph" w:styleId="21">
    <w:name w:val="Subtitle"/>
    <w:next w:val="1"/>
    <w:qFormat/>
    <w:uiPriority w:val="0"/>
    <w:pPr>
      <w:wordWrap w:val="0"/>
      <w:spacing w:after="60"/>
      <w:jc w:val="center"/>
    </w:pPr>
    <w:rPr>
      <w:rFonts w:ascii="Calibri" w:hAnsi="Calibri" w:eastAsia="宋体" w:cs="Times New Roman"/>
      <w:sz w:val="24"/>
      <w:lang w:val="en-US" w:eastAsia="zh-CN" w:bidi="ar-SA"/>
    </w:rPr>
  </w:style>
  <w:style w:type="paragraph" w:styleId="22">
    <w:name w:val="Date"/>
    <w:basedOn w:val="1"/>
    <w:next w:val="1"/>
    <w:unhideWhenUsed/>
    <w:qFormat/>
    <w:uiPriority w:val="0"/>
    <w:pPr>
      <w:widowControl/>
      <w:adjustRightInd/>
      <w:spacing w:line="240" w:lineRule="auto"/>
      <w:ind w:left="100" w:leftChars="2500"/>
      <w:jc w:val="left"/>
    </w:pPr>
    <w:rPr>
      <w:rFonts w:hint="default"/>
      <w:kern w:val="2"/>
      <w:sz w:val="21"/>
      <w:szCs w:val="24"/>
    </w:rPr>
  </w:style>
  <w:style w:type="paragraph" w:styleId="23">
    <w:name w:val="Body Text Indent 2"/>
    <w:basedOn w:val="1"/>
    <w:qFormat/>
    <w:uiPriority w:val="0"/>
    <w:pPr>
      <w:spacing w:after="120" w:afterLines="0" w:line="480" w:lineRule="auto"/>
      <w:ind w:left="420" w:leftChars="200"/>
    </w:pPr>
    <w:rPr>
      <w:rFonts w:ascii="Times New Roman" w:hAnsi="Times New Roman"/>
      <w:sz w:val="24"/>
      <w:szCs w:val="24"/>
    </w:rPr>
  </w:style>
  <w:style w:type="paragraph" w:styleId="24">
    <w:name w:val="Balloon Text"/>
    <w:basedOn w:val="1"/>
    <w:unhideWhenUsed/>
    <w:qFormat/>
    <w:uiPriority w:val="0"/>
    <w:pPr>
      <w:widowControl/>
      <w:adjustRightInd/>
      <w:spacing w:line="240" w:lineRule="auto"/>
      <w:jc w:val="left"/>
    </w:pPr>
    <w:rPr>
      <w:rFonts w:hint="default"/>
      <w:kern w:val="2"/>
      <w:sz w:val="18"/>
      <w:szCs w:val="24"/>
    </w:rPr>
  </w:style>
  <w:style w:type="paragraph" w:styleId="25">
    <w:name w:val="footer"/>
    <w:basedOn w:val="1"/>
    <w:link w:val="49"/>
    <w:unhideWhenUsed/>
    <w:qFormat/>
    <w:uiPriority w:val="99"/>
    <w:pPr>
      <w:widowControl/>
      <w:tabs>
        <w:tab w:val="center" w:pos="4153"/>
        <w:tab w:val="right" w:pos="8306"/>
      </w:tabs>
      <w:adjustRightInd/>
      <w:snapToGrid w:val="0"/>
      <w:spacing w:line="240" w:lineRule="auto"/>
      <w:jc w:val="left"/>
    </w:pPr>
    <w:rPr>
      <w:rFonts w:hint="default"/>
      <w:kern w:val="2"/>
      <w:sz w:val="18"/>
      <w:szCs w:val="24"/>
    </w:rPr>
  </w:style>
  <w:style w:type="paragraph" w:styleId="26">
    <w:name w:val="header"/>
    <w:basedOn w:val="1"/>
    <w:link w:val="50"/>
    <w:unhideWhenUsed/>
    <w:qFormat/>
    <w:uiPriority w:val="0"/>
    <w:pPr>
      <w:widowControl/>
      <w:pBdr>
        <w:bottom w:val="single" w:color="auto" w:sz="6" w:space="1"/>
      </w:pBdr>
      <w:tabs>
        <w:tab w:val="center" w:pos="4153"/>
        <w:tab w:val="right" w:pos="8306"/>
      </w:tabs>
      <w:adjustRightInd/>
      <w:snapToGrid w:val="0"/>
      <w:spacing w:line="240" w:lineRule="auto"/>
      <w:jc w:val="center"/>
    </w:pPr>
    <w:rPr>
      <w:rFonts w:hint="default"/>
      <w:kern w:val="2"/>
      <w:sz w:val="18"/>
      <w:szCs w:val="24"/>
    </w:rPr>
  </w:style>
  <w:style w:type="paragraph" w:styleId="27">
    <w:name w:val="toc 1"/>
    <w:basedOn w:val="1"/>
    <w:next w:val="1"/>
    <w:unhideWhenUsed/>
    <w:qFormat/>
    <w:uiPriority w:val="39"/>
    <w:pPr>
      <w:widowControl/>
      <w:adjustRightInd/>
      <w:spacing w:line="240" w:lineRule="auto"/>
      <w:jc w:val="left"/>
    </w:pPr>
    <w:rPr>
      <w:rFonts w:hint="default"/>
      <w:kern w:val="2"/>
      <w:sz w:val="21"/>
      <w:szCs w:val="24"/>
    </w:rPr>
  </w:style>
  <w:style w:type="paragraph" w:styleId="28">
    <w:name w:val="toc 4"/>
    <w:basedOn w:val="1"/>
    <w:next w:val="1"/>
    <w:qFormat/>
    <w:uiPriority w:val="0"/>
    <w:pPr>
      <w:tabs>
        <w:tab w:val="left" w:pos="1890"/>
        <w:tab w:val="right" w:leader="dot" w:pos="8296"/>
      </w:tabs>
      <w:ind w:left="630" w:leftChars="300"/>
    </w:pPr>
  </w:style>
  <w:style w:type="paragraph" w:styleId="29">
    <w:name w:val="footnote text"/>
    <w:basedOn w:val="1"/>
    <w:unhideWhenUsed/>
    <w:qFormat/>
    <w:uiPriority w:val="0"/>
    <w:pPr>
      <w:widowControl/>
      <w:adjustRightInd/>
      <w:spacing w:line="360" w:lineRule="auto"/>
      <w:jc w:val="left"/>
    </w:pPr>
    <w:rPr>
      <w:rFonts w:hint="eastAsia" w:ascii="Times New Roman" w:eastAsia="Times New Roman"/>
      <w:kern w:val="2"/>
      <w:sz w:val="18"/>
      <w:szCs w:val="24"/>
    </w:rPr>
  </w:style>
  <w:style w:type="paragraph" w:styleId="30">
    <w:name w:val="toc 2"/>
    <w:basedOn w:val="1"/>
    <w:next w:val="1"/>
    <w:qFormat/>
    <w:uiPriority w:val="39"/>
    <w:pPr>
      <w:ind w:left="420" w:leftChars="200"/>
    </w:pPr>
  </w:style>
  <w:style w:type="paragraph" w:styleId="31">
    <w:name w:val="HTML Preformatted"/>
    <w:basedOn w:val="1"/>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pPr>
    <w:rPr>
      <w:rFonts w:hint="default" w:ascii="Arial" w:hAnsi="Arial" w:cs="Arial"/>
      <w:sz w:val="24"/>
      <w:szCs w:val="24"/>
    </w:rPr>
  </w:style>
  <w:style w:type="paragraph" w:styleId="32">
    <w:name w:val="Title"/>
    <w:basedOn w:val="1"/>
    <w:next w:val="1"/>
    <w:unhideWhenUsed/>
    <w:qFormat/>
    <w:uiPriority w:val="0"/>
    <w:pPr>
      <w:jc w:val="center"/>
    </w:pPr>
    <w:rPr>
      <w:rFonts w:hint="default"/>
      <w:b/>
      <w:sz w:val="36"/>
      <w:szCs w:val="24"/>
      <w:lang w:eastAsia="en-US"/>
    </w:rPr>
  </w:style>
  <w:style w:type="paragraph" w:styleId="33">
    <w:name w:val="Body Text First Indent"/>
    <w:basedOn w:val="2"/>
    <w:next w:val="1"/>
    <w:unhideWhenUsed/>
    <w:qFormat/>
    <w:uiPriority w:val="0"/>
    <w:pPr>
      <w:spacing w:after="120"/>
      <w:ind w:firstLine="420" w:firstLineChars="100"/>
    </w:pPr>
    <w:rPr>
      <w:rFonts w:hint="default" w:cs="Times New Roman"/>
      <w:sz w:val="21"/>
      <w:szCs w:val="24"/>
    </w:rPr>
  </w:style>
  <w:style w:type="paragraph" w:styleId="34">
    <w:name w:val="Body Text First Indent 2"/>
    <w:basedOn w:val="16"/>
    <w:next w:val="33"/>
    <w:unhideWhenUsed/>
    <w:qFormat/>
    <w:uiPriority w:val="0"/>
    <w:pPr>
      <w:spacing w:beforeLines="0" w:afterLines="0"/>
      <w:ind w:firstLine="420" w:firstLineChars="200"/>
    </w:pPr>
    <w:rPr>
      <w:rFonts w:hint="default"/>
      <w:sz w:val="24"/>
    </w:rPr>
  </w:style>
  <w:style w:type="table" w:styleId="36">
    <w:name w:val="Table Grid"/>
    <w:basedOn w:val="3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unhideWhenUsed/>
    <w:qFormat/>
    <w:uiPriority w:val="0"/>
    <w:rPr>
      <w:rFonts w:hint="default"/>
      <w:b/>
      <w:sz w:val="24"/>
      <w:szCs w:val="24"/>
    </w:rPr>
  </w:style>
  <w:style w:type="character" w:styleId="39">
    <w:name w:val="page number"/>
    <w:unhideWhenUsed/>
    <w:qFormat/>
    <w:uiPriority w:val="0"/>
    <w:rPr>
      <w:rFonts w:hint="default"/>
      <w:sz w:val="24"/>
      <w:szCs w:val="24"/>
    </w:rPr>
  </w:style>
  <w:style w:type="character" w:styleId="40">
    <w:name w:val="Emphasis"/>
    <w:unhideWhenUsed/>
    <w:qFormat/>
    <w:uiPriority w:val="20"/>
    <w:rPr>
      <w:rFonts w:hint="default"/>
      <w:color w:val="auto"/>
      <w:sz w:val="24"/>
      <w:szCs w:val="24"/>
    </w:rPr>
  </w:style>
  <w:style w:type="character" w:styleId="41">
    <w:name w:val="Hyperlink"/>
    <w:unhideWhenUsed/>
    <w:qFormat/>
    <w:uiPriority w:val="0"/>
    <w:rPr>
      <w:rFonts w:hint="default"/>
      <w:color w:val="0000FF"/>
      <w:sz w:val="24"/>
      <w:szCs w:val="24"/>
      <w:u w:val="single"/>
    </w:rPr>
  </w:style>
  <w:style w:type="character" w:styleId="42">
    <w:name w:val="annotation reference"/>
    <w:qFormat/>
    <w:uiPriority w:val="0"/>
    <w:rPr>
      <w:rFonts w:cs="Times New Roman"/>
      <w:sz w:val="21"/>
      <w:szCs w:val="21"/>
    </w:rPr>
  </w:style>
  <w:style w:type="paragraph" w:customStyle="1" w:styleId="43">
    <w:name w:val="*正文"/>
    <w:basedOn w:val="1"/>
    <w:unhideWhenUsed/>
    <w:qFormat/>
    <w:uiPriority w:val="0"/>
    <w:pPr>
      <w:widowControl/>
    </w:pPr>
    <w:rPr>
      <w:rFonts w:hint="eastAsia" w:ascii="仿宋_GB2312" w:eastAsia="仿宋_GB2312" w:cs="Calibri"/>
      <w:sz w:val="34"/>
      <w:szCs w:val="28"/>
    </w:rPr>
  </w:style>
  <w:style w:type="character" w:customStyle="1" w:styleId="44">
    <w:name w:val="正文缩进 Char"/>
    <w:link w:val="10"/>
    <w:unhideWhenUsed/>
    <w:qFormat/>
    <w:uiPriority w:val="0"/>
    <w:rPr>
      <w:rFonts w:hint="eastAsia" w:ascii="Times New Roman" w:hAnsi="Times New Roman" w:eastAsia="Times New Roman"/>
      <w:kern w:val="2"/>
      <w:sz w:val="21"/>
      <w:szCs w:val="24"/>
      <w:lang w:val="en-US" w:eastAsia="zh-CN" w:bidi="ar-SA"/>
    </w:rPr>
  </w:style>
  <w:style w:type="character" w:customStyle="1" w:styleId="45">
    <w:name w:val="批注文字 Char"/>
    <w:link w:val="14"/>
    <w:unhideWhenUsed/>
    <w:qFormat/>
    <w:uiPriority w:val="0"/>
    <w:rPr>
      <w:rFonts w:hint="default" w:ascii="Calibri" w:hAnsi="Calibri" w:eastAsia="宋体"/>
      <w:kern w:val="2"/>
      <w:sz w:val="21"/>
      <w:szCs w:val="24"/>
    </w:rPr>
  </w:style>
  <w:style w:type="character" w:customStyle="1" w:styleId="46">
    <w:name w:val="称呼 Char"/>
    <w:link w:val="15"/>
    <w:unhideWhenUsed/>
    <w:qFormat/>
    <w:uiPriority w:val="0"/>
    <w:rPr>
      <w:rFonts w:hint="default"/>
      <w:kern w:val="2"/>
      <w:sz w:val="21"/>
      <w:szCs w:val="24"/>
    </w:rPr>
  </w:style>
  <w:style w:type="character" w:customStyle="1" w:styleId="47">
    <w:name w:val="正文文本 Char"/>
    <w:link w:val="2"/>
    <w:unhideWhenUsed/>
    <w:qFormat/>
    <w:uiPriority w:val="1"/>
    <w:rPr>
      <w:rFonts w:hint="default"/>
      <w:kern w:val="2"/>
      <w:sz w:val="24"/>
      <w:szCs w:val="24"/>
    </w:rPr>
  </w:style>
  <w:style w:type="character" w:customStyle="1" w:styleId="48">
    <w:name w:val="纯文本 Char"/>
    <w:link w:val="20"/>
    <w:unhideWhenUsed/>
    <w:qFormat/>
    <w:uiPriority w:val="0"/>
    <w:rPr>
      <w:rFonts w:hint="default" w:ascii="宋体" w:hAnsi="Courier New" w:eastAsia="宋体"/>
      <w:kern w:val="2"/>
      <w:sz w:val="21"/>
      <w:szCs w:val="24"/>
      <w:lang w:val="en-US" w:eastAsia="zh-CN" w:bidi="ar-SA"/>
    </w:rPr>
  </w:style>
  <w:style w:type="character" w:customStyle="1" w:styleId="49">
    <w:name w:val="页脚 Char1"/>
    <w:link w:val="25"/>
    <w:unhideWhenUsed/>
    <w:qFormat/>
    <w:uiPriority w:val="99"/>
    <w:rPr>
      <w:rFonts w:hint="default"/>
      <w:kern w:val="2"/>
      <w:sz w:val="18"/>
      <w:szCs w:val="24"/>
    </w:rPr>
  </w:style>
  <w:style w:type="character" w:customStyle="1" w:styleId="50">
    <w:name w:val="页眉 Char"/>
    <w:link w:val="26"/>
    <w:unhideWhenUsed/>
    <w:qFormat/>
    <w:uiPriority w:val="0"/>
    <w:rPr>
      <w:rFonts w:hint="default"/>
      <w:kern w:val="2"/>
      <w:sz w:val="18"/>
      <w:szCs w:val="24"/>
    </w:rPr>
  </w:style>
  <w:style w:type="paragraph" w:customStyle="1" w:styleId="51">
    <w:name w:val="Default"/>
    <w:unhideWhenUsed/>
    <w:qFormat/>
    <w:uiPriority w:val="0"/>
    <w:pPr>
      <w:widowControl w:val="0"/>
      <w:autoSpaceDE w:val="0"/>
      <w:autoSpaceDN w:val="0"/>
      <w:adjustRightInd w:val="0"/>
      <w:spacing w:line="360" w:lineRule="atLeast"/>
      <w:jc w:val="both"/>
      <w:textAlignment w:val="baseline"/>
    </w:pPr>
    <w:rPr>
      <w:rFonts w:hint="default" w:ascii="宋体" w:hAnsi="Times New Roman" w:eastAsia="宋体" w:cs="Times New Roman"/>
      <w:color w:val="000000"/>
      <w:sz w:val="24"/>
      <w:szCs w:val="24"/>
      <w:lang w:val="en-US" w:eastAsia="zh-CN" w:bidi="ar-SA"/>
    </w:rPr>
  </w:style>
  <w:style w:type="paragraph" w:customStyle="1" w:styleId="52">
    <w:name w:val="p0"/>
    <w:basedOn w:val="1"/>
    <w:unhideWhenUsed/>
    <w:qFormat/>
    <w:uiPriority w:val="0"/>
    <w:pPr>
      <w:widowControl/>
      <w:adjustRightInd/>
      <w:spacing w:line="240" w:lineRule="auto"/>
      <w:jc w:val="left"/>
    </w:pPr>
    <w:rPr>
      <w:rFonts w:hint="default"/>
      <w:sz w:val="21"/>
      <w:szCs w:val="24"/>
    </w:rPr>
  </w:style>
  <w:style w:type="paragraph" w:customStyle="1" w:styleId="53">
    <w:name w:val="正文_2"/>
    <w:unhideWhenUsed/>
    <w:qFormat/>
    <w:uiPriority w:val="0"/>
    <w:pPr>
      <w:widowControl w:val="0"/>
      <w:jc w:val="both"/>
    </w:pPr>
    <w:rPr>
      <w:rFonts w:hint="default" w:ascii="Times New Roman" w:hAnsi="Times New Roman" w:eastAsia="宋体" w:cs="Times New Roman"/>
      <w:kern w:val="2"/>
      <w:sz w:val="21"/>
      <w:szCs w:val="24"/>
      <w:lang w:val="en-US" w:eastAsia="zh-CN" w:bidi="ar-SA"/>
    </w:rPr>
  </w:style>
  <w:style w:type="paragraph" w:customStyle="1" w:styleId="54">
    <w:name w:val="页脚_1_0"/>
    <w:basedOn w:val="55"/>
    <w:unhideWhenUsed/>
    <w:qFormat/>
    <w:uiPriority w:val="0"/>
    <w:pPr>
      <w:tabs>
        <w:tab w:val="center" w:pos="4153"/>
        <w:tab w:val="right" w:pos="8306"/>
      </w:tabs>
      <w:snapToGrid w:val="0"/>
      <w:jc w:val="left"/>
    </w:pPr>
    <w:rPr>
      <w:rFonts w:hint="default" w:ascii="Calibri" w:hAnsi="Calibri" w:eastAsia="宋体"/>
      <w:sz w:val="18"/>
      <w:szCs w:val="24"/>
    </w:rPr>
  </w:style>
  <w:style w:type="paragraph" w:customStyle="1" w:styleId="55">
    <w:name w:val="正文_1_0_0"/>
    <w:next w:val="54"/>
    <w:unhideWhenUsed/>
    <w:qFormat/>
    <w:uiPriority w:val="0"/>
    <w:pPr>
      <w:widowControl w:val="0"/>
      <w:jc w:val="both"/>
    </w:pPr>
    <w:rPr>
      <w:rFonts w:hint="default" w:ascii="Times New Roman" w:hAnsi="Times New Roman" w:eastAsia="宋体" w:cs="Times New Roman"/>
      <w:kern w:val="2"/>
      <w:sz w:val="21"/>
      <w:szCs w:val="24"/>
      <w:lang w:val="en-US" w:eastAsia="zh-CN" w:bidi="ar-SA"/>
    </w:rPr>
  </w:style>
  <w:style w:type="paragraph" w:customStyle="1" w:styleId="56">
    <w:name w:val="表格文字2"/>
    <w:basedOn w:val="57"/>
    <w:unhideWhenUsed/>
    <w:qFormat/>
    <w:uiPriority w:val="99"/>
    <w:pPr>
      <w:spacing w:before="25" w:after="25"/>
      <w:jc w:val="left"/>
    </w:pPr>
    <w:rPr>
      <w:rFonts w:hint="default"/>
      <w:spacing w:val="10"/>
      <w:kern w:val="0"/>
      <w:sz w:val="21"/>
      <w:szCs w:val="24"/>
    </w:rPr>
  </w:style>
  <w:style w:type="paragraph" w:customStyle="1" w:styleId="57">
    <w:name w:val="正文1"/>
    <w:unhideWhenUsed/>
    <w:qFormat/>
    <w:uiPriority w:val="0"/>
    <w:pPr>
      <w:jc w:val="both"/>
    </w:pPr>
    <w:rPr>
      <w:rFonts w:hint="default" w:ascii="Times New Roman" w:hAnsi="Times New Roman" w:eastAsia="宋体" w:cs="Times New Roman"/>
      <w:kern w:val="2"/>
      <w:sz w:val="21"/>
      <w:szCs w:val="24"/>
      <w:lang w:val="en-US" w:eastAsia="zh-CN" w:bidi="ar-SA"/>
    </w:rPr>
  </w:style>
  <w:style w:type="paragraph" w:customStyle="1" w:styleId="58">
    <w:name w:val="缺省文本"/>
    <w:unhideWhenUsed/>
    <w:qFormat/>
    <w:uiPriority w:val="0"/>
    <w:pPr>
      <w:widowControl w:val="0"/>
      <w:autoSpaceDE w:val="0"/>
      <w:autoSpaceDN w:val="0"/>
      <w:adjustRightInd w:val="0"/>
    </w:pPr>
    <w:rPr>
      <w:rFonts w:hint="default" w:ascii="Times New Roman" w:hAnsi="Times New Roman" w:eastAsia="宋体" w:cs="Times New Roman"/>
      <w:color w:val="000000"/>
      <w:sz w:val="24"/>
      <w:szCs w:val="24"/>
      <w:lang w:val="en-US" w:eastAsia="zh-CN" w:bidi="ar-SA"/>
    </w:rPr>
  </w:style>
  <w:style w:type="paragraph" w:customStyle="1" w:styleId="59">
    <w:name w:val="p16"/>
    <w:basedOn w:val="1"/>
    <w:unhideWhenUsed/>
    <w:qFormat/>
    <w:uiPriority w:val="0"/>
    <w:pPr>
      <w:widowControl/>
      <w:adjustRightInd/>
      <w:spacing w:line="360" w:lineRule="auto"/>
      <w:ind w:left="980" w:hanging="420"/>
      <w:jc w:val="left"/>
    </w:pPr>
    <w:rPr>
      <w:rFonts w:hint="default"/>
      <w:sz w:val="24"/>
      <w:szCs w:val="24"/>
    </w:rPr>
  </w:style>
  <w:style w:type="paragraph" w:styleId="60">
    <w:name w:val="No Spacing"/>
    <w:unhideWhenUsed/>
    <w:qFormat/>
    <w:uiPriority w:val="0"/>
    <w:pPr>
      <w:widowControl w:val="0"/>
      <w:jc w:val="both"/>
    </w:pPr>
    <w:rPr>
      <w:rFonts w:hint="default" w:ascii="Times New Roman" w:hAnsi="Times New Roman" w:eastAsia="宋体" w:cs="Times New Roman"/>
      <w:kern w:val="2"/>
      <w:sz w:val="21"/>
      <w:szCs w:val="24"/>
      <w:lang w:val="en-US" w:eastAsia="zh-CN" w:bidi="ar-SA"/>
    </w:rPr>
  </w:style>
  <w:style w:type="paragraph" w:customStyle="1" w:styleId="61">
    <w:name w:val="正文_0"/>
    <w:unhideWhenUsed/>
    <w:qFormat/>
    <w:uiPriority w:val="0"/>
    <w:pPr>
      <w:widowControl w:val="0"/>
      <w:jc w:val="both"/>
    </w:pPr>
    <w:rPr>
      <w:rFonts w:hint="default" w:ascii="Calibri" w:hAnsi="Calibri" w:eastAsia="宋体" w:cs="Times New Roman"/>
      <w:kern w:val="2"/>
      <w:sz w:val="21"/>
      <w:szCs w:val="24"/>
      <w:lang w:val="en-US" w:eastAsia="zh-CN" w:bidi="ar-SA"/>
    </w:rPr>
  </w:style>
  <w:style w:type="paragraph" w:customStyle="1" w:styleId="62">
    <w:name w:val="正文_3"/>
    <w:unhideWhenUsed/>
    <w:qFormat/>
    <w:uiPriority w:val="0"/>
    <w:pPr>
      <w:widowControl w:val="0"/>
      <w:jc w:val="both"/>
    </w:pPr>
    <w:rPr>
      <w:rFonts w:hint="default" w:ascii="Times New Roman" w:hAnsi="Times New Roman" w:eastAsia="宋体" w:cs="Times New Roman"/>
      <w:kern w:val="2"/>
      <w:sz w:val="21"/>
      <w:szCs w:val="24"/>
      <w:lang w:val="en-US" w:eastAsia="zh-CN" w:bidi="ar-SA"/>
    </w:rPr>
  </w:style>
  <w:style w:type="paragraph" w:customStyle="1" w:styleId="63">
    <w:name w:val="Default Text"/>
    <w:basedOn w:val="1"/>
    <w:unhideWhenUsed/>
    <w:qFormat/>
    <w:uiPriority w:val="0"/>
    <w:pPr>
      <w:autoSpaceDE w:val="0"/>
      <w:autoSpaceDN w:val="0"/>
      <w:spacing w:line="240" w:lineRule="auto"/>
      <w:jc w:val="left"/>
    </w:pPr>
    <w:rPr>
      <w:rFonts w:hint="default"/>
      <w:color w:val="000000"/>
      <w:sz w:val="24"/>
      <w:szCs w:val="24"/>
    </w:rPr>
  </w:style>
  <w:style w:type="paragraph" w:customStyle="1" w:styleId="64">
    <w:name w:val="页脚_0"/>
    <w:basedOn w:val="53"/>
    <w:unhideWhenUsed/>
    <w:qFormat/>
    <w:uiPriority w:val="99"/>
    <w:pPr>
      <w:tabs>
        <w:tab w:val="center" w:pos="4153"/>
        <w:tab w:val="right" w:pos="8306"/>
      </w:tabs>
      <w:snapToGrid w:val="0"/>
      <w:jc w:val="left"/>
    </w:pPr>
    <w:rPr>
      <w:rFonts w:hint="default" w:ascii="Calibri" w:hAnsi="Calibri" w:eastAsia="宋体"/>
      <w:sz w:val="18"/>
      <w:szCs w:val="24"/>
    </w:rPr>
  </w:style>
  <w:style w:type="paragraph" w:customStyle="1" w:styleId="65">
    <w:name w:val="正文_3_0"/>
    <w:basedOn w:val="53"/>
    <w:next w:val="66"/>
    <w:unhideWhenUsed/>
    <w:qFormat/>
    <w:uiPriority w:val="0"/>
    <w:rPr>
      <w:rFonts w:hint="default" w:ascii="Calibri" w:hAnsi="Calibri" w:eastAsia="宋体" w:cs="Calibri"/>
      <w:sz w:val="21"/>
      <w:szCs w:val="21"/>
    </w:rPr>
  </w:style>
  <w:style w:type="paragraph" w:customStyle="1" w:styleId="66">
    <w:name w:val="页脚_2"/>
    <w:basedOn w:val="67"/>
    <w:unhideWhenUsed/>
    <w:qFormat/>
    <w:uiPriority w:val="0"/>
    <w:pPr>
      <w:tabs>
        <w:tab w:val="center" w:pos="4153"/>
        <w:tab w:val="right" w:pos="8306"/>
      </w:tabs>
      <w:snapToGrid w:val="0"/>
      <w:jc w:val="left"/>
    </w:pPr>
    <w:rPr>
      <w:rFonts w:hint="default"/>
      <w:sz w:val="18"/>
      <w:szCs w:val="24"/>
    </w:rPr>
  </w:style>
  <w:style w:type="paragraph" w:customStyle="1" w:styleId="67">
    <w:name w:val="正文_4"/>
    <w:unhideWhenUsed/>
    <w:qFormat/>
    <w:uiPriority w:val="0"/>
    <w:pPr>
      <w:widowControl w:val="0"/>
      <w:jc w:val="both"/>
    </w:pPr>
    <w:rPr>
      <w:rFonts w:hint="default" w:ascii="Times New Roman" w:hAnsi="Times New Roman" w:eastAsia="宋体" w:cs="Times New Roman"/>
      <w:kern w:val="2"/>
      <w:sz w:val="21"/>
      <w:szCs w:val="24"/>
      <w:lang w:val="en-US" w:eastAsia="zh-CN" w:bidi="ar-SA"/>
    </w:rPr>
  </w:style>
  <w:style w:type="paragraph" w:customStyle="1" w:styleId="68">
    <w:name w:val="样式 样式 样式 左侧:  2 字符1 + 首行缩进:  2 字符1 + 首行缩进:  2 字符"/>
    <w:basedOn w:val="1"/>
    <w:unhideWhenUsed/>
    <w:qFormat/>
    <w:uiPriority w:val="0"/>
    <w:pPr>
      <w:widowControl/>
      <w:spacing w:before="60" w:after="120" w:line="440" w:lineRule="atLeast"/>
      <w:ind w:firstLine="480"/>
      <w:jc w:val="left"/>
    </w:pPr>
    <w:rPr>
      <w:rFonts w:hint="default"/>
      <w:kern w:val="2"/>
      <w:sz w:val="24"/>
      <w:szCs w:val="24"/>
    </w:rPr>
  </w:style>
  <w:style w:type="paragraph" w:customStyle="1" w:styleId="69">
    <w:name w:val=" Char Char Char Char Char Char Char Char Char Char"/>
    <w:basedOn w:val="1"/>
    <w:unhideWhenUsed/>
    <w:qFormat/>
    <w:uiPriority w:val="0"/>
    <w:pPr>
      <w:widowControl/>
      <w:adjustRightInd/>
      <w:spacing w:line="360" w:lineRule="auto"/>
      <w:jc w:val="left"/>
    </w:pPr>
    <w:rPr>
      <w:rFonts w:hint="default"/>
      <w:kern w:val="2"/>
      <w:sz w:val="21"/>
      <w:szCs w:val="24"/>
    </w:rPr>
  </w:style>
  <w:style w:type="paragraph" w:customStyle="1" w:styleId="70">
    <w:name w:val="样式3"/>
    <w:basedOn w:val="20"/>
    <w:unhideWhenUsed/>
    <w:qFormat/>
    <w:uiPriority w:val="0"/>
    <w:pPr>
      <w:spacing w:line="240" w:lineRule="atLeast"/>
      <w:outlineLvl w:val="0"/>
    </w:pPr>
    <w:rPr>
      <w:rFonts w:hint="default"/>
      <w:sz w:val="28"/>
      <w:szCs w:val="24"/>
    </w:rPr>
  </w:style>
  <w:style w:type="paragraph" w:customStyle="1" w:styleId="71">
    <w:name w:val="Heading3"/>
    <w:basedOn w:val="1"/>
    <w:next w:val="1"/>
    <w:unhideWhenUsed/>
    <w:qFormat/>
    <w:uiPriority w:val="0"/>
    <w:pPr>
      <w:widowControl/>
      <w:adjustRightInd/>
      <w:spacing w:after="50" w:line="360" w:lineRule="auto"/>
      <w:ind w:left="-4"/>
      <w:jc w:val="left"/>
    </w:pPr>
    <w:rPr>
      <w:rFonts w:hint="default" w:hAnsi="宋体"/>
      <w:b/>
      <w:color w:val="000000"/>
      <w:sz w:val="30"/>
      <w:szCs w:val="24"/>
      <w:lang w:val="en-GB"/>
    </w:rPr>
  </w:style>
  <w:style w:type="paragraph" w:customStyle="1" w:styleId="72">
    <w:name w:val="标3"/>
    <w:basedOn w:val="1"/>
    <w:unhideWhenUsed/>
    <w:qFormat/>
    <w:uiPriority w:val="0"/>
    <w:pPr>
      <w:widowControl/>
      <w:numPr>
        <w:ilvl w:val="2"/>
        <w:numId w:val="4"/>
      </w:numPr>
      <w:adjustRightInd/>
      <w:snapToGrid w:val="0"/>
      <w:spacing w:before="50" w:line="240" w:lineRule="auto"/>
      <w:ind w:left="1800" w:hanging="420"/>
      <w:jc w:val="left"/>
      <w:outlineLvl w:val="2"/>
    </w:pPr>
    <w:rPr>
      <w:rFonts w:hint="default" w:ascii="Arial Narrow" w:hAnsi="Arial Narrow" w:eastAsia="仿宋_GB2312"/>
      <w:kern w:val="2"/>
      <w:sz w:val="28"/>
      <w:szCs w:val="24"/>
    </w:rPr>
  </w:style>
  <w:style w:type="paragraph" w:customStyle="1" w:styleId="73">
    <w:name w:val="Table Paragraph"/>
    <w:basedOn w:val="1"/>
    <w:unhideWhenUsed/>
    <w:qFormat/>
    <w:uiPriority w:val="1"/>
    <w:pPr>
      <w:adjustRightInd/>
      <w:spacing w:line="240" w:lineRule="auto"/>
    </w:pPr>
    <w:rPr>
      <w:rFonts w:hint="eastAsia" w:ascii="楷体" w:hAnsi="楷体" w:eastAsia="楷体" w:cs="楷体"/>
      <w:kern w:val="2"/>
      <w:sz w:val="21"/>
      <w:szCs w:val="24"/>
      <w:lang w:val="zh-CN" w:bidi="zh-CN"/>
    </w:rPr>
  </w:style>
  <w:style w:type="paragraph" w:styleId="74">
    <w:name w:val="List Paragraph"/>
    <w:basedOn w:val="1"/>
    <w:unhideWhenUsed/>
    <w:qFormat/>
    <w:uiPriority w:val="34"/>
    <w:pPr>
      <w:widowControl/>
      <w:adjustRightInd/>
      <w:spacing w:line="240" w:lineRule="auto"/>
      <w:ind w:firstLine="420" w:firstLineChars="200"/>
      <w:jc w:val="left"/>
    </w:pPr>
    <w:rPr>
      <w:rFonts w:hint="default" w:ascii="Calibri" w:hAnsi="Calibri"/>
      <w:kern w:val="2"/>
      <w:sz w:val="21"/>
      <w:szCs w:val="24"/>
    </w:rPr>
  </w:style>
  <w:style w:type="paragraph" w:customStyle="1" w:styleId="75">
    <w:name w:val="默认段落字体 Para Char Char Char1 Char"/>
    <w:basedOn w:val="1"/>
    <w:unhideWhenUsed/>
    <w:qFormat/>
    <w:uiPriority w:val="0"/>
    <w:pPr>
      <w:widowControl/>
      <w:adjustRightInd/>
      <w:spacing w:line="240" w:lineRule="atLeast"/>
      <w:ind w:left="420" w:firstLine="420"/>
      <w:jc w:val="left"/>
    </w:pPr>
    <w:rPr>
      <w:rFonts w:hint="default"/>
      <w:kern w:val="2"/>
      <w:sz w:val="21"/>
      <w:szCs w:val="24"/>
    </w:rPr>
  </w:style>
  <w:style w:type="paragraph" w:customStyle="1" w:styleId="76">
    <w:name w:val="Õý"/>
    <w:unhideWhenUsed/>
    <w:qFormat/>
    <w:uiPriority w:val="0"/>
    <w:pPr>
      <w:widowControl w:val="0"/>
      <w:adjustRightInd w:val="0"/>
      <w:spacing w:line="360" w:lineRule="atLeast"/>
      <w:jc w:val="both"/>
      <w:textAlignment w:val="baseline"/>
    </w:pPr>
    <w:rPr>
      <w:rFonts w:hint="default" w:ascii="Times New Roman" w:hAnsi="Times New Roman" w:eastAsia="宋体" w:cs="Times New Roman"/>
      <w:kern w:val="2"/>
      <w:sz w:val="21"/>
      <w:szCs w:val="24"/>
      <w:lang w:val="en-US" w:eastAsia="zh-CN" w:bidi="ar-SA"/>
    </w:rPr>
  </w:style>
  <w:style w:type="paragraph" w:customStyle="1" w:styleId="77">
    <w:name w:val="Char"/>
    <w:basedOn w:val="1"/>
    <w:unhideWhenUsed/>
    <w:qFormat/>
    <w:uiPriority w:val="0"/>
    <w:pPr>
      <w:widowControl/>
      <w:adjustRightInd/>
      <w:spacing w:after="160" w:line="240" w:lineRule="exact"/>
      <w:jc w:val="left"/>
    </w:pPr>
    <w:rPr>
      <w:rFonts w:hint="default" w:ascii="Verdana" w:hAnsi="Verdana"/>
      <w:sz w:val="20"/>
      <w:szCs w:val="24"/>
      <w:lang w:eastAsia="en-US"/>
    </w:rPr>
  </w:style>
  <w:style w:type="paragraph" w:customStyle="1" w:styleId="78">
    <w:name w:val="正文_1"/>
    <w:unhideWhenUsed/>
    <w:qFormat/>
    <w:uiPriority w:val="0"/>
    <w:pPr>
      <w:widowControl w:val="0"/>
      <w:jc w:val="both"/>
    </w:pPr>
    <w:rPr>
      <w:rFonts w:hint="default" w:ascii="Calibri" w:hAnsi="Calibri" w:eastAsia="宋体" w:cs="Times New Roman"/>
      <w:kern w:val="2"/>
      <w:sz w:val="21"/>
      <w:szCs w:val="24"/>
      <w:lang w:val="en-US" w:eastAsia="zh-CN" w:bidi="ar-SA"/>
    </w:rPr>
  </w:style>
  <w:style w:type="paragraph" w:customStyle="1" w:styleId="79">
    <w:name w:val=" Char"/>
    <w:basedOn w:val="1"/>
    <w:unhideWhenUsed/>
    <w:qFormat/>
    <w:uiPriority w:val="0"/>
    <w:pPr>
      <w:widowControl/>
      <w:tabs>
        <w:tab w:val="left" w:pos="360"/>
      </w:tabs>
      <w:adjustRightInd/>
      <w:spacing w:line="240" w:lineRule="auto"/>
      <w:ind w:firstLine="420"/>
      <w:jc w:val="left"/>
    </w:pPr>
    <w:rPr>
      <w:rFonts w:hint="default" w:hAnsi="宋体"/>
      <w:b/>
      <w:kern w:val="2"/>
      <w:sz w:val="21"/>
      <w:szCs w:val="24"/>
    </w:rPr>
  </w:style>
  <w:style w:type="paragraph" w:customStyle="1" w:styleId="80">
    <w:name w:val="WPSOffice手动目录 1"/>
    <w:unhideWhenUsed/>
    <w:qFormat/>
    <w:uiPriority w:val="0"/>
    <w:rPr>
      <w:rFonts w:hint="default" w:ascii="Times New Roman" w:hAnsi="Times New Roman" w:eastAsia="宋体" w:cs="Times New Roman"/>
      <w:sz w:val="24"/>
      <w:szCs w:val="24"/>
      <w:lang w:val="en-US" w:eastAsia="zh-CN" w:bidi="ar-SA"/>
    </w:rPr>
  </w:style>
  <w:style w:type="paragraph" w:customStyle="1" w:styleId="81">
    <w:name w:val="正文_0_1"/>
    <w:basedOn w:val="78"/>
    <w:next w:val="78"/>
    <w:unhideWhenUsed/>
    <w:qFormat/>
    <w:uiPriority w:val="0"/>
    <w:rPr>
      <w:rFonts w:hint="default"/>
      <w:sz w:val="21"/>
      <w:szCs w:val="24"/>
    </w:rPr>
  </w:style>
  <w:style w:type="paragraph" w:customStyle="1" w:styleId="82">
    <w:name w:val="reader-word-layer reader-word-s1-14"/>
    <w:basedOn w:val="1"/>
    <w:unhideWhenUsed/>
    <w:qFormat/>
    <w:uiPriority w:val="0"/>
    <w:pPr>
      <w:widowControl/>
      <w:adjustRightInd/>
      <w:spacing w:before="100" w:beforeAutospacing="1" w:after="100" w:afterAutospacing="1" w:line="240" w:lineRule="auto"/>
      <w:jc w:val="left"/>
    </w:pPr>
    <w:rPr>
      <w:rFonts w:hint="default" w:hAnsi="宋体" w:cs="宋体"/>
      <w:sz w:val="24"/>
      <w:szCs w:val="24"/>
    </w:rPr>
  </w:style>
  <w:style w:type="character" w:customStyle="1" w:styleId="83">
    <w:name w:val="font11"/>
    <w:unhideWhenUsed/>
    <w:qFormat/>
    <w:uiPriority w:val="0"/>
    <w:rPr>
      <w:rFonts w:hint="default" w:ascii="宋体" w:hAnsi="宋体" w:eastAsia="宋体" w:cs="宋体"/>
      <w:color w:val="000000"/>
      <w:sz w:val="22"/>
      <w:szCs w:val="22"/>
    </w:rPr>
  </w:style>
  <w:style w:type="character" w:customStyle="1" w:styleId="84">
    <w:name w:val="font31"/>
    <w:unhideWhenUsed/>
    <w:qFormat/>
    <w:uiPriority w:val="0"/>
    <w:rPr>
      <w:rFonts w:hint="eastAsia" w:ascii="微软雅黑" w:hAnsi="微软雅黑" w:eastAsia="微软雅黑" w:cs="微软雅黑"/>
      <w:color w:val="000000"/>
      <w:sz w:val="20"/>
      <w:szCs w:val="20"/>
    </w:rPr>
  </w:style>
  <w:style w:type="character" w:customStyle="1" w:styleId="85">
    <w:name w:val="breakword"/>
    <w:unhideWhenUsed/>
    <w:qFormat/>
    <w:uiPriority w:val="0"/>
    <w:rPr>
      <w:rFonts w:hint="default"/>
      <w:sz w:val="24"/>
      <w:szCs w:val="24"/>
    </w:rPr>
  </w:style>
  <w:style w:type="character" w:customStyle="1" w:styleId="86">
    <w:name w:val="apple-converted-space"/>
    <w:unhideWhenUsed/>
    <w:qFormat/>
    <w:uiPriority w:val="0"/>
    <w:rPr>
      <w:rFonts w:hint="default"/>
      <w:sz w:val="24"/>
      <w:szCs w:val="24"/>
    </w:rPr>
  </w:style>
  <w:style w:type="character" w:customStyle="1" w:styleId="87">
    <w:name w:val="font21"/>
    <w:unhideWhenUsed/>
    <w:qFormat/>
    <w:uiPriority w:val="0"/>
    <w:rPr>
      <w:rFonts w:hint="default" w:ascii="宋体" w:hAnsi="宋体" w:eastAsia="宋体" w:cs="宋体"/>
      <w:color w:val="000000"/>
      <w:sz w:val="32"/>
      <w:szCs w:val="32"/>
    </w:rPr>
  </w:style>
  <w:style w:type="character" w:customStyle="1" w:styleId="88">
    <w:name w:val="NormalCharacter"/>
    <w:unhideWhenUsed/>
    <w:qFormat/>
    <w:uiPriority w:val="0"/>
    <w:rPr>
      <w:rFonts w:hint="default"/>
      <w:kern w:val="2"/>
      <w:sz w:val="21"/>
      <w:szCs w:val="24"/>
      <w:lang w:val="en-US" w:eastAsia="zh-CN" w:bidi="ar-SA"/>
    </w:rPr>
  </w:style>
  <w:style w:type="character" w:customStyle="1" w:styleId="89">
    <w:name w:val="页脚 Char"/>
    <w:unhideWhenUsed/>
    <w:qFormat/>
    <w:uiPriority w:val="99"/>
    <w:rPr>
      <w:rFonts w:hint="default" w:ascii="Calibri" w:hAnsi="Calibri" w:eastAsia="宋体"/>
      <w:kern w:val="2"/>
      <w:sz w:val="18"/>
      <w:szCs w:val="24"/>
    </w:rPr>
  </w:style>
  <w:style w:type="character" w:customStyle="1" w:styleId="90">
    <w:name w:val="font01"/>
    <w:unhideWhenUsed/>
    <w:qFormat/>
    <w:uiPriority w:val="0"/>
    <w:rPr>
      <w:rFonts w:hint="default" w:ascii="宋体" w:hAnsi="宋体" w:eastAsia="宋体" w:cs="宋体"/>
      <w:color w:val="FF0000"/>
      <w:sz w:val="22"/>
      <w:szCs w:val="22"/>
    </w:rPr>
  </w:style>
  <w:style w:type="character" w:customStyle="1" w:styleId="91">
    <w:name w:val="newsfont1"/>
    <w:unhideWhenUsed/>
    <w:qFormat/>
    <w:uiPriority w:val="0"/>
    <w:rPr>
      <w:rFonts w:hint="default"/>
      <w:sz w:val="21"/>
      <w:szCs w:val="24"/>
    </w:rPr>
  </w:style>
  <w:style w:type="character" w:customStyle="1" w:styleId="92">
    <w:name w:val="纯文本 Char1"/>
    <w:unhideWhenUsed/>
    <w:qFormat/>
    <w:locked/>
    <w:uiPriority w:val="0"/>
    <w:rPr>
      <w:rFonts w:hint="default" w:ascii="宋体" w:hAnsi="Courier New" w:eastAsia="宋体"/>
      <w:kern w:val="2"/>
      <w:sz w:val="21"/>
      <w:szCs w:val="24"/>
    </w:rPr>
  </w:style>
  <w:style w:type="character" w:customStyle="1" w:styleId="93">
    <w:name w:val="color_huei1"/>
    <w:unhideWhenUsed/>
    <w:qFormat/>
    <w:uiPriority w:val="0"/>
    <w:rPr>
      <w:rFonts w:hint="default"/>
      <w:color w:val="auto"/>
      <w:sz w:val="24"/>
      <w:szCs w:val="24"/>
    </w:rPr>
  </w:style>
  <w:style w:type="character" w:customStyle="1" w:styleId="94">
    <w:name w:val="question-title2"/>
    <w:unhideWhenUsed/>
    <w:qFormat/>
    <w:uiPriority w:val="0"/>
    <w:rPr>
      <w:rFonts w:hint="default"/>
      <w:sz w:val="24"/>
      <w:szCs w:val="24"/>
    </w:rPr>
  </w:style>
  <w:style w:type="character" w:customStyle="1" w:styleId="95">
    <w:name w:val="apple-style-span"/>
    <w:unhideWhenUsed/>
    <w:qFormat/>
    <w:uiPriority w:val="0"/>
    <w:rPr>
      <w:rFonts w:hint="default"/>
      <w:sz w:val="24"/>
      <w:szCs w:val="24"/>
    </w:rPr>
  </w:style>
  <w:style w:type="character" w:customStyle="1" w:styleId="96">
    <w:name w:val="font41"/>
    <w:unhideWhenUsed/>
    <w:qFormat/>
    <w:uiPriority w:val="0"/>
    <w:rPr>
      <w:rFonts w:hint="eastAsia" w:ascii="微软雅黑" w:hAnsi="微软雅黑" w:eastAsia="微软雅黑" w:cs="微软雅黑"/>
      <w:color w:val="000000"/>
      <w:sz w:val="20"/>
      <w:szCs w:val="20"/>
    </w:rPr>
  </w:style>
  <w:style w:type="paragraph" w:customStyle="1" w:styleId="97">
    <w:name w:val="正文_1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98">
    <w:name w:val="正文缩进1"/>
    <w:basedOn w:val="1"/>
    <w:qFormat/>
    <w:uiPriority w:val="99"/>
    <w:pPr>
      <w:ind w:firstLine="420"/>
    </w:pPr>
    <w:rPr>
      <w:rFonts w:ascii="Times New Roman" w:hAnsi="Times New Roman"/>
      <w:szCs w:val="20"/>
    </w:rPr>
  </w:style>
  <w:style w:type="paragraph" w:customStyle="1" w:styleId="99">
    <w:name w:val="Table Text"/>
    <w:basedOn w:val="1"/>
    <w:semiHidden/>
    <w:qFormat/>
    <w:uiPriority w:val="0"/>
    <w:rPr>
      <w:rFonts w:ascii="宋体" w:hAnsi="宋体" w:eastAsia="宋体" w:cs="宋体"/>
      <w:sz w:val="24"/>
      <w:szCs w:val="24"/>
      <w:lang w:val="en-US" w:eastAsia="en-US" w:bidi="ar-SA"/>
    </w:rPr>
  </w:style>
  <w:style w:type="table" w:customStyle="1" w:styleId="100">
    <w:name w:val="Table Normal"/>
    <w:semiHidden/>
    <w:unhideWhenUsed/>
    <w:qFormat/>
    <w:uiPriority w:val="0"/>
    <w:tblPr>
      <w:tblCellMar>
        <w:top w:w="0" w:type="dxa"/>
        <w:left w:w="0" w:type="dxa"/>
        <w:bottom w:w="0" w:type="dxa"/>
        <w:right w:w="0" w:type="dxa"/>
      </w:tblCellMar>
    </w:tblPr>
  </w:style>
  <w:style w:type="paragraph" w:customStyle="1" w:styleId="101">
    <w:name w:val="WPSOffice手动目录 2"/>
    <w:qFormat/>
    <w:uiPriority w:val="0"/>
    <w:pPr>
      <w:ind w:leftChars="200"/>
    </w:pPr>
    <w:rPr>
      <w:rFonts w:ascii="Times New Roman" w:hAnsi="Times New Roman" w:eastAsia="宋体" w:cs="Times New Roman"/>
      <w:sz w:val="20"/>
      <w:szCs w:val="20"/>
    </w:rPr>
  </w:style>
  <w:style w:type="paragraph" w:customStyle="1" w:styleId="102">
    <w:name w:val="WPSOffice手动目录 3"/>
    <w:qFormat/>
    <w:uiPriority w:val="0"/>
    <w:pPr>
      <w:ind w:leftChars="400"/>
    </w:pPr>
    <w:rPr>
      <w:rFonts w:ascii="Times New Roman" w:hAnsi="Times New Roman" w:eastAsia="宋体" w:cs="Times New Roman"/>
      <w:sz w:val="20"/>
      <w:szCs w:val="20"/>
    </w:rPr>
  </w:style>
  <w:style w:type="paragraph" w:customStyle="1" w:styleId="103">
    <w:name w:val="Normal_0"/>
    <w:qFormat/>
    <w:uiPriority w:val="0"/>
    <w:rPr>
      <w:rFonts w:ascii="Times New Roman" w:hAnsi="Times New Roman" w:eastAsia="Times New Roman" w:cs="Times New Roman"/>
      <w:sz w:val="24"/>
      <w:szCs w:val="24"/>
      <w:lang w:val="en-US" w:eastAsia="zh-CN" w:bidi="ar-SA"/>
    </w:rPr>
  </w:style>
  <w:style w:type="paragraph" w:customStyle="1" w:styleId="104">
    <w:name w:val="正文+首行缩进2字符"/>
    <w:basedOn w:val="1"/>
    <w:qFormat/>
    <w:uiPriority w:val="0"/>
    <w:pPr>
      <w:ind w:firstLine="200" w:firstLineChars="200"/>
    </w:pPr>
  </w:style>
  <w:style w:type="paragraph" w:customStyle="1" w:styleId="105">
    <w:name w:val="_Style 1"/>
    <w:qFormat/>
    <w:uiPriority w:val="0"/>
    <w:pPr>
      <w:widowControl w:val="0"/>
      <w:jc w:val="both"/>
    </w:pPr>
    <w:rPr>
      <w:rFonts w:ascii="Calibri" w:hAnsi="Calibri" w:eastAsia="Times New Roman" w:cs="Times New Roman"/>
      <w:kern w:val="2"/>
      <w:sz w:val="21"/>
      <w:szCs w:val="22"/>
      <w:lang w:val="en-US" w:eastAsia="zh-CN" w:bidi="ar-SA"/>
    </w:rPr>
  </w:style>
  <w:style w:type="paragraph" w:customStyle="1" w:styleId="106">
    <w:name w:val="TOC 标题"/>
    <w:basedOn w:val="3"/>
    <w:next w:val="1"/>
    <w:qFormat/>
    <w:uiPriority w:val="0"/>
    <w:pPr>
      <w:outlineLvl w:val="9"/>
    </w:pPr>
  </w:style>
  <w:style w:type="paragraph" w:customStyle="1" w:styleId="107">
    <w:name w:val="标题5"/>
    <w:basedOn w:val="1"/>
    <w:qFormat/>
    <w:uiPriority w:val="0"/>
    <w:pPr>
      <w:numPr>
        <w:ilvl w:val="0"/>
        <w:numId w:val="5"/>
      </w:numPr>
      <w:spacing w:before="100" w:beforeAutospacing="1" w:after="100" w:afterAutospacing="1"/>
      <w:outlineLvl w:val="4"/>
    </w:pPr>
  </w:style>
  <w:style w:type="paragraph" w:customStyle="1" w:styleId="108">
    <w:name w:val="BodyText"/>
    <w:basedOn w:val="1"/>
    <w:qFormat/>
    <w:uiPriority w:val="0"/>
    <w:pPr>
      <w:spacing w:after="120"/>
    </w:pPr>
  </w:style>
</w:styles>
</file>

<file path=word/_rels/document.xml.rels><?xml version="1.0" encoding="UTF-8" standalone="yes"?>
<Relationships xmlns="http://schemas.openxmlformats.org/package/2006/relationships"><Relationship Id="rId9" Type="http://schemas.openxmlformats.org/officeDocument/2006/relationships/header" Target="header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74</Pages>
  <Words>17795</Words>
  <Characters>19481</Characters>
  <TotalTime>1</TotalTime>
  <ScaleCrop>false</ScaleCrop>
  <LinksUpToDate>false</LinksUpToDate>
  <CharactersWithSpaces>19722</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2023-05-05T04:17:00Z</dcterms:created>
  <dc:creator>1</dc:creator>
  <cp:lastModifiedBy>No way</cp:lastModifiedBy>
  <dcterms:modified xsi:type="dcterms:W3CDTF">2026-06-04T10:27:41Z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382C9A73F4CD4D1D8C43865171D36AEA_13</vt:lpwstr>
  </property>
  <property fmtid="{D5CDD505-2E9C-101B-9397-08002B2CF9AE}" pid="4" name="KSOTemplateDocerSaveRecord">
    <vt:lpwstr>eyJoZGlkIjoiMzEwNTM5NzYwMDRjMzkwZTVkZjY2ODkwMGIxNGU0OTUiLCJ1c2VySWQiOiIyNTA4NTc2NzQifQ==</vt:lpwstr>
  </property>
</Properties>
</file>